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bookmarkStart w:id="2" w:name="_GoBack"/>
      <w:bookmarkEnd w:id="2"/>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15D9952D" w:rsidR="00B327E9" w:rsidRPr="00AB6D88" w:rsidRDefault="00EC1B82" w:rsidP="00F136AD">
                <w:pPr>
                  <w:rPr>
                    <w:rStyle w:val="PlaceholderText"/>
                    <w:rFonts w:cs="Arial"/>
                  </w:rPr>
                </w:pPr>
                <w:r>
                  <w:rPr>
                    <w:rStyle w:val="PlaceholderText"/>
                    <w:rFonts w:cs="Arial"/>
                  </w:rPr>
                  <w:t>Moody’s Investors Service</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01980531" w:rsidR="00B327E9" w:rsidRPr="00AB6D88" w:rsidRDefault="007904C8"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EC1B82">
                  <w:rPr>
                    <w:rFonts w:cs="Arial"/>
                  </w:rPr>
                  <w:t>Data/ Ratings Provider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2105ED5E" w:rsidR="00B327E9" w:rsidRPr="00AB6D88" w:rsidRDefault="00EC1B82" w:rsidP="00F136AD">
                <w:pPr>
                  <w:rPr>
                    <w:rFonts w:cs="Arial"/>
                  </w:rPr>
                </w:pPr>
                <w:r>
                  <w:rPr>
                    <w:rFonts w:cs="Arial"/>
                  </w:rPr>
                  <w:t>Germany</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72F8F4A0" w14:textId="77777777" w:rsidR="00EC1B82" w:rsidRPr="00EC1B82" w:rsidRDefault="00EC1B82" w:rsidP="00EC1B82">
      <w:pPr>
        <w:rPr>
          <w:rFonts w:cs="Arial"/>
        </w:rPr>
      </w:pPr>
      <w:permStart w:id="44765448" w:edGrp="everyone"/>
      <w:r w:rsidRPr="00EC1B82">
        <w:rPr>
          <w:rFonts w:cs="Arial"/>
        </w:rPr>
        <w:t>Moody’s Investors Service (</w:t>
      </w:r>
      <w:r w:rsidRPr="00EC1B82">
        <w:rPr>
          <w:rFonts w:cs="Arial"/>
          <w:b/>
          <w:bCs/>
        </w:rPr>
        <w:t>Moody’s</w:t>
      </w:r>
      <w:r w:rsidRPr="00EC1B82">
        <w:rPr>
          <w:rFonts w:cs="Arial"/>
        </w:rPr>
        <w:t>) appreciates the opportunity to respond to the European Securities and Markets Authority (</w:t>
      </w:r>
      <w:r w:rsidRPr="00EC1B82">
        <w:rPr>
          <w:rFonts w:cs="Arial"/>
          <w:b/>
          <w:bCs/>
        </w:rPr>
        <w:t>ESMA</w:t>
      </w:r>
      <w:r w:rsidRPr="00EC1B82">
        <w:rPr>
          <w:rFonts w:cs="Arial"/>
        </w:rPr>
        <w:t>) Consultation Report on the EU Money Market Fund (</w:t>
      </w:r>
      <w:r w:rsidRPr="00EC1B82">
        <w:rPr>
          <w:rFonts w:cs="Arial"/>
          <w:b/>
          <w:bCs/>
        </w:rPr>
        <w:t>MMF</w:t>
      </w:r>
      <w:r w:rsidRPr="00EC1B82">
        <w:rPr>
          <w:rFonts w:cs="Arial"/>
        </w:rPr>
        <w:t xml:space="preserve">) Regulation. Our comments focus on the parts of the Consultation Report that relate to credit ratings and MMF ratings. </w:t>
      </w:r>
    </w:p>
    <w:p w14:paraId="53CD81B5" w14:textId="77777777" w:rsidR="00EC1B82" w:rsidRPr="00EC1B82" w:rsidRDefault="00EC1B82" w:rsidP="00EC1B82">
      <w:pPr>
        <w:rPr>
          <w:rFonts w:cs="Arial"/>
        </w:rPr>
      </w:pPr>
    </w:p>
    <w:p w14:paraId="0DF5D699" w14:textId="77777777" w:rsidR="00EC1B82" w:rsidRPr="00EC1B82" w:rsidRDefault="00EC1B82" w:rsidP="00EC1B82">
      <w:pPr>
        <w:rPr>
          <w:rFonts w:cs="Arial"/>
        </w:rPr>
      </w:pPr>
      <w:r w:rsidRPr="00EC1B82">
        <w:rPr>
          <w:rFonts w:cs="Arial"/>
        </w:rPr>
        <w:t xml:space="preserve">We support ESMA’s objective, of making MMFs more resilient to stressed market conditions and to reduce their contribution to the building up of risk in the financial system. We disagree however with ESMA’s assertion that credit ratings and MMF ratings played an important role in the stress experienced by MMFs during the COVID-19 crisis in March 2020 and with the need for any fundamental regulatory intervention in respect of MMF ratings. </w:t>
      </w:r>
    </w:p>
    <w:p w14:paraId="2B3656E4" w14:textId="77777777" w:rsidR="00EC1B82" w:rsidRPr="00EC1B82" w:rsidRDefault="00EC1B82" w:rsidP="00EC1B82">
      <w:pPr>
        <w:rPr>
          <w:rFonts w:cs="Arial"/>
        </w:rPr>
      </w:pPr>
    </w:p>
    <w:p w14:paraId="5EB04237" w14:textId="77777777" w:rsidR="00EC1B82" w:rsidRPr="00EC1B82" w:rsidRDefault="00EC1B82" w:rsidP="00EC1B82">
      <w:pPr>
        <w:rPr>
          <w:rFonts w:cs="Arial"/>
        </w:rPr>
      </w:pPr>
      <w:r w:rsidRPr="00EC1B82">
        <w:rPr>
          <w:rFonts w:cs="Arial"/>
        </w:rPr>
        <w:t xml:space="preserve">We have three observations on ESMA’s analysis relating to credit ratings and MMF ratings: </w:t>
      </w:r>
    </w:p>
    <w:p w14:paraId="2AE92C92" w14:textId="77777777" w:rsidR="00EC1B82" w:rsidRPr="00EC1B82" w:rsidRDefault="00EC1B82" w:rsidP="00EC1B82">
      <w:pPr>
        <w:rPr>
          <w:rFonts w:cs="Arial"/>
        </w:rPr>
      </w:pPr>
    </w:p>
    <w:p w14:paraId="4E5FA8CB" w14:textId="77777777" w:rsidR="00EC1B82" w:rsidRPr="00EC1B82" w:rsidRDefault="00EC1B82" w:rsidP="00891298">
      <w:pPr>
        <w:numPr>
          <w:ilvl w:val="0"/>
          <w:numId w:val="40"/>
        </w:numPr>
        <w:rPr>
          <w:rFonts w:cs="Arial"/>
        </w:rPr>
      </w:pPr>
      <w:r w:rsidRPr="00EC1B82">
        <w:rPr>
          <w:rFonts w:cs="Arial"/>
        </w:rPr>
        <w:t xml:space="preserve">The Consultation Report does not clearly define the problems regarding credit ratings or MMF ratings. </w:t>
      </w:r>
    </w:p>
    <w:p w14:paraId="46DB3FB9" w14:textId="77777777" w:rsidR="00EC1B82" w:rsidRPr="00EC1B82" w:rsidRDefault="00EC1B82" w:rsidP="00891298">
      <w:pPr>
        <w:numPr>
          <w:ilvl w:val="0"/>
          <w:numId w:val="40"/>
        </w:numPr>
        <w:rPr>
          <w:rFonts w:cs="Arial"/>
        </w:rPr>
      </w:pPr>
      <w:r w:rsidRPr="00EC1B82">
        <w:rPr>
          <w:rFonts w:cs="Arial"/>
        </w:rPr>
        <w:t xml:space="preserve">The measures considered in respect of credit ratings and MMF ratings would not support the reform objective set out by ESMA. </w:t>
      </w:r>
    </w:p>
    <w:p w14:paraId="64287D16" w14:textId="77777777" w:rsidR="00EC1B82" w:rsidRPr="00EC1B82" w:rsidRDefault="00EC1B82" w:rsidP="00891298">
      <w:pPr>
        <w:pStyle w:val="ListParagraph"/>
        <w:numPr>
          <w:ilvl w:val="0"/>
          <w:numId w:val="40"/>
        </w:numPr>
        <w:rPr>
          <w:rFonts w:cs="Arial"/>
        </w:rPr>
      </w:pPr>
      <w:r w:rsidRPr="00EC1B82">
        <w:rPr>
          <w:rFonts w:cs="Arial"/>
        </w:rPr>
        <w:t>Market resilience is best served by an approach that allows and encourages a range of third-party opinions, including but not limited to MMF ratings.</w:t>
      </w:r>
    </w:p>
    <w:p w14:paraId="0053AFE1" w14:textId="77777777" w:rsidR="00EC1B82" w:rsidRPr="00EC1B82" w:rsidRDefault="00EC1B82" w:rsidP="00EC1B82">
      <w:pPr>
        <w:rPr>
          <w:rFonts w:cs="Arial"/>
        </w:rPr>
      </w:pPr>
    </w:p>
    <w:p w14:paraId="258EFA05" w14:textId="77777777" w:rsidR="00EC1B82" w:rsidRPr="00EC1B82" w:rsidRDefault="00EC1B82" w:rsidP="00EC1B82">
      <w:pPr>
        <w:rPr>
          <w:rFonts w:cs="Arial"/>
        </w:rPr>
      </w:pPr>
      <w:r w:rsidRPr="00EC1B82">
        <w:rPr>
          <w:rFonts w:cs="Arial"/>
        </w:rPr>
        <w:t xml:space="preserve">We elaborate on each observation below. </w:t>
      </w:r>
    </w:p>
    <w:p w14:paraId="791A5CE5" w14:textId="77777777" w:rsidR="00EC1B82" w:rsidRPr="00EC1B82" w:rsidRDefault="00EC1B82" w:rsidP="00EC1B82">
      <w:pPr>
        <w:rPr>
          <w:rFonts w:cs="Arial"/>
        </w:rPr>
      </w:pPr>
    </w:p>
    <w:p w14:paraId="036AA592" w14:textId="77777777" w:rsidR="00EC1B82" w:rsidRPr="00EC1B82" w:rsidRDefault="00EC1B82" w:rsidP="00891298">
      <w:pPr>
        <w:numPr>
          <w:ilvl w:val="0"/>
          <w:numId w:val="42"/>
        </w:numPr>
        <w:rPr>
          <w:rFonts w:cs="Arial"/>
          <w:b/>
          <w:bCs/>
        </w:rPr>
      </w:pPr>
      <w:r w:rsidRPr="00EC1B82">
        <w:rPr>
          <w:rFonts w:cs="Arial"/>
          <w:b/>
          <w:bCs/>
        </w:rPr>
        <w:t xml:space="preserve">The Consultation Report does not clearly define the problems regarding credit ratings or MMF ratings. </w:t>
      </w:r>
    </w:p>
    <w:p w14:paraId="2D5E8691" w14:textId="77777777" w:rsidR="00EC1B82" w:rsidRPr="00EC1B82" w:rsidRDefault="00EC1B82" w:rsidP="00EC1B82">
      <w:pPr>
        <w:rPr>
          <w:rFonts w:cs="Arial"/>
          <w:b/>
          <w:bCs/>
        </w:rPr>
      </w:pPr>
    </w:p>
    <w:p w14:paraId="1E5D28D1" w14:textId="77777777" w:rsidR="00EC1B82" w:rsidRPr="00EC1B82" w:rsidRDefault="00EC1B82" w:rsidP="00EC1B82">
      <w:pPr>
        <w:rPr>
          <w:rFonts w:cs="Arial"/>
        </w:rPr>
      </w:pPr>
      <w:r w:rsidRPr="00EC1B82">
        <w:rPr>
          <w:rFonts w:cs="Arial"/>
        </w:rPr>
        <w:t>Paragraph 21 of the Consultation Report asserts that credit rating agencies (</w:t>
      </w:r>
      <w:r w:rsidRPr="00EC1B82">
        <w:rPr>
          <w:rFonts w:cs="Arial"/>
          <w:b/>
          <w:bCs/>
        </w:rPr>
        <w:t>CRAs</w:t>
      </w:r>
      <w:r w:rsidRPr="00EC1B82">
        <w:rPr>
          <w:rFonts w:cs="Arial"/>
        </w:rPr>
        <w:t>) were one of three sources of vulnerability that the MMF industry experienced during the Covid-19 crisis in March 2020, on a par with the liquidity of underlying markets and regulatory requirements. However, it is not clear from the subsequent analysis and specifically, from the section on the “Role of credit rating agencies”</w:t>
      </w:r>
      <w:r w:rsidRPr="00EC1B82">
        <w:rPr>
          <w:rStyle w:val="FootnoteReference"/>
          <w:rFonts w:cs="Arial"/>
        </w:rPr>
        <w:footnoteReference w:id="2"/>
      </w:r>
      <w:r w:rsidRPr="00EC1B82">
        <w:rPr>
          <w:rFonts w:cs="Arial"/>
        </w:rPr>
        <w:t xml:space="preserve"> how ESMA believes that either MMF ratings or credit ratings contributed to market malfunctioning. </w:t>
      </w:r>
    </w:p>
    <w:p w14:paraId="76F39FFB" w14:textId="77777777" w:rsidR="00EC1B82" w:rsidRPr="00EC1B82" w:rsidRDefault="00EC1B82" w:rsidP="00EC1B82">
      <w:pPr>
        <w:rPr>
          <w:rFonts w:cs="Arial"/>
        </w:rPr>
      </w:pPr>
      <w:r w:rsidRPr="00EC1B82">
        <w:rPr>
          <w:rFonts w:cs="Arial"/>
        </w:rPr>
        <w:t xml:space="preserve">ESMA presents a range of findings on MMF ratings, without demonstrating in what way there are problems. </w:t>
      </w:r>
    </w:p>
    <w:p w14:paraId="7B4D5A04" w14:textId="77777777" w:rsidR="00EC1B82" w:rsidRPr="00EC1B82" w:rsidRDefault="00EC1B82" w:rsidP="00EC1B82">
      <w:pPr>
        <w:rPr>
          <w:rFonts w:cs="Arial"/>
        </w:rPr>
      </w:pPr>
    </w:p>
    <w:p w14:paraId="618332C7" w14:textId="77777777" w:rsidR="00EC1B82" w:rsidRPr="00EC1B82" w:rsidRDefault="00EC1B82" w:rsidP="00EC1B82">
      <w:pPr>
        <w:rPr>
          <w:rFonts w:cs="Arial"/>
        </w:rPr>
      </w:pPr>
      <w:r w:rsidRPr="00EC1B82">
        <w:rPr>
          <w:rFonts w:cs="Arial"/>
        </w:rPr>
        <w:t>ESMA’s selected findings include the following</w:t>
      </w:r>
      <w:r w:rsidRPr="00EC1B82">
        <w:rPr>
          <w:rStyle w:val="FootnoteReference"/>
          <w:rFonts w:cs="Arial"/>
          <w:i/>
          <w:iCs/>
        </w:rPr>
        <w:footnoteReference w:id="3"/>
      </w:r>
      <w:r w:rsidRPr="00EC1B82">
        <w:rPr>
          <w:rFonts w:cs="Arial"/>
        </w:rPr>
        <w:t xml:space="preserve">: </w:t>
      </w:r>
    </w:p>
    <w:p w14:paraId="013FE8B8" w14:textId="77777777" w:rsidR="00EC1B82" w:rsidRPr="00EC1B82" w:rsidRDefault="00EC1B82" w:rsidP="00EC1B82">
      <w:pPr>
        <w:rPr>
          <w:rFonts w:cs="Arial"/>
        </w:rPr>
      </w:pPr>
    </w:p>
    <w:p w14:paraId="0BCF87F4" w14:textId="77777777" w:rsidR="00EC1B82" w:rsidRPr="00EC1B82" w:rsidRDefault="00EC1B82" w:rsidP="00891298">
      <w:pPr>
        <w:pStyle w:val="ListParagraph"/>
        <w:numPr>
          <w:ilvl w:val="0"/>
          <w:numId w:val="43"/>
        </w:numPr>
        <w:rPr>
          <w:rFonts w:cs="Arial"/>
          <w:i/>
          <w:iCs/>
        </w:rPr>
      </w:pPr>
      <w:r w:rsidRPr="00EC1B82">
        <w:rPr>
          <w:rFonts w:cs="Arial"/>
          <w:i/>
          <w:iCs/>
        </w:rPr>
        <w:t>“MMF rating methodologies are constraining.”</w:t>
      </w:r>
      <w:r w:rsidRPr="00EC1B82">
        <w:rPr>
          <w:rStyle w:val="FootnoteReference"/>
          <w:rFonts w:cs="Arial"/>
          <w:i/>
          <w:iCs/>
        </w:rPr>
        <w:t xml:space="preserve"> </w:t>
      </w:r>
    </w:p>
    <w:p w14:paraId="339F5C75" w14:textId="77777777" w:rsidR="00EC1B82" w:rsidRPr="00EC1B82" w:rsidRDefault="00EC1B82" w:rsidP="00EC1B82">
      <w:pPr>
        <w:pStyle w:val="ListParagraph"/>
        <w:rPr>
          <w:rFonts w:cs="Arial"/>
          <w:i/>
          <w:iCs/>
        </w:rPr>
      </w:pPr>
    </w:p>
    <w:p w14:paraId="03AAB80E" w14:textId="77777777" w:rsidR="00EC1B82" w:rsidRPr="00EC1B82" w:rsidRDefault="00EC1B82" w:rsidP="00891298">
      <w:pPr>
        <w:pStyle w:val="ListParagraph"/>
        <w:numPr>
          <w:ilvl w:val="0"/>
          <w:numId w:val="43"/>
        </w:numPr>
        <w:rPr>
          <w:rFonts w:cs="Arial"/>
          <w:i/>
          <w:iCs/>
        </w:rPr>
      </w:pPr>
      <w:r w:rsidRPr="00EC1B82">
        <w:rPr>
          <w:rFonts w:cs="Arial"/>
          <w:i/>
          <w:iCs/>
        </w:rPr>
        <w:t xml:space="preserve">“For some CRAs, MMFs can only invest in highly-rated issuers, and in most cases any exposure below some credit rating level would not be compatible with a </w:t>
      </w:r>
      <w:proofErr w:type="spellStart"/>
      <w:r w:rsidRPr="00EC1B82">
        <w:rPr>
          <w:rFonts w:cs="Arial"/>
          <w:i/>
          <w:iCs/>
        </w:rPr>
        <w:t>AAAmmf</w:t>
      </w:r>
      <w:proofErr w:type="spellEnd"/>
      <w:r w:rsidRPr="00EC1B82">
        <w:rPr>
          <w:rFonts w:cs="Arial"/>
          <w:i/>
          <w:iCs/>
        </w:rPr>
        <w:t xml:space="preserve"> for the MMF.” </w:t>
      </w:r>
    </w:p>
    <w:p w14:paraId="4763AE1D" w14:textId="77777777" w:rsidR="00EC1B82" w:rsidRPr="00EC1B82" w:rsidRDefault="00EC1B82" w:rsidP="00EC1B82">
      <w:pPr>
        <w:pStyle w:val="ListParagraph"/>
        <w:rPr>
          <w:rFonts w:cs="Arial"/>
          <w:i/>
          <w:iCs/>
        </w:rPr>
      </w:pPr>
    </w:p>
    <w:p w14:paraId="561B797F" w14:textId="77777777" w:rsidR="00EC1B82" w:rsidRPr="00EC1B82" w:rsidRDefault="00EC1B82" w:rsidP="00891298">
      <w:pPr>
        <w:pStyle w:val="ListParagraph"/>
        <w:numPr>
          <w:ilvl w:val="0"/>
          <w:numId w:val="43"/>
        </w:numPr>
        <w:rPr>
          <w:rFonts w:cs="Arial"/>
          <w:i/>
          <w:iCs/>
        </w:rPr>
      </w:pPr>
      <w:r w:rsidRPr="00EC1B82">
        <w:rPr>
          <w:rFonts w:cs="Arial"/>
          <w:i/>
          <w:iCs/>
        </w:rPr>
        <w:lastRenderedPageBreak/>
        <w:t>“Rated MMFs tend to invest almost exclusively in instruments rated by the CRA that also rates the MMF.”</w:t>
      </w:r>
    </w:p>
    <w:p w14:paraId="7710CEF5" w14:textId="77777777" w:rsidR="00EC1B82" w:rsidRPr="00EC1B82" w:rsidRDefault="00EC1B82" w:rsidP="00EC1B82">
      <w:pPr>
        <w:rPr>
          <w:rFonts w:cs="Arial"/>
        </w:rPr>
      </w:pPr>
    </w:p>
    <w:p w14:paraId="5AE07454" w14:textId="77777777" w:rsidR="00EC1B82" w:rsidRPr="00EC1B82" w:rsidRDefault="00EC1B82" w:rsidP="00EC1B82">
      <w:pPr>
        <w:rPr>
          <w:rFonts w:cs="Arial"/>
        </w:rPr>
      </w:pPr>
      <w:r w:rsidRPr="00EC1B82">
        <w:rPr>
          <w:rFonts w:cs="Arial"/>
        </w:rPr>
        <w:t>We wish to provide some clarification and views in respect of these points.</w:t>
      </w:r>
    </w:p>
    <w:p w14:paraId="6FDBA6EF" w14:textId="77777777" w:rsidR="00EC1B82" w:rsidRPr="00EC1B82" w:rsidRDefault="00EC1B82" w:rsidP="00EC1B82">
      <w:pPr>
        <w:rPr>
          <w:rFonts w:cs="Arial"/>
        </w:rPr>
      </w:pPr>
    </w:p>
    <w:p w14:paraId="58A018A8" w14:textId="77777777" w:rsidR="00EC1B82" w:rsidRPr="00EC1B82" w:rsidRDefault="00EC1B82" w:rsidP="00891298">
      <w:pPr>
        <w:pStyle w:val="ListParagraph"/>
        <w:numPr>
          <w:ilvl w:val="0"/>
          <w:numId w:val="44"/>
        </w:numPr>
        <w:rPr>
          <w:rFonts w:cs="Arial"/>
        </w:rPr>
      </w:pPr>
      <w:r w:rsidRPr="00EC1B82">
        <w:rPr>
          <w:rFonts w:cs="Arial"/>
          <w:i/>
          <w:iCs/>
        </w:rPr>
        <w:t xml:space="preserve">“MMF rating methodologies are constraining.” </w:t>
      </w:r>
    </w:p>
    <w:p w14:paraId="10DECC5C" w14:textId="77777777" w:rsidR="00EC1B82" w:rsidRPr="00EC1B82" w:rsidRDefault="00EC1B82" w:rsidP="00EC1B82">
      <w:pPr>
        <w:pStyle w:val="ListParagraph"/>
        <w:rPr>
          <w:rFonts w:cs="Arial"/>
        </w:rPr>
      </w:pPr>
    </w:p>
    <w:p w14:paraId="4E52AB68" w14:textId="77777777" w:rsidR="00EC1B82" w:rsidRPr="00EC1B82" w:rsidRDefault="00EC1B82" w:rsidP="00EC1B82">
      <w:pPr>
        <w:rPr>
          <w:rFonts w:cs="Arial"/>
        </w:rPr>
      </w:pPr>
      <w:r w:rsidRPr="00EC1B82">
        <w:rPr>
          <w:rFonts w:cs="Arial"/>
        </w:rPr>
        <w:t xml:space="preserve">Our MMF ratings provide an opinion of the investment quality of the underlying shares, expressed on a six-notch scale; and we can rate to any of these six notches (see Annex). The investments made are at the sole discretion of the MMFs themselves. </w:t>
      </w:r>
    </w:p>
    <w:p w14:paraId="54868148" w14:textId="77777777" w:rsidR="00EC1B82" w:rsidRPr="00EC1B82" w:rsidRDefault="00EC1B82" w:rsidP="00EC1B82">
      <w:pPr>
        <w:rPr>
          <w:rFonts w:cs="Arial"/>
        </w:rPr>
      </w:pPr>
    </w:p>
    <w:p w14:paraId="471A9274" w14:textId="77777777" w:rsidR="00EC1B82" w:rsidRPr="00EC1B82" w:rsidRDefault="00EC1B82" w:rsidP="00EC1B82">
      <w:pPr>
        <w:rPr>
          <w:rFonts w:cs="Arial"/>
        </w:rPr>
      </w:pPr>
      <w:r w:rsidRPr="00EC1B82">
        <w:rPr>
          <w:rFonts w:cs="Arial"/>
        </w:rPr>
        <w:t>It is our experience that investors seek out instruments with the strongest possible credentials. As a result, there is little incentive for MMF managers to seek a rating unless they can achieve the highest grade.</w:t>
      </w:r>
      <w:r w:rsidRPr="00EC1B82">
        <w:rPr>
          <w:rStyle w:val="FootnoteReference"/>
          <w:rFonts w:cs="Arial"/>
        </w:rPr>
        <w:footnoteReference w:id="4"/>
      </w:r>
      <w:r w:rsidRPr="00EC1B82">
        <w:rPr>
          <w:rFonts w:cs="Arial"/>
        </w:rPr>
        <w:t xml:space="preserve"> The preponderance of </w:t>
      </w:r>
      <w:proofErr w:type="spellStart"/>
      <w:r w:rsidRPr="00EC1B82">
        <w:rPr>
          <w:rFonts w:cs="Arial"/>
        </w:rPr>
        <w:t>Aaa</w:t>
      </w:r>
      <w:proofErr w:type="spellEnd"/>
      <w:r w:rsidRPr="00EC1B82">
        <w:rPr>
          <w:rFonts w:cs="Arial"/>
        </w:rPr>
        <w:t xml:space="preserve">-mf ratings is therefore an expression of a market preference, not CRA imposition. </w:t>
      </w:r>
    </w:p>
    <w:p w14:paraId="61714A2D" w14:textId="77777777" w:rsidR="00EC1B82" w:rsidRPr="00EC1B82" w:rsidRDefault="00EC1B82" w:rsidP="00EC1B82">
      <w:pPr>
        <w:rPr>
          <w:rFonts w:cs="Arial"/>
        </w:rPr>
      </w:pPr>
    </w:p>
    <w:p w14:paraId="5237789D" w14:textId="77777777" w:rsidR="00EC1B82" w:rsidRPr="00EC1B82" w:rsidRDefault="00EC1B82" w:rsidP="00891298">
      <w:pPr>
        <w:pStyle w:val="ListParagraph"/>
        <w:numPr>
          <w:ilvl w:val="0"/>
          <w:numId w:val="44"/>
        </w:numPr>
        <w:ind w:left="714" w:hanging="357"/>
        <w:rPr>
          <w:rFonts w:cs="Arial"/>
          <w:i/>
          <w:iCs/>
        </w:rPr>
      </w:pPr>
      <w:r w:rsidRPr="00EC1B82">
        <w:rPr>
          <w:rFonts w:cs="Arial"/>
          <w:i/>
          <w:iCs/>
        </w:rPr>
        <w:t xml:space="preserve">“For some CRAs, MMFs can only invest in highly-rated issuers, and in most cases any exposure below some credit rating level would not be compatible with a </w:t>
      </w:r>
      <w:proofErr w:type="spellStart"/>
      <w:r w:rsidRPr="00EC1B82">
        <w:rPr>
          <w:rFonts w:cs="Arial"/>
          <w:i/>
          <w:iCs/>
        </w:rPr>
        <w:t>AAAmmf</w:t>
      </w:r>
      <w:proofErr w:type="spellEnd"/>
      <w:r w:rsidRPr="00EC1B82">
        <w:rPr>
          <w:rFonts w:cs="Arial"/>
          <w:i/>
          <w:iCs/>
        </w:rPr>
        <w:t xml:space="preserve"> for the MMF.” </w:t>
      </w:r>
    </w:p>
    <w:p w14:paraId="351AF7D4" w14:textId="77777777" w:rsidR="00EC1B82" w:rsidRPr="00EC1B82" w:rsidRDefault="00EC1B82" w:rsidP="00EC1B82">
      <w:pPr>
        <w:pStyle w:val="ListParagraph"/>
        <w:ind w:left="714"/>
        <w:rPr>
          <w:rFonts w:cs="Arial"/>
          <w:i/>
          <w:iCs/>
        </w:rPr>
      </w:pPr>
    </w:p>
    <w:p w14:paraId="66A23CDB" w14:textId="77777777" w:rsidR="00EC1B82" w:rsidRPr="00EC1B82" w:rsidRDefault="00EC1B82" w:rsidP="00EC1B82">
      <w:pPr>
        <w:rPr>
          <w:rFonts w:cs="Arial"/>
        </w:rPr>
      </w:pPr>
      <w:r w:rsidRPr="00EC1B82">
        <w:rPr>
          <w:rFonts w:cs="Arial"/>
        </w:rPr>
        <w:t>As shown by ESMA in Table 1, credit profile is an important element of Moody’s MMF ratings. A positive correlation between the credit ratings of underlying assets and the MMF rating is therefore to be expected. As noted above, this does not mean that MMFs can only invest in highly-rated issuers or that we impose any constraints on MMFs.</w:t>
      </w:r>
    </w:p>
    <w:p w14:paraId="79058A47" w14:textId="77777777" w:rsidR="00EC1B82" w:rsidRPr="00EC1B82" w:rsidRDefault="00EC1B82" w:rsidP="00EC1B82">
      <w:pPr>
        <w:rPr>
          <w:rFonts w:cs="Arial"/>
        </w:rPr>
      </w:pPr>
    </w:p>
    <w:p w14:paraId="6496B522" w14:textId="77777777" w:rsidR="00EC1B82" w:rsidRPr="00EC1B82" w:rsidRDefault="00EC1B82" w:rsidP="00891298">
      <w:pPr>
        <w:pStyle w:val="ListParagraph"/>
        <w:numPr>
          <w:ilvl w:val="0"/>
          <w:numId w:val="44"/>
        </w:numPr>
        <w:rPr>
          <w:rFonts w:cs="Arial"/>
          <w:i/>
          <w:iCs/>
        </w:rPr>
      </w:pPr>
      <w:r w:rsidRPr="00EC1B82">
        <w:rPr>
          <w:rFonts w:cs="Arial"/>
          <w:i/>
          <w:iCs/>
        </w:rPr>
        <w:t>“Rated MMFs tend to invest almost exclusively in instruments rated by the CRA that also rates the MMF.”</w:t>
      </w:r>
    </w:p>
    <w:p w14:paraId="04AFD690" w14:textId="77777777" w:rsidR="00EC1B82" w:rsidRPr="00EC1B82" w:rsidRDefault="00EC1B82" w:rsidP="00EC1B82">
      <w:pPr>
        <w:rPr>
          <w:rFonts w:cs="Arial"/>
        </w:rPr>
      </w:pPr>
    </w:p>
    <w:p w14:paraId="68C6F36E" w14:textId="77777777" w:rsidR="00EC1B82" w:rsidRPr="00EC1B82" w:rsidRDefault="00EC1B82" w:rsidP="00EC1B82">
      <w:pPr>
        <w:rPr>
          <w:rFonts w:cs="Arial"/>
        </w:rPr>
      </w:pPr>
      <w:r w:rsidRPr="00EC1B82">
        <w:rPr>
          <w:rFonts w:cs="Arial"/>
        </w:rPr>
        <w:t>An assessment of underlying asset quality is essential for us be able to rate the MMF. However, where no Moody’s credit rating exists, we have a range of other tools to establish the creditworthiness of the underlying assets. It is not a requirement that all underlying assets to a Moody’s-rated MMF have to carry a Moody’s credit rating.</w:t>
      </w:r>
    </w:p>
    <w:p w14:paraId="3375A7BE" w14:textId="77777777" w:rsidR="00EC1B82" w:rsidRPr="00EC1B82" w:rsidRDefault="00EC1B82" w:rsidP="00EC1B82">
      <w:pPr>
        <w:rPr>
          <w:rFonts w:cs="Arial"/>
        </w:rPr>
      </w:pPr>
    </w:p>
    <w:p w14:paraId="43B0E343" w14:textId="77777777" w:rsidR="00EC1B82" w:rsidRPr="00EC1B82" w:rsidRDefault="00EC1B82" w:rsidP="00EC1B82">
      <w:pPr>
        <w:rPr>
          <w:rFonts w:cs="Arial"/>
        </w:rPr>
      </w:pPr>
    </w:p>
    <w:p w14:paraId="740B66DD" w14:textId="77777777" w:rsidR="00EC1B82" w:rsidRPr="00EC1B82" w:rsidRDefault="00EC1B82" w:rsidP="00EC1B82">
      <w:pPr>
        <w:rPr>
          <w:rFonts w:cs="Arial"/>
        </w:rPr>
      </w:pPr>
      <w:r w:rsidRPr="00EC1B82">
        <w:rPr>
          <w:rFonts w:cs="Arial"/>
        </w:rPr>
        <w:t>In summary, none of ESMA’s findings demonstrate how credit ratings and MMF ratings may have functioned as a source of vulnerability in the MMF market. It is not clear to us on what basis ESMA comes to the conclusion that “(g)</w:t>
      </w:r>
      <w:proofErr w:type="spellStart"/>
      <w:r w:rsidRPr="00EC1B82">
        <w:rPr>
          <w:rFonts w:cs="Arial"/>
        </w:rPr>
        <w:t>iven</w:t>
      </w:r>
      <w:proofErr w:type="spellEnd"/>
      <w:r w:rsidRPr="00EC1B82">
        <w:rPr>
          <w:rFonts w:cs="Arial"/>
        </w:rPr>
        <w:t xml:space="preserve"> the importance of CRAs and MMF ratings, any regulatory reform’s objectives may be unsettled in their application by how CRAs rate MMF”</w:t>
      </w:r>
      <w:r w:rsidRPr="00EC1B82">
        <w:rPr>
          <w:rStyle w:val="FootnoteReference"/>
          <w:rFonts w:cs="Arial"/>
        </w:rPr>
        <w:footnoteReference w:id="5"/>
      </w:r>
      <w:r w:rsidRPr="00EC1B82">
        <w:rPr>
          <w:rFonts w:cs="Arial"/>
        </w:rPr>
        <w:t xml:space="preserve">. Neither is it clear to us what alternative role and functioning of MMF ratings ESMA considers desirable. </w:t>
      </w:r>
    </w:p>
    <w:p w14:paraId="74763135" w14:textId="77777777" w:rsidR="00EC1B82" w:rsidRPr="00EC1B82" w:rsidRDefault="00EC1B82" w:rsidP="00EC1B82">
      <w:pPr>
        <w:rPr>
          <w:rFonts w:cs="Arial"/>
        </w:rPr>
      </w:pPr>
    </w:p>
    <w:p w14:paraId="754AA115" w14:textId="77777777" w:rsidR="00EC1B82" w:rsidRPr="00EC1B82" w:rsidRDefault="00EC1B82" w:rsidP="00EC1B82">
      <w:pPr>
        <w:rPr>
          <w:rFonts w:cs="Arial"/>
        </w:rPr>
      </w:pPr>
      <w:r w:rsidRPr="00EC1B82">
        <w:rPr>
          <w:rFonts w:cs="Arial"/>
        </w:rPr>
        <w:t xml:space="preserve">We believe that MMF ratings are likely to have played a stabilising role in the market, rather than a source of volatility. They provide investors with independent analysis and insight and can help investors to gain confidence in the desired high quality of the MMFs that they invest in. </w:t>
      </w:r>
    </w:p>
    <w:p w14:paraId="4B1292F2" w14:textId="77777777" w:rsidR="00EC1B82" w:rsidRPr="00EC1B82" w:rsidRDefault="00EC1B82" w:rsidP="00EC1B82">
      <w:pPr>
        <w:rPr>
          <w:rFonts w:cs="Arial"/>
        </w:rPr>
      </w:pPr>
    </w:p>
    <w:p w14:paraId="229C328B" w14:textId="77777777" w:rsidR="00EC1B82" w:rsidRPr="00EC1B82" w:rsidRDefault="00EC1B82" w:rsidP="00EC1B82">
      <w:pPr>
        <w:rPr>
          <w:rFonts w:cs="Arial"/>
        </w:rPr>
      </w:pPr>
      <w:r w:rsidRPr="00EC1B82">
        <w:rPr>
          <w:rFonts w:cs="Arial"/>
        </w:rPr>
        <w:t xml:space="preserve">We changed the industry outlook to negative from stable in March 2020 but did not downgrade any MMFs in the course of 2020. At the same time, we intensified our monitoring of rated funds and provided additional analysis and commentary on market developments, thereby helping investors to navigate the difficult market environment. </w:t>
      </w:r>
    </w:p>
    <w:p w14:paraId="5D4BD629" w14:textId="77777777" w:rsidR="00EC1B82" w:rsidRPr="00EC1B82" w:rsidRDefault="00EC1B82" w:rsidP="00EC1B82">
      <w:pPr>
        <w:rPr>
          <w:rFonts w:cs="Arial"/>
        </w:rPr>
      </w:pPr>
    </w:p>
    <w:p w14:paraId="4163D0AA" w14:textId="77777777" w:rsidR="00EC1B82" w:rsidRPr="00EC1B82" w:rsidRDefault="00EC1B82" w:rsidP="00891298">
      <w:pPr>
        <w:numPr>
          <w:ilvl w:val="0"/>
          <w:numId w:val="42"/>
        </w:numPr>
        <w:rPr>
          <w:rFonts w:cs="Arial"/>
          <w:b/>
          <w:bCs/>
        </w:rPr>
      </w:pPr>
      <w:r w:rsidRPr="00EC1B82">
        <w:rPr>
          <w:rFonts w:cs="Arial"/>
          <w:b/>
          <w:bCs/>
        </w:rPr>
        <w:t xml:space="preserve">The measures considered in respect of credit ratings and MMF ratings would not support the reform objective set out by ESMA. </w:t>
      </w:r>
    </w:p>
    <w:p w14:paraId="2D48E792" w14:textId="77777777" w:rsidR="00EC1B82" w:rsidRPr="00EC1B82" w:rsidRDefault="00EC1B82" w:rsidP="00EC1B82">
      <w:pPr>
        <w:rPr>
          <w:rFonts w:cs="Arial"/>
          <w:b/>
          <w:bCs/>
        </w:rPr>
      </w:pPr>
    </w:p>
    <w:p w14:paraId="60E88F66" w14:textId="77777777" w:rsidR="00EC1B82" w:rsidRPr="00EC1B82" w:rsidRDefault="00EC1B82" w:rsidP="00EC1B82">
      <w:pPr>
        <w:rPr>
          <w:rFonts w:cs="Arial"/>
        </w:rPr>
      </w:pPr>
      <w:r w:rsidRPr="00EC1B82">
        <w:rPr>
          <w:rFonts w:cs="Arial"/>
        </w:rPr>
        <w:lastRenderedPageBreak/>
        <w:t>ESMA’s declared objective for the review of the MMF Regulation is to make MMFs more resilient to stressed market conditions without the need of (implicit) central bank support and to reduce their contribution to the building up of risk in the financial system</w:t>
      </w:r>
      <w:r w:rsidRPr="00EC1B82">
        <w:rPr>
          <w:rStyle w:val="FootnoteReference"/>
          <w:rFonts w:cs="Arial"/>
        </w:rPr>
        <w:footnoteReference w:id="6"/>
      </w:r>
      <w:r w:rsidRPr="00EC1B82">
        <w:rPr>
          <w:rFonts w:cs="Arial"/>
        </w:rPr>
        <w:t xml:space="preserve">. ESMA does not demonstrate how amendments to the rules on MMF ratings, and specifically restrictions on MMF rating methodologies or the application of the CRA Regulation to MMF ratings, would support this objective. </w:t>
      </w:r>
    </w:p>
    <w:p w14:paraId="54D22135" w14:textId="77777777" w:rsidR="00EC1B82" w:rsidRPr="00EC1B82" w:rsidRDefault="00EC1B82" w:rsidP="00EC1B82">
      <w:pPr>
        <w:rPr>
          <w:rFonts w:cs="Arial"/>
          <w:color w:val="808080" w:themeColor="background1" w:themeShade="80"/>
        </w:rPr>
      </w:pPr>
    </w:p>
    <w:p w14:paraId="1C50D056" w14:textId="77777777" w:rsidR="00EC1B82" w:rsidRPr="00EC1B82" w:rsidRDefault="00EC1B82" w:rsidP="00891298">
      <w:pPr>
        <w:pStyle w:val="ListParagraph"/>
        <w:numPr>
          <w:ilvl w:val="0"/>
          <w:numId w:val="41"/>
        </w:numPr>
        <w:rPr>
          <w:rFonts w:cs="Arial"/>
          <w:i/>
          <w:iCs/>
        </w:rPr>
      </w:pPr>
      <w:r w:rsidRPr="00EC1B82">
        <w:rPr>
          <w:rFonts w:cs="Arial"/>
          <w:i/>
          <w:iCs/>
        </w:rPr>
        <w:t>Restrictions on MMF rating methodologies could undermine the independence of CRAs and the value that MMF ratings provide to the market</w:t>
      </w:r>
    </w:p>
    <w:p w14:paraId="6355442A" w14:textId="77777777" w:rsidR="00EC1B82" w:rsidRPr="00EC1B82" w:rsidRDefault="00EC1B82" w:rsidP="00EC1B82">
      <w:pPr>
        <w:pStyle w:val="ListParagraph"/>
        <w:ind w:left="1080"/>
        <w:rPr>
          <w:rFonts w:cs="Arial"/>
        </w:rPr>
      </w:pPr>
    </w:p>
    <w:p w14:paraId="5924DFB0" w14:textId="77777777" w:rsidR="00EC1B82" w:rsidRPr="00EC1B82" w:rsidRDefault="00EC1B82" w:rsidP="00EC1B82">
      <w:pPr>
        <w:pStyle w:val="ListParagraph"/>
        <w:ind w:left="1080"/>
        <w:rPr>
          <w:rFonts w:cs="Arial"/>
        </w:rPr>
      </w:pPr>
      <w:r w:rsidRPr="00EC1B82">
        <w:rPr>
          <w:rFonts w:cs="Arial"/>
        </w:rPr>
        <w:t>ESMA suggests possible restrictions in respect of MMF rating methodologies; for example in respect of the use of triggers in methodologies.</w:t>
      </w:r>
      <w:r w:rsidRPr="00EC1B82">
        <w:rPr>
          <w:rStyle w:val="FootnoteReference"/>
          <w:rFonts w:cs="Arial"/>
        </w:rPr>
        <w:footnoteReference w:id="7"/>
      </w:r>
    </w:p>
    <w:p w14:paraId="76A65A5F" w14:textId="77777777" w:rsidR="00EC1B82" w:rsidRPr="00EC1B82" w:rsidRDefault="00EC1B82" w:rsidP="00EC1B82">
      <w:pPr>
        <w:pStyle w:val="ListParagraph"/>
        <w:ind w:left="1080"/>
        <w:rPr>
          <w:rFonts w:cs="Arial"/>
        </w:rPr>
      </w:pPr>
    </w:p>
    <w:p w14:paraId="66E5DCE1" w14:textId="77777777" w:rsidR="00EC1B82" w:rsidRPr="00EC1B82" w:rsidRDefault="00EC1B82" w:rsidP="00EC1B82">
      <w:pPr>
        <w:pStyle w:val="ListParagraph"/>
        <w:ind w:left="1080"/>
        <w:rPr>
          <w:rFonts w:cs="Arial"/>
        </w:rPr>
      </w:pPr>
      <w:r w:rsidRPr="00EC1B82">
        <w:rPr>
          <w:rFonts w:cs="Arial"/>
        </w:rPr>
        <w:t xml:space="preserve">Ratings provide an independent third-party perspective and thus contribute to market transparency and investor confidence. Any restrictions on MMF methodologies would hamper CRAs in their ability to play this role and decrease, or be perceived to decrease, the informative value of MMF ratings to investors. For example, a restriction on CRAs to use triggers in their methodologies could lead investors to believe, rightly or wrongly, that a CRA may delay a downgrade that might otherwise have been indicated. Especially in times of market stress, this would contribute to a general sense of distrust and nervousness. </w:t>
      </w:r>
    </w:p>
    <w:p w14:paraId="1B579302" w14:textId="77777777" w:rsidR="00EC1B82" w:rsidRPr="00EC1B82" w:rsidRDefault="00EC1B82" w:rsidP="00EC1B82">
      <w:pPr>
        <w:pStyle w:val="ListParagraph"/>
        <w:ind w:left="1080"/>
        <w:rPr>
          <w:rFonts w:cs="Arial"/>
        </w:rPr>
      </w:pPr>
    </w:p>
    <w:p w14:paraId="09AF8374" w14:textId="77777777" w:rsidR="00EC1B82" w:rsidRPr="00EC1B82" w:rsidRDefault="00EC1B82" w:rsidP="00EC1B82">
      <w:pPr>
        <w:pStyle w:val="ListParagraph"/>
        <w:ind w:left="1080"/>
        <w:rPr>
          <w:rFonts w:cs="Arial"/>
        </w:rPr>
      </w:pPr>
      <w:r w:rsidRPr="00EC1B82">
        <w:rPr>
          <w:rFonts w:cs="Arial"/>
        </w:rPr>
        <w:t>Note that the CRA Regulation specifically forbids ESMA and any other public authorities from interfering with the content of credit ratings or methodologies</w:t>
      </w:r>
      <w:r w:rsidRPr="00EC1B82">
        <w:rPr>
          <w:rStyle w:val="FootnoteReference"/>
          <w:rFonts w:cs="Arial"/>
        </w:rPr>
        <w:footnoteReference w:id="8"/>
      </w:r>
      <w:r w:rsidRPr="00EC1B82">
        <w:rPr>
          <w:rFonts w:cs="Arial"/>
        </w:rPr>
        <w:t xml:space="preserve">. ESMA’s proposal to impose restrictions on MMF methodologies is therefore also inconsistent with its second proposal, to bring MMF ratings into the scope of the CRA Regulation. </w:t>
      </w:r>
    </w:p>
    <w:p w14:paraId="2D52B6CF" w14:textId="77777777" w:rsidR="00EC1B82" w:rsidRPr="00EC1B82" w:rsidRDefault="00EC1B82" w:rsidP="00EC1B82">
      <w:pPr>
        <w:pStyle w:val="ListParagraph"/>
        <w:ind w:left="1080"/>
        <w:rPr>
          <w:rFonts w:cs="Arial"/>
        </w:rPr>
      </w:pPr>
    </w:p>
    <w:p w14:paraId="593BE97B" w14:textId="77777777" w:rsidR="00EC1B82" w:rsidRPr="00EC1B82" w:rsidRDefault="00EC1B82" w:rsidP="00891298">
      <w:pPr>
        <w:pStyle w:val="ListParagraph"/>
        <w:numPr>
          <w:ilvl w:val="0"/>
          <w:numId w:val="41"/>
        </w:numPr>
        <w:rPr>
          <w:rFonts w:cs="Arial"/>
          <w:i/>
          <w:iCs/>
        </w:rPr>
      </w:pPr>
      <w:r w:rsidRPr="00EC1B82">
        <w:rPr>
          <w:rFonts w:cs="Arial"/>
          <w:i/>
          <w:iCs/>
        </w:rPr>
        <w:t>Including MMF ratings in the scope of the CRA Regulation would fundamentally blur the definition of “credit rating” in the CRA Regulation</w:t>
      </w:r>
    </w:p>
    <w:p w14:paraId="6A78FC0E" w14:textId="77777777" w:rsidR="00EC1B82" w:rsidRPr="00EC1B82" w:rsidRDefault="00EC1B82" w:rsidP="00EC1B82">
      <w:pPr>
        <w:pStyle w:val="ListParagraph"/>
        <w:ind w:left="1080"/>
        <w:rPr>
          <w:rFonts w:cs="Arial"/>
        </w:rPr>
      </w:pPr>
      <w:r w:rsidRPr="00EC1B82">
        <w:rPr>
          <w:rFonts w:cs="Arial"/>
        </w:rPr>
        <w:t xml:space="preserve"> </w:t>
      </w:r>
    </w:p>
    <w:p w14:paraId="3E6AA643" w14:textId="77777777" w:rsidR="00EC1B82" w:rsidRPr="00EC1B82" w:rsidRDefault="00EC1B82" w:rsidP="00EC1B82">
      <w:pPr>
        <w:pStyle w:val="ListParagraph"/>
        <w:ind w:left="1080"/>
        <w:rPr>
          <w:rFonts w:cs="Arial"/>
        </w:rPr>
      </w:pPr>
      <w:r w:rsidRPr="00EC1B82">
        <w:rPr>
          <w:rFonts w:cs="Arial"/>
        </w:rPr>
        <w:t>ESMA furthermore suggests that MMF ratings may be put under the regulatory framework used for credit ratings (i.e. the CRA Regulation) in order to ensure that they are subject to minimum standards</w:t>
      </w:r>
      <w:r w:rsidRPr="00EC1B82">
        <w:rPr>
          <w:rStyle w:val="FootnoteReference"/>
          <w:rFonts w:cs="Arial"/>
        </w:rPr>
        <w:t xml:space="preserve"> </w:t>
      </w:r>
      <w:r w:rsidRPr="00EC1B82">
        <w:rPr>
          <w:rStyle w:val="FootnoteReference"/>
          <w:rFonts w:cs="Arial"/>
        </w:rPr>
        <w:footnoteReference w:id="9"/>
      </w:r>
      <w:r w:rsidRPr="00EC1B82">
        <w:rPr>
          <w:rFonts w:cs="Arial"/>
        </w:rPr>
        <w:t>. ESMA provides no evidence that regulatory intervention is needed to raise the standard of MMF ratings.</w:t>
      </w:r>
    </w:p>
    <w:p w14:paraId="1C7937E0" w14:textId="77777777" w:rsidR="00EC1B82" w:rsidRPr="00EC1B82" w:rsidRDefault="00EC1B82" w:rsidP="00EC1B82">
      <w:pPr>
        <w:ind w:left="1080"/>
        <w:rPr>
          <w:rFonts w:cs="Arial"/>
        </w:rPr>
      </w:pPr>
    </w:p>
    <w:p w14:paraId="7161568D" w14:textId="77777777" w:rsidR="00EC1B82" w:rsidRPr="00EC1B82" w:rsidRDefault="00EC1B82" w:rsidP="00EC1B82">
      <w:pPr>
        <w:ind w:left="1080"/>
        <w:rPr>
          <w:rFonts w:cs="Arial"/>
        </w:rPr>
      </w:pPr>
      <w:r w:rsidRPr="00EC1B82">
        <w:rPr>
          <w:rFonts w:cs="Arial"/>
        </w:rPr>
        <w:t>We agree with ESMA’s suggestion that the header of Article 26 could be amended to read “MMFs and Credit Ratings” rather than “MMF Credit ratings”, in order to avoid a reading that implies that MMF ratings are necessarily credit ratings.</w:t>
      </w:r>
      <w:r w:rsidRPr="00EC1B82">
        <w:rPr>
          <w:rStyle w:val="FootnoteReference"/>
          <w:rFonts w:cs="Arial"/>
        </w:rPr>
        <w:footnoteReference w:id="10"/>
      </w:r>
      <w:r w:rsidRPr="00EC1B82">
        <w:rPr>
          <w:rStyle w:val="FootnoteReference"/>
          <w:rFonts w:cs="Arial"/>
        </w:rPr>
        <w:t xml:space="preserve"> </w:t>
      </w:r>
      <w:r w:rsidRPr="00EC1B82">
        <w:rPr>
          <w:rFonts w:cs="Arial"/>
        </w:rPr>
        <w:t>Alternatively, we suggest that the provision could be deleted altogether. As ESMA demonstrates</w:t>
      </w:r>
      <w:r w:rsidRPr="00EC1B82">
        <w:rPr>
          <w:rStyle w:val="FootnoteReference"/>
          <w:rFonts w:cs="Arial"/>
        </w:rPr>
        <w:footnoteReference w:id="11"/>
      </w:r>
      <w:r w:rsidRPr="00EC1B82">
        <w:rPr>
          <w:rFonts w:cs="Arial"/>
        </w:rPr>
        <w:t xml:space="preserve">, the provisions set out in Article 26 confirm requirements that already stem from other sources of applicable legislation. </w:t>
      </w:r>
    </w:p>
    <w:p w14:paraId="3E4258AF" w14:textId="77777777" w:rsidR="00EC1B82" w:rsidRPr="00EC1B82" w:rsidRDefault="00EC1B82" w:rsidP="00EC1B82">
      <w:pPr>
        <w:rPr>
          <w:rFonts w:cs="Arial"/>
        </w:rPr>
      </w:pPr>
    </w:p>
    <w:p w14:paraId="1250F5FD" w14:textId="77777777" w:rsidR="00EC1B82" w:rsidRPr="00EC1B82" w:rsidRDefault="00EC1B82" w:rsidP="00EC1B82">
      <w:pPr>
        <w:ind w:left="1080"/>
        <w:rPr>
          <w:rFonts w:cs="Arial"/>
        </w:rPr>
      </w:pPr>
      <w:r w:rsidRPr="00EC1B82">
        <w:rPr>
          <w:rFonts w:cs="Arial"/>
        </w:rPr>
        <w:t>By contrast, a decision to extend the CRA Regulation to MMF ratings would fundamentally blur the definition of “credit rating” in the CRA Regulation, which is currently conceived to speak specifically to creditworthiness</w:t>
      </w:r>
      <w:r w:rsidRPr="00EC1B82">
        <w:rPr>
          <w:rStyle w:val="FootnoteReference"/>
          <w:rFonts w:cs="Arial"/>
        </w:rPr>
        <w:footnoteReference w:id="12"/>
      </w:r>
      <w:r w:rsidRPr="00EC1B82">
        <w:rPr>
          <w:rFonts w:cs="Arial"/>
        </w:rPr>
        <w:t>. To illustrate, while Moody’s credit ratings speak only to creditworthiness, Moody’s MMF ratings speak to a wider range of criteria including among others the liquidity profile of the fund’s assets relative to the fund’s investor base, the assets’ susceptibility to market risk and the management characteristics of the fund.</w:t>
      </w:r>
      <w:r w:rsidRPr="00EC1B82">
        <w:rPr>
          <w:rStyle w:val="FootnoteReference"/>
          <w:rFonts w:cs="Arial"/>
        </w:rPr>
        <w:footnoteReference w:id="13"/>
      </w:r>
    </w:p>
    <w:p w14:paraId="46F9982B" w14:textId="77777777" w:rsidR="00EC1B82" w:rsidRPr="00EC1B82" w:rsidRDefault="00EC1B82" w:rsidP="00EC1B82">
      <w:pPr>
        <w:ind w:left="1080"/>
        <w:rPr>
          <w:rFonts w:cs="Arial"/>
        </w:rPr>
      </w:pPr>
    </w:p>
    <w:p w14:paraId="704F785E" w14:textId="77777777" w:rsidR="00EC1B82" w:rsidRPr="00EC1B82" w:rsidRDefault="00EC1B82" w:rsidP="00EC1B82">
      <w:pPr>
        <w:ind w:left="1080"/>
        <w:rPr>
          <w:rFonts w:cs="Arial"/>
        </w:rPr>
      </w:pPr>
      <w:r w:rsidRPr="00EC1B82">
        <w:rPr>
          <w:rFonts w:cs="Arial"/>
        </w:rPr>
        <w:t>Conceptually, applying the CRA Regulation to MMF ratings would therefore open the door to capturing any other type of “rating”, whether provided by CRAs or by other types of risk assessment firm.</w:t>
      </w:r>
      <w:r w:rsidRPr="00EC1B82">
        <w:rPr>
          <w:rStyle w:val="FootnoteReference"/>
          <w:rFonts w:cs="Arial"/>
        </w:rPr>
        <w:footnoteReference w:id="14"/>
      </w:r>
      <w:r w:rsidRPr="00EC1B82">
        <w:rPr>
          <w:rFonts w:cs="Arial"/>
        </w:rPr>
        <w:t xml:space="preserve"> No case has been made to support the need for an extension of the CRA Regulation beyond credit ratings or to demonstrate the relevance and appropriateness of the CRA Regulation to MMF ratings or other types of non-credit rating products. </w:t>
      </w:r>
    </w:p>
    <w:p w14:paraId="33C9AAAE" w14:textId="77777777" w:rsidR="00EC1B82" w:rsidRPr="00EC1B82" w:rsidRDefault="00EC1B82" w:rsidP="00EC1B82">
      <w:pPr>
        <w:rPr>
          <w:rFonts w:cs="Arial"/>
          <w:color w:val="808080" w:themeColor="background1" w:themeShade="80"/>
        </w:rPr>
      </w:pPr>
    </w:p>
    <w:p w14:paraId="5AA5AADA" w14:textId="77777777" w:rsidR="00EC1B82" w:rsidRPr="00EC1B82" w:rsidRDefault="00EC1B82" w:rsidP="00891298">
      <w:pPr>
        <w:pStyle w:val="ListParagraph"/>
        <w:numPr>
          <w:ilvl w:val="0"/>
          <w:numId w:val="42"/>
        </w:numPr>
        <w:rPr>
          <w:rFonts w:cs="Arial"/>
          <w:b/>
          <w:bCs/>
        </w:rPr>
      </w:pPr>
      <w:r w:rsidRPr="00EC1B82">
        <w:rPr>
          <w:rFonts w:cs="Arial"/>
          <w:b/>
          <w:bCs/>
        </w:rPr>
        <w:t>Market resilience is best served by an approach that allows and encourages a range of third-party opinions, including but not limited to MMF ratings.</w:t>
      </w:r>
    </w:p>
    <w:p w14:paraId="20985EA4" w14:textId="77777777" w:rsidR="00EC1B82" w:rsidRPr="00EC1B82" w:rsidRDefault="00EC1B82" w:rsidP="00EC1B82">
      <w:pPr>
        <w:pStyle w:val="ListParagraph"/>
        <w:rPr>
          <w:rFonts w:cs="Arial"/>
          <w:b/>
          <w:bCs/>
        </w:rPr>
      </w:pPr>
    </w:p>
    <w:p w14:paraId="10736D35" w14:textId="77777777" w:rsidR="00EC1B82" w:rsidRPr="00EC1B82" w:rsidRDefault="00EC1B82" w:rsidP="00EC1B82">
      <w:pPr>
        <w:rPr>
          <w:rFonts w:cs="Arial"/>
        </w:rPr>
      </w:pPr>
      <w:r w:rsidRPr="00EC1B82">
        <w:rPr>
          <w:rFonts w:cs="Arial"/>
        </w:rPr>
        <w:t xml:space="preserve">Previous discussions on the role of MMF ratings have focused on the risk of investor over-reliance. We agree with a potential concern that MMF ratings should provide a mere source of opinion and analysis to the market and should not be used as sole and mechanistic triggers for investment decisions. </w:t>
      </w:r>
    </w:p>
    <w:p w14:paraId="37314380" w14:textId="77777777" w:rsidR="00EC1B82" w:rsidRPr="00EC1B82" w:rsidRDefault="00EC1B82" w:rsidP="00EC1B82">
      <w:pPr>
        <w:ind w:left="720"/>
        <w:rPr>
          <w:rFonts w:cs="Arial"/>
        </w:rPr>
      </w:pPr>
    </w:p>
    <w:p w14:paraId="3EC00E6D" w14:textId="19C205F9" w:rsidR="00B327E9" w:rsidRPr="00EC1B82" w:rsidRDefault="00EC1B82" w:rsidP="00EC1B82">
      <w:pPr>
        <w:rPr>
          <w:rFonts w:cs="Arial"/>
        </w:rPr>
      </w:pPr>
      <w:r w:rsidRPr="00EC1B82">
        <w:rPr>
          <w:rFonts w:cs="Arial"/>
        </w:rPr>
        <w:t>To the extent that there are remaining concerns about a potential impact on the market from rating downgrades, we suggest that ESMA’s identified objective for the review of the MMF Regulation is best supported by an approach that promotes investor choice and flexibility at times of market stress. This can be done by encouraging investors to use a range of analytical tools to inform their decisions, including but not limited to MMF ratings.</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8"/>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658B208F" w14:textId="77777777" w:rsidR="00EC1B82" w:rsidRPr="003D6389" w:rsidRDefault="00EC1B82" w:rsidP="003B3DC9">
      <w:pPr>
        <w:rPr>
          <w:rFonts w:cs="Arial"/>
          <w:szCs w:val="20"/>
          <w:highlight w:val="yellow"/>
        </w:rPr>
      </w:pPr>
      <w:permStart w:id="1576605906" w:edGrp="everyone"/>
      <w:r w:rsidRPr="003D6389">
        <w:rPr>
          <w:rFonts w:cs="Arial"/>
          <w:szCs w:val="20"/>
          <w:highlight w:val="yellow"/>
        </w:rPr>
        <w:t xml:space="preserve">We do not agree with the identification of the role of CRAs as a source of vulnerability of MMFs and believe that ESMA’s analysis does not support this claim, or demonstrate in what way MMF ratings and the use of credit ratings by MMFs may have harmed the market. </w:t>
      </w:r>
    </w:p>
    <w:p w14:paraId="256CFB0C" w14:textId="77777777" w:rsidR="00EC1B82" w:rsidRPr="003D6389" w:rsidRDefault="00EC1B82" w:rsidP="003B3DC9">
      <w:pPr>
        <w:rPr>
          <w:rFonts w:cs="Arial"/>
          <w:szCs w:val="20"/>
          <w:highlight w:val="yellow"/>
        </w:rPr>
      </w:pPr>
    </w:p>
    <w:p w14:paraId="60E7C0D1" w14:textId="77777777" w:rsidR="00EC1B82" w:rsidRPr="00D63705" w:rsidRDefault="00EC1B82" w:rsidP="003B3DC9">
      <w:pPr>
        <w:rPr>
          <w:rFonts w:cs="Arial"/>
          <w:szCs w:val="20"/>
          <w:highlight w:val="yellow"/>
        </w:rPr>
      </w:pPr>
      <w:r w:rsidRPr="003D6389">
        <w:rPr>
          <w:rFonts w:cs="Arial"/>
          <w:szCs w:val="20"/>
          <w:highlight w:val="yellow"/>
        </w:rPr>
        <w:t xml:space="preserve">In fact, </w:t>
      </w:r>
      <w:r w:rsidRPr="00D63705">
        <w:rPr>
          <w:rFonts w:cs="Arial"/>
          <w:szCs w:val="20"/>
          <w:highlight w:val="yellow"/>
        </w:rPr>
        <w:t xml:space="preserve">MMF ratings are likely to have played a stabilising role in the market, rather than a source of volatility. They provide investors with independent analysis and insight and can help investors to gain confidence in the desired high quality of the MMFs that they invest in. </w:t>
      </w:r>
    </w:p>
    <w:p w14:paraId="35DCFA60" w14:textId="77777777" w:rsidR="00EC1B82" w:rsidRPr="00D63705" w:rsidRDefault="00EC1B82" w:rsidP="003B3DC9">
      <w:pPr>
        <w:rPr>
          <w:rFonts w:cs="Arial"/>
          <w:szCs w:val="20"/>
          <w:highlight w:val="yellow"/>
        </w:rPr>
      </w:pPr>
    </w:p>
    <w:p w14:paraId="741FADC4" w14:textId="4390B2BE" w:rsidR="00492B3A" w:rsidRDefault="00EC1B82" w:rsidP="00492B3A">
      <w:r w:rsidRPr="00D63705">
        <w:rPr>
          <w:rFonts w:cs="Arial"/>
          <w:szCs w:val="20"/>
          <w:highlight w:val="yellow"/>
        </w:rPr>
        <w:t>We changed the industry outlook to negative from stable in March 2020 but did not downgrade any MMFs in the course of 2020. At the same time, we intensified our monitoring of rated funds and provided additional analysis and commentary on market developments, thereby helping investors to navigate the difficult market environment.</w:t>
      </w:r>
      <w:permEnd w:id="1576605906"/>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009465B9" w14:textId="77777777" w:rsidR="00EC1B82" w:rsidRPr="003D6389" w:rsidRDefault="00EC1B82" w:rsidP="003B3DC9">
      <w:pPr>
        <w:rPr>
          <w:rFonts w:cs="Arial"/>
          <w:szCs w:val="20"/>
          <w:highlight w:val="yellow"/>
        </w:rPr>
      </w:pPr>
      <w:permStart w:id="1123047147" w:edGrp="everyone"/>
      <w:r w:rsidRPr="003D6389">
        <w:rPr>
          <w:rFonts w:cs="Arial"/>
          <w:szCs w:val="20"/>
          <w:highlight w:val="yellow"/>
        </w:rPr>
        <w:t xml:space="preserve">We do not agree with ESMA’s proposal </w:t>
      </w:r>
      <w:r>
        <w:rPr>
          <w:rFonts w:cs="Arial"/>
          <w:szCs w:val="20"/>
          <w:highlight w:val="yellow"/>
        </w:rPr>
        <w:t>to</w:t>
      </w:r>
      <w:r w:rsidRPr="003D6389">
        <w:rPr>
          <w:rFonts w:cs="Arial"/>
          <w:szCs w:val="20"/>
          <w:highlight w:val="yellow"/>
        </w:rPr>
        <w:t xml:space="preserve"> amend/ specify the rules on ratings of MMFs, to the extent that this would take the form of imposing restrictions on MMF methodologies or bringing MMF ratings into the scope of the CRA Regulation as suggested earlier in the Consultation Report.</w:t>
      </w:r>
      <w:r w:rsidRPr="003D6389">
        <w:rPr>
          <w:rFonts w:cs="Arial"/>
          <w:szCs w:val="20"/>
        </w:rPr>
        <w:t xml:space="preserve"> </w:t>
      </w:r>
    </w:p>
    <w:p w14:paraId="580F1750" w14:textId="77777777" w:rsidR="00EC1B82" w:rsidRPr="003D6389" w:rsidRDefault="00EC1B82" w:rsidP="003B3DC9">
      <w:pPr>
        <w:rPr>
          <w:rFonts w:cs="Arial"/>
          <w:szCs w:val="20"/>
          <w:highlight w:val="yellow"/>
        </w:rPr>
      </w:pPr>
    </w:p>
    <w:p w14:paraId="44FF98FF" w14:textId="197152DD" w:rsidR="00EC1B82" w:rsidRDefault="00EC1B82" w:rsidP="00492B3A">
      <w:pPr>
        <w:rPr>
          <w:rFonts w:cs="Arial"/>
          <w:szCs w:val="20"/>
          <w:highlight w:val="yellow"/>
        </w:rPr>
      </w:pPr>
      <w:r w:rsidRPr="00945877">
        <w:rPr>
          <w:rFonts w:cs="Arial"/>
          <w:szCs w:val="20"/>
          <w:highlight w:val="yellow"/>
        </w:rPr>
        <w:t>It is not clear to us how either of these options would support ESMA’s broader reform objective, of making MMFs more resilient to stressed market conditions without the need of (implicit) central bank support and to reduce their contribution to the building up of risk in the financial system</w:t>
      </w:r>
      <w:r>
        <w:rPr>
          <w:rFonts w:cs="Arial"/>
          <w:szCs w:val="20"/>
          <w:highlight w:val="yellow"/>
        </w:rPr>
        <w:t>.</w:t>
      </w:r>
    </w:p>
    <w:p w14:paraId="1C9D4063" w14:textId="77777777" w:rsidR="00EC1B82" w:rsidRPr="00EC1B82" w:rsidRDefault="00EC1B82" w:rsidP="003B3DC9">
      <w:pPr>
        <w:rPr>
          <w:rFonts w:cs="Arial"/>
          <w:color w:val="808080" w:themeColor="background1" w:themeShade="80"/>
        </w:rPr>
      </w:pPr>
    </w:p>
    <w:p w14:paraId="57BBCFF5" w14:textId="77777777" w:rsidR="00EC1B82" w:rsidRPr="00EC1B82" w:rsidRDefault="00EC1B82" w:rsidP="00891298">
      <w:pPr>
        <w:pStyle w:val="ListParagraph"/>
        <w:numPr>
          <w:ilvl w:val="0"/>
          <w:numId w:val="45"/>
        </w:numPr>
        <w:rPr>
          <w:rFonts w:cs="Arial"/>
          <w:i/>
          <w:iCs/>
        </w:rPr>
      </w:pPr>
      <w:r w:rsidRPr="00EC1B82">
        <w:rPr>
          <w:rFonts w:cs="Arial"/>
          <w:i/>
          <w:iCs/>
        </w:rPr>
        <w:t>Restrictions on MMF rating methodologies could undermine the independence of CRAs and the value that MMF ratings provide to the market</w:t>
      </w:r>
    </w:p>
    <w:p w14:paraId="5B25DA78" w14:textId="77777777" w:rsidR="00EC1B82" w:rsidRPr="00EC1B82" w:rsidRDefault="00EC1B82" w:rsidP="003B3DC9">
      <w:pPr>
        <w:pStyle w:val="ListParagraph"/>
        <w:ind w:left="1080"/>
        <w:rPr>
          <w:rFonts w:cs="Arial"/>
        </w:rPr>
      </w:pPr>
    </w:p>
    <w:p w14:paraId="563B2015" w14:textId="77777777" w:rsidR="00EC1B82" w:rsidRPr="00EC1B82" w:rsidRDefault="00EC1B82" w:rsidP="003B3DC9">
      <w:pPr>
        <w:pStyle w:val="ListParagraph"/>
        <w:ind w:left="1080"/>
        <w:rPr>
          <w:rFonts w:cs="Arial"/>
        </w:rPr>
      </w:pPr>
      <w:r w:rsidRPr="00EC1B82">
        <w:rPr>
          <w:rFonts w:cs="Arial"/>
        </w:rPr>
        <w:t>ESMA suggests possible restrictions in respect of MMF rating methodologies; for example in respect of the use of triggers in methodologies.</w:t>
      </w:r>
      <w:r w:rsidRPr="00EC1B82">
        <w:rPr>
          <w:rStyle w:val="FootnoteReference"/>
          <w:rFonts w:cs="Arial"/>
        </w:rPr>
        <w:footnoteReference w:id="15"/>
      </w:r>
    </w:p>
    <w:p w14:paraId="354AB473" w14:textId="77777777" w:rsidR="00EC1B82" w:rsidRPr="00EC1B82" w:rsidRDefault="00EC1B82" w:rsidP="003B3DC9">
      <w:pPr>
        <w:pStyle w:val="ListParagraph"/>
        <w:ind w:left="1080"/>
        <w:rPr>
          <w:rFonts w:cs="Arial"/>
        </w:rPr>
      </w:pPr>
    </w:p>
    <w:p w14:paraId="0DF96C0F" w14:textId="77777777" w:rsidR="00EC1B82" w:rsidRPr="00EC1B82" w:rsidRDefault="00EC1B82" w:rsidP="003B3DC9">
      <w:pPr>
        <w:pStyle w:val="ListParagraph"/>
        <w:ind w:left="1080"/>
        <w:rPr>
          <w:rFonts w:cs="Arial"/>
        </w:rPr>
      </w:pPr>
      <w:r w:rsidRPr="00EC1B82">
        <w:rPr>
          <w:rFonts w:cs="Arial"/>
        </w:rPr>
        <w:t xml:space="preserve">Ratings provide an independent third-party perspective and thus contribute to market transparency and investor confidence. Any restrictions on MMF methodologies would hamper CRAs in their ability to play this role and decrease, or be perceived to decrease, the informative value of MMF ratings to investors. For example, a restriction on CRAs to use triggers in their methodologies could lead investors to believe, rightly or wrongly, that a CRA may delay a downgrade that might otherwise have been indicated. Especially in times of market stress, this would contribute to a general sense of distrust and nervousness. </w:t>
      </w:r>
    </w:p>
    <w:p w14:paraId="34B32B7B" w14:textId="77777777" w:rsidR="00EC1B82" w:rsidRPr="00EC1B82" w:rsidRDefault="00EC1B82" w:rsidP="003B3DC9">
      <w:pPr>
        <w:pStyle w:val="ListParagraph"/>
        <w:ind w:left="1080"/>
        <w:rPr>
          <w:rFonts w:cs="Arial"/>
        </w:rPr>
      </w:pPr>
    </w:p>
    <w:p w14:paraId="5897D1B8" w14:textId="77777777" w:rsidR="00EC1B82" w:rsidRPr="00EC1B82" w:rsidRDefault="00EC1B82" w:rsidP="003B3DC9">
      <w:pPr>
        <w:pStyle w:val="ListParagraph"/>
        <w:ind w:left="1080"/>
        <w:rPr>
          <w:rFonts w:cs="Arial"/>
        </w:rPr>
      </w:pPr>
      <w:r w:rsidRPr="00EC1B82">
        <w:rPr>
          <w:rFonts w:cs="Arial"/>
        </w:rPr>
        <w:lastRenderedPageBreak/>
        <w:t>Note that the CRA Regulation specifically forbids ESMA and any other public authorities from interfering with the content of credit ratings or methodologies</w:t>
      </w:r>
      <w:r w:rsidRPr="00EC1B82">
        <w:rPr>
          <w:rStyle w:val="FootnoteReference"/>
          <w:rFonts w:cs="Arial"/>
        </w:rPr>
        <w:footnoteReference w:id="16"/>
      </w:r>
      <w:r w:rsidRPr="00EC1B82">
        <w:rPr>
          <w:rFonts w:cs="Arial"/>
        </w:rPr>
        <w:t xml:space="preserve">. ESMA’s proposal to impose restrictions on MMF methodologies is therefore also inconsistent with its second proposal, to bring MMF ratings into the scope of the CRA Regulation. </w:t>
      </w:r>
    </w:p>
    <w:p w14:paraId="535556FC" w14:textId="77777777" w:rsidR="00EC1B82" w:rsidRPr="00EC1B82" w:rsidRDefault="00EC1B82" w:rsidP="003B3DC9">
      <w:pPr>
        <w:pStyle w:val="ListParagraph"/>
        <w:ind w:left="1080"/>
        <w:rPr>
          <w:rFonts w:cs="Arial"/>
        </w:rPr>
      </w:pPr>
    </w:p>
    <w:p w14:paraId="0BF6E4E8" w14:textId="77777777" w:rsidR="00EC1B82" w:rsidRPr="00EC1B82" w:rsidRDefault="00EC1B82" w:rsidP="00891298">
      <w:pPr>
        <w:pStyle w:val="ListParagraph"/>
        <w:numPr>
          <w:ilvl w:val="0"/>
          <w:numId w:val="45"/>
        </w:numPr>
        <w:rPr>
          <w:rFonts w:cs="Arial"/>
          <w:i/>
          <w:iCs/>
        </w:rPr>
      </w:pPr>
      <w:r w:rsidRPr="00EC1B82">
        <w:rPr>
          <w:rFonts w:cs="Arial"/>
          <w:i/>
          <w:iCs/>
        </w:rPr>
        <w:t>Including MMF ratings in the scope of the CRA Regulation would fundamentally blur the definition of “credit rating” in the CRA Regulation</w:t>
      </w:r>
    </w:p>
    <w:p w14:paraId="19B84637" w14:textId="77777777" w:rsidR="00EC1B82" w:rsidRPr="00EC1B82" w:rsidRDefault="00EC1B82" w:rsidP="003B3DC9">
      <w:pPr>
        <w:pStyle w:val="ListParagraph"/>
        <w:ind w:left="1080"/>
        <w:rPr>
          <w:rFonts w:cs="Arial"/>
        </w:rPr>
      </w:pPr>
      <w:r w:rsidRPr="00EC1B82">
        <w:rPr>
          <w:rFonts w:cs="Arial"/>
        </w:rPr>
        <w:t xml:space="preserve"> </w:t>
      </w:r>
    </w:p>
    <w:p w14:paraId="4D6A6CB8" w14:textId="77777777" w:rsidR="00EC1B82" w:rsidRPr="00EC1B82" w:rsidRDefault="00EC1B82" w:rsidP="003B3DC9">
      <w:pPr>
        <w:pStyle w:val="ListParagraph"/>
        <w:ind w:left="1080"/>
        <w:rPr>
          <w:rFonts w:cs="Arial"/>
        </w:rPr>
      </w:pPr>
      <w:r w:rsidRPr="00EC1B82">
        <w:rPr>
          <w:rFonts w:cs="Arial"/>
        </w:rPr>
        <w:t>ESMA furthermore suggests that MMF ratings may be put under the regulatory framework used for credit ratings (i.e. the CRA Regulation) in order to ensure that they are subject to minimum standards</w:t>
      </w:r>
      <w:r w:rsidRPr="00EC1B82">
        <w:rPr>
          <w:rStyle w:val="FootnoteReference"/>
          <w:rFonts w:cs="Arial"/>
        </w:rPr>
        <w:t xml:space="preserve"> </w:t>
      </w:r>
      <w:r w:rsidRPr="00EC1B82">
        <w:rPr>
          <w:rStyle w:val="FootnoteReference"/>
          <w:rFonts w:cs="Arial"/>
        </w:rPr>
        <w:footnoteReference w:id="17"/>
      </w:r>
      <w:r w:rsidRPr="00EC1B82">
        <w:rPr>
          <w:rFonts w:cs="Arial"/>
        </w:rPr>
        <w:t>. ESMA provides no evidence that regulatory intervention is needed to raise the standard of MMF ratings.</w:t>
      </w:r>
    </w:p>
    <w:p w14:paraId="06D9A64A" w14:textId="77777777" w:rsidR="00EC1B82" w:rsidRPr="00EC1B82" w:rsidRDefault="00EC1B82" w:rsidP="003B3DC9">
      <w:pPr>
        <w:ind w:left="1080"/>
        <w:rPr>
          <w:rFonts w:cs="Arial"/>
        </w:rPr>
      </w:pPr>
    </w:p>
    <w:p w14:paraId="66CD1762" w14:textId="77777777" w:rsidR="00EC1B82" w:rsidRPr="00EC1B82" w:rsidRDefault="00EC1B82" w:rsidP="003B3DC9">
      <w:pPr>
        <w:ind w:left="1080"/>
        <w:rPr>
          <w:rFonts w:cs="Arial"/>
        </w:rPr>
      </w:pPr>
      <w:r w:rsidRPr="00EC1B82">
        <w:rPr>
          <w:rFonts w:cs="Arial"/>
        </w:rPr>
        <w:t>We agree with ESMA’s suggestion that the header of Article 26 could be amended to read “MMFs and Credit Ratings” rather than “MMF Credit ratings”, in order to avoid a reading that implies that MMF ratings are necessarily credit ratings.</w:t>
      </w:r>
      <w:r w:rsidRPr="00EC1B82">
        <w:rPr>
          <w:rStyle w:val="FootnoteReference"/>
          <w:rFonts w:cs="Arial"/>
        </w:rPr>
        <w:footnoteReference w:id="18"/>
      </w:r>
      <w:r w:rsidRPr="00EC1B82">
        <w:rPr>
          <w:rStyle w:val="FootnoteReference"/>
          <w:rFonts w:cs="Arial"/>
        </w:rPr>
        <w:t xml:space="preserve"> </w:t>
      </w:r>
      <w:r w:rsidRPr="00EC1B82">
        <w:rPr>
          <w:rFonts w:cs="Arial"/>
        </w:rPr>
        <w:t>Alternatively, we suggest that the provision could be deleted altogether. As ESMA demonstrates</w:t>
      </w:r>
      <w:r w:rsidRPr="00EC1B82">
        <w:rPr>
          <w:rStyle w:val="FootnoteReference"/>
          <w:rFonts w:cs="Arial"/>
        </w:rPr>
        <w:footnoteReference w:id="19"/>
      </w:r>
      <w:r w:rsidRPr="00EC1B82">
        <w:rPr>
          <w:rFonts w:cs="Arial"/>
        </w:rPr>
        <w:t xml:space="preserve">, the provisions set out in Article 26 confirm requirements that already stem from other sources of applicable legislation. </w:t>
      </w:r>
    </w:p>
    <w:p w14:paraId="6506F4C6" w14:textId="77777777" w:rsidR="00EC1B82" w:rsidRPr="00EC1B82" w:rsidRDefault="00EC1B82" w:rsidP="003B3DC9">
      <w:pPr>
        <w:rPr>
          <w:rFonts w:cs="Arial"/>
        </w:rPr>
      </w:pPr>
    </w:p>
    <w:p w14:paraId="56E93887" w14:textId="77777777" w:rsidR="00EC1B82" w:rsidRPr="00EC1B82" w:rsidRDefault="00EC1B82" w:rsidP="003B3DC9">
      <w:pPr>
        <w:ind w:left="1080"/>
        <w:rPr>
          <w:rFonts w:cs="Arial"/>
        </w:rPr>
      </w:pPr>
      <w:r w:rsidRPr="00EC1B82">
        <w:rPr>
          <w:rFonts w:cs="Arial"/>
        </w:rPr>
        <w:t>By contrast, a decision to extend the CRA Regulation to MMF ratings would fundamentally blur the definition of “credit rating” in the CRA Regulation, which is currently conceived to speak specifically to creditworthiness</w:t>
      </w:r>
      <w:r w:rsidRPr="00EC1B82">
        <w:rPr>
          <w:rStyle w:val="FootnoteReference"/>
          <w:rFonts w:cs="Arial"/>
        </w:rPr>
        <w:footnoteReference w:id="20"/>
      </w:r>
      <w:r w:rsidRPr="00EC1B82">
        <w:rPr>
          <w:rFonts w:cs="Arial"/>
        </w:rPr>
        <w:t>. To illustrate, while Moody’s credit ratings speak only to creditworthiness, Moody’s MMF ratings speak to a wider range of criteria including among others the liquidity profile of the fund’s assets relative to the fund’s investor base, the assets’ susceptibility to market risk and the management characteristics of the fund.</w:t>
      </w:r>
      <w:r w:rsidRPr="00EC1B82">
        <w:rPr>
          <w:rStyle w:val="FootnoteReference"/>
          <w:rFonts w:cs="Arial"/>
        </w:rPr>
        <w:footnoteReference w:id="21"/>
      </w:r>
    </w:p>
    <w:p w14:paraId="4C2A82C3" w14:textId="77777777" w:rsidR="00EC1B82" w:rsidRPr="00EC1B82" w:rsidRDefault="00EC1B82" w:rsidP="003B3DC9">
      <w:pPr>
        <w:ind w:left="1080"/>
        <w:rPr>
          <w:rFonts w:cs="Arial"/>
        </w:rPr>
      </w:pPr>
    </w:p>
    <w:p w14:paraId="741E001B" w14:textId="15E74603" w:rsidR="00492B3A" w:rsidRDefault="00EC1B82" w:rsidP="00492B3A">
      <w:r w:rsidRPr="00EC1B82">
        <w:rPr>
          <w:rFonts w:cs="Arial"/>
        </w:rPr>
        <w:t>Conceptually, applying the CRA Regulation to MMF ratings would therefore open the door to capturing any other type of “rating”, whether provided by CRAs or by other types of risk assessment firm.</w:t>
      </w:r>
      <w:r w:rsidRPr="00EC1B82">
        <w:rPr>
          <w:rStyle w:val="FootnoteReference"/>
          <w:rFonts w:cs="Arial"/>
        </w:rPr>
        <w:footnoteReference w:id="22"/>
      </w:r>
      <w:r w:rsidRPr="00EC1B82">
        <w:rPr>
          <w:rFonts w:cs="Arial"/>
        </w:rPr>
        <w:t xml:space="preserve"> No case has been made to support the need for an extension of the CRA Regulation beyond credit ratings or to demonstrate the relevance and appropriateness of the CRA Regulation to MMF ratings or other types of non-credit rating products</w:t>
      </w:r>
      <w:r w:rsidRPr="00945877">
        <w:rPr>
          <w:rFonts w:cs="Arial"/>
          <w:szCs w:val="20"/>
          <w:highlight w:val="yellow"/>
        </w:rPr>
        <w:t>.</w:t>
      </w:r>
      <w:permEnd w:id="1123047147"/>
      <w:r w:rsidR="00492B3A">
        <w:t>&lt;ESMA_QUESTION_</w:t>
      </w:r>
      <w:r w:rsidR="00DC1B3F">
        <w:t>MMFR</w:t>
      </w:r>
      <w:r w:rsidR="00492B3A">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6FD778B3" w14:textId="77777777" w:rsidR="00492B3A" w:rsidRDefault="00492B3A" w:rsidP="00492B3A">
      <w:permStart w:id="1823616926" w:edGrp="everyone"/>
      <w:r>
        <w:t>TYPE YOUR TEXT HERE</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 xml:space="preserve">require MMFs to use swing pricing and / or ADL / liquidity fees and the corresponding proposal of amendment of the MMF </w:t>
      </w:r>
      <w:r w:rsidRPr="00F43E30">
        <w:rPr>
          <w:lang w:val="en-US"/>
        </w:rPr>
        <w:lastRenderedPageBreak/>
        <w:t>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975BC77" w14:textId="77777777" w:rsidR="00492B3A" w:rsidRDefault="00492B3A" w:rsidP="00492B3A">
      <w:permStart w:id="910372547" w:edGrp="everyone"/>
      <w:r>
        <w:t>TYPE YOUR TEXT HERE</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709F0B8A" w14:textId="77777777" w:rsidR="00492B3A" w:rsidRDefault="00492B3A" w:rsidP="00492B3A">
      <w:permStart w:id="1454397300" w:edGrp="everyone"/>
      <w:r>
        <w:t>TYPE YOUR TEXT HERE</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DC42D59" w14:textId="77777777" w:rsidR="00492B3A" w:rsidRDefault="00492B3A" w:rsidP="00492B3A">
      <w:permStart w:id="164587406" w:edGrp="everyone"/>
      <w:r>
        <w:t>TYPE YOUR TEXT HERE</w:t>
      </w: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77777777" w:rsidR="00492B3A" w:rsidRDefault="00492B3A" w:rsidP="00492B3A">
      <w:permStart w:id="1191210126" w:edGrp="everyone"/>
      <w:r>
        <w:t>TYPE YOUR TEXT HERE</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72B4AC2D" w14:textId="44392ED2" w:rsidR="001E74B6" w:rsidRPr="00523DC0" w:rsidRDefault="00523DC0" w:rsidP="00523DC0">
      <w:pPr>
        <w:ind w:left="360"/>
        <w:rPr>
          <w:rFonts w:cs="Arial"/>
          <w:szCs w:val="20"/>
        </w:rPr>
      </w:pPr>
      <w:permStart w:id="21103909" w:edGrp="everyone"/>
      <w:proofErr w:type="spellStart"/>
      <w:r w:rsidRPr="00523DC0">
        <w:rPr>
          <w:rFonts w:cs="Arial"/>
          <w:szCs w:val="20"/>
        </w:rPr>
        <w:lastRenderedPageBreak/>
        <w:t>i</w:t>
      </w:r>
      <w:proofErr w:type="spellEnd"/>
      <w:r w:rsidRPr="00523DC0">
        <w:rPr>
          <w:rFonts w:cs="Arial"/>
          <w:szCs w:val="20"/>
        </w:rPr>
        <w:t xml:space="preserve">) </w:t>
      </w:r>
      <w:r w:rsidR="001E74B6" w:rsidRPr="00523DC0">
        <w:rPr>
          <w:rFonts w:cs="Arial"/>
          <w:szCs w:val="20"/>
        </w:rPr>
        <w:t xml:space="preserve">We do not agree and do not believe that ESMA has demonstrated any problems in respect of MMF ratings, or how it believes that credit ratings or MMF ratings may have contributed to the difficulties faced by MMFs in March 2020. </w:t>
      </w:r>
    </w:p>
    <w:p w14:paraId="183E365B" w14:textId="77777777" w:rsidR="001E74B6" w:rsidRPr="001E74B6" w:rsidRDefault="001E74B6" w:rsidP="001E74B6">
      <w:pPr>
        <w:pStyle w:val="ListParagraph"/>
        <w:ind w:left="1080"/>
        <w:rPr>
          <w:rFonts w:cs="Arial"/>
          <w:szCs w:val="20"/>
        </w:rPr>
      </w:pPr>
    </w:p>
    <w:p w14:paraId="25B80C37" w14:textId="77777777" w:rsidR="001E74B6" w:rsidRPr="00523DC0" w:rsidRDefault="001E74B6" w:rsidP="00523DC0">
      <w:pPr>
        <w:ind w:left="360"/>
        <w:rPr>
          <w:rFonts w:cs="Arial"/>
          <w:szCs w:val="20"/>
        </w:rPr>
      </w:pPr>
      <w:r w:rsidRPr="00523DC0">
        <w:rPr>
          <w:rFonts w:cs="Arial"/>
          <w:szCs w:val="20"/>
        </w:rPr>
        <w:t>It is further not clear to us what alternative role and functioning of MMF ratings ESMA considers desirable or how it believes that its proposed reforms relating to MMF ratings may contribute to its identified reform objective.</w:t>
      </w:r>
    </w:p>
    <w:p w14:paraId="20B95494" w14:textId="77777777" w:rsidR="001E74B6" w:rsidRPr="001E74B6" w:rsidRDefault="001E74B6" w:rsidP="001E74B6">
      <w:pPr>
        <w:pStyle w:val="ListParagraph"/>
        <w:ind w:left="1080"/>
        <w:rPr>
          <w:rFonts w:cs="Arial"/>
          <w:szCs w:val="20"/>
        </w:rPr>
      </w:pPr>
    </w:p>
    <w:p w14:paraId="00EE66E5" w14:textId="77777777" w:rsidR="001E74B6" w:rsidRPr="00523DC0" w:rsidRDefault="001E74B6" w:rsidP="00523DC0">
      <w:pPr>
        <w:ind w:left="360"/>
        <w:rPr>
          <w:rFonts w:cs="Arial"/>
          <w:szCs w:val="20"/>
        </w:rPr>
      </w:pPr>
      <w:r w:rsidRPr="00523DC0">
        <w:rPr>
          <w:rFonts w:cs="Arial"/>
          <w:szCs w:val="20"/>
        </w:rPr>
        <w:t xml:space="preserve">In particular, we would disagree with any restrictions on MMF methodologies or with the extension of the scope of the CRA Regulation to MMF ratings: cf. our response to Question 2 above. </w:t>
      </w:r>
    </w:p>
    <w:p w14:paraId="54EE0A59" w14:textId="77777777" w:rsidR="001E74B6" w:rsidRPr="001E74B6" w:rsidRDefault="001E74B6" w:rsidP="001E74B6">
      <w:pPr>
        <w:rPr>
          <w:rFonts w:ascii="Adobe Garamond Pro" w:hAnsi="Adobe Garamond Pro"/>
        </w:rPr>
      </w:pPr>
    </w:p>
    <w:p w14:paraId="4B0FEA26" w14:textId="7D4E50AB" w:rsidR="001E74B6" w:rsidRPr="00523DC0" w:rsidRDefault="00523DC0" w:rsidP="00523DC0">
      <w:pPr>
        <w:ind w:left="360"/>
        <w:rPr>
          <w:rFonts w:cs="Arial"/>
          <w:szCs w:val="20"/>
        </w:rPr>
      </w:pPr>
      <w:r w:rsidRPr="00523DC0">
        <w:rPr>
          <w:rFonts w:cs="Arial"/>
          <w:szCs w:val="20"/>
        </w:rPr>
        <w:t xml:space="preserve">ii) </w:t>
      </w:r>
      <w:r w:rsidR="001E74B6" w:rsidRPr="00523DC0">
        <w:rPr>
          <w:rFonts w:cs="Arial"/>
          <w:szCs w:val="20"/>
        </w:rPr>
        <w:t xml:space="preserve">MMF ratings provide an independent, third party perspective on the investment quality of shares held within the fund. ESMA’s reference to the fact that rules applying to MMF are already very stringent appears to imply that there would be no harm in abolishing this third-party view and that investors may instead rely on the soundness of the regulatory framework. However, no level of regulation can provide full protection and investors legitimately seek out other sources of opinion and analysis to inform their investment decisions. </w:t>
      </w:r>
      <w:r w:rsidR="001E74B6" w:rsidRPr="00523DC0">
        <w:rPr>
          <w:rFonts w:cs="Arial"/>
          <w:szCs w:val="20"/>
        </w:rPr>
        <w:tab/>
      </w:r>
    </w:p>
    <w:p w14:paraId="3C9695BD" w14:textId="77777777" w:rsidR="001E74B6" w:rsidRPr="003D6389" w:rsidRDefault="001E74B6" w:rsidP="001E74B6">
      <w:pPr>
        <w:pStyle w:val="ListParagraph"/>
        <w:ind w:left="1080"/>
        <w:rPr>
          <w:rFonts w:cs="Arial"/>
          <w:szCs w:val="20"/>
          <w:highlight w:val="yellow"/>
        </w:rPr>
      </w:pPr>
    </w:p>
    <w:p w14:paraId="6B8BC859" w14:textId="77FB36A5" w:rsidR="00492B3A" w:rsidRDefault="001E74B6" w:rsidP="00523DC0">
      <w:pPr>
        <w:ind w:left="360"/>
      </w:pPr>
      <w:r w:rsidRPr="003D6389">
        <w:rPr>
          <w:rFonts w:cs="Arial"/>
          <w:szCs w:val="20"/>
          <w:highlight w:val="yellow"/>
        </w:rPr>
        <w:t xml:space="preserve">To the extent that there are remaining concerns about a potential impact on the market from rating downgrades, we suggest that ESMA’s identified objective for the review of the MMF Regulation is best supported by an approach that promotes investor choice and flexibility at times of market stress. </w:t>
      </w:r>
      <w:r w:rsidRPr="00021BDD">
        <w:rPr>
          <w:rFonts w:cs="Arial"/>
          <w:szCs w:val="20"/>
          <w:highlight w:val="yellow"/>
        </w:rPr>
        <w:t>This can be done by encouraging investors to use a range of analytical tools to inform their decisions, including but not limited to MMF ratings.</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77777777" w:rsidR="00492B3A" w:rsidRDefault="00492B3A" w:rsidP="00492B3A">
      <w:permStart w:id="70807355" w:edGrp="everyone"/>
      <w:r>
        <w:t>TYPE YOUR TEXT HERE</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729D6FDA" w14:textId="77777777" w:rsidR="00492B3A" w:rsidRDefault="00492B3A" w:rsidP="00492B3A">
      <w:permStart w:id="1969951227" w:edGrp="everyone"/>
      <w:r>
        <w:t>TYPE YOUR TEXT HERE</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77777777" w:rsidR="00492B3A" w:rsidRDefault="00492B3A" w:rsidP="00492B3A">
      <w:permStart w:id="947678092" w:edGrp="everyone"/>
      <w:r>
        <w:t>TYPE YOUR TEXT HERE</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lastRenderedPageBreak/>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49"/>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49"/>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49"/>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49"/>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49"/>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77777777" w:rsidR="00492B3A" w:rsidRDefault="00492B3A" w:rsidP="00492B3A">
      <w:permStart w:id="575285207" w:edGrp="everyone"/>
      <w:r>
        <w:t>TYPE YOUR TEXT HERE</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7777777" w:rsidR="00492B3A" w:rsidRDefault="00492B3A" w:rsidP="00492B3A">
      <w:permStart w:id="384379543" w:edGrp="everyone"/>
      <w:r>
        <w:t>TYPE YOUR TEXT HERE</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9D21" w14:textId="77777777" w:rsidR="007904C8" w:rsidRDefault="007904C8">
      <w:r>
        <w:separator/>
      </w:r>
    </w:p>
    <w:p w14:paraId="55A9BF19" w14:textId="77777777" w:rsidR="007904C8" w:rsidRDefault="007904C8"/>
  </w:endnote>
  <w:endnote w:type="continuationSeparator" w:id="0">
    <w:p w14:paraId="7CB53708" w14:textId="77777777" w:rsidR="007904C8" w:rsidRDefault="007904C8">
      <w:r>
        <w:continuationSeparator/>
      </w:r>
    </w:p>
    <w:p w14:paraId="4F0D2903" w14:textId="77777777" w:rsidR="007904C8" w:rsidRDefault="007904C8"/>
  </w:endnote>
  <w:endnote w:type="continuationNotice" w:id="1">
    <w:p w14:paraId="4A6B2C2A" w14:textId="77777777" w:rsidR="007904C8" w:rsidRDefault="00790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E0D6" w14:textId="77777777" w:rsidR="007904C8" w:rsidRDefault="007904C8">
      <w:r>
        <w:separator/>
      </w:r>
    </w:p>
    <w:p w14:paraId="728A2930" w14:textId="77777777" w:rsidR="007904C8" w:rsidRDefault="007904C8"/>
  </w:footnote>
  <w:footnote w:type="continuationSeparator" w:id="0">
    <w:p w14:paraId="73220A1F" w14:textId="77777777" w:rsidR="007904C8" w:rsidRDefault="007904C8">
      <w:r>
        <w:continuationSeparator/>
      </w:r>
    </w:p>
    <w:p w14:paraId="7BEB304F" w14:textId="77777777" w:rsidR="007904C8" w:rsidRDefault="007904C8"/>
  </w:footnote>
  <w:footnote w:type="continuationNotice" w:id="1">
    <w:p w14:paraId="5F2373E8" w14:textId="77777777" w:rsidR="007904C8" w:rsidRDefault="007904C8"/>
  </w:footnote>
  <w:footnote w:id="2">
    <w:p w14:paraId="66C3ED47"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Paragraphs 50-57</w:t>
      </w:r>
    </w:p>
  </w:footnote>
  <w:footnote w:id="3">
    <w:p w14:paraId="0572A805" w14:textId="77777777" w:rsidR="00EC1B82" w:rsidRPr="00DE69A4" w:rsidRDefault="00EC1B82" w:rsidP="00EC1B82">
      <w:pPr>
        <w:pStyle w:val="FootnoteText"/>
        <w:rPr>
          <w:rFonts w:ascii="Adobe Garamond Pro" w:hAnsi="Adobe Garamond Pro"/>
        </w:rPr>
      </w:pPr>
      <w:r w:rsidRPr="00EC1B82">
        <w:rPr>
          <w:rStyle w:val="FootnoteReference"/>
          <w:rFonts w:cs="Arial"/>
        </w:rPr>
        <w:footnoteRef/>
      </w:r>
      <w:r w:rsidRPr="00EC1B82">
        <w:rPr>
          <w:rFonts w:cs="Arial"/>
        </w:rPr>
        <w:t xml:space="preserve"> Paragraph 54</w:t>
      </w:r>
    </w:p>
  </w:footnote>
  <w:footnote w:id="4">
    <w:p w14:paraId="1AA47886"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Note that ESMA’s assertion, in paragraph 52, that all rated MMFs have a </w:t>
      </w:r>
      <w:proofErr w:type="spellStart"/>
      <w:r w:rsidRPr="00EC1B82">
        <w:rPr>
          <w:rFonts w:cs="Arial"/>
        </w:rPr>
        <w:t>AAAmmf</w:t>
      </w:r>
      <w:proofErr w:type="spellEnd"/>
      <w:r w:rsidRPr="00EC1B82">
        <w:rPr>
          <w:rFonts w:cs="Arial"/>
        </w:rPr>
        <w:t xml:space="preserve"> rating is incorrect for Moody’s. Two of Moody’s-rated MMFs currently carry an A-mf rating.</w:t>
      </w:r>
    </w:p>
  </w:footnote>
  <w:footnote w:id="5">
    <w:p w14:paraId="32B062B4"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Sic, paragraph 55</w:t>
      </w:r>
    </w:p>
  </w:footnote>
  <w:footnote w:id="6">
    <w:p w14:paraId="33C76BCF"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 72</w:t>
      </w:r>
    </w:p>
  </w:footnote>
  <w:footnote w:id="7">
    <w:p w14:paraId="047FA491"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 146</w:t>
      </w:r>
    </w:p>
  </w:footnote>
  <w:footnote w:id="8">
    <w:p w14:paraId="2FD90347"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Article 23.1 of Regulation (EU) No 1060/2009 as amended by Regulation (EU) No 513/2011, Directive 2011/61/EU, Regulation (EU) No 462/2013, Directive 2014/51/EU and Regulation (EU) 2017/2402 (“CRA Regulation”): “In carrying out their duties under this Regulation, neither the competent authorities nor any other public authorities of a Member State shall interfere with the content of credit ratings or methodologies.” Placing a restriction on a MMF methodology, such as how a methodology uses triggers, would constitute precisely this type of interference.</w:t>
      </w:r>
    </w:p>
  </w:footnote>
  <w:footnote w:id="9">
    <w:p w14:paraId="335F81E7"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Paragraphs 150</w:t>
      </w:r>
    </w:p>
  </w:footnote>
  <w:footnote w:id="10">
    <w:p w14:paraId="72073CDA"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 149</w:t>
      </w:r>
    </w:p>
  </w:footnote>
  <w:footnote w:id="11">
    <w:p w14:paraId="1AB67168"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 148</w:t>
      </w:r>
    </w:p>
  </w:footnote>
  <w:footnote w:id="12">
    <w:p w14:paraId="64296025"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Article 3.1 (a) of the CRA Regulation</w:t>
      </w:r>
    </w:p>
  </w:footnote>
  <w:footnote w:id="13">
    <w:p w14:paraId="225A6294" w14:textId="77777777" w:rsidR="00EC1B82" w:rsidRPr="00342AB9" w:rsidRDefault="00EC1B82" w:rsidP="00EC1B82">
      <w:pPr>
        <w:pStyle w:val="FootnoteText"/>
        <w:rPr>
          <w:rFonts w:ascii="Adobe Garamond Pro" w:hAnsi="Adobe Garamond Pro"/>
        </w:rPr>
      </w:pPr>
      <w:r w:rsidRPr="00EC1B82">
        <w:rPr>
          <w:rStyle w:val="FootnoteReference"/>
          <w:rFonts w:cs="Arial"/>
        </w:rPr>
        <w:footnoteRef/>
      </w:r>
      <w:r w:rsidRPr="00EC1B82">
        <w:rPr>
          <w:rFonts w:cs="Arial"/>
        </w:rPr>
        <w:t xml:space="preserve"> </w:t>
      </w:r>
      <w:proofErr w:type="spellStart"/>
      <w:r w:rsidRPr="00EC1B82">
        <w:rPr>
          <w:rFonts w:cs="Arial"/>
        </w:rPr>
        <w:t>Cf</w:t>
      </w:r>
      <w:proofErr w:type="spellEnd"/>
      <w:r w:rsidRPr="00EC1B82">
        <w:rPr>
          <w:rFonts w:cs="Arial"/>
        </w:rPr>
        <w:t xml:space="preserve"> Annex for the full definition</w:t>
      </w:r>
    </w:p>
  </w:footnote>
  <w:footnote w:id="14">
    <w:p w14:paraId="00849A44" w14:textId="77777777" w:rsidR="00EC1B82" w:rsidRPr="00EC1B82" w:rsidRDefault="00EC1B82" w:rsidP="00EC1B82">
      <w:pPr>
        <w:rPr>
          <w:rFonts w:cs="Arial"/>
          <w:sz w:val="16"/>
          <w:szCs w:val="16"/>
        </w:rPr>
      </w:pPr>
      <w:r w:rsidRPr="00EC1B82">
        <w:rPr>
          <w:rStyle w:val="FootnoteReference"/>
          <w:rFonts w:cs="Arial"/>
          <w:sz w:val="16"/>
          <w:szCs w:val="16"/>
        </w:rPr>
        <w:footnoteRef/>
      </w:r>
      <w:r w:rsidRPr="00EC1B82">
        <w:rPr>
          <w:rFonts w:cs="Arial"/>
          <w:sz w:val="16"/>
          <w:szCs w:val="16"/>
        </w:rPr>
        <w:t xml:space="preserve"> For example, fund ratings, fund risk ratings and equity ratings</w:t>
      </w:r>
    </w:p>
  </w:footnote>
  <w:footnote w:id="15">
    <w:p w14:paraId="6475AC64" w14:textId="77777777" w:rsidR="00EC1B82" w:rsidRPr="00EC1B82" w:rsidRDefault="00EC1B82" w:rsidP="00EC1B82">
      <w:pPr>
        <w:pStyle w:val="FootnoteText"/>
        <w:rPr>
          <w:rFonts w:cs="Arial"/>
        </w:rPr>
      </w:pPr>
      <w:r w:rsidRPr="00EC1B82">
        <w:rPr>
          <w:rStyle w:val="FootnoteReference"/>
          <w:rFonts w:cs="Arial"/>
        </w:rPr>
        <w:footnoteRef/>
      </w:r>
      <w:r w:rsidRPr="00EC1B82">
        <w:rPr>
          <w:rFonts w:cs="Arial"/>
        </w:rPr>
        <w:t xml:space="preserve"> Paragraph 146</w:t>
      </w:r>
    </w:p>
  </w:footnote>
  <w:footnote w:id="16">
    <w:p w14:paraId="1163673A"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Article 23.1 of Regulation (EU) No 1060/2009 as amended by Regulation (EU) No 513/2011, Directive 2011/61/EU, Regulation (EU) No 462/2013, Directive 2014/51/EU and Regulation (EU) 2017/2402 (“CRA Regulation”): “In carrying out their duties under this Regulation, neither the competent authorities nor any other public authorities of a Member State shall interfere with the content of credit ratings or methodologies.” Placing a restriction on a MMF methodology, such as how a methodology uses triggers, would constitute precisely this type of interference.</w:t>
      </w:r>
    </w:p>
  </w:footnote>
  <w:footnote w:id="17">
    <w:p w14:paraId="2D7BC8F4"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Paragraphs 150</w:t>
      </w:r>
    </w:p>
  </w:footnote>
  <w:footnote w:id="18">
    <w:p w14:paraId="00D90AEB"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Paragraph 149</w:t>
      </w:r>
    </w:p>
  </w:footnote>
  <w:footnote w:id="19">
    <w:p w14:paraId="2184776B"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Paragraph 148</w:t>
      </w:r>
    </w:p>
  </w:footnote>
  <w:footnote w:id="20">
    <w:p w14:paraId="71E6177D"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Article 3.1 (a) of the CRA Regulation</w:t>
      </w:r>
    </w:p>
  </w:footnote>
  <w:footnote w:id="21">
    <w:p w14:paraId="23201707" w14:textId="77777777" w:rsidR="00EC1B82" w:rsidRPr="00EC1B82" w:rsidRDefault="00EC1B82" w:rsidP="00EC1B82">
      <w:pPr>
        <w:pStyle w:val="FootnoteText"/>
        <w:rPr>
          <w:rFonts w:cs="Arial"/>
          <w:szCs w:val="16"/>
        </w:rPr>
      </w:pPr>
      <w:r w:rsidRPr="00EC1B82">
        <w:rPr>
          <w:rStyle w:val="FootnoteReference"/>
          <w:rFonts w:cs="Arial"/>
          <w:szCs w:val="16"/>
        </w:rPr>
        <w:footnoteRef/>
      </w:r>
      <w:r w:rsidRPr="00EC1B82">
        <w:rPr>
          <w:rFonts w:cs="Arial"/>
          <w:szCs w:val="16"/>
        </w:rPr>
        <w:t xml:space="preserve"> </w:t>
      </w:r>
      <w:proofErr w:type="spellStart"/>
      <w:r w:rsidRPr="00EC1B82">
        <w:rPr>
          <w:rFonts w:cs="Arial"/>
          <w:szCs w:val="16"/>
        </w:rPr>
        <w:t>Cf</w:t>
      </w:r>
      <w:proofErr w:type="spellEnd"/>
      <w:r w:rsidRPr="00EC1B82">
        <w:rPr>
          <w:rFonts w:cs="Arial"/>
          <w:szCs w:val="16"/>
        </w:rPr>
        <w:t xml:space="preserve"> Annex for the full definition</w:t>
      </w:r>
    </w:p>
  </w:footnote>
  <w:footnote w:id="22">
    <w:p w14:paraId="2120261C" w14:textId="77777777" w:rsidR="00EC1B82" w:rsidRPr="00CB38FD" w:rsidRDefault="00EC1B82" w:rsidP="00EC1B82">
      <w:pPr>
        <w:rPr>
          <w:rFonts w:ascii="Adobe Garamond Pro" w:hAnsi="Adobe Garamond Pro"/>
          <w:szCs w:val="20"/>
        </w:rPr>
      </w:pPr>
      <w:r w:rsidRPr="00EC1B82">
        <w:rPr>
          <w:rStyle w:val="FootnoteReference"/>
          <w:rFonts w:cs="Arial"/>
          <w:sz w:val="16"/>
          <w:szCs w:val="16"/>
        </w:rPr>
        <w:footnoteRef/>
      </w:r>
      <w:r w:rsidRPr="00EC1B82">
        <w:rPr>
          <w:rFonts w:cs="Arial"/>
          <w:sz w:val="16"/>
          <w:szCs w:val="16"/>
        </w:rPr>
        <w:t xml:space="preserve"> For example, fund ratings, fund risk ratings and equity ratings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F494506"/>
    <w:multiLevelType w:val="hybridMultilevel"/>
    <w:tmpl w:val="60643DE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35E8A"/>
    <w:multiLevelType w:val="hybridMultilevel"/>
    <w:tmpl w:val="5148CD3C"/>
    <w:lvl w:ilvl="0" w:tplc="395E14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4540D01"/>
    <w:multiLevelType w:val="hybridMultilevel"/>
    <w:tmpl w:val="7D20CB3C"/>
    <w:lvl w:ilvl="0" w:tplc="D14AB3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B2B1F9C"/>
    <w:multiLevelType w:val="multilevel"/>
    <w:tmpl w:val="BE4E2B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77A5BB5"/>
    <w:multiLevelType w:val="hybridMultilevel"/>
    <w:tmpl w:val="60643DE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A264685"/>
    <w:multiLevelType w:val="hybridMultilevel"/>
    <w:tmpl w:val="7D20CB3C"/>
    <w:lvl w:ilvl="0" w:tplc="D14AB3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4E6696"/>
    <w:multiLevelType w:val="hybridMultilevel"/>
    <w:tmpl w:val="52B419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6" w15:restartNumberingAfterBreak="0">
    <w:nsid w:val="7F566403"/>
    <w:multiLevelType w:val="hybridMultilevel"/>
    <w:tmpl w:val="52B419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2"/>
  </w:num>
  <w:num w:numId="27">
    <w:abstractNumId w:val="36"/>
  </w:num>
  <w:num w:numId="28">
    <w:abstractNumId w:val="45"/>
  </w:num>
  <w:num w:numId="29">
    <w:abstractNumId w:val="6"/>
  </w:num>
  <w:num w:numId="30">
    <w:abstractNumId w:val="3"/>
  </w:num>
  <w:num w:numId="31">
    <w:abstractNumId w:val="24"/>
  </w:num>
  <w:num w:numId="32">
    <w:abstractNumId w:val="23"/>
  </w:num>
  <w:num w:numId="33">
    <w:abstractNumId w:val="39"/>
  </w:num>
  <w:num w:numId="34">
    <w:abstractNumId w:val="38"/>
  </w:num>
  <w:num w:numId="35">
    <w:abstractNumId w:val="10"/>
  </w:num>
  <w:num w:numId="36">
    <w:abstractNumId w:val="14"/>
  </w:num>
  <w:num w:numId="37">
    <w:abstractNumId w:val="34"/>
  </w:num>
  <w:num w:numId="38">
    <w:abstractNumId w:val="14"/>
    <w:lvlOverride w:ilvl="0">
      <w:startOverride w:val="1"/>
    </w:lvlOverride>
  </w:num>
  <w:num w:numId="39">
    <w:abstractNumId w:val="2"/>
  </w:num>
  <w:num w:numId="40">
    <w:abstractNumId w:val="44"/>
  </w:num>
  <w:num w:numId="41">
    <w:abstractNumId w:val="21"/>
  </w:num>
  <w:num w:numId="42">
    <w:abstractNumId w:val="46"/>
  </w:num>
  <w:num w:numId="43">
    <w:abstractNumId w:val="11"/>
  </w:num>
  <w:num w:numId="44">
    <w:abstractNumId w:val="41"/>
  </w:num>
  <w:num w:numId="45">
    <w:abstractNumId w:val="43"/>
  </w:num>
  <w:num w:numId="46">
    <w:abstractNumId w:val="12"/>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4B6"/>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3DC0"/>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02F"/>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04C8"/>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1298"/>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1B82"/>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DB0DB-94D5-4447-A62F-D89BAE105E33}">
  <ds:schemaRefs>
    <ds:schemaRef ds:uri="http://schemas.openxmlformats.org/officeDocument/2006/bibliography"/>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8B6723DF-73E3-4CC2-9440-CFA83947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3762</Words>
  <Characters>21448</Characters>
  <Application>Microsoft Office Word</Application>
  <DocSecurity>8</DocSecurity>
  <Lines>178</Lines>
  <Paragraphs>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25160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Proud, Uta</cp:lastModifiedBy>
  <cp:revision>4</cp:revision>
  <cp:lastPrinted>2015-02-18T11:01:00Z</cp:lastPrinted>
  <dcterms:created xsi:type="dcterms:W3CDTF">2021-06-30T12:23:00Z</dcterms:created>
  <dcterms:modified xsi:type="dcterms:W3CDTF">2021-06-30T12:44:00Z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