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3B365A4" w:rsidR="00C2094B" w:rsidRPr="00F10D35" w:rsidRDefault="0031127F" w:rsidP="00AF38AF">
            <w:pPr>
              <w:pStyle w:val="00bDBInfo"/>
              <w:rPr>
                <w:rFonts w:cs="Arial"/>
              </w:rPr>
            </w:pPr>
            <w:r>
              <w:rPr>
                <w:rFonts w:cs="Arial"/>
              </w:rPr>
              <w:t>29</w:t>
            </w:r>
            <w:r w:rsidR="00FE40D3" w:rsidRPr="00FE40D3">
              <w:rPr>
                <w:rFonts w:cs="Arial"/>
              </w:rPr>
              <w:t xml:space="preserve"> </w:t>
            </w:r>
            <w:r>
              <w:rPr>
                <w:rFonts w:cs="Arial"/>
              </w:rPr>
              <w:t>March</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364B7A29" w:rsidR="00146A6C" w:rsidRPr="00201005" w:rsidRDefault="00146A6C" w:rsidP="00146A6C">
            <w:pPr>
              <w:pStyle w:val="01aDBTitle"/>
              <w:jc w:val="left"/>
              <w:rPr>
                <w:szCs w:val="40"/>
              </w:rPr>
            </w:pPr>
            <w:r w:rsidRPr="00201005">
              <w:rPr>
                <w:rFonts w:cs="Arial"/>
                <w:szCs w:val="40"/>
              </w:rPr>
              <w:t>Response form for the Consultation Paper on</w:t>
            </w:r>
            <w:r w:rsidRPr="00201005">
              <w:rPr>
                <w:szCs w:val="40"/>
              </w:rPr>
              <w:t xml:space="preserve"> </w:t>
            </w:r>
            <w:r w:rsidR="00DC1B3F">
              <w:rPr>
                <w:szCs w:val="40"/>
              </w:rPr>
              <w:t xml:space="preserve">the </w:t>
            </w:r>
            <w:r w:rsidR="00DC1B3F" w:rsidRPr="00DC1B3F">
              <w:rPr>
                <w:szCs w:val="40"/>
              </w:rPr>
              <w:t>EU Money Market Fund Regulation – legislative review</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F392077" w:rsidR="00620D7C" w:rsidRPr="004E49B0" w:rsidRDefault="00620D7C" w:rsidP="00FE40D3">
            <w:pPr>
              <w:pStyle w:val="02Date"/>
              <w:jc w:val="right"/>
              <w:rPr>
                <w:rFonts w:cs="Arial"/>
              </w:rPr>
            </w:pPr>
            <w:r w:rsidRPr="00F10D35">
              <w:rPr>
                <w:rFonts w:cs="Arial"/>
              </w:rPr>
              <w:lastRenderedPageBreak/>
              <w:t xml:space="preserve">Date: </w:t>
            </w:r>
            <w:r w:rsidR="0031127F">
              <w:rPr>
                <w:rFonts w:cs="Arial"/>
              </w:rPr>
              <w:t>29</w:t>
            </w:r>
            <w:r w:rsidR="00FE40D3" w:rsidRPr="00FE40D3">
              <w:rPr>
                <w:rFonts w:cs="Arial"/>
              </w:rPr>
              <w:t xml:space="preserve"> </w:t>
            </w:r>
            <w:r w:rsidR="0031127F">
              <w:rPr>
                <w:rFonts w:cs="Arial"/>
              </w:rPr>
              <w:t>March</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3B77BB49"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invites responses to the questions set out throughout this Consultation Paper and summarised in Annex </w:t>
      </w:r>
      <w:r w:rsidR="00DC1B3F">
        <w:rPr>
          <w:sz w:val="22"/>
          <w:szCs w:val="20"/>
          <w:lang w:eastAsia="en-US"/>
        </w:rPr>
        <w:t>3</w:t>
      </w:r>
      <w:r w:rsidRPr="00FE40D3">
        <w:rPr>
          <w:sz w:val="22"/>
          <w:szCs w:val="20"/>
          <w:lang w:eastAsia="en-US"/>
        </w:rPr>
        <w:t>. Responses are most helpful if they:</w:t>
      </w:r>
    </w:p>
    <w:p w14:paraId="4A3E409E" w14:textId="77777777" w:rsidR="00FE40D3" w:rsidRPr="00FE40D3" w:rsidRDefault="00FE40D3" w:rsidP="00FE40D3">
      <w:pPr>
        <w:numPr>
          <w:ilvl w:val="0"/>
          <w:numId w:val="44"/>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4"/>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4"/>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064AB0E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DC1B3F">
        <w:rPr>
          <w:b/>
        </w:rPr>
        <w:t>Wednesday</w:t>
      </w:r>
      <w:r w:rsidR="00F87631" w:rsidRPr="002A7128">
        <w:rPr>
          <w:b/>
        </w:rPr>
        <w:t xml:space="preserve"> </w:t>
      </w:r>
      <w:r w:rsidR="00DC1B3F">
        <w:rPr>
          <w:b/>
        </w:rPr>
        <w:t>30</w:t>
      </w:r>
      <w:r w:rsidR="00DC1B3F" w:rsidRPr="00DC1B3F">
        <w:rPr>
          <w:b/>
          <w:vertAlign w:val="superscript"/>
        </w:rPr>
        <w:t>th</w:t>
      </w:r>
      <w:r w:rsidR="00DC1B3F">
        <w:rPr>
          <w:b/>
        </w:rPr>
        <w:t xml:space="preserve"> June</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4"/>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0FB476EF" w:rsidR="00FE40D3" w:rsidRPr="00241178" w:rsidRDefault="00FE40D3" w:rsidP="00FE40D3">
      <w:pPr>
        <w:numPr>
          <w:ilvl w:val="0"/>
          <w:numId w:val="44"/>
        </w:numPr>
        <w:spacing w:after="240" w:line="276" w:lineRule="auto"/>
        <w:jc w:val="both"/>
        <w:rPr>
          <w:sz w:val="22"/>
          <w:szCs w:val="22"/>
          <w:lang w:eastAsia="en-GB"/>
        </w:rPr>
      </w:pPr>
      <w:r w:rsidRPr="00241178">
        <w:rPr>
          <w:sz w:val="22"/>
          <w:szCs w:val="22"/>
          <w:lang w:eastAsia="en-GB"/>
        </w:rPr>
        <w:t>Please do not remove tags of the type &lt;ESMA_QUESTION_</w:t>
      </w:r>
      <w:r w:rsidR="00DC1B3F">
        <w:rPr>
          <w:sz w:val="22"/>
          <w:szCs w:val="22"/>
          <w:lang w:eastAsia="en-GB"/>
        </w:rPr>
        <w:t>MMFR</w:t>
      </w:r>
      <w:r w:rsidRPr="00241178">
        <w:rPr>
          <w:sz w:val="22"/>
          <w:szCs w:val="22"/>
          <w:lang w:eastAsia="en-GB"/>
        </w:rPr>
        <w:t xml:space="preserve">_1&gt;. Your response to each question has to be framed by the two tags corresponding to the question. </w:t>
      </w:r>
    </w:p>
    <w:p w14:paraId="3C1B6FAE" w14:textId="77777777" w:rsidR="00FE40D3" w:rsidRPr="00241178" w:rsidRDefault="00FE40D3" w:rsidP="00FE40D3">
      <w:pPr>
        <w:numPr>
          <w:ilvl w:val="0"/>
          <w:numId w:val="44"/>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51B65C69" w:rsidR="00FE40D3" w:rsidRPr="00241178" w:rsidRDefault="00FE40D3" w:rsidP="00FE40D3">
      <w:pPr>
        <w:numPr>
          <w:ilvl w:val="0"/>
          <w:numId w:val="44"/>
        </w:numPr>
        <w:spacing w:after="240" w:line="276" w:lineRule="auto"/>
        <w:jc w:val="both"/>
        <w:rPr>
          <w:sz w:val="22"/>
          <w:szCs w:val="22"/>
          <w:lang w:eastAsia="en-GB"/>
        </w:rPr>
      </w:pPr>
      <w:r w:rsidRPr="00241178">
        <w:rPr>
          <w:sz w:val="22"/>
          <w:szCs w:val="22"/>
          <w:lang w:eastAsia="en-GB"/>
        </w:rPr>
        <w:t>When you have drafted your response, name your response form according to the following convention: ESMA_</w:t>
      </w:r>
      <w:r w:rsidR="00DC1B3F">
        <w:rPr>
          <w:sz w:val="22"/>
          <w:szCs w:val="22"/>
          <w:lang w:eastAsia="en-GB"/>
        </w:rPr>
        <w:t>MMFR</w:t>
      </w:r>
      <w:r w:rsidRPr="00241178">
        <w:rPr>
          <w:sz w:val="22"/>
          <w:szCs w:val="22"/>
          <w:lang w:eastAsia="en-GB"/>
        </w:rPr>
        <w:t>_nameofrespondent_RESPONSEFORM. For example, for a respondent named ABCD, the response form would be entitled ESMA_</w:t>
      </w:r>
      <w:r w:rsidR="00DC1B3F">
        <w:rPr>
          <w:sz w:val="22"/>
          <w:szCs w:val="22"/>
          <w:lang w:eastAsia="en-GB"/>
        </w:rPr>
        <w:t>MMFR</w:t>
      </w:r>
      <w:r w:rsidRPr="00241178">
        <w:rPr>
          <w:sz w:val="22"/>
          <w:szCs w:val="22"/>
          <w:lang w:eastAsia="en-GB"/>
        </w:rPr>
        <w:t>_ABCD_RESPONSEFORM.</w:t>
      </w:r>
    </w:p>
    <w:p w14:paraId="033FC000" w14:textId="6DB58D5C" w:rsidR="00FE40D3" w:rsidRPr="00241178" w:rsidRDefault="00FE40D3" w:rsidP="00FE40D3">
      <w:pPr>
        <w:numPr>
          <w:ilvl w:val="0"/>
          <w:numId w:val="44"/>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DC1B3F" w:rsidRPr="00DC1B3F">
        <w:rPr>
          <w:sz w:val="22"/>
          <w:szCs w:val="22"/>
          <w:lang w:eastAsia="en-GB"/>
        </w:rPr>
        <w:t>Consultation on EU Money Market Fund Regulation – legislative review</w:t>
      </w:r>
      <w:r w:rsidR="00DC1B3F">
        <w:rPr>
          <w:sz w:val="22"/>
          <w:szCs w:val="22"/>
          <w:lang w:eastAsia="en-GB"/>
        </w:rPr>
        <w:t>’</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7BC4D991" w:rsidR="00332304" w:rsidRPr="001021EF" w:rsidRDefault="00976448" w:rsidP="00FE40D3">
      <w:pPr>
        <w:spacing w:after="240"/>
        <w:jc w:val="both"/>
        <w:rPr>
          <w:b/>
          <w:bCs/>
        </w:rPr>
      </w:pPr>
      <w:r>
        <w:rPr>
          <w:sz w:val="22"/>
          <w:szCs w:val="22"/>
        </w:rPr>
        <w:t xml:space="preserve">This document will be of interest to (i) MMF managers and their trade associations, as well as (ii) institutional and retail investors (and associations of such investors) investing in MMF. </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ceholderText"/>
              <w:rFonts w:cs="Arial"/>
            </w:rPr>
            <w:id w:val="-1905066999"/>
            <w:text/>
          </w:sdtPr>
          <w:sdtEndPr>
            <w:rPr>
              <w:rStyle w:val="PlaceholderText"/>
            </w:rPr>
          </w:sdtEndPr>
          <w:sdtContent>
            <w:permStart w:id="1493633476" w:edGrp="everyone" w:displacedByCustomXml="prev"/>
            <w:tc>
              <w:tcPr>
                <w:tcW w:w="5595" w:type="dxa"/>
                <w:shd w:val="clear" w:color="auto" w:fill="auto"/>
              </w:tcPr>
              <w:p w14:paraId="23C2C921" w14:textId="1966F8AE" w:rsidR="00B327E9" w:rsidRPr="00AB6D88" w:rsidRDefault="00ED1D1C" w:rsidP="00F136AD">
                <w:pPr>
                  <w:rPr>
                    <w:rStyle w:val="PlaceholderText"/>
                    <w:rFonts w:cs="Arial"/>
                  </w:rPr>
                </w:pPr>
                <w:r>
                  <w:rPr>
                    <w:rStyle w:val="PlaceholderText"/>
                    <w:rFonts w:cs="Arial"/>
                  </w:rPr>
                  <w:t>Institutional Cash Distributors</w:t>
                </w:r>
                <w:r w:rsidR="001A7B6D">
                  <w:rPr>
                    <w:rStyle w:val="PlaceholderText"/>
                    <w:rFonts w:cs="Arial"/>
                  </w:rPr>
                  <w:t xml:space="preserve"> (ICD)</w:t>
                </w:r>
                <w:r>
                  <w:rPr>
                    <w:rStyle w:val="PlaceholderText"/>
                    <w:rFonts w:cs="Arial"/>
                  </w:rPr>
                  <w:t xml:space="preserve"> </w:t>
                </w:r>
                <w:r w:rsidR="001A7B6D">
                  <w:rPr>
                    <w:rStyle w:val="PlaceholderText"/>
                    <w:rFonts w:cs="Arial"/>
                  </w:rPr>
                  <w:t>- LTD</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7C6219C3" w:rsidR="00B327E9" w:rsidRPr="00AB6D88" w:rsidRDefault="0019130D"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ED1D1C">
                  <w:rPr>
                    <w:rFonts w:cs="Arial"/>
                  </w:rPr>
                  <w:t>Exchange or Trading System</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50B064BB" w14:textId="45C81374" w:rsidR="00B327E9" w:rsidRPr="00AB6D88" w:rsidRDefault="001A7B6D"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0E04628E" w:rsidR="00B327E9" w:rsidRPr="00AB6D88" w:rsidRDefault="00DD12DF" w:rsidP="00F136AD">
                <w:pPr>
                  <w:rPr>
                    <w:rFonts w:cs="Arial"/>
                  </w:rPr>
                </w:pPr>
                <w:r>
                  <w:rPr>
                    <w:rFonts w:cs="Arial"/>
                  </w:rPr>
                  <w:t>International</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7D89D591" w:rsidR="00B327E9" w:rsidRPr="006F4535" w:rsidRDefault="00B327E9" w:rsidP="00FE6577">
      <w:r w:rsidRPr="006F4535">
        <w:t>&lt;ESMA_COMMENT_</w:t>
      </w:r>
      <w:r w:rsidR="00DC1B3F">
        <w:t>MMFR</w:t>
      </w:r>
      <w:r w:rsidRPr="006F4535">
        <w:t>_1&gt;</w:t>
      </w:r>
    </w:p>
    <w:p w14:paraId="068161B3" w14:textId="77777777" w:rsidR="004D08D1" w:rsidRDefault="00074E32" w:rsidP="00074E32">
      <w:pPr>
        <w:rPr>
          <w:rFonts w:cstheme="minorHAnsi"/>
        </w:rPr>
      </w:pPr>
      <w:permStart w:id="44765448" w:edGrp="everyone"/>
      <w:r w:rsidRPr="00853D38">
        <w:rPr>
          <w:rFonts w:cstheme="minorHAnsi"/>
        </w:rPr>
        <w:t>Institutional Cash Distributors (ICD)</w:t>
      </w:r>
      <w:r>
        <w:rPr>
          <w:rFonts w:cstheme="minorHAnsi"/>
        </w:rPr>
        <w:t>, LTD is a UK-based entity</w:t>
      </w:r>
      <w:r w:rsidRPr="00853D38">
        <w:rPr>
          <w:rFonts w:cstheme="minorHAnsi"/>
        </w:rPr>
        <w:t xml:space="preserve"> </w:t>
      </w:r>
      <w:r>
        <w:rPr>
          <w:rFonts w:cstheme="minorHAnsi"/>
        </w:rPr>
        <w:t>providing an</w:t>
      </w:r>
      <w:r w:rsidRPr="00853D38">
        <w:rPr>
          <w:rFonts w:cstheme="minorHAnsi"/>
        </w:rPr>
        <w:t xml:space="preserve"> </w:t>
      </w:r>
      <w:r>
        <w:rPr>
          <w:rFonts w:cstheme="minorHAnsi"/>
        </w:rPr>
        <w:t>agnostic</w:t>
      </w:r>
      <w:r w:rsidRPr="00853D38">
        <w:rPr>
          <w:rFonts w:cstheme="minorHAnsi"/>
        </w:rPr>
        <w:t xml:space="preserve"> investment portal</w:t>
      </w:r>
      <w:r>
        <w:rPr>
          <w:rFonts w:cstheme="minorHAnsi"/>
        </w:rPr>
        <w:t xml:space="preserve"> to institutional investors, namely treasury professionals in corporations and local authorities who use money market funds and other short-term instruments as safe, liquid investments for cash balances. Our trading platform is used by more than 400 clients across 65 industries in 43 countries. In the U.S., ICD is headquartered in San Francisco as </w:t>
      </w:r>
      <w:r w:rsidRPr="00853D38">
        <w:rPr>
          <w:rFonts w:cstheme="minorHAnsi"/>
        </w:rPr>
        <w:t>Institutional Cash Distributors</w:t>
      </w:r>
      <w:r>
        <w:rPr>
          <w:rFonts w:cstheme="minorHAnsi"/>
        </w:rPr>
        <w:t xml:space="preserve">, LLC. </w:t>
      </w:r>
    </w:p>
    <w:p w14:paraId="14742D01" w14:textId="72C4E490" w:rsidR="00074E32" w:rsidRDefault="00074E32" w:rsidP="00074E32">
      <w:pPr>
        <w:rPr>
          <w:rFonts w:cstheme="minorHAnsi"/>
        </w:rPr>
      </w:pPr>
      <w:r>
        <w:rPr>
          <w:rFonts w:cstheme="minorHAnsi"/>
        </w:rPr>
        <w:t xml:space="preserve"> </w:t>
      </w:r>
    </w:p>
    <w:p w14:paraId="47EF456C" w14:textId="2C8DCD65" w:rsidR="00074E32" w:rsidRDefault="00074E32" w:rsidP="00074E32">
      <w:pPr>
        <w:rPr>
          <w:rFonts w:cstheme="minorHAnsi"/>
        </w:rPr>
      </w:pPr>
      <w:r>
        <w:rPr>
          <w:rFonts w:cstheme="minorHAnsi"/>
        </w:rPr>
        <w:t>ICD brings together institutional investors with more than 40 fund companies offering money market products. We service</w:t>
      </w:r>
      <w:r w:rsidRPr="00853D38">
        <w:rPr>
          <w:rFonts w:cstheme="minorHAnsi"/>
        </w:rPr>
        <w:t xml:space="preserve"> over $5 trillion in money market</w:t>
      </w:r>
      <w:r>
        <w:rPr>
          <w:rFonts w:cstheme="minorHAnsi"/>
        </w:rPr>
        <w:t xml:space="preserve"> </w:t>
      </w:r>
      <w:r w:rsidRPr="00853D38">
        <w:rPr>
          <w:rFonts w:cstheme="minorHAnsi"/>
        </w:rPr>
        <w:t>trading annually</w:t>
      </w:r>
      <w:r w:rsidRPr="00DE7C57">
        <w:rPr>
          <w:rFonts w:cstheme="minorHAnsi"/>
        </w:rPr>
        <w:t xml:space="preserve"> </w:t>
      </w:r>
      <w:r>
        <w:rPr>
          <w:rFonts w:cstheme="minorHAnsi"/>
        </w:rPr>
        <w:t xml:space="preserve">across the UK, Europe and the U.S. </w:t>
      </w:r>
      <w:r w:rsidRPr="00853D38">
        <w:rPr>
          <w:rFonts w:cstheme="minorHAnsi"/>
        </w:rPr>
        <w:t>I</w:t>
      </w:r>
      <w:r>
        <w:rPr>
          <w:rFonts w:cstheme="minorHAnsi"/>
        </w:rPr>
        <w:t xml:space="preserve">t is from this vantage point that </w:t>
      </w:r>
      <w:hyperlink r:id="rId20" w:history="1">
        <w:r w:rsidRPr="000D13F3">
          <w:rPr>
            <w:rStyle w:val="Hyperlink"/>
            <w:rFonts w:cstheme="minorHAnsi"/>
          </w:rPr>
          <w:t>ICD offered comments to the Securities Exchange Commission</w:t>
        </w:r>
      </w:hyperlink>
      <w:r>
        <w:rPr>
          <w:rFonts w:cstheme="minorHAnsi"/>
        </w:rPr>
        <w:t xml:space="preserve"> in response to their </w:t>
      </w:r>
      <w:r w:rsidRPr="00853D38">
        <w:rPr>
          <w:rFonts w:cstheme="minorHAnsi"/>
        </w:rPr>
        <w:t xml:space="preserve">Request for Comment on Potential Money Market Fund Reform Measures in </w:t>
      </w:r>
      <w:r>
        <w:rPr>
          <w:rFonts w:cstheme="minorHAnsi"/>
        </w:rPr>
        <w:t xml:space="preserve">the </w:t>
      </w:r>
      <w:r w:rsidRPr="00853D38">
        <w:rPr>
          <w:rFonts w:cstheme="minorHAnsi"/>
        </w:rPr>
        <w:t xml:space="preserve">President’s Working Group Report </w:t>
      </w:r>
      <w:r w:rsidRPr="00853D38">
        <w:rPr>
          <w:rFonts w:cstheme="minorHAnsi"/>
          <w:b/>
          <w:bCs/>
        </w:rPr>
        <w:t>(File No. S7-01-21)</w:t>
      </w:r>
      <w:r>
        <w:rPr>
          <w:rFonts w:cstheme="minorHAnsi"/>
        </w:rPr>
        <w:t xml:space="preserve"> and to the Financial Stability Board (FSB) and</w:t>
      </w:r>
      <w:r w:rsidRPr="00354ADE">
        <w:rPr>
          <w:rFonts w:cstheme="minorHAnsi"/>
        </w:rPr>
        <w:t xml:space="preserve"> International Organization of Securities Commissions (IOSCO)</w:t>
      </w:r>
      <w:r>
        <w:rPr>
          <w:rFonts w:cstheme="minorHAnsi"/>
        </w:rPr>
        <w:t xml:space="preserve"> during a 21 April 2021 Virtual Stakeholder Outreach Meeting on </w:t>
      </w:r>
      <w:r w:rsidRPr="00650921">
        <w:rPr>
          <w:rFonts w:cstheme="minorHAnsi"/>
        </w:rPr>
        <w:t xml:space="preserve">Enhancing the </w:t>
      </w:r>
      <w:r>
        <w:rPr>
          <w:rFonts w:cstheme="minorHAnsi"/>
        </w:rPr>
        <w:t>R</w:t>
      </w:r>
      <w:r w:rsidRPr="00650921">
        <w:rPr>
          <w:rFonts w:cstheme="minorHAnsi"/>
        </w:rPr>
        <w:t>esilience of Money Market Funds</w:t>
      </w:r>
      <w:r>
        <w:rPr>
          <w:rFonts w:cstheme="minorHAnsi"/>
        </w:rPr>
        <w:t xml:space="preserve">. ICD was the only money market trading portal invited from the private sector to take part in that meeting. </w:t>
      </w:r>
    </w:p>
    <w:p w14:paraId="570D6C77" w14:textId="77777777" w:rsidR="004D08D1" w:rsidRDefault="004D08D1" w:rsidP="00074E32">
      <w:pPr>
        <w:rPr>
          <w:rFonts w:cstheme="minorHAnsi"/>
        </w:rPr>
      </w:pPr>
    </w:p>
    <w:p w14:paraId="585B2FE2" w14:textId="77777777" w:rsidR="004D08D1" w:rsidRDefault="00074E32" w:rsidP="00074E32">
      <w:pPr>
        <w:rPr>
          <w:rFonts w:cstheme="minorHAnsi"/>
        </w:rPr>
      </w:pPr>
      <w:r>
        <w:rPr>
          <w:rFonts w:cstheme="minorHAnsi"/>
        </w:rPr>
        <w:t xml:space="preserve">From our unique vantage point today, we respond to ESMA’s </w:t>
      </w:r>
      <w:r w:rsidRPr="00650921">
        <w:rPr>
          <w:rFonts w:cstheme="minorHAnsi"/>
        </w:rPr>
        <w:t>Consultation Report</w:t>
      </w:r>
      <w:r>
        <w:rPr>
          <w:rFonts w:cstheme="minorHAnsi"/>
        </w:rPr>
        <w:t xml:space="preserve">: </w:t>
      </w:r>
      <w:r w:rsidRPr="00650921">
        <w:rPr>
          <w:rFonts w:cstheme="minorHAnsi"/>
        </w:rPr>
        <w:t>EU Money Market Fund Regulation – legislative review</w:t>
      </w:r>
      <w:r>
        <w:rPr>
          <w:rFonts w:cstheme="minorHAnsi"/>
        </w:rPr>
        <w:t>. In short, ICD believes that by looking at the U.S., ESMA already has evidence that funds perform worse where reforms have been enacted for eliminating stable NAV and strengthening the tie between liquidity and suspensions or gates.</w:t>
      </w:r>
    </w:p>
    <w:p w14:paraId="414713B4" w14:textId="3906E3BA" w:rsidR="00074E32" w:rsidRDefault="00074E32" w:rsidP="00074E32">
      <w:pPr>
        <w:rPr>
          <w:rFonts w:cstheme="minorHAnsi"/>
        </w:rPr>
      </w:pPr>
      <w:r>
        <w:rPr>
          <w:rFonts w:cstheme="minorHAnsi"/>
        </w:rPr>
        <w:t xml:space="preserve"> </w:t>
      </w:r>
    </w:p>
    <w:p w14:paraId="3EC00E6D" w14:textId="6A33C69B" w:rsidR="00B327E9" w:rsidRPr="00494CC3" w:rsidRDefault="00074E32" w:rsidP="00FE6577">
      <w:pPr>
        <w:rPr>
          <w:rFonts w:cstheme="minorHAnsi"/>
        </w:rPr>
      </w:pPr>
      <w:r>
        <w:rPr>
          <w:rFonts w:cstheme="minorHAnsi"/>
        </w:rPr>
        <w:t xml:space="preserve">In responding to ESMA, ICD has addressed select questions on these areas of reform and their impact on the resilience of money market funds, the effects on investor </w:t>
      </w:r>
      <w:r w:rsidR="004E581D">
        <w:rPr>
          <w:rFonts w:cstheme="minorHAnsi"/>
        </w:rPr>
        <w:t>behaviour</w:t>
      </w:r>
      <w:r>
        <w:rPr>
          <w:rFonts w:cstheme="minorHAnsi"/>
        </w:rPr>
        <w:t>, effects on fund managers, and the broader impacts on stability and functioning of short-term markets.</w:t>
      </w:r>
    </w:p>
    <w:permEnd w:id="44765448"/>
    <w:p w14:paraId="68F63540" w14:textId="5C2C408E" w:rsidR="00B327E9" w:rsidRPr="00BF28DA" w:rsidRDefault="00B327E9" w:rsidP="00FE6577">
      <w:r w:rsidRPr="00BF28DA">
        <w:t>&lt;ESMA_COMMENT_</w:t>
      </w:r>
      <w:r w:rsidR="00DC1B3F">
        <w:t>MMFR</w:t>
      </w:r>
      <w:r w:rsidR="000A58BE">
        <w:t>_</w:t>
      </w:r>
      <w:r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6FC4B515" w:rsidR="00492B3A" w:rsidRPr="00976448" w:rsidRDefault="00976448" w:rsidP="00976448">
      <w:pPr>
        <w:pStyle w:val="Questionstyle"/>
        <w:numPr>
          <w:ilvl w:val="0"/>
          <w:numId w:val="45"/>
        </w:numPr>
        <w:rPr>
          <w:rFonts w:ascii="Arial" w:hAnsi="Arial"/>
          <w:szCs w:val="22"/>
        </w:rPr>
      </w:pPr>
      <w:r>
        <w:rPr>
          <w:lang w:val="en-US"/>
        </w:rPr>
        <w:lastRenderedPageBreak/>
        <w:t xml:space="preserve"> i) </w:t>
      </w:r>
      <w:r w:rsidRPr="00F43E30">
        <w:rPr>
          <w:lang w:val="en-US"/>
        </w:rPr>
        <w:t>Do you agree with the above assessment of the difficulties faced by MMFs during the COVID-19 March crisis? Do you agree with the identification of vulnerabilities? ii) What are your views in particular on the use of MMF ratings by investors? Are you of the view that the use of such ratings has affected the behaviors of investors during the March crisis?</w:t>
      </w:r>
    </w:p>
    <w:p w14:paraId="2A3812AD" w14:textId="77777777" w:rsidR="00976448" w:rsidRDefault="00976448" w:rsidP="00492B3A"/>
    <w:p w14:paraId="7EE00B55" w14:textId="11D818B2" w:rsidR="00492B3A" w:rsidRDefault="00492B3A" w:rsidP="00492B3A">
      <w:r>
        <w:t>&lt;ESMA_QUESTION_</w:t>
      </w:r>
      <w:r w:rsidR="00DC1B3F">
        <w:t>MMFR</w:t>
      </w:r>
      <w:r>
        <w:t>_1&gt;</w:t>
      </w:r>
    </w:p>
    <w:p w14:paraId="741FADC4" w14:textId="7A7C230D" w:rsidR="00492B3A" w:rsidRDefault="00492B3A" w:rsidP="00492B3A">
      <w:permStart w:id="1576605906" w:edGrp="everyone"/>
      <w:r>
        <w:t>TYPE YOUR TEXT HERE</w:t>
      </w:r>
      <w:permEnd w:id="1576605906"/>
    </w:p>
    <w:p w14:paraId="7E5A3C00" w14:textId="3B098933" w:rsidR="00492B3A" w:rsidRDefault="00492B3A" w:rsidP="00492B3A">
      <w:r>
        <w:t>&lt;ESMA_QUESTION_</w:t>
      </w:r>
      <w:r w:rsidR="00DC1B3F">
        <w:t>MMFR</w:t>
      </w:r>
      <w:r>
        <w:t>_1&gt;</w:t>
      </w:r>
    </w:p>
    <w:p w14:paraId="66BCB951" w14:textId="77777777" w:rsidR="00492B3A" w:rsidRDefault="00492B3A" w:rsidP="00492B3A"/>
    <w:p w14:paraId="711E593A" w14:textId="3641F562" w:rsidR="00492B3A" w:rsidRDefault="00976448" w:rsidP="00492B3A">
      <w:pPr>
        <w:pStyle w:val="Questionstyle"/>
      </w:pPr>
      <w:r w:rsidRPr="00F43E30">
        <w:t xml:space="preserve">i) </w:t>
      </w:r>
      <w:r w:rsidRPr="00F43E30">
        <w:rPr>
          <w:bdr w:val="none" w:sz="0" w:space="0" w:color="auto" w:frame="1"/>
          <w:lang w:val="en-IE"/>
        </w:rPr>
        <w:t>Do you agree with the above assessment on the potential MMF reforms related to the review of the MMF Regulation? ii) What are your views on the abovementioned assessment of the interaction between potential MMF reforms and the behaviour of investors during the MMF March 2020 crisis</w:t>
      </w:r>
      <w:r w:rsidR="00A014B6" w:rsidRPr="00A014B6">
        <w:t>?</w:t>
      </w:r>
    </w:p>
    <w:p w14:paraId="3451E920" w14:textId="188057B6" w:rsidR="00492B3A" w:rsidRDefault="00492B3A" w:rsidP="00492B3A">
      <w:r>
        <w:t>&lt;ESMA_QUESTION_</w:t>
      </w:r>
      <w:r w:rsidR="00DC1B3F">
        <w:t>MMFR</w:t>
      </w:r>
      <w:r>
        <w:t>_2&gt;</w:t>
      </w:r>
    </w:p>
    <w:p w14:paraId="45694F8F" w14:textId="77777777" w:rsidR="00492B3A" w:rsidRDefault="00492B3A" w:rsidP="00492B3A">
      <w:permStart w:id="1123047147" w:edGrp="everyone"/>
      <w:r>
        <w:t>TYPE YOUR TEXT HERE</w:t>
      </w:r>
    </w:p>
    <w:permEnd w:id="1123047147"/>
    <w:p w14:paraId="741E001B" w14:textId="4E171775" w:rsidR="00492B3A" w:rsidRDefault="00492B3A" w:rsidP="00492B3A">
      <w:r>
        <w:t>&lt;ESMA_QUESTION_</w:t>
      </w:r>
      <w:r w:rsidR="00DC1B3F">
        <w:t>MMFR</w:t>
      </w:r>
      <w:r>
        <w:t>_2&gt;</w:t>
      </w:r>
    </w:p>
    <w:p w14:paraId="3DF6FFDF" w14:textId="77777777" w:rsidR="00492B3A" w:rsidRDefault="00492B3A" w:rsidP="00492B3A"/>
    <w:p w14:paraId="47C2F5CA" w14:textId="2A5C4E89" w:rsidR="00492B3A" w:rsidRDefault="00976448" w:rsidP="00492B3A">
      <w:pPr>
        <w:pStyle w:val="Questionstyle"/>
      </w:pPr>
      <w:r w:rsidRPr="00F43E30">
        <w:rPr>
          <w:bCs/>
          <w:color w:val="201F1E"/>
          <w:bdr w:val="none" w:sz="0" w:space="0" w:color="auto" w:frame="1"/>
          <w:lang w:val="en-IE"/>
        </w:rPr>
        <w:t xml:space="preserve">Do you agree with the above assessment of the i) potential need to </w:t>
      </w:r>
      <w:r w:rsidRPr="00F43E30">
        <w:rPr>
          <w:bCs/>
          <w:lang w:val="en-US"/>
        </w:rPr>
        <w:t>decouple regulatory thresholds from suspensions/gates and the corresponding proposals of amendment of the MMF Regulation ii) potential reforms of the conditions for the use of redemption gates</w:t>
      </w:r>
      <w:r w:rsidRPr="00F43E30">
        <w:t xml:space="preserve">? </w:t>
      </w:r>
      <w:r w:rsidRPr="00F43E30">
        <w:rPr>
          <w:color w:val="201F1E"/>
          <w:bdr w:val="none" w:sz="0" w:space="0" w:color="auto" w:frame="1"/>
          <w:lang w:val="en-IE"/>
        </w:rPr>
        <w:t>When you answer this question, please also take into account the grid of criteria listed in paragraphs 76 to 80</w:t>
      </w:r>
      <w:r>
        <w:t>.</w:t>
      </w:r>
    </w:p>
    <w:p w14:paraId="1D5C0FD1" w14:textId="7F890B15" w:rsidR="00492B3A" w:rsidRDefault="00492B3A" w:rsidP="00492B3A">
      <w:r>
        <w:t>&lt;ESMA_QUESTION_</w:t>
      </w:r>
      <w:r w:rsidR="00DC1B3F">
        <w:t>MMFR</w:t>
      </w:r>
      <w:r>
        <w:t>_3&gt;</w:t>
      </w:r>
    </w:p>
    <w:p w14:paraId="349FF0F9" w14:textId="12BB64DE" w:rsidR="00D01158" w:rsidRPr="00916530" w:rsidRDefault="00D01158" w:rsidP="00D01158">
      <w:pPr>
        <w:pStyle w:val="Default"/>
        <w:ind w:left="360"/>
        <w:rPr>
          <w:rFonts w:asciiTheme="minorHAnsi" w:hAnsiTheme="minorHAnsi" w:cstheme="minorHAnsi"/>
          <w:sz w:val="22"/>
          <w:szCs w:val="22"/>
        </w:rPr>
      </w:pPr>
      <w:permStart w:id="1823616926" w:edGrp="everyone"/>
      <w:r w:rsidRPr="00916530">
        <w:rPr>
          <w:rFonts w:asciiTheme="minorHAnsi" w:hAnsiTheme="minorHAnsi" w:cstheme="minorHAnsi"/>
          <w:sz w:val="22"/>
          <w:szCs w:val="22"/>
        </w:rPr>
        <w:t xml:space="preserve">ICD supports </w:t>
      </w:r>
      <w:proofErr w:type="spellStart"/>
      <w:r w:rsidRPr="00916530">
        <w:rPr>
          <w:rFonts w:asciiTheme="minorHAnsi" w:hAnsiTheme="minorHAnsi" w:cstheme="minorHAnsi"/>
          <w:sz w:val="22"/>
          <w:szCs w:val="22"/>
        </w:rPr>
        <w:t>decoupling</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regulatory</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thresholds</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from</w:t>
      </w:r>
      <w:proofErr w:type="spellEnd"/>
      <w:r w:rsidRPr="00916530">
        <w:rPr>
          <w:rFonts w:asciiTheme="minorHAnsi" w:hAnsiTheme="minorHAnsi" w:cstheme="minorHAnsi"/>
          <w:sz w:val="22"/>
          <w:szCs w:val="22"/>
        </w:rPr>
        <w:t xml:space="preserve"> suspensions/</w:t>
      </w:r>
      <w:proofErr w:type="spellStart"/>
      <w:r w:rsidRPr="00916530">
        <w:rPr>
          <w:rFonts w:asciiTheme="minorHAnsi" w:hAnsiTheme="minorHAnsi" w:cstheme="minorHAnsi"/>
          <w:sz w:val="22"/>
          <w:szCs w:val="22"/>
        </w:rPr>
        <w:t>gates</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When</w:t>
      </w:r>
      <w:proofErr w:type="spellEnd"/>
      <w:r w:rsidRPr="00916530">
        <w:rPr>
          <w:rFonts w:asciiTheme="minorHAnsi" w:hAnsiTheme="minorHAnsi" w:cstheme="minorHAnsi"/>
          <w:sz w:val="22"/>
          <w:szCs w:val="22"/>
        </w:rPr>
        <w:t xml:space="preserve"> the commercial </w:t>
      </w:r>
      <w:proofErr w:type="spellStart"/>
      <w:r w:rsidRPr="00916530">
        <w:rPr>
          <w:rFonts w:asciiTheme="minorHAnsi" w:hAnsiTheme="minorHAnsi" w:cstheme="minorHAnsi"/>
          <w:sz w:val="22"/>
          <w:szCs w:val="22"/>
        </w:rPr>
        <w:t>paper</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market</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seized</w:t>
      </w:r>
      <w:proofErr w:type="spellEnd"/>
      <w:r w:rsidRPr="00916530">
        <w:rPr>
          <w:rFonts w:asciiTheme="minorHAnsi" w:hAnsiTheme="minorHAnsi" w:cstheme="minorHAnsi"/>
          <w:sz w:val="22"/>
          <w:szCs w:val="22"/>
        </w:rPr>
        <w:t xml:space="preserve"> in </w:t>
      </w:r>
      <w:proofErr w:type="spellStart"/>
      <w:r w:rsidRPr="00916530">
        <w:rPr>
          <w:rFonts w:asciiTheme="minorHAnsi" w:hAnsiTheme="minorHAnsi" w:cstheme="minorHAnsi"/>
          <w:sz w:val="22"/>
          <w:szCs w:val="22"/>
        </w:rPr>
        <w:t>mid</w:t>
      </w:r>
      <w:proofErr w:type="spellEnd"/>
      <w:r w:rsidRPr="00916530">
        <w:rPr>
          <w:rFonts w:asciiTheme="minorHAnsi" w:hAnsiTheme="minorHAnsi" w:cstheme="minorHAnsi"/>
          <w:sz w:val="22"/>
          <w:szCs w:val="22"/>
        </w:rPr>
        <w:t xml:space="preserve">-March 2020 in the U.S, prime </w:t>
      </w:r>
      <w:proofErr w:type="spellStart"/>
      <w:r w:rsidRPr="00916530">
        <w:rPr>
          <w:rFonts w:asciiTheme="minorHAnsi" w:hAnsiTheme="minorHAnsi" w:cstheme="minorHAnsi"/>
          <w:sz w:val="22"/>
          <w:szCs w:val="22"/>
        </w:rPr>
        <w:t>MMFs</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had</w:t>
      </w:r>
      <w:proofErr w:type="spellEnd"/>
      <w:r w:rsidRPr="00916530">
        <w:rPr>
          <w:rFonts w:asciiTheme="minorHAnsi" w:hAnsiTheme="minorHAnsi" w:cstheme="minorHAnsi"/>
          <w:sz w:val="22"/>
          <w:szCs w:val="22"/>
        </w:rPr>
        <w:t xml:space="preserve"> ample </w:t>
      </w:r>
      <w:proofErr w:type="spellStart"/>
      <w:r w:rsidRPr="00916530">
        <w:rPr>
          <w:rFonts w:asciiTheme="minorHAnsi" w:hAnsiTheme="minorHAnsi" w:cstheme="minorHAnsi"/>
          <w:sz w:val="22"/>
          <w:szCs w:val="22"/>
        </w:rPr>
        <w:t>liquidity</w:t>
      </w:r>
      <w:proofErr w:type="spellEnd"/>
      <w:r w:rsidRPr="00916530">
        <w:rPr>
          <w:rFonts w:asciiTheme="minorHAnsi" w:hAnsiTheme="minorHAnsi" w:cstheme="minorHAnsi"/>
          <w:sz w:val="22"/>
          <w:szCs w:val="22"/>
        </w:rPr>
        <w:t xml:space="preserve"> to cover </w:t>
      </w:r>
      <w:proofErr w:type="spellStart"/>
      <w:r w:rsidRPr="00916530">
        <w:rPr>
          <w:rFonts w:asciiTheme="minorHAnsi" w:hAnsiTheme="minorHAnsi" w:cstheme="minorHAnsi"/>
          <w:sz w:val="22"/>
          <w:szCs w:val="22"/>
        </w:rPr>
        <w:t>significant</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redemptions</w:t>
      </w:r>
      <w:proofErr w:type="spellEnd"/>
      <w:r w:rsidRPr="00916530">
        <w:rPr>
          <w:rFonts w:asciiTheme="minorHAnsi" w:hAnsiTheme="minorHAnsi" w:cstheme="minorHAnsi"/>
          <w:sz w:val="22"/>
          <w:szCs w:val="22"/>
        </w:rPr>
        <w:t xml:space="preserve">. As </w:t>
      </w:r>
      <w:proofErr w:type="spellStart"/>
      <w:r w:rsidRPr="00916530">
        <w:rPr>
          <w:rFonts w:asciiTheme="minorHAnsi" w:hAnsiTheme="minorHAnsi" w:cstheme="minorHAnsi"/>
          <w:sz w:val="22"/>
          <w:szCs w:val="22"/>
        </w:rPr>
        <w:t>redemptions</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outpaced</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purchases</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however</w:t>
      </w:r>
      <w:proofErr w:type="spellEnd"/>
      <w:r w:rsidRPr="00916530">
        <w:rPr>
          <w:rFonts w:asciiTheme="minorHAnsi" w:hAnsiTheme="minorHAnsi" w:cstheme="minorHAnsi"/>
          <w:sz w:val="22"/>
          <w:szCs w:val="22"/>
        </w:rPr>
        <w:t xml:space="preserve">, the </w:t>
      </w:r>
      <w:proofErr w:type="spellStart"/>
      <w:r w:rsidRPr="00916530">
        <w:rPr>
          <w:rFonts w:asciiTheme="minorHAnsi" w:hAnsiTheme="minorHAnsi" w:cstheme="minorHAnsi"/>
          <w:sz w:val="22"/>
          <w:szCs w:val="22"/>
        </w:rPr>
        <w:t>weekly</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liquid</w:t>
      </w:r>
      <w:proofErr w:type="spellEnd"/>
      <w:r w:rsidRPr="00916530">
        <w:rPr>
          <w:rFonts w:asciiTheme="minorHAnsi" w:hAnsiTheme="minorHAnsi" w:cstheme="minorHAnsi"/>
          <w:sz w:val="22"/>
          <w:szCs w:val="22"/>
        </w:rPr>
        <w:t xml:space="preserve"> assets (WLA) of </w:t>
      </w:r>
      <w:proofErr w:type="spellStart"/>
      <w:r w:rsidRPr="00916530">
        <w:rPr>
          <w:rFonts w:asciiTheme="minorHAnsi" w:hAnsiTheme="minorHAnsi" w:cstheme="minorHAnsi"/>
          <w:sz w:val="22"/>
          <w:szCs w:val="22"/>
        </w:rPr>
        <w:t>some</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funds</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were</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heading</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towards</w:t>
      </w:r>
      <w:proofErr w:type="spellEnd"/>
      <w:r w:rsidRPr="00916530">
        <w:rPr>
          <w:rFonts w:asciiTheme="minorHAnsi" w:hAnsiTheme="minorHAnsi" w:cstheme="minorHAnsi"/>
          <w:sz w:val="22"/>
          <w:szCs w:val="22"/>
        </w:rPr>
        <w:t xml:space="preserve"> 30%. </w:t>
      </w:r>
      <w:proofErr w:type="spellStart"/>
      <w:r w:rsidRPr="00916530">
        <w:rPr>
          <w:rFonts w:asciiTheme="minorHAnsi" w:hAnsiTheme="minorHAnsi" w:cstheme="minorHAnsi"/>
          <w:sz w:val="22"/>
          <w:szCs w:val="22"/>
        </w:rPr>
        <w:t>Many</w:t>
      </w:r>
      <w:proofErr w:type="spellEnd"/>
      <w:r w:rsidRPr="00916530">
        <w:rPr>
          <w:rFonts w:asciiTheme="minorHAnsi" w:hAnsiTheme="minorHAnsi" w:cstheme="minorHAnsi"/>
          <w:sz w:val="22"/>
          <w:szCs w:val="22"/>
        </w:rPr>
        <w:t xml:space="preserve"> of </w:t>
      </w:r>
      <w:proofErr w:type="spellStart"/>
      <w:r w:rsidRPr="00916530">
        <w:rPr>
          <w:rFonts w:asciiTheme="minorHAnsi" w:hAnsiTheme="minorHAnsi" w:cstheme="minorHAnsi"/>
          <w:sz w:val="22"/>
          <w:szCs w:val="22"/>
        </w:rPr>
        <w:t>our</w:t>
      </w:r>
      <w:proofErr w:type="spellEnd"/>
      <w:r w:rsidRPr="00916530">
        <w:rPr>
          <w:rFonts w:asciiTheme="minorHAnsi" w:hAnsiTheme="minorHAnsi" w:cstheme="minorHAnsi"/>
          <w:sz w:val="22"/>
          <w:szCs w:val="22"/>
        </w:rPr>
        <w:t xml:space="preserve"> clients </w:t>
      </w:r>
      <w:proofErr w:type="spellStart"/>
      <w:r w:rsidRPr="00916530">
        <w:rPr>
          <w:rFonts w:asciiTheme="minorHAnsi" w:hAnsiTheme="minorHAnsi" w:cstheme="minorHAnsi"/>
          <w:sz w:val="22"/>
          <w:szCs w:val="22"/>
        </w:rPr>
        <w:t>decided</w:t>
      </w:r>
      <w:proofErr w:type="spellEnd"/>
      <w:r w:rsidRPr="00916530">
        <w:rPr>
          <w:rFonts w:asciiTheme="minorHAnsi" w:hAnsiTheme="minorHAnsi" w:cstheme="minorHAnsi"/>
          <w:sz w:val="22"/>
          <w:szCs w:val="22"/>
        </w:rPr>
        <w:t xml:space="preserve"> to </w:t>
      </w:r>
      <w:proofErr w:type="spellStart"/>
      <w:r w:rsidRPr="00916530">
        <w:rPr>
          <w:rFonts w:asciiTheme="minorHAnsi" w:hAnsiTheme="minorHAnsi" w:cstheme="minorHAnsi"/>
          <w:sz w:val="22"/>
          <w:szCs w:val="22"/>
        </w:rPr>
        <w:t>redeem</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their</w:t>
      </w:r>
      <w:proofErr w:type="spellEnd"/>
      <w:r w:rsidRPr="00916530">
        <w:rPr>
          <w:rFonts w:asciiTheme="minorHAnsi" w:hAnsiTheme="minorHAnsi" w:cstheme="minorHAnsi"/>
          <w:sz w:val="22"/>
          <w:szCs w:val="22"/>
        </w:rPr>
        <w:t xml:space="preserve"> prime </w:t>
      </w:r>
      <w:proofErr w:type="spellStart"/>
      <w:r w:rsidRPr="00916530">
        <w:rPr>
          <w:rFonts w:asciiTheme="minorHAnsi" w:hAnsiTheme="minorHAnsi" w:cstheme="minorHAnsi"/>
          <w:sz w:val="22"/>
          <w:szCs w:val="22"/>
        </w:rPr>
        <w:t>MMFs</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because</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they</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were</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concerned</w:t>
      </w:r>
      <w:proofErr w:type="spellEnd"/>
      <w:r w:rsidRPr="00916530">
        <w:rPr>
          <w:rFonts w:asciiTheme="minorHAnsi" w:hAnsiTheme="minorHAnsi" w:cstheme="minorHAnsi"/>
          <w:sz w:val="22"/>
          <w:szCs w:val="22"/>
        </w:rPr>
        <w:t xml:space="preserve"> a </w:t>
      </w:r>
      <w:proofErr w:type="spellStart"/>
      <w:r w:rsidRPr="00916530">
        <w:rPr>
          <w:rFonts w:asciiTheme="minorHAnsi" w:hAnsiTheme="minorHAnsi" w:cstheme="minorHAnsi"/>
          <w:sz w:val="22"/>
          <w:szCs w:val="22"/>
        </w:rPr>
        <w:t>gate</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would</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be</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imposed</w:t>
      </w:r>
      <w:proofErr w:type="spellEnd"/>
      <w:r w:rsidRPr="00916530">
        <w:rPr>
          <w:rFonts w:asciiTheme="minorHAnsi" w:hAnsiTheme="minorHAnsi" w:cstheme="minorHAnsi"/>
          <w:sz w:val="22"/>
          <w:szCs w:val="22"/>
        </w:rPr>
        <w:t xml:space="preserve"> if </w:t>
      </w:r>
      <w:proofErr w:type="spellStart"/>
      <w:r w:rsidRPr="00916530">
        <w:rPr>
          <w:rFonts w:asciiTheme="minorHAnsi" w:hAnsiTheme="minorHAnsi" w:cstheme="minorHAnsi"/>
          <w:sz w:val="22"/>
          <w:szCs w:val="22"/>
        </w:rPr>
        <w:t>weekly</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liquidity</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fell</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below</w:t>
      </w:r>
      <w:proofErr w:type="spellEnd"/>
      <w:r w:rsidRPr="00916530">
        <w:rPr>
          <w:rFonts w:asciiTheme="minorHAnsi" w:hAnsiTheme="minorHAnsi" w:cstheme="minorHAnsi"/>
          <w:sz w:val="22"/>
          <w:szCs w:val="22"/>
        </w:rPr>
        <w:t xml:space="preserve"> 30%. </w:t>
      </w:r>
      <w:proofErr w:type="spellStart"/>
      <w:r w:rsidRPr="00916530">
        <w:rPr>
          <w:rFonts w:asciiTheme="minorHAnsi" w:hAnsiTheme="minorHAnsi" w:cstheme="minorHAnsi"/>
          <w:sz w:val="22"/>
          <w:szCs w:val="22"/>
        </w:rPr>
        <w:t>From</w:t>
      </w:r>
      <w:proofErr w:type="spellEnd"/>
      <w:r w:rsidRPr="00916530">
        <w:rPr>
          <w:rFonts w:asciiTheme="minorHAnsi" w:hAnsiTheme="minorHAnsi" w:cstheme="minorHAnsi"/>
          <w:sz w:val="22"/>
          <w:szCs w:val="22"/>
        </w:rPr>
        <w:t xml:space="preserve"> an </w:t>
      </w:r>
      <w:proofErr w:type="spellStart"/>
      <w:r w:rsidRPr="00916530">
        <w:rPr>
          <w:rFonts w:asciiTheme="minorHAnsi" w:hAnsiTheme="minorHAnsi" w:cstheme="minorHAnsi"/>
          <w:sz w:val="22"/>
          <w:szCs w:val="22"/>
        </w:rPr>
        <w:t>early</w:t>
      </w:r>
      <w:proofErr w:type="spellEnd"/>
      <w:r w:rsidRPr="00916530">
        <w:rPr>
          <w:rFonts w:asciiTheme="minorHAnsi" w:hAnsiTheme="minorHAnsi" w:cstheme="minorHAnsi"/>
          <w:sz w:val="22"/>
          <w:szCs w:val="22"/>
        </w:rPr>
        <w:t xml:space="preserve"> March high, </w:t>
      </w:r>
      <w:proofErr w:type="spellStart"/>
      <w:r w:rsidRPr="00916530">
        <w:rPr>
          <w:rFonts w:asciiTheme="minorHAnsi" w:hAnsiTheme="minorHAnsi" w:cstheme="minorHAnsi"/>
          <w:sz w:val="22"/>
          <w:szCs w:val="22"/>
        </w:rPr>
        <w:t>our</w:t>
      </w:r>
      <w:proofErr w:type="spellEnd"/>
      <w:r w:rsidRPr="00916530">
        <w:rPr>
          <w:rFonts w:asciiTheme="minorHAnsi" w:hAnsiTheme="minorHAnsi" w:cstheme="minorHAnsi"/>
          <w:sz w:val="22"/>
          <w:szCs w:val="22"/>
        </w:rPr>
        <w:t xml:space="preserve"> client </w:t>
      </w:r>
      <w:proofErr w:type="spellStart"/>
      <w:r w:rsidRPr="00916530">
        <w:rPr>
          <w:rFonts w:asciiTheme="minorHAnsi" w:hAnsiTheme="minorHAnsi" w:cstheme="minorHAnsi"/>
          <w:sz w:val="22"/>
          <w:szCs w:val="22"/>
        </w:rPr>
        <w:t>average</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daily</w:t>
      </w:r>
      <w:proofErr w:type="spellEnd"/>
      <w:r w:rsidRPr="00916530">
        <w:rPr>
          <w:rFonts w:asciiTheme="minorHAnsi" w:hAnsiTheme="minorHAnsi" w:cstheme="minorHAnsi"/>
          <w:sz w:val="22"/>
          <w:szCs w:val="22"/>
        </w:rPr>
        <w:t xml:space="preserve"> balance of U.S. Prime assets on ICD Portal </w:t>
      </w:r>
      <w:proofErr w:type="spellStart"/>
      <w:r w:rsidRPr="00916530">
        <w:rPr>
          <w:rFonts w:asciiTheme="minorHAnsi" w:hAnsiTheme="minorHAnsi" w:cstheme="minorHAnsi"/>
          <w:sz w:val="22"/>
          <w:szCs w:val="22"/>
        </w:rPr>
        <w:t>dropped</w:t>
      </w:r>
      <w:proofErr w:type="spellEnd"/>
      <w:r w:rsidRPr="00916530">
        <w:rPr>
          <w:rFonts w:asciiTheme="minorHAnsi" w:hAnsiTheme="minorHAnsi" w:cstheme="minorHAnsi"/>
          <w:sz w:val="22"/>
          <w:szCs w:val="22"/>
        </w:rPr>
        <w:t xml:space="preserve"> 80% by the middle of </w:t>
      </w:r>
      <w:proofErr w:type="spellStart"/>
      <w:r w:rsidRPr="00916530">
        <w:rPr>
          <w:rFonts w:asciiTheme="minorHAnsi" w:hAnsiTheme="minorHAnsi" w:cstheme="minorHAnsi"/>
          <w:sz w:val="22"/>
          <w:szCs w:val="22"/>
        </w:rPr>
        <w:t>that</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month</w:t>
      </w:r>
      <w:proofErr w:type="spellEnd"/>
      <w:r w:rsidRPr="00916530">
        <w:rPr>
          <w:rFonts w:asciiTheme="minorHAnsi" w:hAnsiTheme="minorHAnsi" w:cstheme="minorHAnsi"/>
          <w:sz w:val="22"/>
          <w:szCs w:val="22"/>
        </w:rPr>
        <w:t xml:space="preserve">. In Europe, </w:t>
      </w:r>
      <w:proofErr w:type="spellStart"/>
      <w:r w:rsidRPr="00916530">
        <w:rPr>
          <w:rFonts w:asciiTheme="minorHAnsi" w:hAnsiTheme="minorHAnsi" w:cstheme="minorHAnsi"/>
          <w:sz w:val="22"/>
          <w:szCs w:val="22"/>
        </w:rPr>
        <w:t>where</w:t>
      </w:r>
      <w:proofErr w:type="spellEnd"/>
      <w:r w:rsidRPr="00916530">
        <w:rPr>
          <w:rFonts w:asciiTheme="minorHAnsi" w:hAnsiTheme="minorHAnsi" w:cstheme="minorHAnsi"/>
          <w:sz w:val="22"/>
          <w:szCs w:val="22"/>
        </w:rPr>
        <w:t xml:space="preserve"> the </w:t>
      </w:r>
      <w:proofErr w:type="spellStart"/>
      <w:r w:rsidRPr="00916530">
        <w:rPr>
          <w:rFonts w:asciiTheme="minorHAnsi" w:hAnsiTheme="minorHAnsi" w:cstheme="minorHAnsi"/>
          <w:sz w:val="22"/>
          <w:szCs w:val="22"/>
        </w:rPr>
        <w:t>fees</w:t>
      </w:r>
      <w:proofErr w:type="spellEnd"/>
      <w:r w:rsidRPr="00916530">
        <w:rPr>
          <w:rFonts w:asciiTheme="minorHAnsi" w:hAnsiTheme="minorHAnsi" w:cstheme="minorHAnsi"/>
          <w:sz w:val="22"/>
          <w:szCs w:val="22"/>
        </w:rPr>
        <w:t xml:space="preserve"> and </w:t>
      </w:r>
      <w:proofErr w:type="spellStart"/>
      <w:r w:rsidRPr="00916530">
        <w:rPr>
          <w:rFonts w:asciiTheme="minorHAnsi" w:hAnsiTheme="minorHAnsi" w:cstheme="minorHAnsi"/>
          <w:sz w:val="22"/>
          <w:szCs w:val="22"/>
        </w:rPr>
        <w:t>gates</w:t>
      </w:r>
      <w:proofErr w:type="spellEnd"/>
      <w:r w:rsidRPr="00916530">
        <w:rPr>
          <w:rFonts w:asciiTheme="minorHAnsi" w:hAnsiTheme="minorHAnsi" w:cstheme="minorHAnsi"/>
          <w:sz w:val="22"/>
          <w:szCs w:val="22"/>
        </w:rPr>
        <w:t xml:space="preserve"> provision are </w:t>
      </w:r>
      <w:proofErr w:type="spellStart"/>
      <w:r w:rsidRPr="00916530">
        <w:rPr>
          <w:rFonts w:asciiTheme="minorHAnsi" w:hAnsiTheme="minorHAnsi" w:cstheme="minorHAnsi"/>
          <w:sz w:val="22"/>
          <w:szCs w:val="22"/>
        </w:rPr>
        <w:t>less</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onerous</w:t>
      </w:r>
      <w:proofErr w:type="spellEnd"/>
      <w:r w:rsidRPr="00916530">
        <w:rPr>
          <w:rFonts w:asciiTheme="minorHAnsi" w:hAnsiTheme="minorHAnsi" w:cstheme="minorHAnsi"/>
          <w:sz w:val="22"/>
          <w:szCs w:val="22"/>
        </w:rPr>
        <w:t xml:space="preserve">, the </w:t>
      </w:r>
      <w:proofErr w:type="spellStart"/>
      <w:r w:rsidRPr="00916530">
        <w:rPr>
          <w:rFonts w:asciiTheme="minorHAnsi" w:hAnsiTheme="minorHAnsi" w:cstheme="minorHAnsi"/>
          <w:sz w:val="22"/>
          <w:szCs w:val="22"/>
        </w:rPr>
        <w:t>outflows</w:t>
      </w:r>
      <w:proofErr w:type="spellEnd"/>
      <w:r w:rsidRPr="00916530">
        <w:rPr>
          <w:rFonts w:asciiTheme="minorHAnsi" w:hAnsiTheme="minorHAnsi" w:cstheme="minorHAnsi"/>
          <w:sz w:val="22"/>
          <w:szCs w:val="22"/>
        </w:rPr>
        <w:t xml:space="preserve"> and asset rotation </w:t>
      </w:r>
      <w:proofErr w:type="spellStart"/>
      <w:r w:rsidRPr="00916530">
        <w:rPr>
          <w:rFonts w:asciiTheme="minorHAnsi" w:hAnsiTheme="minorHAnsi" w:cstheme="minorHAnsi"/>
          <w:sz w:val="22"/>
          <w:szCs w:val="22"/>
        </w:rPr>
        <w:t>from</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our</w:t>
      </w:r>
      <w:proofErr w:type="spellEnd"/>
      <w:r w:rsidRPr="00916530">
        <w:rPr>
          <w:rFonts w:asciiTheme="minorHAnsi" w:hAnsiTheme="minorHAnsi" w:cstheme="minorHAnsi"/>
          <w:sz w:val="22"/>
          <w:szCs w:val="22"/>
        </w:rPr>
        <w:t xml:space="preserve"> platform </w:t>
      </w:r>
      <w:proofErr w:type="spellStart"/>
      <w:r w:rsidRPr="00916530">
        <w:rPr>
          <w:rFonts w:asciiTheme="minorHAnsi" w:hAnsiTheme="minorHAnsi" w:cstheme="minorHAnsi"/>
          <w:sz w:val="22"/>
          <w:szCs w:val="22"/>
        </w:rPr>
        <w:t>was</w:t>
      </w:r>
      <w:proofErr w:type="spellEnd"/>
      <w:r w:rsidRPr="00916530">
        <w:rPr>
          <w:rFonts w:asciiTheme="minorHAnsi" w:hAnsiTheme="minorHAnsi" w:cstheme="minorHAnsi"/>
          <w:sz w:val="22"/>
          <w:szCs w:val="22"/>
        </w:rPr>
        <w:t xml:space="preserve"> not as </w:t>
      </w:r>
      <w:proofErr w:type="spellStart"/>
      <w:r w:rsidRPr="00916530">
        <w:rPr>
          <w:rFonts w:asciiTheme="minorHAnsi" w:hAnsiTheme="minorHAnsi" w:cstheme="minorHAnsi"/>
          <w:sz w:val="22"/>
          <w:szCs w:val="22"/>
        </w:rPr>
        <w:t>significant</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decreasing</w:t>
      </w:r>
      <w:proofErr w:type="spellEnd"/>
      <w:r w:rsidRPr="00916530">
        <w:rPr>
          <w:rFonts w:asciiTheme="minorHAnsi" w:hAnsiTheme="minorHAnsi" w:cstheme="minorHAnsi"/>
          <w:sz w:val="22"/>
          <w:szCs w:val="22"/>
        </w:rPr>
        <w:t xml:space="preserve"> 30% over </w:t>
      </w:r>
      <w:proofErr w:type="spellStart"/>
      <w:r w:rsidRPr="00916530">
        <w:rPr>
          <w:rFonts w:asciiTheme="minorHAnsi" w:hAnsiTheme="minorHAnsi" w:cstheme="minorHAnsi"/>
          <w:sz w:val="22"/>
          <w:szCs w:val="22"/>
        </w:rPr>
        <w:t>that</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same</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period</w:t>
      </w:r>
      <w:proofErr w:type="spellEnd"/>
      <w:r w:rsidRPr="00916530">
        <w:rPr>
          <w:rFonts w:asciiTheme="minorHAnsi" w:hAnsiTheme="minorHAnsi" w:cstheme="minorHAnsi"/>
          <w:sz w:val="22"/>
          <w:szCs w:val="22"/>
        </w:rPr>
        <w:t xml:space="preserve">. A more direct </w:t>
      </w:r>
      <w:proofErr w:type="spellStart"/>
      <w:r w:rsidRPr="00916530">
        <w:rPr>
          <w:rFonts w:asciiTheme="minorHAnsi" w:hAnsiTheme="minorHAnsi" w:cstheme="minorHAnsi"/>
          <w:sz w:val="22"/>
          <w:szCs w:val="22"/>
        </w:rPr>
        <w:t>tying</w:t>
      </w:r>
      <w:proofErr w:type="spellEnd"/>
      <w:r w:rsidRPr="00916530">
        <w:rPr>
          <w:rFonts w:asciiTheme="minorHAnsi" w:hAnsiTheme="minorHAnsi" w:cstheme="minorHAnsi"/>
          <w:sz w:val="22"/>
          <w:szCs w:val="22"/>
        </w:rPr>
        <w:t xml:space="preserve"> of </w:t>
      </w:r>
      <w:proofErr w:type="spellStart"/>
      <w:r w:rsidRPr="00916530">
        <w:rPr>
          <w:rFonts w:asciiTheme="minorHAnsi" w:hAnsiTheme="minorHAnsi" w:cstheme="minorHAnsi"/>
          <w:sz w:val="22"/>
          <w:szCs w:val="22"/>
        </w:rPr>
        <w:t>fees</w:t>
      </w:r>
      <w:proofErr w:type="spellEnd"/>
      <w:r w:rsidRPr="00916530">
        <w:rPr>
          <w:rFonts w:asciiTheme="minorHAnsi" w:hAnsiTheme="minorHAnsi" w:cstheme="minorHAnsi"/>
          <w:sz w:val="22"/>
          <w:szCs w:val="22"/>
        </w:rPr>
        <w:t xml:space="preserve"> and </w:t>
      </w:r>
      <w:proofErr w:type="spellStart"/>
      <w:r w:rsidRPr="00916530">
        <w:rPr>
          <w:rFonts w:asciiTheme="minorHAnsi" w:hAnsiTheme="minorHAnsi" w:cstheme="minorHAnsi"/>
          <w:sz w:val="22"/>
          <w:szCs w:val="22"/>
        </w:rPr>
        <w:t>gates</w:t>
      </w:r>
      <w:proofErr w:type="spellEnd"/>
      <w:r w:rsidRPr="00916530">
        <w:rPr>
          <w:rFonts w:asciiTheme="minorHAnsi" w:hAnsiTheme="minorHAnsi" w:cstheme="minorHAnsi"/>
          <w:sz w:val="22"/>
          <w:szCs w:val="22"/>
        </w:rPr>
        <w:t xml:space="preserve"> to 30% </w:t>
      </w:r>
      <w:proofErr w:type="spellStart"/>
      <w:r w:rsidRPr="00916530">
        <w:rPr>
          <w:rFonts w:asciiTheme="minorHAnsi" w:hAnsiTheme="minorHAnsi" w:cstheme="minorHAnsi"/>
          <w:sz w:val="22"/>
          <w:szCs w:val="22"/>
        </w:rPr>
        <w:t>liquidity</w:t>
      </w:r>
      <w:proofErr w:type="spellEnd"/>
      <w:r w:rsidRPr="00916530">
        <w:rPr>
          <w:rFonts w:asciiTheme="minorHAnsi" w:hAnsiTheme="minorHAnsi" w:cstheme="minorHAnsi"/>
          <w:sz w:val="22"/>
          <w:szCs w:val="22"/>
        </w:rPr>
        <w:t xml:space="preserve"> in the U.S. </w:t>
      </w:r>
      <w:proofErr w:type="spellStart"/>
      <w:r w:rsidRPr="00916530">
        <w:rPr>
          <w:rFonts w:asciiTheme="minorHAnsi" w:hAnsiTheme="minorHAnsi" w:cstheme="minorHAnsi"/>
          <w:sz w:val="22"/>
          <w:szCs w:val="22"/>
        </w:rPr>
        <w:t>caused</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greater</w:t>
      </w:r>
      <w:proofErr w:type="spellEnd"/>
      <w:r w:rsidRPr="00916530">
        <w:rPr>
          <w:rFonts w:asciiTheme="minorHAnsi" w:hAnsiTheme="minorHAnsi" w:cstheme="minorHAnsi"/>
          <w:sz w:val="22"/>
          <w:szCs w:val="22"/>
        </w:rPr>
        <w:t xml:space="preserve"> stress </w:t>
      </w:r>
      <w:proofErr w:type="spellStart"/>
      <w:r w:rsidRPr="00916530">
        <w:rPr>
          <w:rFonts w:asciiTheme="minorHAnsi" w:hAnsiTheme="minorHAnsi" w:cstheme="minorHAnsi"/>
          <w:sz w:val="22"/>
          <w:szCs w:val="22"/>
        </w:rPr>
        <w:t>around</w:t>
      </w:r>
      <w:proofErr w:type="spellEnd"/>
      <w:r w:rsidRPr="00916530">
        <w:rPr>
          <w:rFonts w:asciiTheme="minorHAnsi" w:hAnsiTheme="minorHAnsi" w:cstheme="minorHAnsi"/>
          <w:sz w:val="22"/>
          <w:szCs w:val="22"/>
        </w:rPr>
        <w:t xml:space="preserve"> the </w:t>
      </w:r>
      <w:proofErr w:type="spellStart"/>
      <w:r w:rsidRPr="00916530">
        <w:rPr>
          <w:rFonts w:asciiTheme="minorHAnsi" w:hAnsiTheme="minorHAnsi" w:cstheme="minorHAnsi"/>
          <w:sz w:val="22"/>
          <w:szCs w:val="22"/>
        </w:rPr>
        <w:t>market</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liquidity</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crisis</w:t>
      </w:r>
      <w:proofErr w:type="spellEnd"/>
      <w:r w:rsidRPr="00916530">
        <w:rPr>
          <w:rFonts w:asciiTheme="minorHAnsi" w:hAnsiTheme="minorHAnsi" w:cstheme="minorHAnsi"/>
          <w:sz w:val="22"/>
          <w:szCs w:val="22"/>
        </w:rPr>
        <w:t>.</w:t>
      </w:r>
    </w:p>
    <w:p w14:paraId="76EC532D" w14:textId="77777777" w:rsidR="00D01158" w:rsidRPr="00916530" w:rsidRDefault="00D01158" w:rsidP="00D01158">
      <w:pPr>
        <w:pStyle w:val="Default"/>
        <w:ind w:left="360"/>
        <w:rPr>
          <w:rFonts w:asciiTheme="minorHAnsi" w:hAnsiTheme="minorHAnsi" w:cstheme="minorHAnsi"/>
          <w:sz w:val="22"/>
          <w:szCs w:val="22"/>
        </w:rPr>
      </w:pPr>
    </w:p>
    <w:p w14:paraId="6FD778B3" w14:textId="76362B09" w:rsidR="00492B3A" w:rsidRPr="00916530" w:rsidRDefault="00D01158" w:rsidP="00916530">
      <w:pPr>
        <w:pStyle w:val="Default"/>
        <w:ind w:left="360"/>
        <w:rPr>
          <w:rFonts w:asciiTheme="minorHAnsi" w:hAnsiTheme="minorHAnsi" w:cstheme="minorHAnsi"/>
          <w:sz w:val="22"/>
          <w:szCs w:val="22"/>
        </w:rPr>
      </w:pPr>
      <w:proofErr w:type="spellStart"/>
      <w:r w:rsidRPr="00916530">
        <w:rPr>
          <w:rFonts w:asciiTheme="minorHAnsi" w:hAnsiTheme="minorHAnsi" w:cstheme="minorHAnsi"/>
          <w:sz w:val="22"/>
          <w:szCs w:val="22"/>
        </w:rPr>
        <w:t>Further</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decoupling</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would</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make</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it</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much</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easier</w:t>
      </w:r>
      <w:proofErr w:type="spellEnd"/>
      <w:r w:rsidRPr="00916530">
        <w:rPr>
          <w:rFonts w:asciiTheme="minorHAnsi" w:hAnsiTheme="minorHAnsi" w:cstheme="minorHAnsi"/>
          <w:sz w:val="22"/>
          <w:szCs w:val="22"/>
        </w:rPr>
        <w:t xml:space="preserve"> for </w:t>
      </w:r>
      <w:proofErr w:type="spellStart"/>
      <w:r w:rsidRPr="00916530">
        <w:rPr>
          <w:rFonts w:asciiTheme="minorHAnsi" w:hAnsiTheme="minorHAnsi" w:cstheme="minorHAnsi"/>
          <w:sz w:val="22"/>
          <w:szCs w:val="22"/>
        </w:rPr>
        <w:t>MMFs</w:t>
      </w:r>
      <w:proofErr w:type="spellEnd"/>
      <w:r w:rsidRPr="00916530">
        <w:rPr>
          <w:rFonts w:asciiTheme="minorHAnsi" w:hAnsiTheme="minorHAnsi" w:cstheme="minorHAnsi"/>
          <w:sz w:val="22"/>
          <w:szCs w:val="22"/>
        </w:rPr>
        <w:t xml:space="preserve"> to </w:t>
      </w:r>
      <w:proofErr w:type="spellStart"/>
      <w:r w:rsidRPr="00916530">
        <w:rPr>
          <w:rFonts w:asciiTheme="minorHAnsi" w:hAnsiTheme="minorHAnsi" w:cstheme="minorHAnsi"/>
          <w:sz w:val="22"/>
          <w:szCs w:val="22"/>
        </w:rPr>
        <w:t>tap</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into</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that</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liquidity</w:t>
      </w:r>
      <w:proofErr w:type="spellEnd"/>
      <w:r w:rsidRPr="00916530">
        <w:rPr>
          <w:rFonts w:asciiTheme="minorHAnsi" w:hAnsiTheme="minorHAnsi" w:cstheme="minorHAnsi"/>
          <w:sz w:val="22"/>
          <w:szCs w:val="22"/>
        </w:rPr>
        <w:t xml:space="preserve"> buffer </w:t>
      </w:r>
      <w:proofErr w:type="spellStart"/>
      <w:r w:rsidRPr="00916530">
        <w:rPr>
          <w:rFonts w:asciiTheme="minorHAnsi" w:hAnsiTheme="minorHAnsi" w:cstheme="minorHAnsi"/>
          <w:sz w:val="22"/>
          <w:szCs w:val="22"/>
        </w:rPr>
        <w:t>should</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they</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need</w:t>
      </w:r>
      <w:proofErr w:type="spellEnd"/>
      <w:r w:rsidRPr="00916530">
        <w:rPr>
          <w:rFonts w:asciiTheme="minorHAnsi" w:hAnsiTheme="minorHAnsi" w:cstheme="minorHAnsi"/>
          <w:sz w:val="22"/>
          <w:szCs w:val="22"/>
        </w:rPr>
        <w:t xml:space="preserve"> to do </w:t>
      </w:r>
      <w:proofErr w:type="spellStart"/>
      <w:r w:rsidRPr="00916530">
        <w:rPr>
          <w:rFonts w:asciiTheme="minorHAnsi" w:hAnsiTheme="minorHAnsi" w:cstheme="minorHAnsi"/>
          <w:sz w:val="22"/>
          <w:szCs w:val="22"/>
        </w:rPr>
        <w:t>so</w:t>
      </w:r>
      <w:proofErr w:type="spellEnd"/>
      <w:r w:rsidRPr="00916530">
        <w:rPr>
          <w:rFonts w:asciiTheme="minorHAnsi" w:hAnsiTheme="minorHAnsi" w:cstheme="minorHAnsi"/>
          <w:sz w:val="22"/>
          <w:szCs w:val="22"/>
        </w:rPr>
        <w:t xml:space="preserve">. If </w:t>
      </w:r>
      <w:proofErr w:type="spellStart"/>
      <w:r w:rsidRPr="00916530">
        <w:rPr>
          <w:rFonts w:asciiTheme="minorHAnsi" w:hAnsiTheme="minorHAnsi" w:cstheme="minorHAnsi"/>
          <w:sz w:val="22"/>
          <w:szCs w:val="22"/>
        </w:rPr>
        <w:t>there</w:t>
      </w:r>
      <w:proofErr w:type="spellEnd"/>
      <w:r w:rsidRPr="00916530">
        <w:rPr>
          <w:rFonts w:asciiTheme="minorHAnsi" w:hAnsiTheme="minorHAnsi" w:cstheme="minorHAnsi"/>
          <w:sz w:val="22"/>
          <w:szCs w:val="22"/>
        </w:rPr>
        <w:t xml:space="preserve"> are </w:t>
      </w:r>
      <w:proofErr w:type="spellStart"/>
      <w:r w:rsidRPr="00916530">
        <w:rPr>
          <w:rFonts w:asciiTheme="minorHAnsi" w:hAnsiTheme="minorHAnsi" w:cstheme="minorHAnsi"/>
          <w:sz w:val="22"/>
          <w:szCs w:val="22"/>
        </w:rPr>
        <w:t>still</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concerns</w:t>
      </w:r>
      <w:proofErr w:type="spellEnd"/>
      <w:r w:rsidRPr="00916530">
        <w:rPr>
          <w:rFonts w:asciiTheme="minorHAnsi" w:hAnsiTheme="minorHAnsi" w:cstheme="minorHAnsi"/>
          <w:sz w:val="22"/>
          <w:szCs w:val="22"/>
        </w:rPr>
        <w:t xml:space="preserve"> about </w:t>
      </w:r>
      <w:proofErr w:type="spellStart"/>
      <w:r w:rsidRPr="00916530">
        <w:rPr>
          <w:rFonts w:asciiTheme="minorHAnsi" w:hAnsiTheme="minorHAnsi" w:cstheme="minorHAnsi"/>
          <w:sz w:val="22"/>
          <w:szCs w:val="22"/>
        </w:rPr>
        <w:t>liquidity</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increasing</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liquidity</w:t>
      </w:r>
      <w:proofErr w:type="spellEnd"/>
      <w:r w:rsidRPr="00916530">
        <w:rPr>
          <w:rFonts w:asciiTheme="minorHAnsi" w:hAnsiTheme="minorHAnsi" w:cstheme="minorHAnsi"/>
          <w:sz w:val="22"/>
          <w:szCs w:val="22"/>
        </w:rPr>
        <w:t xml:space="preserve"> buffers </w:t>
      </w:r>
      <w:proofErr w:type="spellStart"/>
      <w:r w:rsidRPr="00916530">
        <w:rPr>
          <w:rFonts w:asciiTheme="minorHAnsi" w:hAnsiTheme="minorHAnsi" w:cstheme="minorHAnsi"/>
          <w:sz w:val="22"/>
          <w:szCs w:val="22"/>
        </w:rPr>
        <w:t>could</w:t>
      </w:r>
      <w:proofErr w:type="spellEnd"/>
      <w:r w:rsidRPr="00916530">
        <w:rPr>
          <w:rFonts w:asciiTheme="minorHAnsi" w:hAnsiTheme="minorHAnsi" w:cstheme="minorHAnsi"/>
          <w:sz w:val="22"/>
          <w:szCs w:val="22"/>
        </w:rPr>
        <w:t xml:space="preserve"> help offset </w:t>
      </w:r>
      <w:proofErr w:type="spellStart"/>
      <w:r w:rsidRPr="00916530">
        <w:rPr>
          <w:rFonts w:asciiTheme="minorHAnsi" w:hAnsiTheme="minorHAnsi" w:cstheme="minorHAnsi"/>
          <w:sz w:val="22"/>
          <w:szCs w:val="22"/>
        </w:rPr>
        <w:t>some</w:t>
      </w:r>
      <w:proofErr w:type="spellEnd"/>
      <w:r w:rsidRPr="00916530">
        <w:rPr>
          <w:rFonts w:asciiTheme="minorHAnsi" w:hAnsiTheme="minorHAnsi" w:cstheme="minorHAnsi"/>
          <w:sz w:val="22"/>
          <w:szCs w:val="22"/>
        </w:rPr>
        <w:t xml:space="preserve"> of the </w:t>
      </w:r>
      <w:proofErr w:type="spellStart"/>
      <w:r w:rsidRPr="00916530">
        <w:rPr>
          <w:rFonts w:asciiTheme="minorHAnsi" w:hAnsiTheme="minorHAnsi" w:cstheme="minorHAnsi"/>
          <w:sz w:val="22"/>
          <w:szCs w:val="22"/>
        </w:rPr>
        <w:t>concerns</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around</w:t>
      </w:r>
      <w:proofErr w:type="spellEnd"/>
      <w:r w:rsidRPr="00916530">
        <w:rPr>
          <w:rFonts w:asciiTheme="minorHAnsi" w:hAnsiTheme="minorHAnsi" w:cstheme="minorHAnsi"/>
          <w:sz w:val="22"/>
          <w:szCs w:val="22"/>
        </w:rPr>
        <w:t xml:space="preserve"> the </w:t>
      </w:r>
      <w:proofErr w:type="spellStart"/>
      <w:r w:rsidRPr="00916530">
        <w:rPr>
          <w:rFonts w:asciiTheme="minorHAnsi" w:hAnsiTheme="minorHAnsi" w:cstheme="minorHAnsi"/>
          <w:sz w:val="22"/>
          <w:szCs w:val="22"/>
        </w:rPr>
        <w:t>potential</w:t>
      </w:r>
      <w:proofErr w:type="spellEnd"/>
      <w:r w:rsidRPr="00916530">
        <w:rPr>
          <w:rFonts w:asciiTheme="minorHAnsi" w:hAnsiTheme="minorHAnsi" w:cstheme="minorHAnsi"/>
          <w:sz w:val="22"/>
          <w:szCs w:val="22"/>
        </w:rPr>
        <w:t xml:space="preserve"> to drop </w:t>
      </w:r>
      <w:proofErr w:type="spellStart"/>
      <w:r w:rsidRPr="00916530">
        <w:rPr>
          <w:rFonts w:asciiTheme="minorHAnsi" w:hAnsiTheme="minorHAnsi" w:cstheme="minorHAnsi"/>
          <w:sz w:val="22"/>
          <w:szCs w:val="22"/>
        </w:rPr>
        <w:t>below</w:t>
      </w:r>
      <w:proofErr w:type="spellEnd"/>
      <w:r w:rsidRPr="00916530">
        <w:rPr>
          <w:rFonts w:asciiTheme="minorHAnsi" w:hAnsiTheme="minorHAnsi" w:cstheme="minorHAnsi"/>
          <w:sz w:val="22"/>
          <w:szCs w:val="22"/>
        </w:rPr>
        <w:t xml:space="preserve"> </w:t>
      </w:r>
      <w:proofErr w:type="spellStart"/>
      <w:r w:rsidRPr="00916530">
        <w:rPr>
          <w:rFonts w:asciiTheme="minorHAnsi" w:hAnsiTheme="minorHAnsi" w:cstheme="minorHAnsi"/>
          <w:sz w:val="22"/>
          <w:szCs w:val="22"/>
        </w:rPr>
        <w:t>thresholds</w:t>
      </w:r>
      <w:proofErr w:type="spellEnd"/>
      <w:r w:rsidRPr="00916530">
        <w:rPr>
          <w:rFonts w:asciiTheme="minorHAnsi" w:hAnsiTheme="minorHAnsi" w:cstheme="minorHAnsi"/>
          <w:sz w:val="22"/>
          <w:szCs w:val="22"/>
        </w:rPr>
        <w:t xml:space="preserve"> and enable </w:t>
      </w:r>
      <w:proofErr w:type="spellStart"/>
      <w:r w:rsidRPr="00916530">
        <w:rPr>
          <w:rFonts w:asciiTheme="minorHAnsi" w:hAnsiTheme="minorHAnsi" w:cstheme="minorHAnsi"/>
          <w:sz w:val="22"/>
          <w:szCs w:val="22"/>
        </w:rPr>
        <w:t>funds</w:t>
      </w:r>
      <w:proofErr w:type="spellEnd"/>
      <w:r w:rsidRPr="00916530">
        <w:rPr>
          <w:rFonts w:asciiTheme="minorHAnsi" w:hAnsiTheme="minorHAnsi" w:cstheme="minorHAnsi"/>
          <w:sz w:val="22"/>
          <w:szCs w:val="22"/>
        </w:rPr>
        <w:t xml:space="preserve"> to </w:t>
      </w:r>
      <w:proofErr w:type="spellStart"/>
      <w:r w:rsidR="004D0C17">
        <w:rPr>
          <w:rFonts w:asciiTheme="minorHAnsi" w:hAnsiTheme="minorHAnsi" w:cstheme="minorHAnsi"/>
          <w:sz w:val="22"/>
          <w:szCs w:val="22"/>
        </w:rPr>
        <w:t>dip</w:t>
      </w:r>
      <w:proofErr w:type="spellEnd"/>
      <w:r w:rsidR="004D0C17">
        <w:rPr>
          <w:rFonts w:asciiTheme="minorHAnsi" w:hAnsiTheme="minorHAnsi" w:cstheme="minorHAnsi"/>
          <w:sz w:val="22"/>
          <w:szCs w:val="22"/>
        </w:rPr>
        <w:t xml:space="preserve"> </w:t>
      </w:r>
      <w:proofErr w:type="spellStart"/>
      <w:r w:rsidR="004D0C17">
        <w:rPr>
          <w:rFonts w:asciiTheme="minorHAnsi" w:hAnsiTheme="minorHAnsi" w:cstheme="minorHAnsi"/>
          <w:sz w:val="22"/>
          <w:szCs w:val="22"/>
        </w:rPr>
        <w:t>into</w:t>
      </w:r>
      <w:proofErr w:type="spellEnd"/>
      <w:r w:rsidR="004D0C17">
        <w:rPr>
          <w:rFonts w:asciiTheme="minorHAnsi" w:hAnsiTheme="minorHAnsi" w:cstheme="minorHAnsi"/>
          <w:sz w:val="22"/>
          <w:szCs w:val="22"/>
        </w:rPr>
        <w:t xml:space="preserve"> </w:t>
      </w:r>
      <w:proofErr w:type="spellStart"/>
      <w:r w:rsidR="004D0C17">
        <w:rPr>
          <w:rFonts w:asciiTheme="minorHAnsi" w:hAnsiTheme="minorHAnsi" w:cstheme="minorHAnsi"/>
          <w:sz w:val="22"/>
          <w:szCs w:val="22"/>
        </w:rPr>
        <w:t>those</w:t>
      </w:r>
      <w:proofErr w:type="spellEnd"/>
      <w:r w:rsidR="004D0C17">
        <w:rPr>
          <w:rFonts w:asciiTheme="minorHAnsi" w:hAnsiTheme="minorHAnsi" w:cstheme="minorHAnsi"/>
          <w:sz w:val="22"/>
          <w:szCs w:val="22"/>
        </w:rPr>
        <w:t xml:space="preserve"> </w:t>
      </w:r>
      <w:proofErr w:type="spellStart"/>
      <w:r w:rsidR="006A54ED">
        <w:rPr>
          <w:rFonts w:asciiTheme="minorHAnsi" w:hAnsiTheme="minorHAnsi" w:cstheme="minorHAnsi"/>
          <w:sz w:val="22"/>
          <w:szCs w:val="22"/>
        </w:rPr>
        <w:t>liquidity</w:t>
      </w:r>
      <w:proofErr w:type="spellEnd"/>
      <w:r w:rsidR="006A54ED">
        <w:rPr>
          <w:rFonts w:asciiTheme="minorHAnsi" w:hAnsiTheme="minorHAnsi" w:cstheme="minorHAnsi"/>
          <w:sz w:val="22"/>
          <w:szCs w:val="22"/>
        </w:rPr>
        <w:t xml:space="preserve"> buffers </w:t>
      </w:r>
      <w:r w:rsidRPr="00916530">
        <w:rPr>
          <w:rFonts w:asciiTheme="minorHAnsi" w:hAnsiTheme="minorHAnsi" w:cstheme="minorHAnsi"/>
          <w:sz w:val="22"/>
          <w:szCs w:val="22"/>
        </w:rPr>
        <w:t xml:space="preserve">more </w:t>
      </w:r>
      <w:proofErr w:type="spellStart"/>
      <w:r w:rsidRPr="00916530">
        <w:rPr>
          <w:rFonts w:asciiTheme="minorHAnsi" w:hAnsiTheme="minorHAnsi" w:cstheme="minorHAnsi"/>
          <w:sz w:val="22"/>
          <w:szCs w:val="22"/>
        </w:rPr>
        <w:t>regularly</w:t>
      </w:r>
      <w:proofErr w:type="spellEnd"/>
      <w:r w:rsidRPr="00916530">
        <w:rPr>
          <w:rFonts w:asciiTheme="minorHAnsi" w:hAnsiTheme="minorHAnsi" w:cstheme="minorHAnsi"/>
          <w:sz w:val="22"/>
          <w:szCs w:val="22"/>
        </w:rPr>
        <w:t>.</w:t>
      </w:r>
    </w:p>
    <w:permEnd w:id="1823616926"/>
    <w:p w14:paraId="383E5893" w14:textId="58F91FDE" w:rsidR="00492B3A" w:rsidRDefault="00492B3A" w:rsidP="00492B3A">
      <w:r>
        <w:t>&lt;ESMA_QUESTION_</w:t>
      </w:r>
      <w:r w:rsidR="00DC1B3F">
        <w:t>MMFR</w:t>
      </w:r>
      <w:r>
        <w:t>_3&gt;</w:t>
      </w:r>
    </w:p>
    <w:p w14:paraId="4AD8C875" w14:textId="77777777" w:rsidR="00492B3A" w:rsidRDefault="00492B3A" w:rsidP="00492B3A"/>
    <w:p w14:paraId="798F0E29" w14:textId="62BC3067" w:rsidR="00492B3A" w:rsidRDefault="00976448" w:rsidP="00492B3A">
      <w:pPr>
        <w:pStyle w:val="Questionstyle"/>
      </w:pPr>
      <w:r w:rsidRPr="00F43E30">
        <w:t xml:space="preserve">i) </w:t>
      </w:r>
      <w:r w:rsidRPr="00F43E30">
        <w:rPr>
          <w:color w:val="201F1E"/>
          <w:bdr w:val="none" w:sz="0" w:space="0" w:color="auto" w:frame="1"/>
          <w:lang w:val="en-IE"/>
        </w:rPr>
        <w:t xml:space="preserve">Do you agree with the above assessment of the potential need to </w:t>
      </w:r>
      <w:r w:rsidRPr="00F43E30">
        <w:rPr>
          <w:lang w:val="en-US"/>
        </w:rPr>
        <w:t>require MMFs to use swing pricing and / or ADL / liquidity fees and the corresponding proposal of amendment of the MMF Regulation (including the above list of corresponding potential benefits and drawbacks)</w:t>
      </w:r>
      <w:r w:rsidRPr="00F43E30">
        <w:rPr>
          <w:color w:val="201F1E"/>
          <w:bdr w:val="none" w:sz="0" w:space="0" w:color="auto" w:frame="1"/>
          <w:lang w:val="en-IE"/>
        </w:rPr>
        <w:t>? ii) If you are of the view that swing pricing might not be workable for certain types of MMFs, which instruments would you suggest as an alternative for these types of MMFs going forward</w:t>
      </w:r>
      <w:r w:rsidRPr="00F43E30">
        <w:rPr>
          <w:lang w:val="en-US"/>
        </w:rPr>
        <w:t xml:space="preserve">? </w:t>
      </w:r>
      <w:r w:rsidRPr="00F43E30">
        <w:rPr>
          <w:color w:val="201F1E"/>
          <w:bdr w:val="none" w:sz="0" w:space="0" w:color="auto" w:frame="1"/>
          <w:lang w:val="en-IE"/>
        </w:rPr>
        <w:t xml:space="preserve">When </w:t>
      </w:r>
      <w:r w:rsidRPr="00F43E30">
        <w:rPr>
          <w:color w:val="201F1E"/>
          <w:bdr w:val="none" w:sz="0" w:space="0" w:color="auto" w:frame="1"/>
          <w:lang w:val="en-IE"/>
        </w:rPr>
        <w:lastRenderedPageBreak/>
        <w:t>you answer this question, please also take into account the grid of criteria listed in paragraphs 76 to 80</w:t>
      </w:r>
      <w:r>
        <w:t>.</w:t>
      </w:r>
    </w:p>
    <w:p w14:paraId="001F3D0D" w14:textId="3E350E89" w:rsidR="00492B3A" w:rsidRDefault="00492B3A" w:rsidP="00492B3A">
      <w:r>
        <w:t>&lt;ESMA_QUESTION_</w:t>
      </w:r>
      <w:r w:rsidR="00DC1B3F">
        <w:t>MMFR</w:t>
      </w:r>
      <w:r>
        <w:t>_4&gt;</w:t>
      </w:r>
    </w:p>
    <w:p w14:paraId="4975BC77" w14:textId="77777777" w:rsidR="00492B3A" w:rsidRDefault="00492B3A" w:rsidP="00492B3A">
      <w:permStart w:id="910372547" w:edGrp="everyone"/>
      <w:r>
        <w:t>TYPE YOUR TEXT HERE</w:t>
      </w:r>
    </w:p>
    <w:permEnd w:id="910372547"/>
    <w:p w14:paraId="44CC0988" w14:textId="6046863B" w:rsidR="00492B3A" w:rsidRDefault="00492B3A" w:rsidP="00492B3A">
      <w:r>
        <w:t>&lt;ESMA_QUESTION_</w:t>
      </w:r>
      <w:r w:rsidR="00DC1B3F">
        <w:t>MMFR</w:t>
      </w:r>
      <w:r>
        <w:t>_4&gt;</w:t>
      </w:r>
    </w:p>
    <w:p w14:paraId="629688A3" w14:textId="77777777" w:rsidR="00492B3A" w:rsidRDefault="00492B3A" w:rsidP="00492B3A"/>
    <w:p w14:paraId="4404B413" w14:textId="29EA4379" w:rsidR="00492B3A" w:rsidRDefault="00976448" w:rsidP="00492B3A">
      <w:pPr>
        <w:pStyle w:val="Questionstyle"/>
      </w:pPr>
      <w:r w:rsidRPr="00F43E30">
        <w:rPr>
          <w:lang w:val="en-US"/>
        </w:rPr>
        <w:t xml:space="preserve">i) </w:t>
      </w:r>
      <w:r w:rsidRPr="00F43E30">
        <w:rPr>
          <w:color w:val="201F1E"/>
          <w:bdr w:val="none" w:sz="0" w:space="0" w:color="auto" w:frame="1"/>
          <w:lang w:val="en-IE"/>
        </w:rPr>
        <w:t xml:space="preserve">Do you agree with the above assessment of the potential need to </w:t>
      </w:r>
      <w:r w:rsidRPr="00F43E30">
        <w:rPr>
          <w:lang w:val="en-IE"/>
        </w:rPr>
        <w:t>increase liquidity buffers and/or make them usable/countercyclical</w:t>
      </w:r>
      <w:r w:rsidRPr="00F43E30">
        <w:rPr>
          <w:lang w:val="en-US"/>
        </w:rPr>
        <w:t xml:space="preserve"> and the corresponding potential proposal of amendment of the MMF Regulation</w:t>
      </w:r>
      <w:r w:rsidRPr="00F43E30">
        <w:rPr>
          <w:color w:val="201F1E"/>
          <w:bdr w:val="none" w:sz="0" w:space="0" w:color="auto" w:frame="1"/>
          <w:lang w:val="en-IE"/>
        </w:rPr>
        <w:t>? ii) With respect to option 1 above, views are sought in particular on the relevant threshold (on the size of redemptions) from which WLA would need to be automatically adjusted. When you answer this question, please also take into account the grid of criteria listed in paragraphs 76 to 80</w:t>
      </w:r>
      <w:r>
        <w:t>.</w:t>
      </w:r>
    </w:p>
    <w:p w14:paraId="037D1519" w14:textId="4D01ACCC" w:rsidR="00492B3A" w:rsidRDefault="00492B3A" w:rsidP="00492B3A">
      <w:r>
        <w:t>&lt;ESMA_QUESTION_</w:t>
      </w:r>
      <w:r w:rsidR="00DC1B3F">
        <w:t>MMFR</w:t>
      </w:r>
      <w:r>
        <w:t>_5&gt;</w:t>
      </w:r>
    </w:p>
    <w:p w14:paraId="709F0B8A" w14:textId="77777777" w:rsidR="00492B3A" w:rsidRDefault="00492B3A" w:rsidP="00492B3A">
      <w:permStart w:id="1454397300" w:edGrp="everyone"/>
      <w:r>
        <w:t>TYPE YOUR TEXT HERE</w:t>
      </w:r>
    </w:p>
    <w:permEnd w:id="1454397300"/>
    <w:p w14:paraId="208A9476" w14:textId="7580A047" w:rsidR="00492B3A" w:rsidRDefault="00492B3A" w:rsidP="00492B3A">
      <w:r>
        <w:t>&lt;ESMA_QUESTION_</w:t>
      </w:r>
      <w:r w:rsidR="00DC1B3F">
        <w:t>MMFR</w:t>
      </w:r>
      <w:r>
        <w:t>_5&gt;</w:t>
      </w:r>
    </w:p>
    <w:p w14:paraId="7F6E38EC" w14:textId="77777777" w:rsidR="00492B3A" w:rsidRDefault="00492B3A" w:rsidP="00492B3A"/>
    <w:p w14:paraId="428AAF91" w14:textId="59337D31" w:rsidR="00492B3A" w:rsidRDefault="00976448" w:rsidP="00492B3A">
      <w:pPr>
        <w:pStyle w:val="Questionstyle"/>
      </w:pPr>
      <w:r w:rsidRPr="00F43E30">
        <w:rPr>
          <w:color w:val="201F1E"/>
          <w:bdr w:val="none" w:sz="0" w:space="0" w:color="auto" w:frame="1"/>
          <w:lang w:val="en-IE"/>
        </w:rPr>
        <w:t xml:space="preserve">What are your views on the potential need to </w:t>
      </w:r>
      <w:r w:rsidRPr="00F43E30">
        <w:rPr>
          <w:lang w:val="en-IE"/>
        </w:rPr>
        <w:t>eliminate CNAV and LVNAV funds, in light of the recent market developments,</w:t>
      </w:r>
      <w:r w:rsidRPr="00F43E30">
        <w:rPr>
          <w:lang w:val="en-US"/>
        </w:rPr>
        <w:t xml:space="preserve"> and the corresponding potential proposal of amendment of the MMF Regulation?</w:t>
      </w:r>
      <w:r w:rsidRPr="00F43E30">
        <w:rPr>
          <w:color w:val="201F1E"/>
          <w:bdr w:val="none" w:sz="0" w:space="0" w:color="auto" w:frame="1"/>
          <w:lang w:val="en-IE"/>
        </w:rPr>
        <w:t xml:space="preserve"> When you answer this question, please also take into account the grid of criteria listed in paragraphs 76 to 80</w:t>
      </w:r>
      <w:r>
        <w:t>.</w:t>
      </w:r>
    </w:p>
    <w:p w14:paraId="5D7E3500" w14:textId="0C5847FA" w:rsidR="00492B3A" w:rsidRDefault="00492B3A" w:rsidP="00492B3A">
      <w:r>
        <w:t>&lt;ESMA_QUESTION_</w:t>
      </w:r>
      <w:r w:rsidR="00DC1B3F">
        <w:t>MMFR</w:t>
      </w:r>
      <w:r>
        <w:t>_6&gt;</w:t>
      </w:r>
    </w:p>
    <w:p w14:paraId="3B5472D4" w14:textId="77777777" w:rsidR="0024757E" w:rsidRDefault="0024757E" w:rsidP="0024757E">
      <w:pPr>
        <w:rPr>
          <w:rFonts w:cstheme="minorHAnsi"/>
        </w:rPr>
      </w:pPr>
      <w:permStart w:id="164587406" w:edGrp="everyone"/>
    </w:p>
    <w:p w14:paraId="31C5FD2B" w14:textId="409C9F03" w:rsidR="0024757E" w:rsidRDefault="0024757E" w:rsidP="007E0AE4">
      <w:pPr>
        <w:pStyle w:val="ListParagraph"/>
        <w:numPr>
          <w:ilvl w:val="0"/>
          <w:numId w:val="43"/>
        </w:numPr>
        <w:spacing w:after="160" w:line="259" w:lineRule="auto"/>
        <w:rPr>
          <w:rFonts w:cstheme="minorHAnsi"/>
          <w:b/>
          <w:bCs/>
        </w:rPr>
      </w:pPr>
      <w:r w:rsidRPr="00876F82">
        <w:rPr>
          <w:rFonts w:cstheme="minorHAnsi"/>
          <w:b/>
          <w:bCs/>
        </w:rPr>
        <w:t>Impact on the resilience of MMFs</w:t>
      </w:r>
    </w:p>
    <w:p w14:paraId="538D000B" w14:textId="77777777" w:rsidR="00AC7999" w:rsidRPr="00876F82" w:rsidRDefault="00AC7999" w:rsidP="00AC7999">
      <w:pPr>
        <w:pStyle w:val="ListParagraph"/>
        <w:spacing w:after="160" w:line="259" w:lineRule="auto"/>
        <w:ind w:left="1080"/>
        <w:rPr>
          <w:rFonts w:cstheme="minorHAnsi"/>
          <w:b/>
          <w:bCs/>
        </w:rPr>
      </w:pPr>
    </w:p>
    <w:p w14:paraId="138E1F69" w14:textId="77777777" w:rsidR="0024757E" w:rsidRPr="000B043B" w:rsidRDefault="0024757E" w:rsidP="007E0AE4">
      <w:pPr>
        <w:pStyle w:val="ListParagraph"/>
        <w:numPr>
          <w:ilvl w:val="1"/>
          <w:numId w:val="43"/>
        </w:numPr>
        <w:spacing w:after="160" w:line="259" w:lineRule="auto"/>
        <w:rPr>
          <w:rFonts w:cstheme="minorHAnsi"/>
        </w:rPr>
      </w:pPr>
      <w:r w:rsidRPr="000B043B">
        <w:rPr>
          <w:rFonts w:cstheme="minorHAnsi"/>
        </w:rPr>
        <w:t>How would the policy option work in mitigating the structural vulnerabilities of MMFs?</w:t>
      </w:r>
    </w:p>
    <w:p w14:paraId="4E57A8E1" w14:textId="77777777" w:rsidR="0024757E" w:rsidRDefault="0024757E" w:rsidP="0024757E">
      <w:pPr>
        <w:pStyle w:val="ListParagraph"/>
        <w:ind w:left="1440"/>
        <w:rPr>
          <w:rFonts w:cstheme="minorHAnsi"/>
          <w:i/>
          <w:iCs/>
        </w:rPr>
      </w:pPr>
    </w:p>
    <w:p w14:paraId="13F6A040" w14:textId="77777777" w:rsidR="0024757E" w:rsidRPr="00CB15D0" w:rsidRDefault="0024757E" w:rsidP="0024757E">
      <w:pPr>
        <w:pStyle w:val="ListParagraph"/>
        <w:ind w:left="1440"/>
        <w:rPr>
          <w:rFonts w:cstheme="minorHAnsi"/>
        </w:rPr>
      </w:pPr>
      <w:r w:rsidRPr="00CB15D0">
        <w:rPr>
          <w:rFonts w:cstheme="minorHAnsi"/>
        </w:rPr>
        <w:t>Amending MMF regulation to eliminate stable NAV funds could have the unintended consequences, as we’ve seen in the U.S., of small losses due to temporary dislocation in mark-to-market valuation for investments designed to be held to maturity. It will potentially cause additional investor outflows, above and beyond what ordinarily would be expected with a stable NAV product that values itself at amortized costs. In addition, the unintended result of the proposal to switch from LVNAV to VNAV will result in significantly less utilization of the funds.</w:t>
      </w:r>
    </w:p>
    <w:p w14:paraId="776E68ED" w14:textId="77777777" w:rsidR="0024757E" w:rsidRDefault="0024757E" w:rsidP="0024757E">
      <w:pPr>
        <w:pStyle w:val="ListParagraph"/>
        <w:ind w:left="1440"/>
        <w:rPr>
          <w:rFonts w:cstheme="minorHAnsi"/>
          <w:i/>
          <w:iCs/>
        </w:rPr>
      </w:pPr>
    </w:p>
    <w:p w14:paraId="61BC3658" w14:textId="77777777" w:rsidR="0024757E" w:rsidRDefault="0024757E" w:rsidP="007E0AE4">
      <w:pPr>
        <w:pStyle w:val="ListParagraph"/>
        <w:numPr>
          <w:ilvl w:val="0"/>
          <w:numId w:val="41"/>
        </w:numPr>
        <w:spacing w:after="160" w:line="259" w:lineRule="auto"/>
        <w:rPr>
          <w:rFonts w:cstheme="minorHAnsi"/>
        </w:rPr>
      </w:pPr>
      <w:r w:rsidRPr="00B8086B">
        <w:rPr>
          <w:rFonts w:cstheme="minorHAnsi"/>
        </w:rPr>
        <w:t>a) Is the option currently in place in any jurisdiction, and if so, has it been helpful?</w:t>
      </w:r>
    </w:p>
    <w:p w14:paraId="0C7DBDB1" w14:textId="77777777" w:rsidR="0024757E" w:rsidRDefault="0024757E" w:rsidP="0024757E">
      <w:pPr>
        <w:pStyle w:val="ListParagraph"/>
        <w:ind w:left="1800"/>
        <w:rPr>
          <w:rFonts w:cstheme="minorHAnsi"/>
        </w:rPr>
      </w:pPr>
      <w:r>
        <w:rPr>
          <w:rFonts w:cstheme="minorHAnsi"/>
        </w:rPr>
        <w:t>b) How would it represent a change from current rules or practices in other jurisdictions?</w:t>
      </w:r>
    </w:p>
    <w:p w14:paraId="4EE2DC1B" w14:textId="14A70E17" w:rsidR="0024757E" w:rsidRDefault="0024757E" w:rsidP="0024757E">
      <w:pPr>
        <w:pStyle w:val="ListParagraph"/>
        <w:ind w:left="1800"/>
        <w:rPr>
          <w:rFonts w:cstheme="minorHAnsi"/>
        </w:rPr>
      </w:pPr>
      <w:r>
        <w:rPr>
          <w:rFonts w:cstheme="minorHAnsi"/>
        </w:rPr>
        <w:t>c) Has the option been implemented previously and, if so, what were the main findings?</w:t>
      </w:r>
    </w:p>
    <w:p w14:paraId="67D446FE" w14:textId="77777777" w:rsidR="003F4851" w:rsidRPr="00B8086B" w:rsidRDefault="003F4851" w:rsidP="0024757E">
      <w:pPr>
        <w:pStyle w:val="ListParagraph"/>
        <w:ind w:left="1800"/>
        <w:rPr>
          <w:rFonts w:cstheme="minorHAnsi"/>
        </w:rPr>
      </w:pPr>
    </w:p>
    <w:p w14:paraId="7022E979" w14:textId="2660519D" w:rsidR="0024757E" w:rsidRDefault="0024757E" w:rsidP="0024757E">
      <w:pPr>
        <w:ind w:left="1440"/>
        <w:rPr>
          <w:rFonts w:cstheme="minorHAnsi"/>
        </w:rPr>
      </w:pPr>
      <w:r w:rsidRPr="00CB15D0">
        <w:rPr>
          <w:rFonts w:cstheme="minorHAnsi"/>
        </w:rPr>
        <w:t>If we look at evidence from the U.S., the resilience of LVNAV funds can be seen both prior to reform and more recently in March 2020. According to Crane Data, a year prior to MMF reform (31 October 2015) prime fund assets hovered at $863 billion. Even at times when cash levels are at an all-time high, prime still tracks at more than 20% below the pre-reform period. As a result of reform mandates to switch to VNAV funds, prime assets have been reduced 22% to $676 billion, as of 31 May 2021, according to Crane Data’s institutional prime money market fund index, diminishing this instrument as a useful investment tool for treasury groups.</w:t>
      </w:r>
    </w:p>
    <w:p w14:paraId="5827BD17" w14:textId="77777777" w:rsidR="00CA1076" w:rsidRPr="00CB15D0" w:rsidRDefault="00CA1076" w:rsidP="0024757E">
      <w:pPr>
        <w:ind w:left="1440"/>
        <w:rPr>
          <w:rFonts w:cstheme="minorHAnsi"/>
        </w:rPr>
      </w:pPr>
    </w:p>
    <w:p w14:paraId="0663B5DB" w14:textId="77777777" w:rsidR="0024757E" w:rsidRPr="00CB15D0" w:rsidRDefault="0024757E" w:rsidP="0024757E">
      <w:pPr>
        <w:ind w:left="1440"/>
        <w:rPr>
          <w:rFonts w:cstheme="minorHAnsi"/>
        </w:rPr>
      </w:pPr>
      <w:r w:rsidRPr="00CB15D0">
        <w:rPr>
          <w:rFonts w:cstheme="minorHAnsi"/>
        </w:rPr>
        <w:lastRenderedPageBreak/>
        <w:t>Further evidence of the resilience of LVNAV can be seen from March 2020, when reforms were in place. From the period 1 March 2020 – 31 March 31 2020, ICD saw significantly more pronounced outflows of VNAV funds in the U.S. (30%) versus LVNAV funds (11%) in Europe [Figure 1].</w:t>
      </w:r>
    </w:p>
    <w:p w14:paraId="3A443F71" w14:textId="77777777" w:rsidR="0024757E" w:rsidRPr="00CB15D0" w:rsidRDefault="0024757E" w:rsidP="0024757E">
      <w:pPr>
        <w:ind w:left="1440"/>
        <w:rPr>
          <w:rFonts w:cstheme="minorHAnsi"/>
        </w:rPr>
      </w:pPr>
    </w:p>
    <w:p w14:paraId="6742A452" w14:textId="77777777" w:rsidR="0024757E" w:rsidRDefault="0024757E" w:rsidP="0024757E">
      <w:pPr>
        <w:rPr>
          <w:rFonts w:cstheme="minorHAnsi"/>
        </w:rPr>
      </w:pPr>
    </w:p>
    <w:p w14:paraId="02A6C891" w14:textId="77777777" w:rsidR="0024757E" w:rsidRPr="00510F23" w:rsidRDefault="0024757E" w:rsidP="0024757E">
      <w:pPr>
        <w:rPr>
          <w:rFonts w:cstheme="minorHAnsi"/>
        </w:rPr>
      </w:pPr>
      <w:r>
        <w:rPr>
          <w:rFonts w:cstheme="minorHAnsi"/>
        </w:rPr>
        <w:t>Figure 1.</w:t>
      </w:r>
    </w:p>
    <w:p w14:paraId="53690FEE" w14:textId="77777777" w:rsidR="0024757E" w:rsidRDefault="0024757E" w:rsidP="0024757E">
      <w:r w:rsidRPr="00867529">
        <w:t xml:space="preserve"> </w:t>
      </w:r>
      <w:r>
        <w:rPr>
          <w:noProof/>
        </w:rPr>
        <w:drawing>
          <wp:inline distT="0" distB="0" distL="0" distR="0" wp14:anchorId="78C5DE30" wp14:editId="59E9D564">
            <wp:extent cx="5943600" cy="23723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372360"/>
                    </a:xfrm>
                    <a:prstGeom prst="rect">
                      <a:avLst/>
                    </a:prstGeom>
                    <a:noFill/>
                    <a:ln>
                      <a:noFill/>
                    </a:ln>
                  </pic:spPr>
                </pic:pic>
              </a:graphicData>
            </a:graphic>
          </wp:inline>
        </w:drawing>
      </w:r>
    </w:p>
    <w:p w14:paraId="00951295" w14:textId="078DF905" w:rsidR="0024757E" w:rsidRDefault="0024757E" w:rsidP="0024757E">
      <w:r>
        <w:t>Source: ICD Data</w:t>
      </w:r>
    </w:p>
    <w:p w14:paraId="6C96EA3D" w14:textId="77777777" w:rsidR="00CA1076" w:rsidRDefault="00CA1076" w:rsidP="0024757E"/>
    <w:p w14:paraId="71F67E92" w14:textId="74A5138D" w:rsidR="0024757E" w:rsidRDefault="0024757E" w:rsidP="007E0AE4">
      <w:pPr>
        <w:pStyle w:val="ListParagraph"/>
        <w:numPr>
          <w:ilvl w:val="0"/>
          <w:numId w:val="42"/>
        </w:numPr>
        <w:spacing w:after="160" w:line="259" w:lineRule="auto"/>
        <w:rPr>
          <w:b/>
          <w:bCs/>
        </w:rPr>
      </w:pPr>
      <w:r w:rsidRPr="00876F82">
        <w:rPr>
          <w:b/>
          <w:bCs/>
        </w:rPr>
        <w:t>Effects on investor behaviour</w:t>
      </w:r>
    </w:p>
    <w:p w14:paraId="7BEC0FEA" w14:textId="77777777" w:rsidR="00CA1076" w:rsidRPr="00876F82" w:rsidRDefault="00CA1076" w:rsidP="00CA1076">
      <w:pPr>
        <w:pStyle w:val="ListParagraph"/>
        <w:spacing w:after="160" w:line="259" w:lineRule="auto"/>
        <w:ind w:left="1080"/>
        <w:rPr>
          <w:b/>
          <w:bCs/>
        </w:rPr>
      </w:pPr>
    </w:p>
    <w:p w14:paraId="186299D5" w14:textId="77777777" w:rsidR="0024757E" w:rsidRDefault="0024757E" w:rsidP="007E0AE4">
      <w:pPr>
        <w:pStyle w:val="ListParagraph"/>
        <w:numPr>
          <w:ilvl w:val="1"/>
          <w:numId w:val="40"/>
        </w:numPr>
        <w:spacing w:after="160" w:line="259" w:lineRule="auto"/>
      </w:pPr>
      <w:r>
        <w:t>From a micro perspective (viewing the MMF in isolation), how would the policy option effect investors’ incentives to redeem during stress events?</w:t>
      </w:r>
    </w:p>
    <w:p w14:paraId="19B449E3" w14:textId="77777777" w:rsidR="0024757E" w:rsidRPr="007C42D0" w:rsidRDefault="0024757E" w:rsidP="0024757E">
      <w:pPr>
        <w:pStyle w:val="ListParagraph"/>
        <w:ind w:left="1440"/>
      </w:pPr>
    </w:p>
    <w:p w14:paraId="34834436" w14:textId="77777777" w:rsidR="0024757E" w:rsidRPr="00CB15D0" w:rsidRDefault="0024757E" w:rsidP="0024757E">
      <w:pPr>
        <w:pStyle w:val="ListParagraph"/>
        <w:ind w:left="1440"/>
      </w:pPr>
      <w:r w:rsidRPr="00CB15D0">
        <w:t xml:space="preserve">From what we saw in the U.S. where VNAV was already in place, we saw significantly elevated selling versus Europe in part because there were losses captured due to the temporary dislocation of the mark-to-market, which was not replicated in Europe where the funds are still valued at amortized cost. </w:t>
      </w:r>
    </w:p>
    <w:p w14:paraId="2ADC8EAE" w14:textId="77777777" w:rsidR="0024757E" w:rsidRDefault="0024757E" w:rsidP="0024757E">
      <w:pPr>
        <w:pStyle w:val="ListParagraph"/>
        <w:ind w:left="1440"/>
        <w:rPr>
          <w:i/>
          <w:iCs/>
        </w:rPr>
      </w:pPr>
    </w:p>
    <w:p w14:paraId="6A5A727D" w14:textId="77777777" w:rsidR="0024757E" w:rsidRPr="00BA0A68" w:rsidRDefault="0024757E" w:rsidP="0024757E">
      <w:pPr>
        <w:ind w:left="1440" w:hanging="720"/>
      </w:pPr>
      <w:r>
        <w:t xml:space="preserve">ii. </w:t>
      </w:r>
      <w:r>
        <w:tab/>
        <w:t xml:space="preserve">From a macro perspective, how would this option mitigate the effects of a generalized “dash for cash” as seen in March 2020? </w:t>
      </w:r>
    </w:p>
    <w:p w14:paraId="3578223A" w14:textId="77777777" w:rsidR="00EF3C32" w:rsidRDefault="00EF3C32" w:rsidP="0024757E">
      <w:pPr>
        <w:pStyle w:val="ListParagraph"/>
        <w:ind w:left="1440"/>
      </w:pPr>
    </w:p>
    <w:p w14:paraId="2AE717FA" w14:textId="79907226" w:rsidR="0024757E" w:rsidRDefault="0024757E" w:rsidP="0024757E">
      <w:pPr>
        <w:pStyle w:val="ListParagraph"/>
        <w:ind w:left="1440"/>
      </w:pPr>
      <w:r w:rsidRPr="00CB15D0">
        <w:t>What we saw from both ICD client data and industry data overall was that it exacerbated the “dash for cash”</w:t>
      </w:r>
      <w:r>
        <w:t xml:space="preserve"> [Figure 2].</w:t>
      </w:r>
    </w:p>
    <w:p w14:paraId="7E8FA13E" w14:textId="77777777" w:rsidR="0024757E" w:rsidRDefault="0024757E" w:rsidP="0024757E">
      <w:pPr>
        <w:pStyle w:val="ListParagraph"/>
        <w:ind w:left="1440"/>
        <w:rPr>
          <w:rFonts w:cstheme="minorHAnsi"/>
        </w:rPr>
      </w:pPr>
    </w:p>
    <w:p w14:paraId="6729B60A" w14:textId="77777777" w:rsidR="0024757E" w:rsidRDefault="0024757E" w:rsidP="0024757E">
      <w:pPr>
        <w:pStyle w:val="ListParagraph"/>
        <w:ind w:left="1440"/>
        <w:rPr>
          <w:rFonts w:cstheme="minorHAnsi"/>
        </w:rPr>
      </w:pPr>
    </w:p>
    <w:p w14:paraId="0D9B1B21" w14:textId="77777777" w:rsidR="00A71DE7" w:rsidRDefault="00A71DE7" w:rsidP="0024757E">
      <w:pPr>
        <w:pStyle w:val="ListParagraph"/>
        <w:ind w:left="1440"/>
        <w:rPr>
          <w:rFonts w:cstheme="minorHAnsi"/>
        </w:rPr>
      </w:pPr>
    </w:p>
    <w:p w14:paraId="656F2E64" w14:textId="77777777" w:rsidR="00A71DE7" w:rsidRDefault="00A71DE7" w:rsidP="0024757E">
      <w:pPr>
        <w:pStyle w:val="ListParagraph"/>
        <w:ind w:left="1440"/>
        <w:rPr>
          <w:rFonts w:cstheme="minorHAnsi"/>
        </w:rPr>
      </w:pPr>
    </w:p>
    <w:p w14:paraId="26510474" w14:textId="77777777" w:rsidR="00A71DE7" w:rsidRDefault="00A71DE7" w:rsidP="0024757E">
      <w:pPr>
        <w:pStyle w:val="ListParagraph"/>
        <w:ind w:left="1440"/>
        <w:rPr>
          <w:rFonts w:cstheme="minorHAnsi"/>
        </w:rPr>
      </w:pPr>
    </w:p>
    <w:p w14:paraId="4E66FC92" w14:textId="77777777" w:rsidR="00A71DE7" w:rsidRDefault="00A71DE7" w:rsidP="0024757E">
      <w:pPr>
        <w:pStyle w:val="ListParagraph"/>
        <w:ind w:left="1440"/>
        <w:rPr>
          <w:rFonts w:cstheme="minorHAnsi"/>
        </w:rPr>
      </w:pPr>
    </w:p>
    <w:p w14:paraId="37EB8773" w14:textId="77777777" w:rsidR="00A71DE7" w:rsidRDefault="00A71DE7" w:rsidP="0024757E">
      <w:pPr>
        <w:pStyle w:val="ListParagraph"/>
        <w:ind w:left="1440"/>
        <w:rPr>
          <w:rFonts w:cstheme="minorHAnsi"/>
        </w:rPr>
      </w:pPr>
    </w:p>
    <w:p w14:paraId="6BCE8CD9" w14:textId="77777777" w:rsidR="00A71DE7" w:rsidRDefault="00A71DE7" w:rsidP="0024757E">
      <w:pPr>
        <w:pStyle w:val="ListParagraph"/>
        <w:ind w:left="1440"/>
        <w:rPr>
          <w:rFonts w:cstheme="minorHAnsi"/>
        </w:rPr>
      </w:pPr>
    </w:p>
    <w:p w14:paraId="52F466FB" w14:textId="77777777" w:rsidR="00A71DE7" w:rsidRDefault="00A71DE7" w:rsidP="0024757E">
      <w:pPr>
        <w:pStyle w:val="ListParagraph"/>
        <w:ind w:left="1440"/>
        <w:rPr>
          <w:rFonts w:cstheme="minorHAnsi"/>
        </w:rPr>
      </w:pPr>
    </w:p>
    <w:p w14:paraId="270AF429" w14:textId="77777777" w:rsidR="00A71DE7" w:rsidRDefault="00A71DE7" w:rsidP="0024757E">
      <w:pPr>
        <w:pStyle w:val="ListParagraph"/>
        <w:ind w:left="1440"/>
        <w:rPr>
          <w:rFonts w:cstheme="minorHAnsi"/>
        </w:rPr>
      </w:pPr>
    </w:p>
    <w:p w14:paraId="53548003" w14:textId="7B17411E" w:rsidR="00A71DE7" w:rsidRDefault="00A71DE7" w:rsidP="00131287">
      <w:pPr>
        <w:rPr>
          <w:rFonts w:cstheme="minorHAnsi"/>
        </w:rPr>
      </w:pPr>
    </w:p>
    <w:p w14:paraId="462A1D99" w14:textId="58BE609B" w:rsidR="009F483F" w:rsidRDefault="009F483F" w:rsidP="00131287">
      <w:pPr>
        <w:rPr>
          <w:rFonts w:cstheme="minorHAnsi"/>
        </w:rPr>
      </w:pPr>
    </w:p>
    <w:p w14:paraId="1A8CF4F9" w14:textId="2C9EC60E" w:rsidR="009F483F" w:rsidRDefault="009F483F" w:rsidP="00131287">
      <w:pPr>
        <w:rPr>
          <w:rFonts w:cstheme="minorHAnsi"/>
        </w:rPr>
      </w:pPr>
    </w:p>
    <w:p w14:paraId="6220D981" w14:textId="21452293" w:rsidR="009F483F" w:rsidRDefault="009F483F" w:rsidP="00131287">
      <w:pPr>
        <w:rPr>
          <w:rFonts w:cstheme="minorHAnsi"/>
        </w:rPr>
      </w:pPr>
    </w:p>
    <w:p w14:paraId="339801BB" w14:textId="77777777" w:rsidR="009F483F" w:rsidRPr="00131287" w:rsidRDefault="009F483F" w:rsidP="00131287">
      <w:pPr>
        <w:rPr>
          <w:rFonts w:cstheme="minorHAnsi"/>
        </w:rPr>
      </w:pPr>
    </w:p>
    <w:p w14:paraId="29B36B94" w14:textId="1E1A1A19" w:rsidR="0024757E" w:rsidRDefault="0024757E" w:rsidP="0024757E">
      <w:pPr>
        <w:pStyle w:val="ListParagraph"/>
        <w:ind w:left="1440"/>
        <w:rPr>
          <w:rFonts w:cstheme="minorHAnsi"/>
        </w:rPr>
      </w:pPr>
      <w:r>
        <w:rPr>
          <w:rFonts w:cstheme="minorHAnsi"/>
        </w:rPr>
        <w:lastRenderedPageBreak/>
        <w:t>Figure 2.</w:t>
      </w:r>
    </w:p>
    <w:p w14:paraId="6A680539" w14:textId="77777777" w:rsidR="00CB7E3C" w:rsidRPr="00CF6A76" w:rsidRDefault="00CB7E3C" w:rsidP="0024757E">
      <w:pPr>
        <w:pStyle w:val="ListParagraph"/>
        <w:ind w:left="1440"/>
        <w:rPr>
          <w:rFonts w:cstheme="minorHAnsi"/>
        </w:rPr>
      </w:pPr>
    </w:p>
    <w:p w14:paraId="6332E3FB" w14:textId="77777777" w:rsidR="0024757E" w:rsidRDefault="0024757E" w:rsidP="0024757E">
      <w:pPr>
        <w:pStyle w:val="ListParagraph"/>
        <w:ind w:left="1440"/>
        <w:rPr>
          <w:rFonts w:cstheme="minorHAnsi"/>
          <w:i/>
          <w:iCs/>
        </w:rPr>
      </w:pPr>
      <w:r>
        <w:rPr>
          <w:noProof/>
        </w:rPr>
        <w:drawing>
          <wp:inline distT="0" distB="0" distL="0" distR="0" wp14:anchorId="7AAC4434" wp14:editId="3DC167CA">
            <wp:extent cx="4572000" cy="2743200"/>
            <wp:effectExtent l="0" t="0" r="0" b="0"/>
            <wp:docPr id="3" name="Chart 3">
              <a:extLst xmlns:a="http://schemas.openxmlformats.org/drawingml/2006/main">
                <a:ext uri="{FF2B5EF4-FFF2-40B4-BE49-F238E27FC236}">
                  <a16:creationId xmlns:a16="http://schemas.microsoft.com/office/drawing/2014/main" id="{DAF723C2-F868-409F-B7A8-95B2A74C73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260FE82" w14:textId="77777777" w:rsidR="0024757E" w:rsidRDefault="0024757E" w:rsidP="0024757E">
      <w:pPr>
        <w:pStyle w:val="ListParagraph"/>
        <w:ind w:left="1440"/>
        <w:rPr>
          <w:rFonts w:cstheme="minorHAnsi"/>
        </w:rPr>
      </w:pPr>
    </w:p>
    <w:p w14:paraId="4E109166" w14:textId="77777777" w:rsidR="0024757E" w:rsidRDefault="0024757E" w:rsidP="0024757E">
      <w:pPr>
        <w:pStyle w:val="ListParagraph"/>
        <w:ind w:left="1440"/>
        <w:rPr>
          <w:rFonts w:cstheme="minorHAnsi"/>
        </w:rPr>
      </w:pPr>
      <w:r>
        <w:rPr>
          <w:rFonts w:cstheme="minorHAnsi"/>
        </w:rPr>
        <w:t>Sources: ICD Data; Investment Company Institute (ICI)</w:t>
      </w:r>
    </w:p>
    <w:p w14:paraId="6CA6DD87" w14:textId="77777777" w:rsidR="0024757E" w:rsidRPr="00312351" w:rsidRDefault="0024757E" w:rsidP="0024757E">
      <w:pPr>
        <w:pStyle w:val="ListParagraph"/>
        <w:ind w:left="1440"/>
        <w:rPr>
          <w:rFonts w:cstheme="minorHAnsi"/>
        </w:rPr>
      </w:pPr>
    </w:p>
    <w:p w14:paraId="588D7E53" w14:textId="77A86E26" w:rsidR="0024757E" w:rsidRDefault="0024757E" w:rsidP="0024757E">
      <w:pPr>
        <w:ind w:left="720"/>
      </w:pPr>
      <w:r>
        <w:t>iii. Does the option effectively shift MMF risks to investors?</w:t>
      </w:r>
    </w:p>
    <w:p w14:paraId="13969AAC" w14:textId="77777777" w:rsidR="00E5337C" w:rsidRDefault="00E5337C" w:rsidP="0024757E">
      <w:pPr>
        <w:ind w:left="720"/>
      </w:pPr>
    </w:p>
    <w:p w14:paraId="473420C6" w14:textId="77777777" w:rsidR="0024757E" w:rsidRPr="00CB7E3C" w:rsidRDefault="0024757E" w:rsidP="0024757E">
      <w:pPr>
        <w:ind w:left="1440"/>
      </w:pPr>
      <w:r w:rsidRPr="00CB7E3C">
        <w:t xml:space="preserve">While it shifts the mark-to-market risk more directly to investors, it exacerbates mass redemptions by having minute and temporary dislocations in mark-to-market valuations, causing investors to sell in larger numbers where the amortized cost methodology still exists. </w:t>
      </w:r>
    </w:p>
    <w:p w14:paraId="35DA37FA" w14:textId="77777777" w:rsidR="0024757E" w:rsidRDefault="0024757E" w:rsidP="0024757E"/>
    <w:p w14:paraId="0FA248D1" w14:textId="5DFA5B97" w:rsidR="0024757E" w:rsidRDefault="0024757E" w:rsidP="0024757E">
      <w:pPr>
        <w:rPr>
          <w:b/>
          <w:bCs/>
        </w:rPr>
      </w:pPr>
      <w:r>
        <w:t xml:space="preserve">IV. </w:t>
      </w:r>
      <w:r w:rsidRPr="00A72FB8">
        <w:rPr>
          <w:b/>
          <w:bCs/>
        </w:rPr>
        <w:t>Broader impacts on the stability and functioning of short-term markets</w:t>
      </w:r>
    </w:p>
    <w:p w14:paraId="689893CF" w14:textId="77777777" w:rsidR="00A06408" w:rsidRDefault="00A06408" w:rsidP="0024757E"/>
    <w:p w14:paraId="5FD028FB" w14:textId="406B51E1" w:rsidR="0024757E" w:rsidRDefault="0024757E" w:rsidP="0024757E">
      <w:pPr>
        <w:ind w:left="720"/>
      </w:pPr>
      <w:proofErr w:type="spellStart"/>
      <w:r>
        <w:t>i</w:t>
      </w:r>
      <w:proofErr w:type="spellEnd"/>
      <w:r>
        <w:t>. Where are investors likely to move if MMFs become less attractive as a result of the policy option?</w:t>
      </w:r>
    </w:p>
    <w:p w14:paraId="7030EADE" w14:textId="77777777" w:rsidR="00A06408" w:rsidRDefault="00A06408" w:rsidP="0024757E">
      <w:pPr>
        <w:ind w:left="720"/>
      </w:pPr>
    </w:p>
    <w:p w14:paraId="4FC101B8" w14:textId="44E9508B" w:rsidR="0024757E" w:rsidRDefault="0024757E" w:rsidP="0024757E">
      <w:pPr>
        <w:ind w:left="720"/>
      </w:pPr>
      <w:r w:rsidRPr="00A06408">
        <w:t>Removing LVNAV and mandating floating NAV would make banks more systemically significant. VNAV funds would become more of an accounting burden to investors, who then would be moving money into bank deposits, further concentrating risk in that sector. In addition, investors may look to invest directly in securities themselves, potentially without the infrastructure in place to hold the securities or the expertise to assess the credit risk of a single issue</w:t>
      </w:r>
      <w:r w:rsidR="0065210D">
        <w:t>r</w:t>
      </w:r>
      <w:r w:rsidRPr="00A06408">
        <w:t>.</w:t>
      </w:r>
    </w:p>
    <w:p w14:paraId="62398366" w14:textId="77777777" w:rsidR="00076C5E" w:rsidRPr="00A06408" w:rsidRDefault="00076C5E" w:rsidP="0024757E">
      <w:pPr>
        <w:ind w:left="720"/>
      </w:pPr>
    </w:p>
    <w:p w14:paraId="3A6BD632" w14:textId="5372D34B" w:rsidR="0024757E" w:rsidRDefault="0024757E" w:rsidP="0024757E">
      <w:pPr>
        <w:ind w:left="720"/>
      </w:pPr>
      <w:r w:rsidRPr="00A06408">
        <w:t>ii. What alternative sources of short-term funding are available for borrowers that currently rely on MMFs for financing?</w:t>
      </w:r>
    </w:p>
    <w:p w14:paraId="7720CC05" w14:textId="77777777" w:rsidR="00076C5E" w:rsidRPr="00A06408" w:rsidRDefault="00076C5E" w:rsidP="0024757E">
      <w:pPr>
        <w:ind w:left="720"/>
      </w:pPr>
    </w:p>
    <w:p w14:paraId="56051AA6" w14:textId="403FCB9C" w:rsidR="0024757E" w:rsidRDefault="0024757E" w:rsidP="0024757E">
      <w:pPr>
        <w:ind w:left="720"/>
        <w:rPr>
          <w:rFonts w:cstheme="minorHAnsi"/>
        </w:rPr>
      </w:pPr>
      <w:r w:rsidRPr="00A06408">
        <w:rPr>
          <w:rFonts w:cstheme="minorHAnsi"/>
        </w:rPr>
        <w:t xml:space="preserve">Diminishing the usefulness of MMFs as investment vehicles will significantly restrict corporate funding options, having a down-stream impact for smaller borrowers. As commercial paper accounts for a significant amount of underlying assets in MMFs, the impact of reducing corporate borrowing options will make large corporations more dependent on commercial banks for funding, which in-turn would squeeze-out smaller corporations who rely on these banks today.  </w:t>
      </w:r>
    </w:p>
    <w:p w14:paraId="6A72F9CF" w14:textId="77777777" w:rsidR="00076C5E" w:rsidRPr="00A06408" w:rsidRDefault="00076C5E" w:rsidP="0024757E">
      <w:pPr>
        <w:ind w:left="720"/>
        <w:rPr>
          <w:rFonts w:cstheme="minorHAnsi"/>
        </w:rPr>
      </w:pPr>
    </w:p>
    <w:p w14:paraId="1CDC2E05" w14:textId="57E667BE" w:rsidR="0024757E" w:rsidRDefault="0024757E" w:rsidP="0024757E">
      <w:pPr>
        <w:ind w:left="720"/>
      </w:pPr>
      <w:r w:rsidRPr="00A06408">
        <w:t>iii. Would the policy option have different effects on MMFs denominated in domestic and foreign currencies?</w:t>
      </w:r>
    </w:p>
    <w:p w14:paraId="3D26D34B" w14:textId="77777777" w:rsidR="00076C5E" w:rsidRPr="00A06408" w:rsidRDefault="00076C5E" w:rsidP="0024757E">
      <w:pPr>
        <w:ind w:left="720"/>
      </w:pPr>
    </w:p>
    <w:p w14:paraId="4DC42D59" w14:textId="300ECFBA" w:rsidR="00492B3A" w:rsidRDefault="0024757E" w:rsidP="00B934FE">
      <w:pPr>
        <w:ind w:left="720"/>
      </w:pPr>
      <w:r w:rsidRPr="00A06408">
        <w:t>Switching to VNAV for those trading funds from Asia would make settlement T+1 because investors would have to wait for the price in order to settle.</w:t>
      </w:r>
    </w:p>
    <w:permEnd w:id="164587406"/>
    <w:p w14:paraId="7A0C7BD5" w14:textId="465949FF" w:rsidR="00492B3A" w:rsidRDefault="00492B3A" w:rsidP="00492B3A">
      <w:r>
        <w:t>&lt;ESMA_QUESTION_</w:t>
      </w:r>
      <w:r w:rsidR="00DC1B3F">
        <w:t>MMFR</w:t>
      </w:r>
      <w:r>
        <w:t>_6&gt;</w:t>
      </w:r>
    </w:p>
    <w:p w14:paraId="4BF785AD" w14:textId="77777777" w:rsidR="00492B3A" w:rsidRDefault="00492B3A" w:rsidP="00492B3A"/>
    <w:p w14:paraId="71D01BE1" w14:textId="44347052" w:rsidR="00492B3A" w:rsidRDefault="00976448" w:rsidP="00492B3A">
      <w:pPr>
        <w:pStyle w:val="Questionstyle"/>
      </w:pPr>
      <w:r w:rsidRPr="00F43E30">
        <w:rPr>
          <w:bdr w:val="none" w:sz="0" w:space="0" w:color="auto" w:frame="1"/>
          <w:lang w:val="en-IE"/>
        </w:rPr>
        <w:t>What are your views on the extent to which Article 35 of the MMF Regulation should be i) clarified ii) amended? When you answer this question, please also take into account the grid of criteria listed in paragraphs 76 to 80</w:t>
      </w:r>
      <w:r>
        <w:t>.</w:t>
      </w:r>
    </w:p>
    <w:p w14:paraId="57CA855E" w14:textId="2DCC2959" w:rsidR="00492B3A" w:rsidRDefault="00492B3A" w:rsidP="00492B3A">
      <w:r>
        <w:t>&lt;ESMA_QUESTION_</w:t>
      </w:r>
      <w:r w:rsidR="00DC1B3F">
        <w:t>MMFR</w:t>
      </w:r>
      <w:r>
        <w:t>_7&gt;</w:t>
      </w:r>
    </w:p>
    <w:p w14:paraId="0F6B4017" w14:textId="77777777" w:rsidR="00492B3A" w:rsidRDefault="00492B3A" w:rsidP="00492B3A">
      <w:permStart w:id="1191210126" w:edGrp="everyone"/>
      <w:r>
        <w:t>TYPE YOUR TEXT HERE</w:t>
      </w:r>
    </w:p>
    <w:permEnd w:id="1191210126"/>
    <w:p w14:paraId="20867D23" w14:textId="1CC6B07A" w:rsidR="00492B3A" w:rsidRDefault="00492B3A" w:rsidP="00492B3A">
      <w:r>
        <w:t>&lt;ESMA_QUESTION_</w:t>
      </w:r>
      <w:r w:rsidR="00DC1B3F">
        <w:t>MMFR</w:t>
      </w:r>
      <w:r>
        <w:t>_7&gt;</w:t>
      </w:r>
    </w:p>
    <w:p w14:paraId="627B65D4" w14:textId="77777777" w:rsidR="00492B3A" w:rsidRDefault="00492B3A" w:rsidP="00492B3A"/>
    <w:p w14:paraId="32FE661C" w14:textId="4EE3FDC1" w:rsidR="00492B3A" w:rsidRDefault="00976448" w:rsidP="00492B3A">
      <w:pPr>
        <w:pStyle w:val="Questionstyle"/>
      </w:pPr>
      <w:r w:rsidRPr="00F43E30">
        <w:rPr>
          <w:color w:val="201F1E"/>
          <w:bdr w:val="none" w:sz="0" w:space="0" w:color="auto" w:frame="1"/>
          <w:lang w:val="en-IE"/>
        </w:rPr>
        <w:t xml:space="preserve">i) Do you agree with the above assessment of the potential need to </w:t>
      </w:r>
      <w:r w:rsidRPr="00F43E30">
        <w:rPr>
          <w:lang w:val="en-IE"/>
        </w:rPr>
        <w:t>assess the role of MMF ratings in light of the difficulties faced by MMFs during the March crisis, and the potential need to introduce regulatory requirements for MMF ratings</w:t>
      </w:r>
      <w:r w:rsidRPr="00F43E30">
        <w:rPr>
          <w:color w:val="201F1E"/>
          <w:bdr w:val="none" w:sz="0" w:space="0" w:color="auto" w:frame="1"/>
          <w:lang w:val="en-IE"/>
        </w:rPr>
        <w:t>? ii) In your view, based on your experience, what are the benefits of MMF rating from investors’ perspective, having in mind that rules applying to MMFs are already very stringent? What would be the likely consequence on investors from the downgrade of one or several MMFs? When you answer this question, please also take into account the grid of criteria listed in paragraphs 76 to 80</w:t>
      </w:r>
      <w:r>
        <w:t>.</w:t>
      </w:r>
    </w:p>
    <w:p w14:paraId="64A00FD2" w14:textId="2B58EC56" w:rsidR="00492B3A" w:rsidRDefault="00492B3A" w:rsidP="00492B3A">
      <w:r>
        <w:t>&lt;ESMA_QUESTION_</w:t>
      </w:r>
      <w:r w:rsidR="00DC1B3F">
        <w:t>MMFR</w:t>
      </w:r>
      <w:r>
        <w:t>_8&gt;</w:t>
      </w:r>
    </w:p>
    <w:p w14:paraId="6B8BC859" w14:textId="77777777" w:rsidR="00492B3A" w:rsidRDefault="00492B3A" w:rsidP="00492B3A">
      <w:permStart w:id="21103909" w:edGrp="everyone"/>
      <w:r>
        <w:t>TYPE YOUR TEXT HERE</w:t>
      </w:r>
    </w:p>
    <w:permEnd w:id="21103909"/>
    <w:p w14:paraId="6C91EF19" w14:textId="07291BF4" w:rsidR="00492B3A" w:rsidRDefault="00492B3A" w:rsidP="00492B3A">
      <w:r>
        <w:t>&lt;ESMA_QUESTION_</w:t>
      </w:r>
      <w:r w:rsidR="00DC1B3F">
        <w:t>MMFR</w:t>
      </w:r>
      <w:r>
        <w:t>_8&gt;</w:t>
      </w:r>
    </w:p>
    <w:p w14:paraId="358E7A29" w14:textId="77777777" w:rsidR="00492B3A" w:rsidRDefault="00492B3A" w:rsidP="00492B3A"/>
    <w:p w14:paraId="35F135E9" w14:textId="5FE90A3C" w:rsidR="00492B3A" w:rsidRDefault="00976448" w:rsidP="00492B3A">
      <w:pPr>
        <w:pStyle w:val="Questionstyle"/>
      </w:pPr>
      <w:r w:rsidRPr="00F43E30">
        <w:rPr>
          <w:bdr w:val="none" w:sz="0" w:space="0" w:color="auto" w:frame="1"/>
          <w:lang w:val="en-IE"/>
        </w:rPr>
        <w:t xml:space="preserve">Do you agree with the above assessment of the potential need to </w:t>
      </w:r>
      <w:r w:rsidRPr="00F43E30">
        <w:rPr>
          <w:lang w:val="en-IE"/>
        </w:rPr>
        <w:t xml:space="preserve">amend the requirements on stress tests included in the article 28 of the MMF Regulation? </w:t>
      </w:r>
      <w:r w:rsidRPr="00F43E30">
        <w:rPr>
          <w:bdr w:val="none" w:sz="0" w:space="0" w:color="auto" w:frame="1"/>
          <w:lang w:val="en-IE"/>
        </w:rPr>
        <w:t>When you answer this question, please also take into account the grid of criteria listed in paragraphs 76 to 80</w:t>
      </w:r>
      <w:r>
        <w:t>.</w:t>
      </w:r>
    </w:p>
    <w:p w14:paraId="01ADFC46" w14:textId="69301879" w:rsidR="00492B3A" w:rsidRDefault="00492B3A" w:rsidP="00492B3A">
      <w:r>
        <w:t>&lt;ESMA_QUESTION_</w:t>
      </w:r>
      <w:r w:rsidR="00DC1B3F">
        <w:t>MMFR</w:t>
      </w:r>
      <w:r>
        <w:t>_9&gt;</w:t>
      </w:r>
    </w:p>
    <w:p w14:paraId="0AB3A7A1" w14:textId="77777777" w:rsidR="00492B3A" w:rsidRDefault="00492B3A" w:rsidP="00492B3A">
      <w:permStart w:id="70807355" w:edGrp="everyone"/>
      <w:r>
        <w:t>TYPE YOUR TEXT HERE</w:t>
      </w:r>
    </w:p>
    <w:permEnd w:id="70807355"/>
    <w:p w14:paraId="293286B0" w14:textId="136AD9C5" w:rsidR="00492B3A" w:rsidRDefault="00492B3A" w:rsidP="00492B3A">
      <w:r>
        <w:t>&lt;ESMA_QUESTION_</w:t>
      </w:r>
      <w:r w:rsidR="00DC1B3F">
        <w:t>MMFR</w:t>
      </w:r>
      <w:r>
        <w:t>_9&gt;</w:t>
      </w:r>
    </w:p>
    <w:p w14:paraId="1265C514" w14:textId="77777777" w:rsidR="00492B3A" w:rsidRDefault="00492B3A" w:rsidP="00492B3A"/>
    <w:p w14:paraId="65464EDE" w14:textId="2A297D67" w:rsidR="00492B3A" w:rsidRDefault="00976448" w:rsidP="00492B3A">
      <w:pPr>
        <w:pStyle w:val="Questionstyle"/>
      </w:pPr>
      <w:r w:rsidRPr="00F43E30">
        <w:rPr>
          <w:bdr w:val="none" w:sz="0" w:space="0" w:color="auto" w:frame="1"/>
          <w:lang w:val="en-IE"/>
        </w:rPr>
        <w:t>Do you agree with the above assessment on the potential need to review the reporting requirements under the MMF Regulation? When you answer this question, please also take into account the grid of criteria listed in paragraphs 76 to 80</w:t>
      </w:r>
      <w:r>
        <w:t>.</w:t>
      </w:r>
    </w:p>
    <w:p w14:paraId="554C7E7D" w14:textId="478CBB4E" w:rsidR="00492B3A" w:rsidRDefault="00492B3A" w:rsidP="00492B3A">
      <w:r>
        <w:t>&lt;ESMA_QUESTION_</w:t>
      </w:r>
      <w:r w:rsidR="00DC1B3F">
        <w:t>MMFR</w:t>
      </w:r>
      <w:r>
        <w:t>_10&gt;</w:t>
      </w:r>
    </w:p>
    <w:p w14:paraId="729D6FDA" w14:textId="77777777" w:rsidR="00492B3A" w:rsidRDefault="00492B3A" w:rsidP="00492B3A">
      <w:permStart w:id="1969951227" w:edGrp="everyone"/>
      <w:r>
        <w:t>TYPE YOUR TEXT HERE</w:t>
      </w:r>
    </w:p>
    <w:permEnd w:id="1969951227"/>
    <w:p w14:paraId="1CD8F45C" w14:textId="2E80969C" w:rsidR="00492B3A" w:rsidRDefault="00492B3A" w:rsidP="00492B3A">
      <w:r>
        <w:t>&lt;ESMA_QUESTION_</w:t>
      </w:r>
      <w:r w:rsidR="00DC1B3F">
        <w:t>MMFR</w:t>
      </w:r>
      <w:r>
        <w:t>_10&gt;</w:t>
      </w:r>
    </w:p>
    <w:p w14:paraId="4A233221" w14:textId="77777777" w:rsidR="00492B3A" w:rsidRDefault="00492B3A" w:rsidP="00492B3A"/>
    <w:p w14:paraId="43470B7B" w14:textId="47E8C883" w:rsidR="00492B3A" w:rsidRDefault="00976448" w:rsidP="00492B3A">
      <w:pPr>
        <w:pStyle w:val="Questionstyle"/>
      </w:pPr>
      <w:r w:rsidRPr="00F43E30">
        <w:rPr>
          <w:bdr w:val="none" w:sz="0" w:space="0" w:color="auto" w:frame="1"/>
          <w:lang w:val="en-IE"/>
        </w:rPr>
        <w:t xml:space="preserve">Do you agree with the above assessment of the potential need to include additional requirements in the MMF Regulation, and/or potentially in other types of EU piece of legislation on the </w:t>
      </w:r>
      <w:r w:rsidRPr="00F43E30">
        <w:rPr>
          <w:lang w:val="en-IE"/>
        </w:rPr>
        <w:t xml:space="preserve">disclosure of </w:t>
      </w:r>
      <w:r w:rsidRPr="00F43E30">
        <w:rPr>
          <w:lang w:val="en-US"/>
        </w:rPr>
        <w:t xml:space="preserve">money market instruments (MMIs) and main categories of investors to regulatory authorities (e.g. detailed information on liabilities)? </w:t>
      </w:r>
      <w:r w:rsidRPr="00F43E30">
        <w:rPr>
          <w:bdr w:val="none" w:sz="0" w:space="0" w:color="auto" w:frame="1"/>
          <w:lang w:val="en-IE"/>
        </w:rPr>
        <w:t>When you answer this question, please also take into account the grid of criteria listed in paragraphs 76 to 80</w:t>
      </w:r>
      <w:r w:rsidR="00A014B6" w:rsidRPr="00A014B6">
        <w:t>.</w:t>
      </w:r>
    </w:p>
    <w:p w14:paraId="17905251" w14:textId="5C1644CB" w:rsidR="00492B3A" w:rsidRDefault="00492B3A" w:rsidP="00492B3A">
      <w:r>
        <w:t>&lt;ESMA_QUESTION_</w:t>
      </w:r>
      <w:r w:rsidR="00DC1B3F">
        <w:t>MMFR</w:t>
      </w:r>
      <w:r>
        <w:t>_11&gt;</w:t>
      </w:r>
    </w:p>
    <w:p w14:paraId="16B29EBB" w14:textId="77777777" w:rsidR="00492B3A" w:rsidRDefault="00492B3A" w:rsidP="00492B3A">
      <w:permStart w:id="947678092" w:edGrp="everyone"/>
      <w:r>
        <w:t>TYPE YOUR TEXT HERE</w:t>
      </w:r>
    </w:p>
    <w:permEnd w:id="947678092"/>
    <w:p w14:paraId="5D803357" w14:textId="61D9A95E" w:rsidR="00492B3A" w:rsidRDefault="00492B3A" w:rsidP="00492B3A">
      <w:r>
        <w:t>&lt;ESMA_QUESTION_</w:t>
      </w:r>
      <w:r w:rsidR="00DC1B3F">
        <w:t>MMFR</w:t>
      </w:r>
      <w:r>
        <w:t>_11&gt;</w:t>
      </w:r>
    </w:p>
    <w:p w14:paraId="1A3E6E6B" w14:textId="77777777" w:rsidR="00492B3A" w:rsidRDefault="00492B3A" w:rsidP="00492B3A"/>
    <w:p w14:paraId="346F2512" w14:textId="77777777" w:rsidR="00976448" w:rsidRPr="00C2636B" w:rsidRDefault="00976448" w:rsidP="00976448">
      <w:pPr>
        <w:pStyle w:val="Questionstyle"/>
        <w:rPr>
          <w:bCs/>
          <w:color w:val="201F1E"/>
          <w:bdr w:val="none" w:sz="0" w:space="0" w:color="auto" w:frame="1"/>
          <w:lang w:val="en-IE"/>
        </w:rPr>
      </w:pPr>
      <w:r w:rsidRPr="00F43E30">
        <w:rPr>
          <w:bCs/>
          <w:color w:val="201F1E"/>
          <w:bdr w:val="none" w:sz="0" w:space="0" w:color="auto" w:frame="1"/>
          <w:lang w:val="en-IE"/>
        </w:rPr>
        <w:lastRenderedPageBreak/>
        <w:t xml:space="preserve">i) Do you agree with the above assessment on the potential creation of a LEF? When you answer this question, please also take into account the grid </w:t>
      </w:r>
      <w:r w:rsidRPr="00F43E30">
        <w:rPr>
          <w:color w:val="201F1E"/>
          <w:bdr w:val="none" w:sz="0" w:space="0" w:color="auto" w:frame="1"/>
          <w:lang w:val="en-IE"/>
        </w:rPr>
        <w:t>of</w:t>
      </w:r>
      <w:r w:rsidRPr="00F43E30">
        <w:rPr>
          <w:bCs/>
          <w:color w:val="201F1E"/>
          <w:bdr w:val="none" w:sz="0" w:space="0" w:color="auto" w:frame="1"/>
          <w:lang w:val="en-IE"/>
        </w:rPr>
        <w:t xml:space="preserve"> criteria listed in paragraphs 76 to 80. ii) Several open questions related to the creation of the LEF, on which ESMA would specifically welcome feedback from stakeholders, include:</w:t>
      </w:r>
    </w:p>
    <w:p w14:paraId="26EDE601" w14:textId="77777777" w:rsidR="00976448" w:rsidRPr="000C1BA7" w:rsidRDefault="00976448" w:rsidP="00976448">
      <w:pPr>
        <w:pStyle w:val="xmsonormal"/>
        <w:numPr>
          <w:ilvl w:val="0"/>
          <w:numId w:val="46"/>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What should be the appropriate size of such a pooling vehicle as the LEF?</w:t>
      </w:r>
    </w:p>
    <w:p w14:paraId="0F9D6C43" w14:textId="77777777" w:rsidR="00976448" w:rsidRPr="000C1BA7" w:rsidRDefault="00976448" w:rsidP="00976448">
      <w:pPr>
        <w:pStyle w:val="xmsonormal"/>
        <w:numPr>
          <w:ilvl w:val="0"/>
          <w:numId w:val="46"/>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In terms of funding, how much MMF would have to pay each year to participate in the pool? How much of the funding would/should be provided by other sources?</w:t>
      </w:r>
    </w:p>
    <w:p w14:paraId="254F0D26" w14:textId="77777777" w:rsidR="00976448" w:rsidRPr="000C1BA7" w:rsidRDefault="00976448" w:rsidP="00976448">
      <w:pPr>
        <w:pStyle w:val="xmsonormal"/>
        <w:numPr>
          <w:ilvl w:val="0"/>
          <w:numId w:val="46"/>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How long would it take to establish such a LEF?</w:t>
      </w:r>
    </w:p>
    <w:p w14:paraId="40E4121F" w14:textId="77777777" w:rsidR="000C1BA7" w:rsidRPr="000C1BA7" w:rsidRDefault="00976448" w:rsidP="000C1BA7">
      <w:pPr>
        <w:pStyle w:val="xmsonormal"/>
        <w:numPr>
          <w:ilvl w:val="0"/>
          <w:numId w:val="46"/>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Under which conditions would the LEF be activated?</w:t>
      </w:r>
    </w:p>
    <w:p w14:paraId="681EC23B" w14:textId="08980129" w:rsidR="00492B3A" w:rsidRPr="000C1BA7" w:rsidRDefault="00976448" w:rsidP="000C1BA7">
      <w:pPr>
        <w:pStyle w:val="xmsonormal"/>
        <w:numPr>
          <w:ilvl w:val="0"/>
          <w:numId w:val="46"/>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color w:val="201F1E"/>
          <w:sz w:val="22"/>
          <w:szCs w:val="22"/>
          <w:bdr w:val="none" w:sz="0" w:space="0" w:color="auto" w:frame="1"/>
          <w:lang w:val="en-IE"/>
        </w:rPr>
        <w:t>Who would be responsible for activating the LEF</w:t>
      </w:r>
      <w:r w:rsidR="00A014B6" w:rsidRPr="000C1BA7">
        <w:rPr>
          <w:rFonts w:asciiTheme="minorHAnsi" w:hAnsiTheme="minorHAnsi" w:cstheme="minorHAnsi"/>
          <w:sz w:val="22"/>
          <w:szCs w:val="22"/>
        </w:rPr>
        <w:t>.</w:t>
      </w:r>
    </w:p>
    <w:p w14:paraId="4A7149D3" w14:textId="77777777" w:rsidR="000C1BA7" w:rsidRPr="000C1BA7" w:rsidRDefault="000C1BA7" w:rsidP="000C1BA7">
      <w:pPr>
        <w:pStyle w:val="xmsonormal"/>
        <w:shd w:val="clear" w:color="auto" w:fill="FFFFFF"/>
        <w:spacing w:before="0" w:beforeAutospacing="0" w:after="0" w:afterAutospacing="0"/>
        <w:jc w:val="both"/>
        <w:rPr>
          <w:rFonts w:ascii="Arial" w:hAnsi="Arial" w:cs="Arial"/>
          <w:b/>
          <w:bCs/>
          <w:color w:val="201F1E"/>
          <w:sz w:val="22"/>
          <w:szCs w:val="22"/>
          <w:bdr w:val="none" w:sz="0" w:space="0" w:color="auto" w:frame="1"/>
          <w:lang w:val="en-IE"/>
        </w:rPr>
      </w:pPr>
    </w:p>
    <w:p w14:paraId="7F0E3695" w14:textId="1167F0D8" w:rsidR="00492B3A" w:rsidRDefault="00492B3A" w:rsidP="00492B3A">
      <w:r>
        <w:t>&lt;ESMA_QUESTION_</w:t>
      </w:r>
      <w:r w:rsidR="00DC1B3F">
        <w:t>MMFR</w:t>
      </w:r>
      <w:r>
        <w:t>_12&gt;</w:t>
      </w:r>
    </w:p>
    <w:p w14:paraId="5F50FA92" w14:textId="77777777" w:rsidR="00492B3A" w:rsidRDefault="00492B3A" w:rsidP="00492B3A">
      <w:permStart w:id="575285207" w:edGrp="everyone"/>
      <w:r>
        <w:t>TYPE YOUR TEXT HERE</w:t>
      </w:r>
    </w:p>
    <w:permEnd w:id="575285207"/>
    <w:p w14:paraId="40A9AA66" w14:textId="206643A9" w:rsidR="00492B3A" w:rsidRDefault="00492B3A" w:rsidP="00492B3A">
      <w:r>
        <w:t>&lt;ESMA_QUESTION_</w:t>
      </w:r>
      <w:r w:rsidR="00DC1B3F">
        <w:t>MMFR</w:t>
      </w:r>
      <w:r>
        <w:t>_12&gt;</w:t>
      </w:r>
    </w:p>
    <w:p w14:paraId="47FAF275" w14:textId="77777777" w:rsidR="00492B3A" w:rsidRDefault="00492B3A" w:rsidP="00492B3A"/>
    <w:p w14:paraId="01343F76" w14:textId="67793062" w:rsidR="00492B3A" w:rsidRDefault="000C1BA7" w:rsidP="00492B3A">
      <w:pPr>
        <w:pStyle w:val="Questionstyle"/>
      </w:pPr>
      <w:r w:rsidRPr="00F43E30">
        <w:rPr>
          <w:bdr w:val="none" w:sz="0" w:space="0" w:color="auto" w:frame="1"/>
          <w:lang w:val="en-IE"/>
        </w:rPr>
        <w:t>Do you agree with the above assessment on the potential need of further clarification of the requirements of articles 1 and 6 of the MMF Regulation? When you answer this question, please also take into account the grid of criteria listed in paragraphs 76 to 80</w:t>
      </w:r>
      <w:r w:rsidR="00A014B6" w:rsidRPr="00A014B6">
        <w:t>.</w:t>
      </w:r>
    </w:p>
    <w:p w14:paraId="4C7333E2" w14:textId="452B3A65" w:rsidR="00492B3A" w:rsidRDefault="00492B3A" w:rsidP="00492B3A">
      <w:r>
        <w:t>&lt;ESMA_QUESTION_</w:t>
      </w:r>
      <w:r w:rsidR="00DC1B3F">
        <w:t>MMFR</w:t>
      </w:r>
      <w:r>
        <w:t>_13&gt;</w:t>
      </w:r>
    </w:p>
    <w:p w14:paraId="7A9A50C5" w14:textId="77777777" w:rsidR="00492B3A" w:rsidRDefault="00492B3A" w:rsidP="00492B3A">
      <w:permStart w:id="384379543" w:edGrp="everyone"/>
      <w:r>
        <w:t>TYPE YOUR TEXT HERE</w:t>
      </w:r>
    </w:p>
    <w:permEnd w:id="384379543"/>
    <w:p w14:paraId="0D19A1E9" w14:textId="18F528CC" w:rsidR="00492B3A" w:rsidRDefault="00492B3A" w:rsidP="00492B3A">
      <w:r>
        <w:t>&lt;ESMA_QUESTION_</w:t>
      </w:r>
      <w:r w:rsidR="00DC1B3F">
        <w:t>MMFR</w:t>
      </w:r>
      <w:r>
        <w:t>_13&gt;</w:t>
      </w:r>
    </w:p>
    <w:p w14:paraId="2B65235D"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82F4" w14:textId="77777777" w:rsidR="0019130D" w:rsidRDefault="0019130D">
      <w:r>
        <w:separator/>
      </w:r>
    </w:p>
    <w:p w14:paraId="0DDC908D" w14:textId="77777777" w:rsidR="0019130D" w:rsidRDefault="0019130D"/>
  </w:endnote>
  <w:endnote w:type="continuationSeparator" w:id="0">
    <w:p w14:paraId="271B7989" w14:textId="77777777" w:rsidR="0019130D" w:rsidRDefault="0019130D">
      <w:r>
        <w:continuationSeparator/>
      </w:r>
    </w:p>
    <w:p w14:paraId="64123411" w14:textId="77777777" w:rsidR="0019130D" w:rsidRDefault="0019130D"/>
  </w:endnote>
  <w:endnote w:type="continuationNotice" w:id="1">
    <w:p w14:paraId="07C309C4" w14:textId="77777777" w:rsidR="0019130D" w:rsidRDefault="00191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6AE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3176A" w14:textId="77777777" w:rsidR="0019130D" w:rsidRDefault="0019130D">
      <w:r>
        <w:separator/>
      </w:r>
    </w:p>
    <w:p w14:paraId="5EB60297" w14:textId="77777777" w:rsidR="0019130D" w:rsidRDefault="0019130D"/>
  </w:footnote>
  <w:footnote w:type="continuationSeparator" w:id="0">
    <w:p w14:paraId="78400309" w14:textId="77777777" w:rsidR="0019130D" w:rsidRDefault="0019130D">
      <w:r>
        <w:continuationSeparator/>
      </w:r>
    </w:p>
    <w:p w14:paraId="4AC1702C" w14:textId="77777777" w:rsidR="0019130D" w:rsidRDefault="0019130D"/>
  </w:footnote>
  <w:footnote w:type="continuationNotice" w:id="1">
    <w:p w14:paraId="65EF692F" w14:textId="77777777" w:rsidR="0019130D" w:rsidRDefault="001913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FC29" w14:textId="77777777" w:rsidR="00811EDA" w:rsidRDefault="00DE66EB">
    <w:pPr>
      <w:pStyle w:val="Header"/>
    </w:pPr>
    <w:r>
      <w:rPr>
        <w:noProof/>
        <w:lang w:eastAsia="en-GB"/>
      </w:rPr>
      <w:drawing>
        <wp:anchor distT="0" distB="0" distL="114300" distR="114300" simplePos="0" relativeHeight="251660288"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3B2BB" id="Line 16" o:spid="_x0000_s1026" style="position:absolute;z-index:251657216;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EF13" w14:textId="77777777" w:rsidR="00811EDA" w:rsidRDefault="00DE66EB" w:rsidP="00013CCE">
    <w:pPr>
      <w:pStyle w:val="Header"/>
      <w:jc w:val="right"/>
    </w:pPr>
    <w:r>
      <w:rPr>
        <w:noProof/>
        <w:lang w:eastAsia="en-GB"/>
      </w:rPr>
      <w:drawing>
        <wp:anchor distT="0" distB="0" distL="114300" distR="114300" simplePos="0" relativeHeight="251658240"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59264"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17D50"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7216"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891F2C"/>
    <w:multiLevelType w:val="hybridMultilevel"/>
    <w:tmpl w:val="FE9A285A"/>
    <w:lvl w:ilvl="0" w:tplc="2BFA7F4C">
      <w:start w:val="3"/>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E6107F"/>
    <w:multiLevelType w:val="hybridMultilevel"/>
    <w:tmpl w:val="F954B7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647C0F"/>
    <w:multiLevelType w:val="hybridMultilevel"/>
    <w:tmpl w:val="6A5A7A82"/>
    <w:lvl w:ilvl="0" w:tplc="40288CAA">
      <w:start w:val="1"/>
      <w:numFmt w:val="upperRoman"/>
      <w:lvlText w:val="%1."/>
      <w:lvlJc w:val="left"/>
      <w:pPr>
        <w:ind w:left="1080" w:hanging="720"/>
      </w:pPr>
      <w:rPr>
        <w:rFonts w:asciiTheme="minorHAnsi" w:eastAsiaTheme="minorHAnsi" w:hAnsiTheme="minorHAnsi" w:cstheme="minorHAnsi"/>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BF362E2A"/>
    <w:lvl w:ilvl="0" w:tplc="5FB40A98">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3731D0"/>
    <w:multiLevelType w:val="hybridMultilevel"/>
    <w:tmpl w:val="AEB03B32"/>
    <w:lvl w:ilvl="0" w:tplc="1F541942">
      <w:start w:val="1"/>
      <w:numFmt w:val="upperRoman"/>
      <w:lvlText w:val="%1."/>
      <w:lvlJc w:val="left"/>
      <w:pPr>
        <w:ind w:left="1080" w:hanging="720"/>
      </w:pPr>
      <w:rPr>
        <w:rFonts w:asciiTheme="minorHAnsi" w:eastAsiaTheme="minorHAnsi" w:hAnsiTheme="minorHAnsi" w:cstheme="minorHAnsi"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4B63FB"/>
    <w:multiLevelType w:val="hybridMultilevel"/>
    <w:tmpl w:val="272404B8"/>
    <w:lvl w:ilvl="0" w:tplc="01463C1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605498"/>
    <w:multiLevelType w:val="multilevel"/>
    <w:tmpl w:val="4748EF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9"/>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5"/>
  </w:num>
  <w:num w:numId="15">
    <w:abstractNumId w:val="11"/>
  </w:num>
  <w:num w:numId="16">
    <w:abstractNumId w:val="1"/>
  </w:num>
  <w:num w:numId="17">
    <w:abstractNumId w:val="16"/>
  </w:num>
  <w:num w:numId="18">
    <w:abstractNumId w:val="17"/>
  </w:num>
  <w:num w:numId="19">
    <w:abstractNumId w:val="19"/>
  </w:num>
  <w:num w:numId="20">
    <w:abstractNumId w:val="30"/>
  </w:num>
  <w:num w:numId="21">
    <w:abstractNumId w:val="41"/>
  </w:num>
  <w:num w:numId="22">
    <w:abstractNumId w:val="27"/>
  </w:num>
  <w:num w:numId="23">
    <w:abstractNumId w:val="10"/>
  </w:num>
  <w:num w:numId="24">
    <w:abstractNumId w:val="33"/>
  </w:num>
  <w:num w:numId="25">
    <w:abstractNumId w:val="32"/>
  </w:num>
  <w:num w:numId="26">
    <w:abstractNumId w:val="21"/>
  </w:num>
  <w:num w:numId="27">
    <w:abstractNumId w:val="37"/>
  </w:num>
  <w:num w:numId="28">
    <w:abstractNumId w:val="43"/>
  </w:num>
  <w:num w:numId="29">
    <w:abstractNumId w:val="8"/>
  </w:num>
  <w:num w:numId="30">
    <w:abstractNumId w:val="4"/>
  </w:num>
  <w:num w:numId="31">
    <w:abstractNumId w:val="24"/>
  </w:num>
  <w:num w:numId="32">
    <w:abstractNumId w:val="22"/>
  </w:num>
  <w:num w:numId="33">
    <w:abstractNumId w:val="39"/>
  </w:num>
  <w:num w:numId="34">
    <w:abstractNumId w:val="38"/>
  </w:num>
  <w:num w:numId="35">
    <w:abstractNumId w:val="12"/>
  </w:num>
  <w:num w:numId="36">
    <w:abstractNumId w:val="14"/>
  </w:num>
  <w:num w:numId="37">
    <w:abstractNumId w:val="35"/>
  </w:num>
  <w:num w:numId="38">
    <w:abstractNumId w:val="14"/>
    <w:lvlOverride w:ilvl="0">
      <w:startOverride w:val="1"/>
    </w:lvlOverride>
  </w:num>
  <w:num w:numId="39">
    <w:abstractNumId w:val="3"/>
  </w:num>
  <w:num w:numId="40">
    <w:abstractNumId w:val="7"/>
  </w:num>
  <w:num w:numId="41">
    <w:abstractNumId w:val="2"/>
  </w:num>
  <w:num w:numId="42">
    <w:abstractNumId w:val="28"/>
  </w:num>
  <w:num w:numId="43">
    <w:abstractNumId w:val="23"/>
  </w:num>
  <w:num w:numId="44">
    <w:abstractNumId w:val="40"/>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Ejv/gKEZsV5EvM8OivcqZUTc+fjpvceAPQ+oJQnjBU2RmfVdKT6qAKEwDcIINMiH+7EdOlnEmydkpDBXlcyQyQ==" w:salt="8tGsDj2N2K2SdAXO9M7drw=="/>
  <w:defaultTabStop w:val="709"/>
  <w:autoHyphenation/>
  <w:hyphenationZone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130"/>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4E32"/>
    <w:rsid w:val="00075503"/>
    <w:rsid w:val="0007609D"/>
    <w:rsid w:val="00076C5E"/>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BA7"/>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2822"/>
    <w:rsid w:val="000E3937"/>
    <w:rsid w:val="000E4926"/>
    <w:rsid w:val="000E5F7F"/>
    <w:rsid w:val="000E667A"/>
    <w:rsid w:val="000E7086"/>
    <w:rsid w:val="000E7C65"/>
    <w:rsid w:val="000F04D2"/>
    <w:rsid w:val="000F0F99"/>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1287"/>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130D"/>
    <w:rsid w:val="0019311A"/>
    <w:rsid w:val="0019508A"/>
    <w:rsid w:val="00195BFF"/>
    <w:rsid w:val="001960D8"/>
    <w:rsid w:val="001A1642"/>
    <w:rsid w:val="001A371B"/>
    <w:rsid w:val="001A4766"/>
    <w:rsid w:val="001A5E5C"/>
    <w:rsid w:val="001A6A0D"/>
    <w:rsid w:val="001A6C51"/>
    <w:rsid w:val="001A6FAA"/>
    <w:rsid w:val="001A7B6D"/>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3855"/>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1F6D2F"/>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57E"/>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11D"/>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127F"/>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9F0"/>
    <w:rsid w:val="003E3ACA"/>
    <w:rsid w:val="003E50EA"/>
    <w:rsid w:val="003E68C7"/>
    <w:rsid w:val="003E79B0"/>
    <w:rsid w:val="003F0403"/>
    <w:rsid w:val="003F1094"/>
    <w:rsid w:val="003F1D41"/>
    <w:rsid w:val="003F2E45"/>
    <w:rsid w:val="003F3EFE"/>
    <w:rsid w:val="003F40B8"/>
    <w:rsid w:val="003F4851"/>
    <w:rsid w:val="003F5C06"/>
    <w:rsid w:val="00400195"/>
    <w:rsid w:val="0040075B"/>
    <w:rsid w:val="0040254B"/>
    <w:rsid w:val="00403086"/>
    <w:rsid w:val="00403460"/>
    <w:rsid w:val="004040FF"/>
    <w:rsid w:val="00404284"/>
    <w:rsid w:val="004042C4"/>
    <w:rsid w:val="00406E90"/>
    <w:rsid w:val="00410240"/>
    <w:rsid w:val="00412253"/>
    <w:rsid w:val="004142ED"/>
    <w:rsid w:val="00415688"/>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7CA"/>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CC3"/>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08D1"/>
    <w:rsid w:val="004D0C17"/>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581D"/>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34DB"/>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96E"/>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0D"/>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A54ED"/>
    <w:rsid w:val="006A781B"/>
    <w:rsid w:val="006B2D40"/>
    <w:rsid w:val="006B34DF"/>
    <w:rsid w:val="006B39B2"/>
    <w:rsid w:val="006B3AF9"/>
    <w:rsid w:val="006B45A0"/>
    <w:rsid w:val="006B5668"/>
    <w:rsid w:val="006B5F71"/>
    <w:rsid w:val="006B69BA"/>
    <w:rsid w:val="006B6E44"/>
    <w:rsid w:val="006B7059"/>
    <w:rsid w:val="006B7287"/>
    <w:rsid w:val="006B7F2E"/>
    <w:rsid w:val="006C0BF8"/>
    <w:rsid w:val="006C2253"/>
    <w:rsid w:val="006C2CCB"/>
    <w:rsid w:val="006C4334"/>
    <w:rsid w:val="006C4B0F"/>
    <w:rsid w:val="006C5E96"/>
    <w:rsid w:val="006D04DF"/>
    <w:rsid w:val="006D0D0A"/>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0AE4"/>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D24"/>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6530"/>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6448"/>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483F"/>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408"/>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1DE7"/>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C7999"/>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1E2F"/>
    <w:rsid w:val="00AF201E"/>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4F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0415"/>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1076"/>
    <w:rsid w:val="00CA2897"/>
    <w:rsid w:val="00CA44F3"/>
    <w:rsid w:val="00CA51BA"/>
    <w:rsid w:val="00CA582C"/>
    <w:rsid w:val="00CA6077"/>
    <w:rsid w:val="00CA715B"/>
    <w:rsid w:val="00CA7988"/>
    <w:rsid w:val="00CA7BA2"/>
    <w:rsid w:val="00CB0B78"/>
    <w:rsid w:val="00CB12A5"/>
    <w:rsid w:val="00CB15D0"/>
    <w:rsid w:val="00CB17FA"/>
    <w:rsid w:val="00CB23D8"/>
    <w:rsid w:val="00CB2ED9"/>
    <w:rsid w:val="00CB36A5"/>
    <w:rsid w:val="00CB56B4"/>
    <w:rsid w:val="00CB7286"/>
    <w:rsid w:val="00CB7947"/>
    <w:rsid w:val="00CB7E3C"/>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158"/>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1B3F"/>
    <w:rsid w:val="00DC2A9A"/>
    <w:rsid w:val="00DC2E2E"/>
    <w:rsid w:val="00DC4D68"/>
    <w:rsid w:val="00DC6463"/>
    <w:rsid w:val="00DC7822"/>
    <w:rsid w:val="00DC7AF1"/>
    <w:rsid w:val="00DD12DF"/>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37C"/>
    <w:rsid w:val="00E53C15"/>
    <w:rsid w:val="00E54EE6"/>
    <w:rsid w:val="00E56715"/>
    <w:rsid w:val="00E56C2C"/>
    <w:rsid w:val="00E57F8E"/>
    <w:rsid w:val="00E611C8"/>
    <w:rsid w:val="00E6157C"/>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1D1C"/>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3C32"/>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67EC"/>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76448"/>
    <w:pPr>
      <w:numPr>
        <w:numId w:val="36"/>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76448"/>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 w:type="paragraph" w:customStyle="1" w:styleId="xmsonormal">
    <w:name w:val="x_msonormal"/>
    <w:basedOn w:val="Normal"/>
    <w:rsid w:val="00976448"/>
    <w:pPr>
      <w:spacing w:before="100" w:beforeAutospacing="1" w:after="100" w:afterAutospacing="1"/>
    </w:pPr>
    <w:rPr>
      <w:rFonts w:ascii="Times New Roman" w:hAnsi="Times New Roman"/>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sec.gov/comments/s7-01-21/s70121-8664053-235361.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chart" Target="charts/chart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msaechao\ICD%20Marketing%20Dropbox\Marketing\2020\Events\AFP%20-%20Vegas\Speaking%20Session\Data%20used%20for%20AFP%20ADB%20Char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Prime Flows</a:t>
            </a:r>
            <a:r>
              <a:rPr lang="en-US" baseline="0"/>
              <a:t> on ICD Portal and ICI, indexed at 100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Sheet2!$A$168</c:f>
              <c:strCache>
                <c:ptCount val="1"/>
                <c:pt idx="0">
                  <c:v>ICD Prime MMFs</c:v>
                </c:pt>
              </c:strCache>
            </c:strRef>
          </c:tx>
          <c:spPr>
            <a:ln w="28575" cap="rnd">
              <a:solidFill>
                <a:schemeClr val="accent1"/>
              </a:solidFill>
              <a:round/>
            </a:ln>
            <a:effectLst/>
          </c:spPr>
          <c:marker>
            <c:symbol val="none"/>
          </c:marker>
          <c:dLbls>
            <c:dLbl>
              <c:idx val="21"/>
              <c:layout>
                <c:manualLayout>
                  <c:x val="-5.5555555555555558E-3"/>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30-4D5B-B78C-613393A9ED86}"/>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Sheet2!$B$167:$W$167</c:f>
              <c:strCache>
                <c:ptCount val="22"/>
                <c:pt idx="0">
                  <c:v>2-Mar</c:v>
                </c:pt>
                <c:pt idx="1">
                  <c:v>3-Mar</c:v>
                </c:pt>
                <c:pt idx="2">
                  <c:v>4-Mar</c:v>
                </c:pt>
                <c:pt idx="3">
                  <c:v>5-Mar</c:v>
                </c:pt>
                <c:pt idx="4">
                  <c:v>6-Mar</c:v>
                </c:pt>
                <c:pt idx="5">
                  <c:v>9-Mar</c:v>
                </c:pt>
                <c:pt idx="6">
                  <c:v>10-Mar</c:v>
                </c:pt>
                <c:pt idx="7">
                  <c:v>11-Mar</c:v>
                </c:pt>
                <c:pt idx="8">
                  <c:v>12-Mar</c:v>
                </c:pt>
                <c:pt idx="9">
                  <c:v>13-Mar</c:v>
                </c:pt>
                <c:pt idx="10">
                  <c:v>16-Mar</c:v>
                </c:pt>
                <c:pt idx="11">
                  <c:v>17-Mar</c:v>
                </c:pt>
                <c:pt idx="12">
                  <c:v>18-Mar</c:v>
                </c:pt>
                <c:pt idx="13">
                  <c:v>19-Mar</c:v>
                </c:pt>
                <c:pt idx="14">
                  <c:v>20-Mar</c:v>
                </c:pt>
                <c:pt idx="15">
                  <c:v>23-Mar</c:v>
                </c:pt>
                <c:pt idx="16">
                  <c:v>24-Mar</c:v>
                </c:pt>
                <c:pt idx="17">
                  <c:v>25-Mar</c:v>
                </c:pt>
                <c:pt idx="18">
                  <c:v>26-Mar</c:v>
                </c:pt>
                <c:pt idx="19">
                  <c:v>27-Mar</c:v>
                </c:pt>
                <c:pt idx="20">
                  <c:v>30-Mar</c:v>
                </c:pt>
                <c:pt idx="21">
                  <c:v>31-Mar</c:v>
                </c:pt>
              </c:strCache>
            </c:strRef>
          </c:cat>
          <c:val>
            <c:numRef>
              <c:f>Sheet2!$B$168:$W$168</c:f>
              <c:numCache>
                <c:formatCode>General</c:formatCode>
                <c:ptCount val="22"/>
                <c:pt idx="0">
                  <c:v>100</c:v>
                </c:pt>
                <c:pt idx="1">
                  <c:v>97.747127775468854</c:v>
                </c:pt>
                <c:pt idx="2">
                  <c:v>106.59093684281069</c:v>
                </c:pt>
                <c:pt idx="3">
                  <c:v>107.62183438268525</c:v>
                </c:pt>
                <c:pt idx="4">
                  <c:v>109.58880347858995</c:v>
                </c:pt>
                <c:pt idx="5">
                  <c:v>110.85754667281623</c:v>
                </c:pt>
                <c:pt idx="6">
                  <c:v>106.65789843924949</c:v>
                </c:pt>
                <c:pt idx="7">
                  <c:v>107.07346323819438</c:v>
                </c:pt>
                <c:pt idx="8">
                  <c:v>104.73384081168093</c:v>
                </c:pt>
                <c:pt idx="9">
                  <c:v>92.998154751859957</c:v>
                </c:pt>
                <c:pt idx="10">
                  <c:v>77.697540746383396</c:v>
                </c:pt>
                <c:pt idx="11">
                  <c:v>61.411256817558836</c:v>
                </c:pt>
                <c:pt idx="12">
                  <c:v>40.540124611917157</c:v>
                </c:pt>
                <c:pt idx="13">
                  <c:v>27.967613510011454</c:v>
                </c:pt>
                <c:pt idx="14">
                  <c:v>24.577831303661064</c:v>
                </c:pt>
                <c:pt idx="15">
                  <c:v>21.02711298408801</c:v>
                </c:pt>
                <c:pt idx="16">
                  <c:v>21.089588405270302</c:v>
                </c:pt>
                <c:pt idx="17">
                  <c:v>22.522239097652513</c:v>
                </c:pt>
                <c:pt idx="18">
                  <c:v>21.669830824245118</c:v>
                </c:pt>
                <c:pt idx="19">
                  <c:v>22.337186649147448</c:v>
                </c:pt>
                <c:pt idx="20">
                  <c:v>22.379803077331299</c:v>
                </c:pt>
                <c:pt idx="21">
                  <c:v>21.30801712678997</c:v>
                </c:pt>
              </c:numCache>
            </c:numRef>
          </c:val>
          <c:smooth val="0"/>
          <c:extLst>
            <c:ext xmlns:c16="http://schemas.microsoft.com/office/drawing/2014/chart" uri="{C3380CC4-5D6E-409C-BE32-E72D297353CC}">
              <c16:uniqueId val="{00000001-2F30-4D5B-B78C-613393A9ED86}"/>
            </c:ext>
          </c:extLst>
        </c:ser>
        <c:ser>
          <c:idx val="1"/>
          <c:order val="1"/>
          <c:tx>
            <c:strRef>
              <c:f>Sheet2!$A$169</c:f>
              <c:strCache>
                <c:ptCount val="1"/>
                <c:pt idx="0">
                  <c:v>ICI Institutional Prime Weekly</c:v>
                </c:pt>
              </c:strCache>
            </c:strRef>
          </c:tx>
          <c:spPr>
            <a:ln w="28575" cap="rnd">
              <a:solidFill>
                <a:schemeClr val="accent2"/>
              </a:solidFill>
              <a:round/>
            </a:ln>
            <a:effectLst/>
          </c:spPr>
          <c:marker>
            <c:symbol val="none"/>
          </c:marker>
          <c:dLbls>
            <c:dLbl>
              <c:idx val="21"/>
              <c:layout>
                <c:manualLayout>
                  <c:x val="0"/>
                  <c:y val="-5.0925925925925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F30-4D5B-B78C-613393A9ED86}"/>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Sheet2!$B$167:$W$167</c:f>
              <c:strCache>
                <c:ptCount val="22"/>
                <c:pt idx="0">
                  <c:v>2-Mar</c:v>
                </c:pt>
                <c:pt idx="1">
                  <c:v>3-Mar</c:v>
                </c:pt>
                <c:pt idx="2">
                  <c:v>4-Mar</c:v>
                </c:pt>
                <c:pt idx="3">
                  <c:v>5-Mar</c:v>
                </c:pt>
                <c:pt idx="4">
                  <c:v>6-Mar</c:v>
                </c:pt>
                <c:pt idx="5">
                  <c:v>9-Mar</c:v>
                </c:pt>
                <c:pt idx="6">
                  <c:v>10-Mar</c:v>
                </c:pt>
                <c:pt idx="7">
                  <c:v>11-Mar</c:v>
                </c:pt>
                <c:pt idx="8">
                  <c:v>12-Mar</c:v>
                </c:pt>
                <c:pt idx="9">
                  <c:v>13-Mar</c:v>
                </c:pt>
                <c:pt idx="10">
                  <c:v>16-Mar</c:v>
                </c:pt>
                <c:pt idx="11">
                  <c:v>17-Mar</c:v>
                </c:pt>
                <c:pt idx="12">
                  <c:v>18-Mar</c:v>
                </c:pt>
                <c:pt idx="13">
                  <c:v>19-Mar</c:v>
                </c:pt>
                <c:pt idx="14">
                  <c:v>20-Mar</c:v>
                </c:pt>
                <c:pt idx="15">
                  <c:v>23-Mar</c:v>
                </c:pt>
                <c:pt idx="16">
                  <c:v>24-Mar</c:v>
                </c:pt>
                <c:pt idx="17">
                  <c:v>25-Mar</c:v>
                </c:pt>
                <c:pt idx="18">
                  <c:v>26-Mar</c:v>
                </c:pt>
                <c:pt idx="19">
                  <c:v>27-Mar</c:v>
                </c:pt>
                <c:pt idx="20">
                  <c:v>30-Mar</c:v>
                </c:pt>
                <c:pt idx="21">
                  <c:v>31-Mar</c:v>
                </c:pt>
              </c:strCache>
            </c:strRef>
          </c:cat>
          <c:val>
            <c:numRef>
              <c:f>Sheet2!$B$169:$W$169</c:f>
              <c:numCache>
                <c:formatCode>General</c:formatCode>
                <c:ptCount val="22"/>
                <c:pt idx="0">
                  <c:v>100</c:v>
                </c:pt>
                <c:pt idx="1">
                  <c:v>100</c:v>
                </c:pt>
                <c:pt idx="2">
                  <c:v>100</c:v>
                </c:pt>
                <c:pt idx="3">
                  <c:v>98.8672938846249</c:v>
                </c:pt>
                <c:pt idx="4">
                  <c:v>98.8672938846249</c:v>
                </c:pt>
                <c:pt idx="5">
                  <c:v>98.8672938846249</c:v>
                </c:pt>
                <c:pt idx="6">
                  <c:v>98.8672938846249</c:v>
                </c:pt>
                <c:pt idx="7">
                  <c:v>98.8672938846249</c:v>
                </c:pt>
                <c:pt idx="8">
                  <c:v>99.275810844268378</c:v>
                </c:pt>
                <c:pt idx="9">
                  <c:v>99.275810844268378</c:v>
                </c:pt>
                <c:pt idx="10">
                  <c:v>99.275810844268378</c:v>
                </c:pt>
                <c:pt idx="11">
                  <c:v>99.275810844268378</c:v>
                </c:pt>
                <c:pt idx="12">
                  <c:v>99.275810844268378</c:v>
                </c:pt>
                <c:pt idx="13">
                  <c:v>78.648799207724679</c:v>
                </c:pt>
                <c:pt idx="14">
                  <c:v>78.648799207724679</c:v>
                </c:pt>
                <c:pt idx="15">
                  <c:v>78.648799207724679</c:v>
                </c:pt>
                <c:pt idx="16">
                  <c:v>78.648799207724679</c:v>
                </c:pt>
                <c:pt idx="17">
                  <c:v>78.648799207724679</c:v>
                </c:pt>
                <c:pt idx="18">
                  <c:v>69.119831641495423</c:v>
                </c:pt>
                <c:pt idx="19">
                  <c:v>69.119831641495423</c:v>
                </c:pt>
                <c:pt idx="20">
                  <c:v>69.119831641495423</c:v>
                </c:pt>
                <c:pt idx="21">
                  <c:v>69.119831641495423</c:v>
                </c:pt>
              </c:numCache>
            </c:numRef>
          </c:val>
          <c:smooth val="0"/>
          <c:extLst>
            <c:ext xmlns:c16="http://schemas.microsoft.com/office/drawing/2014/chart" uri="{C3380CC4-5D6E-409C-BE32-E72D297353CC}">
              <c16:uniqueId val="{00000003-2F30-4D5B-B78C-613393A9ED86}"/>
            </c:ext>
          </c:extLst>
        </c:ser>
        <c:dLbls>
          <c:showLegendKey val="0"/>
          <c:showVal val="0"/>
          <c:showCatName val="0"/>
          <c:showSerName val="0"/>
          <c:showPercent val="0"/>
          <c:showBubbleSize val="0"/>
        </c:dLbls>
        <c:smooth val="0"/>
        <c:axId val="1236221951"/>
        <c:axId val="1236210719"/>
      </c:lineChart>
      <c:catAx>
        <c:axId val="1236221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6210719"/>
        <c:crosses val="autoZero"/>
        <c:auto val="1"/>
        <c:lblAlgn val="ctr"/>
        <c:lblOffset val="100"/>
        <c:noMultiLvlLbl val="0"/>
      </c:catAx>
      <c:valAx>
        <c:axId val="12362107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62219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3.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5.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6.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2546</Words>
  <Characters>14517</Characters>
  <Application>Microsoft Office Word</Application>
  <DocSecurity>8</DocSecurity>
  <Lines>120</Lines>
  <Paragraphs>34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17029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Zoe Sochor</cp:lastModifiedBy>
  <cp:revision>7</cp:revision>
  <cp:lastPrinted>2015-02-18T11:01:00Z</cp:lastPrinted>
  <dcterms:created xsi:type="dcterms:W3CDTF">2021-06-30T05:47:00Z</dcterms:created>
  <dcterms:modified xsi:type="dcterms:W3CDTF">2021-06-30T13:23:00Z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