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F10D35" w14:paraId="3A1CEF39" w14:textId="77777777" w:rsidTr="00315E96">
        <w:trPr>
          <w:trHeight w:val="284"/>
        </w:trPr>
        <w:tc>
          <w:tcPr>
            <w:tcW w:w="9412" w:type="dxa"/>
          </w:tcPr>
          <w:p w14:paraId="4CE64CCB" w14:textId="13B365A4" w:rsidR="00C2094B" w:rsidRPr="00F10D35" w:rsidRDefault="0031127F" w:rsidP="00AF38AF">
            <w:pPr>
              <w:pStyle w:val="00bDBInfo"/>
              <w:rPr>
                <w:rFonts w:cs="Arial"/>
              </w:rPr>
            </w:pPr>
            <w:r>
              <w:rPr>
                <w:rFonts w:cs="Arial"/>
              </w:rPr>
              <w:t>29</w:t>
            </w:r>
            <w:r w:rsidR="00FE40D3" w:rsidRPr="00FE40D3">
              <w:rPr>
                <w:rFonts w:cs="Arial"/>
              </w:rPr>
              <w:t xml:space="preserve"> </w:t>
            </w:r>
            <w:r>
              <w:rPr>
                <w:rFonts w:cs="Arial"/>
              </w:rPr>
              <w:t>March</w:t>
            </w:r>
            <w:r w:rsidR="002C27F9" w:rsidRPr="00FE40D3">
              <w:rPr>
                <w:rFonts w:cs="Arial"/>
              </w:rPr>
              <w:t xml:space="preserve"> 202</w:t>
            </w:r>
            <w:r w:rsidR="00F87631">
              <w:rPr>
                <w:rFonts w:cs="Arial"/>
              </w:rPr>
              <w:t>1</w:t>
            </w:r>
          </w:p>
        </w:tc>
      </w:tr>
    </w:tbl>
    <w:p w14:paraId="031231A1" w14:textId="68FE125F" w:rsidR="00FD7A8D" w:rsidRPr="00616B9B" w:rsidRDefault="00FD7A8D" w:rsidP="00FD7A8D">
      <w:pPr>
        <w:rPr>
          <w:rFonts w:cs="Arial"/>
          <w:vanish/>
        </w:rPr>
      </w:pPr>
    </w:p>
    <w:tbl>
      <w:tblPr>
        <w:tblpPr w:leftFromText="8505" w:vertAnchor="page" w:horzAnchor="margin" w:tblpY="3556"/>
        <w:tblW w:w="9646" w:type="dxa"/>
        <w:tblLayout w:type="fixed"/>
        <w:tblCellMar>
          <w:left w:w="0" w:type="dxa"/>
          <w:right w:w="0" w:type="dxa"/>
        </w:tblCellMar>
        <w:tblLook w:val="01E0" w:firstRow="1" w:lastRow="1" w:firstColumn="1" w:lastColumn="1" w:noHBand="0" w:noVBand="0"/>
      </w:tblPr>
      <w:tblGrid>
        <w:gridCol w:w="9646"/>
      </w:tblGrid>
      <w:tr w:rsidR="00146A6C" w:rsidRPr="00616B9B" w14:paraId="117904A3" w14:textId="77777777" w:rsidTr="00146A6C">
        <w:trPr>
          <w:trHeight w:hRule="exact" w:val="2137"/>
        </w:trPr>
        <w:tc>
          <w:tcPr>
            <w:tcW w:w="9646" w:type="dxa"/>
            <w:vAlign w:val="bottom"/>
          </w:tcPr>
          <w:p w14:paraId="4956832E" w14:textId="364B7A29" w:rsidR="00146A6C" w:rsidRPr="00201005" w:rsidRDefault="00146A6C" w:rsidP="00146A6C">
            <w:pPr>
              <w:pStyle w:val="01aDBTitle"/>
              <w:jc w:val="left"/>
              <w:rPr>
                <w:szCs w:val="40"/>
              </w:rPr>
            </w:pPr>
            <w:r w:rsidRPr="00201005">
              <w:rPr>
                <w:rFonts w:cs="Arial"/>
                <w:szCs w:val="40"/>
              </w:rPr>
              <w:t>Response form for the Consultation Paper on</w:t>
            </w:r>
            <w:r w:rsidRPr="00201005">
              <w:rPr>
                <w:szCs w:val="40"/>
              </w:rPr>
              <w:t xml:space="preserve"> </w:t>
            </w:r>
            <w:r w:rsidR="00DC1B3F">
              <w:rPr>
                <w:szCs w:val="40"/>
              </w:rPr>
              <w:t xml:space="preserve">the </w:t>
            </w:r>
            <w:r w:rsidR="00DC1B3F" w:rsidRPr="00DC1B3F">
              <w:rPr>
                <w:szCs w:val="40"/>
              </w:rPr>
              <w:t>EU Money Market Fund Regulation – legislative review</w:t>
            </w:r>
          </w:p>
          <w:p w14:paraId="16F35E65" w14:textId="77777777" w:rsidR="00146A6C" w:rsidRPr="00146A6C" w:rsidRDefault="00146A6C" w:rsidP="00146A6C">
            <w:pPr>
              <w:pStyle w:val="01aDBTitle"/>
              <w:jc w:val="left"/>
              <w:rPr>
                <w:rFonts w:cs="Arial"/>
                <w:sz w:val="32"/>
                <w:szCs w:val="32"/>
              </w:rPr>
            </w:pPr>
          </w:p>
        </w:tc>
      </w:tr>
      <w:tr w:rsidR="00146A6C" w:rsidRPr="00616B9B" w14:paraId="28EA853F" w14:textId="77777777" w:rsidTr="00146A6C">
        <w:trPr>
          <w:trHeight w:hRule="exact" w:val="1237"/>
        </w:trPr>
        <w:tc>
          <w:tcPr>
            <w:tcW w:w="9646" w:type="dxa"/>
            <w:tcMar>
              <w:top w:w="142" w:type="dxa"/>
            </w:tcMar>
          </w:tcPr>
          <w:p w14:paraId="6AB3A0AD" w14:textId="77777777" w:rsidR="00146A6C" w:rsidRDefault="00146A6C" w:rsidP="00146A6C">
            <w:pPr>
              <w:pStyle w:val="01bDBSubtitle"/>
              <w:rPr>
                <w:rFonts w:ascii="Arial" w:hAnsi="Arial" w:cs="Arial"/>
                <w:sz w:val="32"/>
              </w:rPr>
            </w:pPr>
            <w:r w:rsidRPr="009A053D">
              <w:rPr>
                <w:rFonts w:ascii="Arial" w:hAnsi="Arial" w:cs="Arial"/>
                <w:sz w:val="32"/>
              </w:rPr>
              <w:t xml:space="preserve"> </w:t>
            </w:r>
          </w:p>
          <w:p w14:paraId="08280749" w14:textId="77777777" w:rsidR="00146A6C" w:rsidRDefault="00146A6C" w:rsidP="00146A6C"/>
          <w:p w14:paraId="02AC275B" w14:textId="77777777" w:rsidR="00146A6C" w:rsidRDefault="00146A6C" w:rsidP="00146A6C">
            <w:pPr>
              <w:jc w:val="center"/>
            </w:pPr>
          </w:p>
          <w:p w14:paraId="216E8B81" w14:textId="77777777" w:rsidR="00146A6C" w:rsidRPr="002C27F9" w:rsidRDefault="00146A6C" w:rsidP="00146A6C">
            <w:pPr>
              <w:jc w:val="right"/>
            </w:pPr>
          </w:p>
        </w:tc>
      </w:tr>
    </w:tbl>
    <w:p w14:paraId="156768A1"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2EF98C17" w14:textId="77777777" w:rsidTr="00315E96">
        <w:trPr>
          <w:trHeight w:hRule="exact" w:val="964"/>
        </w:trPr>
        <w:tc>
          <w:tcPr>
            <w:tcW w:w="2325" w:type="dxa"/>
          </w:tcPr>
          <w:p w14:paraId="3B25AA0D" w14:textId="0F392077" w:rsidR="00620D7C" w:rsidRPr="004E49B0" w:rsidRDefault="00620D7C" w:rsidP="00FE40D3">
            <w:pPr>
              <w:pStyle w:val="02Date"/>
              <w:jc w:val="right"/>
              <w:rPr>
                <w:rFonts w:cs="Arial"/>
              </w:rPr>
            </w:pPr>
            <w:r w:rsidRPr="00F10D35">
              <w:rPr>
                <w:rFonts w:cs="Arial"/>
              </w:rPr>
              <w:lastRenderedPageBreak/>
              <w:t xml:space="preserve">Date: </w:t>
            </w:r>
            <w:r w:rsidR="0031127F">
              <w:rPr>
                <w:rFonts w:cs="Arial"/>
              </w:rPr>
              <w:t>29</w:t>
            </w:r>
            <w:r w:rsidR="00FE40D3" w:rsidRPr="00FE40D3">
              <w:rPr>
                <w:rFonts w:cs="Arial"/>
              </w:rPr>
              <w:t xml:space="preserve"> </w:t>
            </w:r>
            <w:r w:rsidR="0031127F">
              <w:rPr>
                <w:rFonts w:cs="Arial"/>
              </w:rPr>
              <w:t>March</w:t>
            </w:r>
            <w:r w:rsidR="00F87631">
              <w:rPr>
                <w:rFonts w:cs="Arial"/>
              </w:rPr>
              <w:t xml:space="preserve"> </w:t>
            </w:r>
            <w:r w:rsidR="005738DE" w:rsidRPr="00FE40D3">
              <w:rPr>
                <w:rFonts w:cs="Arial"/>
              </w:rPr>
              <w:t>20</w:t>
            </w:r>
            <w:r w:rsidR="002C27F9" w:rsidRPr="00FE40D3">
              <w:rPr>
                <w:rFonts w:cs="Arial"/>
              </w:rPr>
              <w:t>2</w:t>
            </w:r>
            <w:r w:rsidR="00F87631">
              <w:rPr>
                <w:rFonts w:cs="Arial"/>
              </w:rPr>
              <w:t>1</w:t>
            </w:r>
          </w:p>
        </w:tc>
      </w:tr>
    </w:tbl>
    <w:p w14:paraId="3B583CC6" w14:textId="72105B2D" w:rsidR="00FE40D3" w:rsidRPr="00FE40D3" w:rsidRDefault="00FE40D3" w:rsidP="00FE40D3">
      <w:pPr>
        <w:numPr>
          <w:ilvl w:val="1"/>
          <w:numId w:val="0"/>
        </w:numPr>
        <w:spacing w:after="240"/>
        <w:jc w:val="both"/>
        <w:rPr>
          <w:b/>
          <w:sz w:val="28"/>
          <w:highlight w:val="yellow"/>
          <w:lang w:eastAsia="en-US"/>
        </w:rPr>
      </w:pPr>
      <w:r w:rsidRPr="00FE40D3">
        <w:rPr>
          <w:b/>
          <w:sz w:val="28"/>
          <w:lang w:eastAsia="en-US"/>
        </w:rPr>
        <w:t>Responding to this paper</w:t>
      </w:r>
    </w:p>
    <w:p w14:paraId="432053DE" w14:textId="3B77BB49"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ESMA invites responses to the questions set out throughout this Consultation Paper and summarised in Annex </w:t>
      </w:r>
      <w:r w:rsidR="00DC1B3F">
        <w:rPr>
          <w:sz w:val="22"/>
          <w:szCs w:val="20"/>
          <w:lang w:eastAsia="en-US"/>
        </w:rPr>
        <w:t>3</w:t>
      </w:r>
      <w:r w:rsidRPr="00FE40D3">
        <w:rPr>
          <w:sz w:val="22"/>
          <w:szCs w:val="20"/>
          <w:lang w:eastAsia="en-US"/>
        </w:rPr>
        <w:t>. Responses are most helpful if they:</w:t>
      </w:r>
    </w:p>
    <w:p w14:paraId="4A3E409E"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respond to the question stated and indicate the specific question to which they relate;</w:t>
      </w:r>
    </w:p>
    <w:p w14:paraId="5141C67D"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contain a clear rationale; and</w:t>
      </w:r>
    </w:p>
    <w:p w14:paraId="63688220"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describe any alternatives ESMA should consider.</w:t>
      </w:r>
    </w:p>
    <w:p w14:paraId="3B54E1DD" w14:textId="064AB0E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ESMA will consider all comments received by </w:t>
      </w:r>
      <w:r w:rsidR="00DC1B3F">
        <w:rPr>
          <w:b/>
        </w:rPr>
        <w:t>Wednesday</w:t>
      </w:r>
      <w:r w:rsidR="00F87631" w:rsidRPr="002A7128">
        <w:rPr>
          <w:b/>
        </w:rPr>
        <w:t xml:space="preserve"> </w:t>
      </w:r>
      <w:r w:rsidR="00DC1B3F">
        <w:rPr>
          <w:b/>
        </w:rPr>
        <w:t>30</w:t>
      </w:r>
      <w:r w:rsidR="00DC1B3F" w:rsidRPr="00DC1B3F">
        <w:rPr>
          <w:b/>
          <w:vertAlign w:val="superscript"/>
        </w:rPr>
        <w:t>th</w:t>
      </w:r>
      <w:r w:rsidR="00DC1B3F">
        <w:rPr>
          <w:b/>
        </w:rPr>
        <w:t xml:space="preserve"> June</w:t>
      </w:r>
      <w:r w:rsidR="00F87631" w:rsidRPr="002A7128">
        <w:rPr>
          <w:b/>
        </w:rPr>
        <w:t xml:space="preserve"> 2021.</w:t>
      </w:r>
    </w:p>
    <w:p w14:paraId="4269A5C4" w14:textId="77777777" w:rsidR="00FE40D3" w:rsidRPr="00FE40D3" w:rsidRDefault="00FE40D3" w:rsidP="00FE40D3">
      <w:pPr>
        <w:spacing w:after="240" w:line="276" w:lineRule="auto"/>
        <w:jc w:val="both"/>
        <w:rPr>
          <w:sz w:val="22"/>
          <w:szCs w:val="20"/>
          <w:lang w:eastAsia="en-US"/>
        </w:rPr>
      </w:pPr>
      <w:bookmarkStart w:id="0" w:name="_Hlk65069037"/>
      <w:r w:rsidRPr="00FE40D3">
        <w:rPr>
          <w:sz w:val="22"/>
          <w:szCs w:val="20"/>
          <w:lang w:eastAsia="en-US"/>
        </w:rPr>
        <w:t xml:space="preserve">All contributions should be submitted online at </w:t>
      </w:r>
      <w:hyperlink r:id="rId19" w:history="1">
        <w:r w:rsidRPr="00FE40D3">
          <w:rPr>
            <w:color w:val="0563C1"/>
            <w:sz w:val="22"/>
            <w:szCs w:val="20"/>
            <w:u w:val="single"/>
            <w:lang w:eastAsia="en-US"/>
          </w:rPr>
          <w:t>www.esma.europa.eu</w:t>
        </w:r>
      </w:hyperlink>
      <w:r w:rsidRPr="00FE40D3">
        <w:rPr>
          <w:sz w:val="22"/>
          <w:szCs w:val="20"/>
          <w:lang w:eastAsia="en-US"/>
        </w:rPr>
        <w:t xml:space="preserve"> under the heading ‘Your input - Consultations’. </w:t>
      </w:r>
    </w:p>
    <w:bookmarkEnd w:id="0"/>
    <w:p w14:paraId="6A0918CE" w14:textId="77777777" w:rsidR="00FE40D3" w:rsidRPr="00241178" w:rsidRDefault="00FE40D3" w:rsidP="00FE40D3">
      <w:pPr>
        <w:spacing w:after="120" w:line="276" w:lineRule="auto"/>
        <w:jc w:val="both"/>
        <w:rPr>
          <w:b/>
          <w:sz w:val="22"/>
          <w:szCs w:val="20"/>
          <w:lang w:eastAsia="en-US"/>
        </w:rPr>
      </w:pPr>
      <w:r w:rsidRPr="00241178">
        <w:rPr>
          <w:b/>
          <w:sz w:val="22"/>
          <w:szCs w:val="20"/>
          <w:lang w:eastAsia="en-US"/>
        </w:rPr>
        <w:t>Instructions</w:t>
      </w:r>
    </w:p>
    <w:p w14:paraId="7A099769" w14:textId="77777777" w:rsidR="00FE40D3" w:rsidRPr="00241178" w:rsidRDefault="00FE40D3" w:rsidP="00FE40D3">
      <w:pPr>
        <w:spacing w:after="240" w:line="276" w:lineRule="auto"/>
        <w:jc w:val="both"/>
        <w:rPr>
          <w:sz w:val="22"/>
          <w:szCs w:val="20"/>
          <w:lang w:eastAsia="en-US"/>
        </w:rPr>
      </w:pPr>
      <w:r w:rsidRPr="00241178">
        <w:rPr>
          <w:sz w:val="22"/>
          <w:szCs w:val="20"/>
          <w:lang w:eastAsia="en-US"/>
        </w:rPr>
        <w:t xml:space="preserve">In order to facilitate analysis of responses to the Consultation Paper, respondents are requested to follow the steps below when preparing and submitting their response: </w:t>
      </w:r>
    </w:p>
    <w:p w14:paraId="5D028BA8" w14:textId="01FEDD0D" w:rsidR="00FE40D3" w:rsidRPr="00241178" w:rsidRDefault="00FE40D3" w:rsidP="00FE40D3">
      <w:pPr>
        <w:numPr>
          <w:ilvl w:val="0"/>
          <w:numId w:val="47"/>
        </w:numPr>
        <w:spacing w:after="240" w:line="276" w:lineRule="auto"/>
        <w:jc w:val="both"/>
        <w:rPr>
          <w:sz w:val="22"/>
          <w:szCs w:val="22"/>
          <w:lang w:eastAsia="en-GB"/>
        </w:rPr>
      </w:pPr>
      <w:bookmarkStart w:id="1" w:name="_Hlk65154841"/>
      <w:r w:rsidRPr="00241178">
        <w:rPr>
          <w:sz w:val="22"/>
          <w:szCs w:val="22"/>
          <w:lang w:eastAsia="en-GB"/>
        </w:rPr>
        <w:t>Insert your responses to the consultation questions in th</w:t>
      </w:r>
      <w:r w:rsidR="006D0D0A">
        <w:rPr>
          <w:sz w:val="22"/>
          <w:szCs w:val="22"/>
          <w:lang w:eastAsia="en-GB"/>
        </w:rPr>
        <w:t>is</w:t>
      </w:r>
      <w:r w:rsidRPr="00241178">
        <w:rPr>
          <w:sz w:val="22"/>
          <w:szCs w:val="22"/>
          <w:lang w:eastAsia="en-GB"/>
        </w:rPr>
        <w:t xml:space="preserve"> form</w:t>
      </w:r>
      <w:r w:rsidR="006D0D0A">
        <w:rPr>
          <w:sz w:val="22"/>
          <w:szCs w:val="22"/>
          <w:lang w:eastAsia="en-GB"/>
        </w:rPr>
        <w:t>.</w:t>
      </w:r>
    </w:p>
    <w:bookmarkEnd w:id="1"/>
    <w:p w14:paraId="45B49741" w14:textId="0FB476EF"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Please do not remove tags of the type &lt;ESMA_QUESTION_</w:t>
      </w:r>
      <w:r w:rsidR="00DC1B3F">
        <w:rPr>
          <w:sz w:val="22"/>
          <w:szCs w:val="22"/>
          <w:lang w:eastAsia="en-GB"/>
        </w:rPr>
        <w:t>MMFR</w:t>
      </w:r>
      <w:r w:rsidRPr="00241178">
        <w:rPr>
          <w:sz w:val="22"/>
          <w:szCs w:val="22"/>
          <w:lang w:eastAsia="en-GB"/>
        </w:rPr>
        <w:t xml:space="preserve">_1&gt;. Your response to each question has to be framed by the two tags corresponding to the question. </w:t>
      </w:r>
    </w:p>
    <w:p w14:paraId="3C1B6FAE" w14:textId="77777777"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If you do not wish to respond to a given question, please do not delete it but simply leave the text “TYPE YOUR TEXT HERE” between the tags.</w:t>
      </w:r>
    </w:p>
    <w:p w14:paraId="0398429A" w14:textId="51B65C69"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When you have drafted your response, name your response form according to the following convention: ESMA_</w:t>
      </w:r>
      <w:r w:rsidR="00DC1B3F">
        <w:rPr>
          <w:sz w:val="22"/>
          <w:szCs w:val="22"/>
          <w:lang w:eastAsia="en-GB"/>
        </w:rPr>
        <w:t>MMFR</w:t>
      </w:r>
      <w:r w:rsidRPr="00241178">
        <w:rPr>
          <w:sz w:val="22"/>
          <w:szCs w:val="22"/>
          <w:lang w:eastAsia="en-GB"/>
        </w:rPr>
        <w:t>_nameofrespondent_RESPONSEFORM. For example, for a respondent named ABCD, the response form would be entitled ESMA_</w:t>
      </w:r>
      <w:r w:rsidR="00DC1B3F">
        <w:rPr>
          <w:sz w:val="22"/>
          <w:szCs w:val="22"/>
          <w:lang w:eastAsia="en-GB"/>
        </w:rPr>
        <w:t>MMFR</w:t>
      </w:r>
      <w:r w:rsidRPr="00241178">
        <w:rPr>
          <w:sz w:val="22"/>
          <w:szCs w:val="22"/>
          <w:lang w:eastAsia="en-GB"/>
        </w:rPr>
        <w:t>_ABCD_RESPONSEFORM.</w:t>
      </w:r>
    </w:p>
    <w:p w14:paraId="033FC000" w14:textId="6DB58D5C"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Upload the form containing your responses, in Word format, to ESMA’s website (</w:t>
      </w:r>
      <w:hyperlink r:id="rId20" w:history="1">
        <w:r w:rsidRPr="00241178">
          <w:rPr>
            <w:color w:val="0563C1"/>
            <w:sz w:val="22"/>
            <w:szCs w:val="22"/>
            <w:u w:val="single"/>
            <w:lang w:eastAsia="en-GB"/>
          </w:rPr>
          <w:t>www.esma.europa.eu</w:t>
        </w:r>
      </w:hyperlink>
      <w:r w:rsidRPr="00241178">
        <w:rPr>
          <w:sz w:val="22"/>
          <w:szCs w:val="22"/>
          <w:lang w:eastAsia="en-GB"/>
        </w:rPr>
        <w:t xml:space="preserve"> under the heading ‘Your input – Open consultations’ → ‘</w:t>
      </w:r>
      <w:r w:rsidR="00DC1B3F" w:rsidRPr="00DC1B3F">
        <w:rPr>
          <w:sz w:val="22"/>
          <w:szCs w:val="22"/>
          <w:lang w:eastAsia="en-GB"/>
        </w:rPr>
        <w:t>Consultation on EU Money Market Fund Regulation – legislative review</w:t>
      </w:r>
      <w:r w:rsidR="00DC1B3F">
        <w:rPr>
          <w:sz w:val="22"/>
          <w:szCs w:val="22"/>
          <w:lang w:eastAsia="en-GB"/>
        </w:rPr>
        <w:t>’</w:t>
      </w:r>
      <w:r w:rsidRPr="00241178">
        <w:rPr>
          <w:sz w:val="22"/>
          <w:szCs w:val="22"/>
          <w:lang w:eastAsia="en-GB"/>
        </w:rPr>
        <w:t>).</w:t>
      </w:r>
    </w:p>
    <w:p w14:paraId="3FB5805D" w14:textId="77777777" w:rsidR="00FE40D3" w:rsidRPr="00FE40D3" w:rsidRDefault="00FE40D3" w:rsidP="00FE40D3">
      <w:pPr>
        <w:spacing w:after="120" w:line="264" w:lineRule="auto"/>
        <w:rPr>
          <w:b/>
          <w:sz w:val="22"/>
          <w:szCs w:val="20"/>
          <w:lang w:eastAsia="en-US"/>
        </w:rPr>
      </w:pPr>
      <w:r w:rsidRPr="00FE40D3">
        <w:rPr>
          <w:b/>
          <w:sz w:val="22"/>
          <w:szCs w:val="20"/>
          <w:lang w:eastAsia="en-US"/>
        </w:rPr>
        <w:lastRenderedPageBreak/>
        <w:br w:type="page"/>
      </w:r>
    </w:p>
    <w:p w14:paraId="310A4AC0" w14:textId="77777777" w:rsidR="00FE40D3" w:rsidRPr="00FE40D3" w:rsidRDefault="00FE40D3" w:rsidP="00FE40D3">
      <w:pPr>
        <w:keepNext/>
        <w:spacing w:after="120" w:line="276" w:lineRule="auto"/>
        <w:jc w:val="both"/>
        <w:rPr>
          <w:b/>
          <w:sz w:val="22"/>
          <w:szCs w:val="20"/>
          <w:lang w:eastAsia="en-US"/>
        </w:rPr>
      </w:pPr>
      <w:r w:rsidRPr="00FE40D3">
        <w:rPr>
          <w:b/>
          <w:sz w:val="22"/>
          <w:szCs w:val="20"/>
          <w:lang w:eastAsia="en-US"/>
        </w:rPr>
        <w:lastRenderedPageBreak/>
        <w:t>Publication of responses</w:t>
      </w:r>
    </w:p>
    <w:p w14:paraId="72E285DB"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All contributions received will be published following the close of the consultation, unless you request otherwise. </w:t>
      </w:r>
      <w:r w:rsidRPr="00FE40D3">
        <w:rPr>
          <w:sz w:val="22"/>
          <w:szCs w:val="20"/>
          <w:u w:val="single"/>
          <w:lang w:eastAsia="en-US"/>
        </w:rPr>
        <w:t>If you do not wish for your response to be publicly disclosed, please clearly indicate this by ticking the appropriate box on the website submission page</w:t>
      </w:r>
      <w:r w:rsidRPr="00FE40D3">
        <w:rPr>
          <w:sz w:val="22"/>
          <w:szCs w:val="20"/>
          <w:lang w:eastAsia="en-US"/>
        </w:rPr>
        <w:t>.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7362827"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Data protection</w:t>
      </w:r>
    </w:p>
    <w:p w14:paraId="73AF5B46"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Information on data protection can be found at </w:t>
      </w:r>
      <w:hyperlink r:id="rId21" w:history="1">
        <w:r w:rsidRPr="00FE40D3">
          <w:rPr>
            <w:color w:val="0563C1"/>
            <w:sz w:val="22"/>
            <w:szCs w:val="20"/>
            <w:u w:val="single"/>
            <w:lang w:eastAsia="en-US"/>
          </w:rPr>
          <w:t>www.esma.europa.eu</w:t>
        </w:r>
      </w:hyperlink>
      <w:r w:rsidRPr="00FE40D3">
        <w:rPr>
          <w:sz w:val="22"/>
          <w:szCs w:val="20"/>
          <w:lang w:eastAsia="en-US"/>
        </w:rPr>
        <w:t xml:space="preserve"> under the heading </w:t>
      </w:r>
      <w:r w:rsidRPr="00FE40D3">
        <w:rPr>
          <w:color w:val="0563C1"/>
          <w:sz w:val="22"/>
          <w:szCs w:val="20"/>
          <w:u w:val="single"/>
          <w:lang w:eastAsia="en-US"/>
        </w:rPr>
        <w:t>‘</w:t>
      </w:r>
      <w:hyperlink r:id="rId22" w:history="1">
        <w:r w:rsidRPr="00FE40D3">
          <w:rPr>
            <w:color w:val="0563C1"/>
            <w:sz w:val="22"/>
            <w:szCs w:val="20"/>
            <w:u w:val="single"/>
            <w:lang w:eastAsia="en-US"/>
          </w:rPr>
          <w:t>Data protection</w:t>
        </w:r>
      </w:hyperlink>
      <w:r w:rsidRPr="00FE40D3">
        <w:rPr>
          <w:color w:val="0563C1"/>
          <w:sz w:val="22"/>
          <w:szCs w:val="20"/>
          <w:u w:val="single"/>
          <w:lang w:eastAsia="en-US"/>
        </w:rPr>
        <w:t>’</w:t>
      </w:r>
      <w:r w:rsidRPr="00FE40D3">
        <w:rPr>
          <w:sz w:val="22"/>
          <w:szCs w:val="20"/>
          <w:lang w:eastAsia="en-US"/>
        </w:rPr>
        <w:t>.</w:t>
      </w:r>
    </w:p>
    <w:p w14:paraId="294D770E"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Who should read this paper?</w:t>
      </w:r>
    </w:p>
    <w:p w14:paraId="3FADC208" w14:textId="7BC4D991" w:rsidR="00332304" w:rsidRPr="001021EF" w:rsidRDefault="00976448" w:rsidP="00FE40D3">
      <w:pPr>
        <w:spacing w:after="240"/>
        <w:jc w:val="both"/>
        <w:rPr>
          <w:b/>
          <w:bCs/>
        </w:rPr>
      </w:pPr>
      <w:r>
        <w:rPr>
          <w:sz w:val="22"/>
          <w:szCs w:val="22"/>
        </w:rPr>
        <w:t xml:space="preserve">This document will be of interest to (i) MMF managers and their trade associations, as well as (ii) institutional and retail investors (and associations of such investors) investing in MMF. </w:t>
      </w:r>
      <w:r w:rsidR="00332304" w:rsidRPr="001021EF">
        <w:rPr>
          <w:b/>
          <w:bCs/>
        </w:rPr>
        <w:br w:type="page"/>
      </w:r>
    </w:p>
    <w:p w14:paraId="07F9766A" w14:textId="77777777" w:rsidR="00B327E9" w:rsidRPr="00AB6D88" w:rsidRDefault="00B327E9" w:rsidP="00B327E9">
      <w:pPr>
        <w:pStyle w:val="Heading1"/>
        <w:numPr>
          <w:ilvl w:val="0"/>
          <w:numId w:val="0"/>
        </w:numPr>
      </w:pPr>
      <w:r w:rsidRPr="00AB6D88">
        <w:lastRenderedPageBreak/>
        <w:t>General information about respondent</w:t>
      </w:r>
    </w:p>
    <w:p w14:paraId="08407B41"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02AAC332" w14:textId="77777777" w:rsidTr="00891722">
        <w:tc>
          <w:tcPr>
            <w:tcW w:w="3929" w:type="dxa"/>
            <w:shd w:val="clear" w:color="auto" w:fill="auto"/>
          </w:tcPr>
          <w:p w14:paraId="2CC52FAD" w14:textId="77777777" w:rsidR="00B327E9" w:rsidRPr="00E40A5C" w:rsidRDefault="00B327E9" w:rsidP="00891722">
            <w:pPr>
              <w:rPr>
                <w:rFonts w:cs="Arial"/>
                <w:sz w:val="22"/>
              </w:rPr>
            </w:pPr>
            <w:r w:rsidRPr="00E40A5C">
              <w:rPr>
                <w:rFonts w:cs="Arial"/>
                <w:sz w:val="22"/>
              </w:rPr>
              <w:t>Name of the company / organisation</w:t>
            </w:r>
          </w:p>
        </w:tc>
        <w:sdt>
          <w:sdtPr>
            <w:rPr>
              <w:rStyle w:val="PlaceholderText"/>
              <w:rFonts w:cs="Arial"/>
            </w:rPr>
            <w:id w:val="-1905066999"/>
            <w:text/>
          </w:sdtPr>
          <w:sdtContent>
            <w:permStart w:id="1493633476" w:edGrp="everyone" w:displacedByCustomXml="prev"/>
            <w:tc>
              <w:tcPr>
                <w:tcW w:w="5595" w:type="dxa"/>
                <w:shd w:val="clear" w:color="auto" w:fill="auto"/>
              </w:tcPr>
              <w:p w14:paraId="23C2C921" w14:textId="1573C879" w:rsidR="00B327E9" w:rsidRPr="00AB6D88" w:rsidRDefault="00891722" w:rsidP="00891722">
                <w:pPr>
                  <w:rPr>
                    <w:rStyle w:val="PlaceholderText"/>
                    <w:rFonts w:cs="Arial"/>
                  </w:rPr>
                </w:pPr>
                <w:r>
                  <w:rPr>
                    <w:rStyle w:val="PlaceholderText"/>
                    <w:rFonts w:cs="Arial"/>
                  </w:rPr>
                  <w:t>HSBC Asset Management</w:t>
                </w:r>
              </w:p>
            </w:tc>
            <w:permEnd w:id="1493633476" w:displacedByCustomXml="next"/>
          </w:sdtContent>
        </w:sdt>
      </w:tr>
      <w:tr w:rsidR="00B327E9" w:rsidRPr="00AB6D88" w14:paraId="0D2401D8" w14:textId="77777777" w:rsidTr="00891722">
        <w:tc>
          <w:tcPr>
            <w:tcW w:w="3929" w:type="dxa"/>
            <w:shd w:val="clear" w:color="auto" w:fill="auto"/>
          </w:tcPr>
          <w:p w14:paraId="6C0EFE39" w14:textId="77777777" w:rsidR="00B327E9" w:rsidRPr="00E40A5C" w:rsidRDefault="00B327E9" w:rsidP="00891722">
            <w:pPr>
              <w:rPr>
                <w:rFonts w:cs="Arial"/>
                <w:sz w:val="22"/>
              </w:rPr>
            </w:pPr>
            <w:permStart w:id="438450997" w:edGrp="everyone" w:colFirst="1" w:colLast="1"/>
            <w:r w:rsidRPr="00E40A5C">
              <w:rPr>
                <w:rFonts w:cs="Arial"/>
                <w:sz w:val="22"/>
              </w:rPr>
              <w:t>Activity</w:t>
            </w:r>
          </w:p>
        </w:tc>
        <w:tc>
          <w:tcPr>
            <w:tcW w:w="5595" w:type="dxa"/>
            <w:shd w:val="clear" w:color="auto" w:fill="auto"/>
          </w:tcPr>
          <w:p w14:paraId="163BBF3B" w14:textId="57B0DD8B" w:rsidR="00B327E9" w:rsidRPr="00AB6D88" w:rsidRDefault="0088346A" w:rsidP="00891722">
            <w:pPr>
              <w:rPr>
                <w:rFonts w:cs="Arial"/>
              </w:rPr>
            </w:pPr>
            <w:sdt>
              <w:sdtPr>
                <w:rPr>
                  <w:rFonts w:cs="Arial"/>
                </w:rPr>
                <w:alias w:val="Activity"/>
                <w:tag w:val="Activity"/>
                <w:id w:val="-476845391"/>
                <w:comboBox>
                  <w:listItem w:value="Choose an item."/>
                  <w:listItem w:displayText="AIFM" w:value="AIFM"/>
                  <w:listItem w:displayText="Asset Manager Association" w:value="Asset Manager Association"/>
                  <w:listItem w:displayText="Data/ Ratings Provider" w:value="Data/ Ratings Provider"/>
                  <w:listItem w:displayText="Exchange or Trading System" w:value="Exchange or Trading System"/>
                  <w:listItem w:displayText="Investment Analyst" w:value="Investment Analyst"/>
                  <w:listItem w:displayText="Investor" w:value="Investor"/>
                  <w:listItem w:displayText="Investor/ Consumer Association" w:value="Investor/ Consumer Association"/>
                  <w:listItem w:displayText="Issuer/ Non-Financial Undertaking" w:value="Issuer/ Non-Financial Undertaking"/>
                  <w:listItem w:displayText="Issuer Association" w:value="Issuer Association"/>
                  <w:listItem w:displayText="Legal and Accountancy" w:value="Legal and Accountancy"/>
                  <w:listItem w:displayText="Non-governmental Organisation and Other Associations" w:value="Non-governmental Organisation and Other Associations"/>
                  <w:listItem w:displayText="Regulated Market" w:value="Regulated Market"/>
                  <w:listItem w:displayText="Self-managed UCITS Investment Company/ Internally-managed AIF" w:value="Self-managed UCITS Investment Company/ Internally-managed AIF"/>
                  <w:listItem w:displayText="Standard Setter" w:value="Standard Setter"/>
                  <w:listItem w:displayText="UCITS Management Company / AIFM" w:value="UCITS Management Company / AIFM"/>
                  <w:listItem w:displayText="Other" w:value="Other"/>
                </w:comboBox>
              </w:sdtPr>
              <w:sdtContent>
                <w:r w:rsidR="00891722">
                  <w:rPr>
                    <w:rFonts w:cs="Arial"/>
                  </w:rPr>
                  <w:t>UCITS Management Company / AIFM</w:t>
                </w:r>
              </w:sdtContent>
            </w:sdt>
          </w:p>
        </w:tc>
      </w:tr>
      <w:permEnd w:id="438450997"/>
      <w:tr w:rsidR="00B327E9" w:rsidRPr="00AB6D88" w14:paraId="1A153F17" w14:textId="77777777" w:rsidTr="00891722">
        <w:tc>
          <w:tcPr>
            <w:tcW w:w="3929" w:type="dxa"/>
            <w:shd w:val="clear" w:color="auto" w:fill="auto"/>
          </w:tcPr>
          <w:p w14:paraId="396772EB" w14:textId="77777777" w:rsidR="00B327E9" w:rsidRPr="00E40A5C" w:rsidRDefault="00B327E9" w:rsidP="00891722">
            <w:pPr>
              <w:rPr>
                <w:rFonts w:cs="Arial"/>
                <w:sz w:val="22"/>
              </w:rPr>
            </w:pPr>
            <w:r w:rsidRPr="00E40A5C">
              <w:rPr>
                <w:rFonts w:cs="Arial"/>
                <w:sz w:val="22"/>
              </w:rPr>
              <w:t>Are you representing an association?</w:t>
            </w:r>
          </w:p>
        </w:tc>
        <w:permStart w:id="728653664" w:edGrp="everyone" w:displacedByCustomXml="next"/>
        <w:sdt>
          <w:sdtPr>
            <w:rPr>
              <w:rFonts w:cs="Arial"/>
            </w:rPr>
            <w:id w:val="-242871467"/>
            <w14:checkbox>
              <w14:checked w14:val="0"/>
              <w14:checkedState w14:val="2612" w14:font="MS Gothic"/>
              <w14:uncheckedState w14:val="2610" w14:font="MS Gothic"/>
            </w14:checkbox>
          </w:sdtPr>
          <w:sdtContent>
            <w:tc>
              <w:tcPr>
                <w:tcW w:w="5595" w:type="dxa"/>
                <w:shd w:val="clear" w:color="auto" w:fill="auto"/>
              </w:tcPr>
              <w:p w14:paraId="50B064BB" w14:textId="77777777" w:rsidR="00B327E9" w:rsidRPr="00AB6D88" w:rsidRDefault="00B327E9" w:rsidP="00891722">
                <w:pPr>
                  <w:rPr>
                    <w:rFonts w:cs="Arial"/>
                  </w:rPr>
                </w:pPr>
                <w:r>
                  <w:rPr>
                    <w:rFonts w:ascii="MS Gothic" w:eastAsia="MS Gothic" w:hAnsi="MS Gothic" w:cs="Arial" w:hint="eastAsia"/>
                  </w:rPr>
                  <w:t>☐</w:t>
                </w:r>
              </w:p>
            </w:tc>
          </w:sdtContent>
        </w:sdt>
        <w:permEnd w:id="728653664" w:displacedByCustomXml="prev"/>
      </w:tr>
      <w:tr w:rsidR="00B327E9" w:rsidRPr="00AB6D88" w14:paraId="4F3F3D16" w14:textId="77777777" w:rsidTr="00891722">
        <w:tc>
          <w:tcPr>
            <w:tcW w:w="3929" w:type="dxa"/>
            <w:shd w:val="clear" w:color="auto" w:fill="auto"/>
          </w:tcPr>
          <w:p w14:paraId="3C221113" w14:textId="77777777" w:rsidR="00B327E9" w:rsidRPr="00E40A5C" w:rsidRDefault="00B327E9" w:rsidP="00891722">
            <w:pPr>
              <w:rPr>
                <w:rFonts w:cs="Arial"/>
                <w:sz w:val="22"/>
              </w:rPr>
            </w:pPr>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2146979738" w:edGrp="everyone" w:displacedByCustomXml="prev"/>
            <w:tc>
              <w:tcPr>
                <w:tcW w:w="5595" w:type="dxa"/>
                <w:shd w:val="clear" w:color="auto" w:fill="auto"/>
              </w:tcPr>
              <w:p w14:paraId="01F5D6D4" w14:textId="7E5F4546" w:rsidR="00B327E9" w:rsidRPr="00AB6D88" w:rsidRDefault="00891722" w:rsidP="00891722">
                <w:pPr>
                  <w:rPr>
                    <w:rFonts w:cs="Arial"/>
                  </w:rPr>
                </w:pPr>
                <w:r>
                  <w:rPr>
                    <w:rFonts w:cs="Arial"/>
                  </w:rPr>
                  <w:t>Ireland</w:t>
                </w:r>
              </w:p>
            </w:tc>
            <w:permEnd w:id="2146979738" w:displacedByCustomXml="next"/>
          </w:sdtContent>
        </w:sdt>
      </w:tr>
    </w:tbl>
    <w:p w14:paraId="48174611" w14:textId="77777777" w:rsidR="00B327E9" w:rsidRDefault="00B327E9" w:rsidP="00B327E9">
      <w:pPr>
        <w:spacing w:after="120" w:line="264" w:lineRule="auto"/>
      </w:pPr>
    </w:p>
    <w:p w14:paraId="3FE7D92F" w14:textId="77777777" w:rsidR="00B327E9" w:rsidRDefault="00B327E9" w:rsidP="00FE6577">
      <w:pPr>
        <w:pStyle w:val="Heading1"/>
        <w:numPr>
          <w:ilvl w:val="0"/>
          <w:numId w:val="0"/>
        </w:numPr>
        <w:ind w:left="431" w:hanging="431"/>
      </w:pPr>
      <w:r>
        <w:t>Introduction</w:t>
      </w:r>
    </w:p>
    <w:p w14:paraId="3C83C634" w14:textId="77777777" w:rsidR="00B327E9" w:rsidRPr="00E40A5C" w:rsidRDefault="00B327E9" w:rsidP="00FE6577">
      <w:pPr>
        <w:rPr>
          <w:rStyle w:val="IntenseEmphasis"/>
          <w:sz w:val="22"/>
        </w:rPr>
      </w:pPr>
      <w:r w:rsidRPr="00E40A5C">
        <w:rPr>
          <w:rStyle w:val="IntenseEmphasis"/>
          <w:sz w:val="22"/>
        </w:rPr>
        <w:t>Please make your introductory comments below, if any:</w:t>
      </w:r>
    </w:p>
    <w:p w14:paraId="26578279" w14:textId="77777777" w:rsidR="00B327E9" w:rsidRPr="00BF28DA" w:rsidRDefault="00B327E9" w:rsidP="00FE6577"/>
    <w:p w14:paraId="06351DAC" w14:textId="7D89D591" w:rsidR="00B327E9" w:rsidRPr="006F4535" w:rsidRDefault="00B327E9" w:rsidP="00FE6577">
      <w:r w:rsidRPr="006F4535">
        <w:t>&lt;ESMA_COMMENT_</w:t>
      </w:r>
      <w:r w:rsidR="00DC1B3F">
        <w:t>MMFR</w:t>
      </w:r>
      <w:r w:rsidRPr="006F4535">
        <w:t>_1&gt;</w:t>
      </w:r>
    </w:p>
    <w:p w14:paraId="70E1DA76" w14:textId="77777777" w:rsidR="00891722" w:rsidRDefault="00891722" w:rsidP="00ED6B23">
      <w:pPr>
        <w:jc w:val="both"/>
        <w:rPr>
          <w:color w:val="000000"/>
          <w:lang w:eastAsia="en-US"/>
        </w:rPr>
      </w:pPr>
      <w:permStart w:id="44765448" w:edGrp="everyone"/>
    </w:p>
    <w:p w14:paraId="568B63A3" w14:textId="3F9CAD7B" w:rsidR="00ED6B23" w:rsidRPr="005737F1" w:rsidRDefault="00ED6B23" w:rsidP="00ED6B23">
      <w:pPr>
        <w:jc w:val="both"/>
        <w:rPr>
          <w:color w:val="000000"/>
          <w:szCs w:val="20"/>
          <w:lang w:eastAsia="en-US"/>
        </w:rPr>
      </w:pPr>
      <w:r w:rsidRPr="005737F1">
        <w:rPr>
          <w:color w:val="000000"/>
          <w:szCs w:val="20"/>
          <w:lang w:eastAsia="en-US"/>
        </w:rPr>
        <w:t>HSBC Asset Management is HSBC’s core investment business dedicated to managing assets for institutions and individuals worldwide, with USD612.4 billion in total assets under management.  As part of the HSBC group,</w:t>
      </w:r>
      <w:r w:rsidRPr="005737F1">
        <w:rPr>
          <w:szCs w:val="20"/>
        </w:rPr>
        <w:t xml:space="preserve"> </w:t>
      </w:r>
      <w:r w:rsidRPr="005737F1">
        <w:rPr>
          <w:color w:val="000000"/>
          <w:szCs w:val="20"/>
          <w:lang w:eastAsia="en-US"/>
        </w:rPr>
        <w:t>we have local liquidity expertise across both core and emerging markets, with Liquidity assets accounting for USD 133.0 billion (or 21.7% of HSBC Asset Management’s total assets under management). We have more than 25 year</w:t>
      </w:r>
      <w:r w:rsidR="008146C0">
        <w:rPr>
          <w:color w:val="000000"/>
          <w:szCs w:val="20"/>
          <w:lang w:eastAsia="en-US"/>
        </w:rPr>
        <w:t>’</w:t>
      </w:r>
      <w:r w:rsidRPr="005737F1">
        <w:rPr>
          <w:color w:val="000000"/>
          <w:szCs w:val="20"/>
          <w:lang w:eastAsia="en-US"/>
        </w:rPr>
        <w:t>s experience in management money market assets, and operate global and local funds across 10 currencies with investment professionals located around the world.  This includes funds domiciled and regulated in Europe, the Americas and Asia.  We operate LVNAV (in Europe), CNAV and VNAV funds, in both credit and public debt strategies.</w:t>
      </w:r>
    </w:p>
    <w:p w14:paraId="3C7A3CC8" w14:textId="77777777" w:rsidR="00ED6B23" w:rsidRPr="005737F1" w:rsidRDefault="00ED6B23" w:rsidP="00ED6B23">
      <w:pPr>
        <w:jc w:val="both"/>
        <w:rPr>
          <w:color w:val="000000"/>
          <w:szCs w:val="20"/>
          <w:lang w:eastAsia="en-US"/>
        </w:rPr>
      </w:pPr>
    </w:p>
    <w:p w14:paraId="387A92F5" w14:textId="77777777" w:rsidR="00ED6B23" w:rsidRPr="005737F1" w:rsidRDefault="00ED6B23" w:rsidP="00ED6B23">
      <w:pPr>
        <w:jc w:val="both"/>
        <w:rPr>
          <w:b/>
          <w:szCs w:val="20"/>
        </w:rPr>
      </w:pPr>
      <w:r w:rsidRPr="005737F1">
        <w:rPr>
          <w:color w:val="000000"/>
          <w:szCs w:val="20"/>
          <w:lang w:eastAsia="en-US"/>
        </w:rPr>
        <w:t xml:space="preserve">HSBC Management treats Liquidity management as a separate discipline and has allocated dedicated resources accordingly. There are teams of portfolio managers, credit analysts, risk managers and client service teams focused on our Liquidity business. This focus, and deep experience managing a wider range of fund types, across a number of different markets, means we are well positioned to understand the needs of our investors and the markets in which we operate.  </w:t>
      </w:r>
    </w:p>
    <w:p w14:paraId="516493B9" w14:textId="77777777" w:rsidR="00ED6B23" w:rsidRPr="005737F1" w:rsidRDefault="00ED6B23" w:rsidP="00ED6B23">
      <w:pPr>
        <w:rPr>
          <w:b/>
          <w:szCs w:val="20"/>
        </w:rPr>
      </w:pPr>
    </w:p>
    <w:p w14:paraId="1A840E6E" w14:textId="77777777" w:rsidR="00ED6B23" w:rsidRPr="005737F1" w:rsidRDefault="00ED6B23" w:rsidP="00ED6B23">
      <w:pPr>
        <w:rPr>
          <w:b/>
          <w:szCs w:val="20"/>
        </w:rPr>
      </w:pPr>
      <w:r w:rsidRPr="005737F1">
        <w:rPr>
          <w:b/>
          <w:szCs w:val="20"/>
        </w:rPr>
        <w:t>Executive Summary</w:t>
      </w:r>
    </w:p>
    <w:p w14:paraId="572A4CDA" w14:textId="77777777" w:rsidR="00ED6B23" w:rsidRPr="005737F1" w:rsidRDefault="00ED6B23" w:rsidP="00ED6B23">
      <w:pPr>
        <w:jc w:val="both"/>
        <w:rPr>
          <w:szCs w:val="20"/>
        </w:rPr>
      </w:pPr>
      <w:r w:rsidRPr="005737F1">
        <w:rPr>
          <w:szCs w:val="20"/>
        </w:rPr>
        <w:t>HSBC Asset Management supports any efforts that improve the resilience of all Money Market Funds (‘MMFs). Post the Global Financial Crisis (‘GFC’) we were actively involved in the work that led to new regulation of MMFs on both sides of the Atlantic and beyond and a number of the key reforms adopted were originally proposed by ourselves. We have a number of key observations from the market crisis of 2020 that help inform our recommendations on proposed actions:</w:t>
      </w:r>
    </w:p>
    <w:p w14:paraId="0CD33E8F" w14:textId="77777777" w:rsidR="00ED6B23" w:rsidRPr="005737F1" w:rsidRDefault="00ED6B23" w:rsidP="00ED6B23">
      <w:pPr>
        <w:jc w:val="both"/>
        <w:rPr>
          <w:szCs w:val="20"/>
        </w:rPr>
      </w:pPr>
      <w:r w:rsidRPr="005737F1">
        <w:rPr>
          <w:b/>
          <w:szCs w:val="20"/>
        </w:rPr>
        <w:t>Our key observations from market crisis of 2020</w:t>
      </w:r>
    </w:p>
    <w:p w14:paraId="1F13B4FD" w14:textId="77777777" w:rsidR="00ED6B23" w:rsidRPr="005737F1" w:rsidRDefault="00ED6B23" w:rsidP="00290E98">
      <w:pPr>
        <w:pStyle w:val="ListParagraph"/>
        <w:numPr>
          <w:ilvl w:val="0"/>
          <w:numId w:val="37"/>
        </w:numPr>
        <w:spacing w:after="160" w:line="259" w:lineRule="auto"/>
        <w:jc w:val="both"/>
        <w:rPr>
          <w:szCs w:val="20"/>
        </w:rPr>
      </w:pPr>
      <w:r w:rsidRPr="005737F1">
        <w:rPr>
          <w:szCs w:val="20"/>
        </w:rPr>
        <w:t>MMFs withstood a major market dislocation in 2020, continuing to provide liquidity and stability of principal (in the case of LVNAV and CNAV MMFs) despite the lack of liquidity provided by ‘market makers’ and issuers.</w:t>
      </w:r>
    </w:p>
    <w:p w14:paraId="52131ADC" w14:textId="77777777" w:rsidR="00ED6B23" w:rsidRPr="005737F1" w:rsidRDefault="00ED6B23" w:rsidP="00290E98">
      <w:pPr>
        <w:pStyle w:val="ListParagraph"/>
        <w:numPr>
          <w:ilvl w:val="0"/>
          <w:numId w:val="37"/>
        </w:numPr>
        <w:spacing w:after="160" w:line="259" w:lineRule="auto"/>
        <w:jc w:val="both"/>
        <w:rPr>
          <w:szCs w:val="20"/>
        </w:rPr>
      </w:pPr>
      <w:r w:rsidRPr="005737F1">
        <w:rPr>
          <w:szCs w:val="20"/>
        </w:rPr>
        <w:t>The ability of MMFs to continue to function as designed during the crisis was driven by the regulatory reforms implemented in 2019, the actions of managers of MMFs in their management of MMFs during the crisis and, indirectly in the case of EU MMFs, the actions of regulators.</w:t>
      </w:r>
    </w:p>
    <w:p w14:paraId="41FA58AB" w14:textId="77777777" w:rsidR="00ED6B23" w:rsidRPr="005737F1" w:rsidRDefault="00ED6B23" w:rsidP="00290E98">
      <w:pPr>
        <w:pStyle w:val="ListParagraph"/>
        <w:numPr>
          <w:ilvl w:val="0"/>
          <w:numId w:val="37"/>
        </w:numPr>
        <w:spacing w:after="160" w:line="259" w:lineRule="auto"/>
        <w:jc w:val="both"/>
        <w:rPr>
          <w:szCs w:val="20"/>
        </w:rPr>
      </w:pPr>
      <w:r w:rsidRPr="005737F1">
        <w:rPr>
          <w:szCs w:val="20"/>
        </w:rPr>
        <w:t xml:space="preserve">It is overly simplistic to assert that the actions of EU regulators supported all MMFs and was therefore the reason that MMFs were able to continue to function during the crisis. For example, for LVNAV funds that primarily invest in bank debt, the program put in place in the EU had very limited direct benefit as bank debt was not eligible for the program. However, the general improvement in market liquidity fostered by the program was indirectly supportive. </w:t>
      </w:r>
    </w:p>
    <w:p w14:paraId="3C285D6E" w14:textId="77777777" w:rsidR="00ED6B23" w:rsidRPr="005737F1" w:rsidRDefault="00ED6B23" w:rsidP="00290E98">
      <w:pPr>
        <w:pStyle w:val="ListParagraph"/>
        <w:numPr>
          <w:ilvl w:val="0"/>
          <w:numId w:val="37"/>
        </w:numPr>
        <w:spacing w:after="160" w:line="259" w:lineRule="auto"/>
        <w:jc w:val="both"/>
        <w:rPr>
          <w:szCs w:val="20"/>
        </w:rPr>
      </w:pPr>
      <w:r w:rsidRPr="005737F1">
        <w:rPr>
          <w:szCs w:val="20"/>
        </w:rPr>
        <w:lastRenderedPageBreak/>
        <w:t xml:space="preserve">Our experience with our client base was that investors were solely focused on our funds WLA levels. The ‘bright line’ of 30% weekly liquid assets (‘WLA’) that was created by US regulation and the linkage of the level of WLA to the need for a Fund’s Board to consider the implementation of a liquidity fee or gate was the major driver of investor focus on this level. Some investors decided to redeem from any MMF that approached this level due to this ‘bright line’ exacerbating the liquidity challenges for some MMFs. </w:t>
      </w:r>
    </w:p>
    <w:p w14:paraId="73951F79" w14:textId="77777777" w:rsidR="00ED6B23" w:rsidRPr="005737F1" w:rsidRDefault="00ED6B23" w:rsidP="00290E98">
      <w:pPr>
        <w:pStyle w:val="ListParagraph"/>
        <w:numPr>
          <w:ilvl w:val="0"/>
          <w:numId w:val="37"/>
        </w:numPr>
        <w:spacing w:after="160" w:line="259" w:lineRule="auto"/>
        <w:jc w:val="both"/>
        <w:rPr>
          <w:szCs w:val="20"/>
        </w:rPr>
      </w:pPr>
      <w:r w:rsidRPr="005737F1">
        <w:rPr>
          <w:szCs w:val="20"/>
        </w:rPr>
        <w:t>The fund construct (Public Debt Constant Net Asset Value PDCNAV, Low Volatility Net Asset Value LVNAV, Variable Net Asset Value VNAV) was not a factor in whether a MMF faced challenges due to redemptions. In some cases, both VNAV and LVNAV MMFs faced heightened redemptions. It is worth noting that where heightened redemption activity did occur it tended to be currency specific. For example, in the case of LVNAV funds it was focused in some USD funds and in the case of VNAV funds it was focused in some EUR funds.</w:t>
      </w:r>
    </w:p>
    <w:p w14:paraId="3AE54EFB" w14:textId="77777777" w:rsidR="00ED6B23" w:rsidRPr="005737F1" w:rsidRDefault="00ED6B23" w:rsidP="00290E98">
      <w:pPr>
        <w:pStyle w:val="ListParagraph"/>
        <w:numPr>
          <w:ilvl w:val="0"/>
          <w:numId w:val="37"/>
        </w:numPr>
        <w:spacing w:after="160" w:line="259" w:lineRule="auto"/>
        <w:jc w:val="both"/>
        <w:rPr>
          <w:szCs w:val="20"/>
        </w:rPr>
      </w:pPr>
      <w:r w:rsidRPr="005737F1">
        <w:rPr>
          <w:szCs w:val="20"/>
        </w:rPr>
        <w:t xml:space="preserve">The orderly functioning of the major money markets was halted for a period during the market wide crisis in 2020. The actions taken by certain central banks to support markets during this period, and the direct support to MMFs provided by the Federal Reserve to US domiciled MMFs was welcome. This provided the catalyst for the wider money markets to begin the process of normalisation that ultimately occurred over a period of a few months. This normalisation allowed monetary policy transmission to operate as desired, short-term funding markets to deliver the funding required and for cash to move around the system as designed. Whilst it is critical to ensure that regulation minimises the probability of market breakdowns occurring, to a degree they are inevitable. It is in this type of scenario that the type of actions taken in 2020 are necessary to restore the orderly functioning of markets for the benefit of financial system stability and wider society. With an ecosystem as large as a major global money market and the significant benefits of such central banks actions, the concept of moral hazard in relation to one type of market participant is deminimus. </w:t>
      </w:r>
    </w:p>
    <w:p w14:paraId="0A13CDED" w14:textId="77777777" w:rsidR="00ED6B23" w:rsidRPr="005737F1" w:rsidRDefault="00ED6B23" w:rsidP="00ED6B23">
      <w:pPr>
        <w:pStyle w:val="ListParagraph"/>
        <w:jc w:val="both"/>
        <w:rPr>
          <w:szCs w:val="20"/>
        </w:rPr>
      </w:pPr>
    </w:p>
    <w:p w14:paraId="34CFAF4D" w14:textId="77777777" w:rsidR="00ED6B23" w:rsidRPr="005737F1" w:rsidRDefault="00ED6B23" w:rsidP="00ED6B23">
      <w:pPr>
        <w:jc w:val="both"/>
        <w:rPr>
          <w:b/>
          <w:szCs w:val="20"/>
        </w:rPr>
      </w:pPr>
      <w:r w:rsidRPr="005737F1">
        <w:rPr>
          <w:b/>
          <w:szCs w:val="20"/>
        </w:rPr>
        <w:t>Our key recommendations for further reform of MMFs and the wider money markets</w:t>
      </w:r>
    </w:p>
    <w:p w14:paraId="1E84EB46" w14:textId="77777777" w:rsidR="00ED6B23" w:rsidRPr="005737F1" w:rsidRDefault="00ED6B23" w:rsidP="00290E98">
      <w:pPr>
        <w:pStyle w:val="ListParagraph"/>
        <w:numPr>
          <w:ilvl w:val="0"/>
          <w:numId w:val="37"/>
        </w:numPr>
        <w:spacing w:after="160" w:line="259" w:lineRule="auto"/>
        <w:jc w:val="both"/>
        <w:rPr>
          <w:b/>
          <w:szCs w:val="20"/>
        </w:rPr>
      </w:pPr>
      <w:r w:rsidRPr="005737F1">
        <w:rPr>
          <w:szCs w:val="20"/>
        </w:rPr>
        <w:t>Remove the ‘bright line’ that has been created by the most recent MMF regulation in relation to the 30% WLA that has made this, and the DLA buffer, unusable. For further detail see our response to questions 1and 3 below.</w:t>
      </w:r>
    </w:p>
    <w:p w14:paraId="6C42AF26" w14:textId="77777777" w:rsidR="00ED6B23" w:rsidRPr="005737F1" w:rsidRDefault="00ED6B23" w:rsidP="00290E98">
      <w:pPr>
        <w:pStyle w:val="ListParagraph"/>
        <w:numPr>
          <w:ilvl w:val="0"/>
          <w:numId w:val="37"/>
        </w:numPr>
        <w:spacing w:after="160" w:line="259" w:lineRule="auto"/>
        <w:jc w:val="both"/>
        <w:rPr>
          <w:b/>
          <w:szCs w:val="20"/>
        </w:rPr>
      </w:pPr>
      <w:r w:rsidRPr="005737F1">
        <w:rPr>
          <w:szCs w:val="20"/>
        </w:rPr>
        <w:t xml:space="preserve">Explore the principle of an asymmetric ‘dynamic’ WLA level that is adjusted in relation to changing individual client concentration and client type concentration levels. The principle should be explored in partnership between EU regulators, providers of MMFs and other key stakeholders. For further detail see our response to questions 1 and 5 below. </w:t>
      </w:r>
    </w:p>
    <w:p w14:paraId="55463306" w14:textId="77777777" w:rsidR="00ED6B23" w:rsidRPr="005737F1" w:rsidRDefault="00ED6B23" w:rsidP="00290E98">
      <w:pPr>
        <w:pStyle w:val="ListParagraph"/>
        <w:numPr>
          <w:ilvl w:val="0"/>
          <w:numId w:val="37"/>
        </w:numPr>
        <w:spacing w:after="160" w:line="259" w:lineRule="auto"/>
        <w:jc w:val="both"/>
        <w:rPr>
          <w:b/>
          <w:szCs w:val="20"/>
        </w:rPr>
      </w:pPr>
      <w:r w:rsidRPr="005737F1">
        <w:rPr>
          <w:szCs w:val="20"/>
        </w:rPr>
        <w:t>Maintain liquidity fees as the optimal anti-dilution levy for MMFs. The liquidity fee mechanism delivers the protection for investors that remain invested in an MMF during a period of redemptions, act as a ‘circuit breaker’ if applied by removing the incentive to redeem, are operationally feasible and maintain the utility value of an MMF to investors. For further detail see our answer to questions 1 and 4 below.</w:t>
      </w:r>
    </w:p>
    <w:p w14:paraId="01204E84" w14:textId="77777777" w:rsidR="00ED6B23" w:rsidRPr="005737F1" w:rsidRDefault="00ED6B23" w:rsidP="00290E98">
      <w:pPr>
        <w:pStyle w:val="ListParagraph"/>
        <w:numPr>
          <w:ilvl w:val="0"/>
          <w:numId w:val="37"/>
        </w:numPr>
        <w:spacing w:after="160" w:line="259" w:lineRule="auto"/>
        <w:jc w:val="both"/>
        <w:rPr>
          <w:b/>
          <w:szCs w:val="20"/>
        </w:rPr>
      </w:pPr>
      <w:r w:rsidRPr="005737F1">
        <w:rPr>
          <w:szCs w:val="20"/>
        </w:rPr>
        <w:t>Maintain the troika of PDCNAV, LVNAV and VNAV fund constructs. Empirical evidence supports the fact that the fund construct does not change the sensitivity of a MMF to redemptions. Maintaining the three constructs preserves the utility value of MMFs for all investors and ensures that MMFs continue to provide diversified short-term funding to the real economy. For further detail please see our answer to question 6 below.</w:t>
      </w:r>
    </w:p>
    <w:p w14:paraId="4F70CF8E" w14:textId="77777777" w:rsidR="00ED6B23" w:rsidRPr="005737F1" w:rsidRDefault="00ED6B23" w:rsidP="00290E98">
      <w:pPr>
        <w:pStyle w:val="ListParagraph"/>
        <w:numPr>
          <w:ilvl w:val="0"/>
          <w:numId w:val="37"/>
        </w:numPr>
        <w:spacing w:after="160" w:line="259" w:lineRule="auto"/>
        <w:jc w:val="both"/>
        <w:rPr>
          <w:b/>
          <w:szCs w:val="20"/>
        </w:rPr>
      </w:pPr>
      <w:r w:rsidRPr="005737F1">
        <w:rPr>
          <w:color w:val="000000" w:themeColor="text1"/>
          <w:szCs w:val="20"/>
        </w:rPr>
        <w:t xml:space="preserve">A review on how to change the over reliance of some investors ‘AAA only’ policy to reduce the potential impact of a downgrade of a MMF below AAA. This review should </w:t>
      </w:r>
      <w:r w:rsidRPr="005737F1">
        <w:rPr>
          <w:color w:val="000000" w:themeColor="text1"/>
          <w:szCs w:val="20"/>
        </w:rPr>
        <w:lastRenderedPageBreak/>
        <w:t xml:space="preserve">include regulators, CRAs, providers of MMFs and investors. </w:t>
      </w:r>
      <w:r w:rsidRPr="005737F1">
        <w:rPr>
          <w:szCs w:val="20"/>
        </w:rPr>
        <w:t>For further detail please see our answer to questions 1 and 8 below.</w:t>
      </w:r>
    </w:p>
    <w:p w14:paraId="35D75DDE" w14:textId="77777777" w:rsidR="00ED6B23" w:rsidRPr="005737F1" w:rsidRDefault="00ED6B23" w:rsidP="00290E98">
      <w:pPr>
        <w:pStyle w:val="ListParagraph"/>
        <w:numPr>
          <w:ilvl w:val="0"/>
          <w:numId w:val="37"/>
        </w:numPr>
        <w:spacing w:after="160" w:line="259" w:lineRule="auto"/>
        <w:jc w:val="both"/>
        <w:rPr>
          <w:b/>
          <w:szCs w:val="20"/>
        </w:rPr>
      </w:pPr>
      <w:r w:rsidRPr="005737F1">
        <w:rPr>
          <w:color w:val="000000" w:themeColor="text1"/>
          <w:szCs w:val="20"/>
        </w:rPr>
        <w:t xml:space="preserve">A review on the current operating model of the major global money markets to identify opportunities to make the money markets more resilient and better able to function normally during periods of market stress. Due to the breadth of participants in the money markets and the key role that regulators play in their operation the review should be coordinated or sponsored by regulators. </w:t>
      </w:r>
    </w:p>
    <w:p w14:paraId="3EC00E6D" w14:textId="1FA9D8D5" w:rsidR="00B327E9" w:rsidRDefault="00B327E9" w:rsidP="00FE6577"/>
    <w:permEnd w:id="44765448"/>
    <w:p w14:paraId="68F63540" w14:textId="5C2C408E" w:rsidR="00B327E9" w:rsidRPr="00BF28DA" w:rsidRDefault="00B327E9" w:rsidP="00FE6577">
      <w:r w:rsidRPr="00BF28DA">
        <w:t>&lt;ESMA_COMMENT_</w:t>
      </w:r>
      <w:r w:rsidR="00DC1B3F">
        <w:t>MMFR</w:t>
      </w:r>
      <w:r w:rsidR="000A58BE">
        <w:t>_</w:t>
      </w:r>
      <w:r w:rsidRPr="00BF28DA">
        <w:t>1&gt;</w:t>
      </w:r>
    </w:p>
    <w:p w14:paraId="4865C74B" w14:textId="77777777" w:rsidR="002E7113" w:rsidRDefault="002E7113" w:rsidP="002E7113">
      <w:pPr>
        <w:pStyle w:val="Heading1"/>
        <w:numPr>
          <w:ilvl w:val="0"/>
          <w:numId w:val="0"/>
        </w:numPr>
      </w:pPr>
    </w:p>
    <w:p w14:paraId="039B696F" w14:textId="77777777" w:rsidR="00F31E57" w:rsidRPr="00BF28DA" w:rsidRDefault="00F31E57" w:rsidP="00D34282"/>
    <w:p w14:paraId="7C286AFD" w14:textId="77777777" w:rsidR="00CC49EE" w:rsidRDefault="00F31E57" w:rsidP="00492B3A">
      <w:pPr>
        <w:pStyle w:val="Questionstyle"/>
      </w:pPr>
      <w:r w:rsidRPr="0075015C">
        <w:br w:type="page"/>
      </w:r>
    </w:p>
    <w:p w14:paraId="4508D4FF" w14:textId="6FC4B515" w:rsidR="00492B3A" w:rsidRPr="00976448" w:rsidRDefault="00976448" w:rsidP="00976448">
      <w:pPr>
        <w:pStyle w:val="Questionstyle"/>
        <w:numPr>
          <w:ilvl w:val="0"/>
          <w:numId w:val="49"/>
        </w:numPr>
        <w:rPr>
          <w:rFonts w:ascii="Arial" w:hAnsi="Arial"/>
          <w:szCs w:val="22"/>
        </w:rPr>
      </w:pPr>
      <w:r>
        <w:rPr>
          <w:lang w:val="en-US"/>
        </w:rPr>
        <w:lastRenderedPageBreak/>
        <w:t xml:space="preserve"> i) </w:t>
      </w:r>
      <w:r w:rsidRPr="00F43E30">
        <w:rPr>
          <w:lang w:val="en-US"/>
        </w:rPr>
        <w:t>Do you agree with the above assessment of the difficulties faced by MMFs during the COVID-19 March crisis? Do you agree with the identification of vulnerabilities? ii) What are your views in particular on the use of MMF ratings by investors? Are you of the view that the use of such ratings has affected the behaviors of investors during the March crisis?</w:t>
      </w:r>
    </w:p>
    <w:p w14:paraId="2A3812AD" w14:textId="77777777" w:rsidR="00976448" w:rsidRDefault="00976448" w:rsidP="00492B3A"/>
    <w:p w14:paraId="7EE00B55" w14:textId="11D818B2" w:rsidR="00492B3A" w:rsidRDefault="00492B3A" w:rsidP="00492B3A">
      <w:r>
        <w:t>&lt;ESMA_QUESTION_</w:t>
      </w:r>
      <w:r w:rsidR="00DC1B3F">
        <w:t>MMFR</w:t>
      </w:r>
      <w:r>
        <w:t>_1&gt;</w:t>
      </w:r>
    </w:p>
    <w:p w14:paraId="267F93ED" w14:textId="77777777" w:rsidR="00891722" w:rsidRDefault="00891722" w:rsidP="00891722">
      <w:pPr>
        <w:jc w:val="both"/>
      </w:pPr>
      <w:permStart w:id="1576605906" w:edGrp="everyone"/>
    </w:p>
    <w:p w14:paraId="6A0B0147" w14:textId="7AB5AB75" w:rsidR="000451F5" w:rsidRPr="005737F1" w:rsidRDefault="000451F5" w:rsidP="00891722">
      <w:pPr>
        <w:jc w:val="both"/>
        <w:rPr>
          <w:rFonts w:cstheme="minorHAnsi"/>
          <w:b/>
          <w:szCs w:val="20"/>
        </w:rPr>
      </w:pPr>
      <w:r w:rsidRPr="005737F1">
        <w:rPr>
          <w:szCs w:val="20"/>
        </w:rPr>
        <w:t xml:space="preserve"> </w:t>
      </w:r>
      <w:r w:rsidRPr="005737F1">
        <w:rPr>
          <w:rFonts w:cstheme="minorHAnsi"/>
          <w:b/>
          <w:szCs w:val="20"/>
        </w:rPr>
        <w:t>Liquidity in Private Money Markets</w:t>
      </w:r>
    </w:p>
    <w:p w14:paraId="433CEB0B" w14:textId="77777777" w:rsidR="000451F5" w:rsidRPr="005737F1" w:rsidRDefault="000451F5" w:rsidP="0088346A">
      <w:pPr>
        <w:rPr>
          <w:rFonts w:cstheme="minorHAnsi"/>
          <w:szCs w:val="20"/>
        </w:rPr>
      </w:pPr>
      <w:r w:rsidRPr="005737F1">
        <w:rPr>
          <w:rFonts w:cstheme="minorHAnsi"/>
          <w:szCs w:val="20"/>
        </w:rPr>
        <w:t>We agree with the observation that there was a lack of liquidity in the underlying markets during the height of the Global Pandemic, but feel this was largely related to post Global Financial Crisis banking reforms. Those reforms clearly had a positive effect on reinforcing bank balance sheets, which was evident during the recent crisis, however, banking reforms also reduced bank appetite for cash deposit taking (increasing demand from investors for alternatives such as MMFs) but more importantly reduced bank balance sheets and thus the provision of secondary market liquidity – a fact that should not be understated when analysing the larger picture of market illiquidity.</w:t>
      </w:r>
      <w:r w:rsidRPr="005737F1">
        <w:rPr>
          <w:rFonts w:cstheme="minorHAnsi"/>
          <w:szCs w:val="20"/>
        </w:rPr>
        <w:br/>
      </w:r>
      <w:r w:rsidRPr="005737F1">
        <w:rPr>
          <w:rFonts w:cstheme="minorHAnsi"/>
          <w:szCs w:val="20"/>
        </w:rPr>
        <w:br/>
        <w:t xml:space="preserve">Despite the reduction of bank balance sheets, we believe there is ample liquidity under normal market conditions. MMFs typically employ a buy and hold strategy where naturally liquidity from maturities will service redemptions. This is clearly demonstrated with LVNAV funds that are required to hold a minimum of 30% in weekly maturing assets and rarely have to sell assets under normal market conditions. In reality much of the Weekly Liquidity Asset (WLA) requirement is fulfilled by overnight assets such as reverse repurchase agreements and overnight deposits, further enhancing the natural liquidity of a MMF.  On occasions where MMFs are required to sell assets, such as to rebalance a portfolio, there is sufficient liquidity to execute (even for the largest of funds). MMFs can reasonably expect to sell paper back to the dealer from which it was originally purchased, or in some cases the issuer directly, at a minimal bid-offer spread. The dealer can typically find another buyer for the paper or may hold the paper for a short while. However, the banking reform referenced earlier has made it much less likely that dealers will run their own positions and hold paper to maturity or at best not to the scale this activity was conducted prior to the banking reforms. </w:t>
      </w:r>
    </w:p>
    <w:p w14:paraId="1311CE34" w14:textId="60755566" w:rsidR="000451F5" w:rsidRPr="005737F1" w:rsidRDefault="000451F5" w:rsidP="00891722">
      <w:pPr>
        <w:jc w:val="both"/>
        <w:rPr>
          <w:rFonts w:cstheme="minorHAnsi"/>
          <w:szCs w:val="20"/>
        </w:rPr>
      </w:pPr>
      <w:r w:rsidRPr="005737F1">
        <w:rPr>
          <w:rFonts w:cstheme="minorHAnsi"/>
          <w:szCs w:val="20"/>
        </w:rPr>
        <w:t xml:space="preserve">In addition, the lack of secondary market trading volumes should not be read to imply that money market instruments such as certificates of deposit and commercial paper are ‘illiquid’. As with any instrument its liquidity will be determined by the levels of supply and demand in the market. In our experience during normal market conditions there is a balance in supply and demand in the different money markets we operate in globally leading to the ability to sell assets at a narrow bid / offer spread. A market dislocation can lead to an imbalance in supply and demand leading to a reduction in liquidity and the subsequent widening of the bid / offer spread. A period of less liquidity during a period of market stress should be expected and does not imply a lack of liquidity at all times.    </w:t>
      </w:r>
    </w:p>
    <w:p w14:paraId="2D206620" w14:textId="77777777" w:rsidR="000451F5" w:rsidRPr="005737F1" w:rsidRDefault="000451F5" w:rsidP="00891722">
      <w:pPr>
        <w:jc w:val="both"/>
        <w:rPr>
          <w:rFonts w:cstheme="minorHAnsi"/>
          <w:szCs w:val="20"/>
        </w:rPr>
      </w:pPr>
      <w:r w:rsidRPr="005737F1">
        <w:rPr>
          <w:rFonts w:cstheme="minorHAnsi"/>
          <w:szCs w:val="20"/>
        </w:rPr>
        <w:t>The observation regarding increased liquidity risk from portfolio overlap is not one with which HSBC agrees with. The conclusion that illiquidity was partly a function of all MMFs holding the same names over simplifies the issue and detracts from the real issue that in times of stress MMFs, and other investors, are all seeking liquidity at the same time. The failure of the dealer community to provide enough liquidity was not primarily related to concentration of issue holdings, but to the previous mentioned change in banking regulations, combined with a dramatic increase in the demand for liquidity from all investor types, not just from MMFs. It is also worth noting that the illiquidity experienced was not confined to bank issued paper, with MMFs experiencing difficult selling high quality agency paper and, in some cases, sovereign paper. The issue at the peak of the crisis in late March was exacerbated by quarter end where, even in normal conditions, market liquidity is lower.</w:t>
      </w:r>
    </w:p>
    <w:p w14:paraId="4EFAAD2B" w14:textId="77777777" w:rsidR="000451F5" w:rsidRPr="005737F1" w:rsidRDefault="000451F5" w:rsidP="00891722">
      <w:pPr>
        <w:jc w:val="both"/>
        <w:rPr>
          <w:rFonts w:cstheme="minorHAnsi"/>
          <w:szCs w:val="20"/>
        </w:rPr>
      </w:pPr>
      <w:r w:rsidRPr="005737F1">
        <w:rPr>
          <w:rFonts w:cstheme="minorHAnsi"/>
          <w:szCs w:val="20"/>
        </w:rPr>
        <w:lastRenderedPageBreak/>
        <w:t xml:space="preserve">We would also like to comment on the statement implying that the liquidity of a MMF depends on the liquidity of its assets. This would seem a logical statement but in fact does not consider the normal functioning of a MMF or the impact WLA thresholds have on fund manager behaviour. The normal functioning of MMFs means, as previously mentioned, that there is a significant amount of natural liquidity from the requirement to hold 10% in assets maturing overnight and a total of 30% in asset maturing within one week. This in turn means that, under normal conditions, MMFs are unlikely to be selling assets meaning there is </w:t>
      </w:r>
      <w:r w:rsidRPr="005737F1">
        <w:rPr>
          <w:rFonts w:cstheme="minorHAnsi"/>
          <w:b/>
          <w:szCs w:val="20"/>
          <w:u w:val="single"/>
        </w:rPr>
        <w:t>not</w:t>
      </w:r>
      <w:r w:rsidRPr="005737F1">
        <w:rPr>
          <w:rFonts w:cstheme="minorHAnsi"/>
          <w:szCs w:val="20"/>
        </w:rPr>
        <w:t xml:space="preserve"> the obvious link between the liquidity of the underlying assets and the liquidity of the fund that one might believe. Perversely, it is the requirement to hold 30% WLA that give some credibility to the statement. Instead of this liquidity requirement within funds being used to service redemptions, fund managers were actually selling assets to maintain the mandated liquidity levels removing the benefit of having 30% WLA – this is the “bright line” issue that is referenced elsewhere in this paper. This could in part be addressed by making these types of liquidity buffer more useable in times of stress.</w:t>
      </w:r>
    </w:p>
    <w:p w14:paraId="01D238C5" w14:textId="77777777" w:rsidR="000451F5" w:rsidRPr="005737F1" w:rsidRDefault="000451F5" w:rsidP="00891722">
      <w:pPr>
        <w:autoSpaceDE w:val="0"/>
        <w:autoSpaceDN w:val="0"/>
        <w:adjustRightInd w:val="0"/>
        <w:jc w:val="both"/>
        <w:rPr>
          <w:rFonts w:cstheme="minorHAnsi"/>
          <w:szCs w:val="20"/>
        </w:rPr>
      </w:pPr>
      <w:r w:rsidRPr="005737F1">
        <w:rPr>
          <w:rFonts w:cstheme="minorHAnsi"/>
          <w:szCs w:val="20"/>
        </w:rPr>
        <w:t xml:space="preserve">We very much agree with paragraph 43 that identifies “that increasing the liquidity of the underlying markets has a very large effect on the resilience of MMFs”. We are supportive of efforts to improve liquidity in the money markets, including efforts to incentivise the dealer community to provide more liquidity and reviewing the operating model of the major global money markets, including in the EU. We believe it may be possible to learn from the functioning of other financial markets that could be applied to improve the operating model and therefore liquidity of these markets. We encourage regulators to support, participate and perhaps lead any review of this type. HSBC Asset Management would be happy to support and participate.  </w:t>
      </w:r>
    </w:p>
    <w:p w14:paraId="78D8917D" w14:textId="77777777" w:rsidR="000451F5" w:rsidRPr="005737F1" w:rsidRDefault="000451F5" w:rsidP="00891722">
      <w:pPr>
        <w:jc w:val="both"/>
        <w:rPr>
          <w:rFonts w:cstheme="minorHAnsi"/>
          <w:szCs w:val="20"/>
        </w:rPr>
      </w:pPr>
    </w:p>
    <w:p w14:paraId="275263E5" w14:textId="77777777" w:rsidR="000451F5" w:rsidRPr="005737F1" w:rsidRDefault="000451F5" w:rsidP="00891722">
      <w:pPr>
        <w:jc w:val="both"/>
        <w:rPr>
          <w:rFonts w:cstheme="minorHAnsi"/>
          <w:b/>
          <w:szCs w:val="20"/>
        </w:rPr>
      </w:pPr>
      <w:r w:rsidRPr="005737F1">
        <w:rPr>
          <w:rFonts w:cstheme="minorHAnsi"/>
          <w:b/>
          <w:szCs w:val="20"/>
        </w:rPr>
        <w:t>Role of Regulatory Constraints on LVNAV</w:t>
      </w:r>
    </w:p>
    <w:p w14:paraId="1ECF1FEF" w14:textId="77777777" w:rsidR="000451F5" w:rsidRPr="005737F1" w:rsidRDefault="000451F5" w:rsidP="00891722">
      <w:pPr>
        <w:jc w:val="both"/>
        <w:rPr>
          <w:rFonts w:cstheme="minorHAnsi"/>
          <w:szCs w:val="20"/>
        </w:rPr>
      </w:pPr>
      <w:r w:rsidRPr="005737F1">
        <w:rPr>
          <w:rFonts w:cstheme="minorHAnsi"/>
          <w:szCs w:val="20"/>
        </w:rPr>
        <w:t xml:space="preserve">HSBC remain supportive of the MMFR introduced in March 2019, which significantly improved the resilience of MMFs and improved investor confidence following the Global Financial Crisis. These regulations were instrumental in MMFs meeting all redemptions in a timely fashion during the recent crisis, and we welcome recognition that the industry achieved this despite unprecedented challenges. The MMF industry passed the first real test since MMFR was introduced, but this plays down the significant challenges that were faced during the height of the recent crisis and we agree that elements of the regulation could be improved upon to make MMFs even more resilient. </w:t>
      </w:r>
    </w:p>
    <w:p w14:paraId="0B08E234" w14:textId="77777777" w:rsidR="000451F5" w:rsidRPr="005737F1" w:rsidRDefault="000451F5" w:rsidP="00891722">
      <w:pPr>
        <w:jc w:val="both"/>
        <w:rPr>
          <w:rFonts w:cstheme="minorHAnsi"/>
          <w:szCs w:val="20"/>
        </w:rPr>
      </w:pPr>
      <w:r w:rsidRPr="005737F1">
        <w:rPr>
          <w:rFonts w:cstheme="minorHAnsi"/>
          <w:szCs w:val="20"/>
        </w:rPr>
        <w:t>One of the key aims of recent regulation has been to improve liquidity. However, in times of stress LVNAV funds have faced challenges in meeting competing constraints, most notable the requirement to keep WLA above 30% and the NAV deviation below 20bps. Meeting large daily redemptions, that may also coincide with times of stress, can best be served by selling the most liquid assets, but this will result in a decline in the WLA level. The alternative is to sell less liquid assets, but in stressed markets this could result in losses that put pressure on the 20bps maximum NAV deviation. HSBC believe this issue should be a key area of focus and although we agree with ESMA’s analysis that changing the level of WLA may not necessarily be beneficial, allowing the use of this liquidity in time of stress would be.</w:t>
      </w:r>
    </w:p>
    <w:p w14:paraId="6EDA9837" w14:textId="77777777" w:rsidR="000451F5" w:rsidRPr="005737F1" w:rsidRDefault="000451F5" w:rsidP="00891722">
      <w:pPr>
        <w:rPr>
          <w:rFonts w:cstheme="minorHAnsi"/>
          <w:b/>
          <w:szCs w:val="20"/>
        </w:rPr>
      </w:pPr>
    </w:p>
    <w:p w14:paraId="530E6014" w14:textId="77777777" w:rsidR="000451F5" w:rsidRPr="005737F1" w:rsidRDefault="000451F5" w:rsidP="00891722">
      <w:pPr>
        <w:jc w:val="both"/>
        <w:rPr>
          <w:rFonts w:cstheme="minorHAnsi"/>
          <w:b/>
          <w:szCs w:val="20"/>
        </w:rPr>
      </w:pPr>
      <w:r w:rsidRPr="005737F1">
        <w:rPr>
          <w:rFonts w:cstheme="minorHAnsi"/>
          <w:b/>
          <w:szCs w:val="20"/>
        </w:rPr>
        <w:t>Role of Redemption Fees and Gates</w:t>
      </w:r>
    </w:p>
    <w:p w14:paraId="6988C0E5" w14:textId="77777777" w:rsidR="000451F5" w:rsidRPr="005737F1" w:rsidRDefault="000451F5" w:rsidP="00891722">
      <w:pPr>
        <w:jc w:val="both"/>
        <w:rPr>
          <w:rFonts w:cstheme="minorHAnsi"/>
          <w:szCs w:val="20"/>
        </w:rPr>
      </w:pPr>
      <w:r w:rsidRPr="005737F1">
        <w:rPr>
          <w:rFonts w:cstheme="minorHAnsi"/>
          <w:szCs w:val="20"/>
        </w:rPr>
        <w:t xml:space="preserve">We agree with the observations in paragraphs 46-47 that breaches of the WLA threshold and the use of fees and gates are, in the mind of many investor, intrinsically linked. This psychology therefore inadvertently creates a first mover advantage (as stated in paragraph 46). HSBC believe that certain aspects of the regulation could be improved upon to make MMFs more resilient. It should be noted that IMMFA has previously made recommendations that liquidity buffers be delinked from the use of fees and gates. </w:t>
      </w:r>
    </w:p>
    <w:p w14:paraId="3E5D0508" w14:textId="77777777" w:rsidR="000451F5" w:rsidRPr="005737F1" w:rsidRDefault="000451F5" w:rsidP="00891722">
      <w:pPr>
        <w:jc w:val="both"/>
        <w:rPr>
          <w:rFonts w:cstheme="minorHAnsi"/>
          <w:szCs w:val="20"/>
        </w:rPr>
      </w:pPr>
      <w:r w:rsidRPr="005737F1">
        <w:rPr>
          <w:rFonts w:cstheme="minorHAnsi"/>
          <w:szCs w:val="20"/>
        </w:rPr>
        <w:t xml:space="preserve">The industry understands that MMFR does allow for a fall below 30% WLA for various reasons and (most importantly) in the course of normal business. However, the reality is that this threshold has become a line in the sand for investors which has the consequence of limiting the ability of fund managers to manage the liquidity of a fund in a flexible way, and in the best interests of investors. Optimal management of the fund may be, on occasions, to allow the WLA to dip below 30% briefly. However, because of the intense focus of investors on the </w:t>
      </w:r>
      <w:r w:rsidRPr="005737F1">
        <w:rPr>
          <w:rFonts w:cstheme="minorHAnsi"/>
          <w:szCs w:val="20"/>
        </w:rPr>
        <w:lastRenderedPageBreak/>
        <w:t xml:space="preserve">30% level fund managers do not see this as an option. If the WLA starts to approach the 30% level, or passes below, this can put additional pressure on outflows. Suddenly a limit that was designed to reduce vulnerability in MMFs has become a catalyst for increased outflows which could become self-reinforcing. It is worth noting that prior to the MMFR, and shortly after the GFC, the IMMFA Code of Practice required its members to maintain 10% DLA and 30% WLA. During subsequent periods of market dislocation before the implementation of MMFR, such as the Eurozone sovereign crisis, MMFs did not experience heightened redemption activity. The reason for this is because at this time the linkage between DLA and WLA and fees and gates did not exist (although these mechanisms were available to some MMFs via their prospectus).  </w:t>
      </w:r>
    </w:p>
    <w:p w14:paraId="1196D6B5" w14:textId="77777777" w:rsidR="000451F5" w:rsidRPr="005737F1" w:rsidRDefault="000451F5" w:rsidP="00891722">
      <w:pPr>
        <w:jc w:val="both"/>
        <w:rPr>
          <w:rFonts w:cstheme="minorHAnsi"/>
          <w:szCs w:val="20"/>
        </w:rPr>
      </w:pPr>
      <w:r w:rsidRPr="005737F1">
        <w:rPr>
          <w:rFonts w:cstheme="minorHAnsi"/>
          <w:szCs w:val="20"/>
        </w:rPr>
        <w:t>HSBC believe that a removal of this link between liquidity thresholds and the triggering of fees and gates is important to ensure investors do not continue to focus on a single metric at the expense of a broader view of a MMF. Liquidity levels do not need to be reduced, but we believe removal of the link will enhance the overall resilience of MMFs in times of stress. Decoupling liquidity levels from fees and gate would encourage investors to look at a fund more broadly whilst also enabling fund managers to utilise the liquidity buffer in the best interest of those investors, for the purpose the buffers are truly intended for, including assisting in the ability of a fund to meet redemptions in times of stress.</w:t>
      </w:r>
    </w:p>
    <w:p w14:paraId="02CEB180" w14:textId="77777777" w:rsidR="000451F5" w:rsidRPr="005737F1" w:rsidRDefault="000451F5" w:rsidP="00891722">
      <w:pPr>
        <w:jc w:val="both"/>
        <w:rPr>
          <w:rFonts w:cstheme="minorHAnsi"/>
          <w:b/>
          <w:i/>
          <w:color w:val="000000" w:themeColor="text1"/>
          <w:szCs w:val="20"/>
        </w:rPr>
      </w:pPr>
    </w:p>
    <w:p w14:paraId="62B78637" w14:textId="579B7B1B" w:rsidR="000451F5" w:rsidRPr="005737F1" w:rsidRDefault="000451F5" w:rsidP="00891722">
      <w:pPr>
        <w:jc w:val="both"/>
        <w:rPr>
          <w:rFonts w:cstheme="minorHAnsi"/>
          <w:b/>
          <w:i/>
          <w:color w:val="000000" w:themeColor="text1"/>
          <w:szCs w:val="20"/>
        </w:rPr>
      </w:pPr>
      <w:r w:rsidRPr="005737F1">
        <w:rPr>
          <w:rFonts w:cstheme="minorHAnsi"/>
          <w:b/>
          <w:i/>
          <w:color w:val="000000" w:themeColor="text1"/>
          <w:szCs w:val="20"/>
        </w:rPr>
        <w:t>Role of CRAs and credit ratings</w:t>
      </w:r>
    </w:p>
    <w:p w14:paraId="35A4C91E" w14:textId="77777777" w:rsidR="000451F5" w:rsidRPr="005737F1" w:rsidRDefault="000451F5" w:rsidP="00891722">
      <w:pPr>
        <w:jc w:val="both"/>
        <w:rPr>
          <w:rFonts w:cstheme="minorHAnsi"/>
          <w:color w:val="000000" w:themeColor="text1"/>
          <w:szCs w:val="20"/>
        </w:rPr>
      </w:pPr>
      <w:r w:rsidRPr="005737F1">
        <w:rPr>
          <w:rFonts w:cstheme="minorHAnsi"/>
          <w:b/>
          <w:color w:val="000000" w:themeColor="text1"/>
          <w:szCs w:val="20"/>
        </w:rPr>
        <w:t>ii) What are your views in particular on the use of MMF ratings by investors? Are you of the view that the use of such ratings has affected the behaviours of investors during the March crisis?</w:t>
      </w:r>
    </w:p>
    <w:p w14:paraId="741FADC4" w14:textId="2ECF8E2C" w:rsidR="00492B3A" w:rsidRDefault="000451F5" w:rsidP="00492B3A">
      <w:pPr>
        <w:rPr>
          <w:rFonts w:cstheme="minorHAnsi"/>
        </w:rPr>
      </w:pPr>
      <w:r w:rsidRPr="005737F1">
        <w:rPr>
          <w:rFonts w:cstheme="minorHAnsi"/>
          <w:szCs w:val="20"/>
        </w:rPr>
        <w:t>We do not agree with the general view that MMF ratings were an area of vulnerability during the crisis and had no particular influence on investor flows or behaviour at that time.  This is particularly evidenced by the fact that unrated funds (for example such as certain Euro Standard (VNAV) MMFs) also experienced similar redemption activity suggesting no difference in vulnerability due to fund structure, type or rating.  Ratings are widely used in the financial markets and in the case of MMFs it is understood these primarily cover the ability of a MMF to preserve capital and maintain liquidity. The ratings enable investors to evaluate an external measure to support their own assessment and to compare across MMFs. In our opinion, some elements of the ratings methodology should be seen as being additive to MMF regulations which further strengthens the resilience for investors.  In many cases, institutional investors require a minimum (AAA) MMF rating within their formal investment policies. An absence of ratings could reduce the utility value of MMFs for investors. In our view, investors were primarily focused on liquidity thresholds during the March 2020 crisis, and challenges faced by MMFs were not specifically driven by concerns over ratings. Flows were driven primarily by the need by investors for cash to meet operational requirements, to keep high levels of liquidity, or to meet margin calls. Please also see our response to Q8</w:t>
      </w:r>
    </w:p>
    <w:permEnd w:id="1576605906"/>
    <w:p w14:paraId="6B8DF131" w14:textId="77777777" w:rsidR="00492B3A" w:rsidRDefault="00492B3A" w:rsidP="00492B3A"/>
    <w:p w14:paraId="7E5A3C00" w14:textId="3B098933" w:rsidR="00492B3A" w:rsidRDefault="00492B3A" w:rsidP="00492B3A">
      <w:r>
        <w:t>&lt;ESMA_QUESTION_</w:t>
      </w:r>
      <w:r w:rsidR="00DC1B3F">
        <w:t>MMFR</w:t>
      </w:r>
      <w:r>
        <w:t>_1&gt;</w:t>
      </w:r>
    </w:p>
    <w:p w14:paraId="66BCB951" w14:textId="77777777" w:rsidR="00492B3A" w:rsidRDefault="00492B3A" w:rsidP="00492B3A"/>
    <w:p w14:paraId="711E593A" w14:textId="3641F562" w:rsidR="00492B3A" w:rsidRDefault="00976448" w:rsidP="00492B3A">
      <w:pPr>
        <w:pStyle w:val="Questionstyle"/>
      </w:pPr>
      <w:r w:rsidRPr="00F43E30">
        <w:t xml:space="preserve">i) </w:t>
      </w:r>
      <w:r w:rsidRPr="00F43E30">
        <w:rPr>
          <w:bdr w:val="none" w:sz="0" w:space="0" w:color="auto" w:frame="1"/>
          <w:lang w:val="en-IE"/>
        </w:rPr>
        <w:t>Do you agree with the above assessment on the potential MMF reforms related to the review of the MMF Regulation? ii) What are your views on the abovementioned assessment of the interaction between potential MMF reforms and the behaviour of investors during the MMF March 2020 crisis</w:t>
      </w:r>
      <w:r w:rsidR="00A014B6" w:rsidRPr="00A014B6">
        <w:t>?</w:t>
      </w:r>
    </w:p>
    <w:p w14:paraId="3451E920" w14:textId="188057B6" w:rsidR="00492B3A" w:rsidRDefault="00492B3A" w:rsidP="00492B3A">
      <w:r>
        <w:t>&lt;ESMA_QUESTION_</w:t>
      </w:r>
      <w:r w:rsidR="00DC1B3F">
        <w:t>MMFR</w:t>
      </w:r>
      <w:r>
        <w:t>_2&gt;</w:t>
      </w:r>
    </w:p>
    <w:p w14:paraId="63F578EA" w14:textId="77777777" w:rsidR="00891722" w:rsidRDefault="00891722" w:rsidP="000451F5">
      <w:pPr>
        <w:ind w:left="567"/>
        <w:jc w:val="both"/>
      </w:pPr>
      <w:permStart w:id="1123047147" w:edGrp="everyone"/>
    </w:p>
    <w:p w14:paraId="2B70FE2E" w14:textId="011D6E5F" w:rsidR="000451F5" w:rsidRPr="005737F1" w:rsidRDefault="000451F5" w:rsidP="000451F5">
      <w:pPr>
        <w:ind w:left="567"/>
        <w:jc w:val="both"/>
        <w:rPr>
          <w:szCs w:val="20"/>
        </w:rPr>
      </w:pPr>
      <w:r w:rsidRPr="005737F1">
        <w:rPr>
          <w:szCs w:val="20"/>
        </w:rPr>
        <w:t xml:space="preserve"> We support any efforts that improve the resilience of all Money Market Funds (‘MMFs).  It is appropriate to review key areas of the regulation, in particular the ties between fees and gates, however many of the proposals will not prove effective and may drive cash elsewhere in the financial system.  </w:t>
      </w:r>
    </w:p>
    <w:p w14:paraId="28D3EA54" w14:textId="77777777" w:rsidR="000451F5" w:rsidRPr="005737F1" w:rsidRDefault="000451F5" w:rsidP="000451F5">
      <w:pPr>
        <w:ind w:left="567"/>
        <w:jc w:val="both"/>
        <w:rPr>
          <w:szCs w:val="20"/>
        </w:rPr>
      </w:pPr>
    </w:p>
    <w:p w14:paraId="64D15428" w14:textId="77777777" w:rsidR="000451F5" w:rsidRPr="005737F1" w:rsidRDefault="000451F5" w:rsidP="000451F5">
      <w:pPr>
        <w:ind w:left="567"/>
        <w:jc w:val="both"/>
        <w:rPr>
          <w:szCs w:val="20"/>
        </w:rPr>
      </w:pPr>
      <w:r w:rsidRPr="005737F1">
        <w:rPr>
          <w:szCs w:val="20"/>
        </w:rPr>
        <w:t xml:space="preserve">As noted in the executive summary we have addressed the specifics under each of the questions that follow but would highlight the following recommendations for further reform of MMFs and the wider money markets. </w:t>
      </w:r>
    </w:p>
    <w:p w14:paraId="4D9672D9" w14:textId="77777777" w:rsidR="000451F5" w:rsidRPr="005737F1" w:rsidRDefault="000451F5" w:rsidP="00290E98">
      <w:pPr>
        <w:pStyle w:val="ListParagraph"/>
        <w:numPr>
          <w:ilvl w:val="0"/>
          <w:numId w:val="37"/>
        </w:numPr>
        <w:spacing w:after="160" w:line="259" w:lineRule="auto"/>
        <w:jc w:val="both"/>
        <w:rPr>
          <w:b/>
          <w:szCs w:val="20"/>
        </w:rPr>
      </w:pPr>
      <w:r w:rsidRPr="005737F1">
        <w:rPr>
          <w:szCs w:val="20"/>
        </w:rPr>
        <w:t>Remove the ‘bright line’ that has been created by the most recent MMF regulation in relation to the 30% WLA that has made this, and the DLA buffer, unusable. For further detail see our response to questions 1and 3 below.</w:t>
      </w:r>
    </w:p>
    <w:p w14:paraId="1FC0D363" w14:textId="77777777" w:rsidR="000451F5" w:rsidRPr="005737F1" w:rsidRDefault="000451F5" w:rsidP="00290E98">
      <w:pPr>
        <w:pStyle w:val="ListParagraph"/>
        <w:numPr>
          <w:ilvl w:val="0"/>
          <w:numId w:val="37"/>
        </w:numPr>
        <w:spacing w:after="160" w:line="259" w:lineRule="auto"/>
        <w:jc w:val="both"/>
        <w:rPr>
          <w:b/>
          <w:szCs w:val="20"/>
        </w:rPr>
      </w:pPr>
      <w:r w:rsidRPr="005737F1">
        <w:rPr>
          <w:szCs w:val="20"/>
        </w:rPr>
        <w:t xml:space="preserve">Explore the principle of an asymmetric ‘dynamic’ WLA level that is adjusted in relation to changing individual client concentration and client type concentration levels. The principle should be explored in partnership between EU regulators, providers of MMFs and other key stakeholders. For further detail see our response to questions 1 and 5 below. </w:t>
      </w:r>
    </w:p>
    <w:p w14:paraId="437A4DAA" w14:textId="77777777" w:rsidR="000451F5" w:rsidRPr="005737F1" w:rsidRDefault="000451F5" w:rsidP="00290E98">
      <w:pPr>
        <w:pStyle w:val="ListParagraph"/>
        <w:numPr>
          <w:ilvl w:val="0"/>
          <w:numId w:val="37"/>
        </w:numPr>
        <w:spacing w:after="160" w:line="259" w:lineRule="auto"/>
        <w:jc w:val="both"/>
        <w:rPr>
          <w:b/>
          <w:szCs w:val="20"/>
        </w:rPr>
      </w:pPr>
      <w:r w:rsidRPr="005737F1">
        <w:rPr>
          <w:szCs w:val="20"/>
        </w:rPr>
        <w:t>Maintain liquidity fees as the optimal anti-dilution levy for MMFs. The liquidity fee mechanism delivers the protection for investors that remain invested in an MMF during a period of redemptions, act as a ‘circuit breaker’ if applied by removing the incentive to redeem, are operationally feasible and maintain the utility value of an MMF to investors. For further detail see our answer to questions 1 and 4 below.</w:t>
      </w:r>
    </w:p>
    <w:p w14:paraId="46023E49" w14:textId="77777777" w:rsidR="000451F5" w:rsidRPr="005737F1" w:rsidRDefault="000451F5" w:rsidP="00290E98">
      <w:pPr>
        <w:pStyle w:val="ListParagraph"/>
        <w:numPr>
          <w:ilvl w:val="0"/>
          <w:numId w:val="37"/>
        </w:numPr>
        <w:spacing w:after="160" w:line="259" w:lineRule="auto"/>
        <w:jc w:val="both"/>
        <w:rPr>
          <w:b/>
          <w:szCs w:val="20"/>
        </w:rPr>
      </w:pPr>
      <w:r w:rsidRPr="005737F1">
        <w:rPr>
          <w:szCs w:val="20"/>
        </w:rPr>
        <w:t>Maintain the troika of PDCNAV, LVNAV and VNAV fund constructs. Empirical evidence supports the fact that the fund construct does not change the sensitivity of a MMF to redemptions. Maintaining the three constructs preserves the utility value of MMFs for all investors and ensures that MMFs continue to provide diversified short-term funding to the real economy. For further detail please see our answer to question 6 below.</w:t>
      </w:r>
    </w:p>
    <w:p w14:paraId="5F1C53F4" w14:textId="77777777" w:rsidR="000451F5" w:rsidRPr="005737F1" w:rsidRDefault="000451F5" w:rsidP="00290E98">
      <w:pPr>
        <w:pStyle w:val="ListParagraph"/>
        <w:numPr>
          <w:ilvl w:val="0"/>
          <w:numId w:val="37"/>
        </w:numPr>
        <w:spacing w:after="160" w:line="259" w:lineRule="auto"/>
        <w:jc w:val="both"/>
        <w:rPr>
          <w:b/>
          <w:szCs w:val="20"/>
        </w:rPr>
      </w:pPr>
      <w:r w:rsidRPr="005737F1">
        <w:rPr>
          <w:color w:val="000000" w:themeColor="text1"/>
          <w:szCs w:val="20"/>
        </w:rPr>
        <w:t xml:space="preserve">A review on how to change the over reliance of some investors ‘AAA only’ policy to reduce the potential impact of a downgrade of a MMF below AAA. This review should include regulators, CRAs, providers of MMFs and investors. </w:t>
      </w:r>
      <w:r w:rsidRPr="005737F1">
        <w:rPr>
          <w:szCs w:val="20"/>
        </w:rPr>
        <w:t>For further detail please see our answer to questions 1 and 8 below.</w:t>
      </w:r>
    </w:p>
    <w:p w14:paraId="45694F8F" w14:textId="4F78D8B2" w:rsidR="00492B3A" w:rsidRDefault="000451F5" w:rsidP="000451F5">
      <w:pPr>
        <w:rPr>
          <w:color w:val="000000" w:themeColor="text1"/>
        </w:rPr>
      </w:pPr>
      <w:r w:rsidRPr="005737F1">
        <w:rPr>
          <w:color w:val="000000" w:themeColor="text1"/>
          <w:szCs w:val="20"/>
        </w:rPr>
        <w:t>A review on the current operating model of the major global money markets to identify opportunities to make the money markets more resilient and better able to function normally during periods of market stress. Due to the breadth of participants in the money markets and the key role that regulators play in their operation the review should be coordinated or sponsored by regulators</w:t>
      </w:r>
    </w:p>
    <w:p w14:paraId="6A1DFB6E" w14:textId="77777777" w:rsidR="00891722" w:rsidRDefault="00891722" w:rsidP="000451F5"/>
    <w:permEnd w:id="1123047147"/>
    <w:p w14:paraId="741E001B" w14:textId="4E171775" w:rsidR="00492B3A" w:rsidRDefault="00492B3A" w:rsidP="00492B3A">
      <w:r>
        <w:t>&lt;ESMA_QUESTION_</w:t>
      </w:r>
      <w:r w:rsidR="00DC1B3F">
        <w:t>MMFR</w:t>
      </w:r>
      <w:r>
        <w:t>_2&gt;</w:t>
      </w:r>
    </w:p>
    <w:p w14:paraId="3DF6FFDF" w14:textId="77777777" w:rsidR="00492B3A" w:rsidRDefault="00492B3A" w:rsidP="00492B3A"/>
    <w:p w14:paraId="47C2F5CA" w14:textId="2A5C4E89" w:rsidR="00492B3A" w:rsidRDefault="00976448" w:rsidP="00492B3A">
      <w:pPr>
        <w:pStyle w:val="Questionstyle"/>
      </w:pPr>
      <w:r w:rsidRPr="00F43E30">
        <w:rPr>
          <w:bCs/>
          <w:color w:val="201F1E"/>
          <w:bdr w:val="none" w:sz="0" w:space="0" w:color="auto" w:frame="1"/>
          <w:lang w:val="en-IE"/>
        </w:rPr>
        <w:t xml:space="preserve">Do you agree with the above assessment of the i) potential need to </w:t>
      </w:r>
      <w:r w:rsidRPr="00F43E30">
        <w:rPr>
          <w:bCs/>
          <w:lang w:val="en-US"/>
        </w:rPr>
        <w:t>decouple regulatory thresholds from suspensions/gates and the corresponding proposals of amendment of the MMF Regulation ii) potential reforms of the conditions for the use of redemption gates</w:t>
      </w:r>
      <w:r w:rsidRPr="00F43E30">
        <w:t xml:space="preserve">? </w:t>
      </w:r>
      <w:r w:rsidRPr="00F43E30">
        <w:rPr>
          <w:color w:val="201F1E"/>
          <w:bdr w:val="none" w:sz="0" w:space="0" w:color="auto" w:frame="1"/>
          <w:lang w:val="en-IE"/>
        </w:rPr>
        <w:t>When you answer this question, please also take into account the grid of criteria listed in paragraphs 76 to 80</w:t>
      </w:r>
      <w:r>
        <w:t>.</w:t>
      </w:r>
    </w:p>
    <w:p w14:paraId="1D5C0FD1" w14:textId="7F890B15" w:rsidR="00492B3A" w:rsidRDefault="00492B3A" w:rsidP="00492B3A">
      <w:r>
        <w:t>&lt;ESMA_QUESTION_</w:t>
      </w:r>
      <w:r w:rsidR="00DC1B3F">
        <w:t>MMFR</w:t>
      </w:r>
      <w:r>
        <w:t>_3&gt;</w:t>
      </w:r>
    </w:p>
    <w:p w14:paraId="1E3EEBC9" w14:textId="77777777" w:rsidR="00891722" w:rsidRDefault="00891722" w:rsidP="000451F5">
      <w:pPr>
        <w:jc w:val="both"/>
      </w:pPr>
      <w:permStart w:id="1823616926" w:edGrp="everyone"/>
    </w:p>
    <w:p w14:paraId="517228DA" w14:textId="5A12CC92" w:rsidR="000451F5" w:rsidRPr="005737F1" w:rsidRDefault="000451F5" w:rsidP="000451F5">
      <w:pPr>
        <w:jc w:val="both"/>
        <w:rPr>
          <w:rFonts w:cstheme="minorHAnsi"/>
          <w:color w:val="000000" w:themeColor="text1"/>
          <w:szCs w:val="20"/>
        </w:rPr>
      </w:pPr>
      <w:r w:rsidRPr="005737F1">
        <w:rPr>
          <w:szCs w:val="20"/>
        </w:rPr>
        <w:t xml:space="preserve"> </w:t>
      </w:r>
      <w:r w:rsidRPr="005737F1">
        <w:rPr>
          <w:rFonts w:cstheme="minorHAnsi"/>
          <w:color w:val="000000" w:themeColor="text1"/>
          <w:szCs w:val="20"/>
        </w:rPr>
        <w:t xml:space="preserve">The minimum liquidity thresholds for all Short Term Money Funds set out under Article 24 are an important structural element in the design of MMFs that should enable them to meet redemption requests.  HSBC Asset Management fully supports the delinking of liquidity thresholds required under Article 34(1)(a) from the escalation procedures that could lead to the application of fees or gates </w:t>
      </w:r>
      <w:r w:rsidRPr="005737F1">
        <w:rPr>
          <w:rFonts w:cstheme="minorHAnsi"/>
          <w:szCs w:val="20"/>
        </w:rPr>
        <w:t xml:space="preserve">as it would allow an MMF to utilise the liquidity buffers in a countercyclical manner.  We strongly recommend the full removal of rather than the reform of conditions as the latter would just move the ‘bright line’ which would not have the desired effect on investor behaviour.  </w:t>
      </w:r>
    </w:p>
    <w:p w14:paraId="23961A86" w14:textId="77777777" w:rsidR="000451F5" w:rsidRPr="005737F1" w:rsidRDefault="000451F5" w:rsidP="000451F5">
      <w:pPr>
        <w:jc w:val="both"/>
        <w:rPr>
          <w:rFonts w:cstheme="minorHAnsi"/>
          <w:color w:val="000000" w:themeColor="text1"/>
          <w:szCs w:val="20"/>
        </w:rPr>
      </w:pPr>
      <w:r w:rsidRPr="005737F1">
        <w:rPr>
          <w:rFonts w:cstheme="minorHAnsi"/>
          <w:color w:val="000000" w:themeColor="text1"/>
          <w:szCs w:val="20"/>
        </w:rPr>
        <w:lastRenderedPageBreak/>
        <w:t xml:space="preserve">Option #1 </w:t>
      </w:r>
    </w:p>
    <w:p w14:paraId="50844CA9" w14:textId="77777777" w:rsidR="000451F5" w:rsidRPr="005737F1" w:rsidRDefault="000451F5" w:rsidP="000451F5">
      <w:pPr>
        <w:jc w:val="both"/>
        <w:rPr>
          <w:rFonts w:cstheme="minorHAnsi"/>
          <w:color w:val="000000" w:themeColor="text1"/>
          <w:szCs w:val="20"/>
        </w:rPr>
      </w:pPr>
      <w:r w:rsidRPr="005737F1">
        <w:rPr>
          <w:rFonts w:cstheme="minorHAnsi"/>
          <w:color w:val="000000" w:themeColor="text1"/>
          <w:szCs w:val="20"/>
        </w:rPr>
        <w:t xml:space="preserve">In our experience during March 2020, investors focused solely on this metric influencing them to make pre-emptive redemptions in advance of any potential action around fees and gates thereby creating a ‘bright line’ for clients and leaving the funds vulnerable to redemptions.  While the regulation contains a dual trigger covering both a decline in the Weekly Liquid Asset level and net redemptions exceeding 10%, investors did not take this into account.  This was particularly true of US headquartered investors who did not differentiate between European and US regulation.   Consequently, European domiciled funds saw larger than expected outflows and had an unintended pro-cyclical effect.  Article 34(a)(iii) also links the decision to suspend the fund to liquidity thresholds which will in itself creates another bright line for investors, therefore we suggest that Article 34(1)(a) is removed in its entirety.   We suggest that the fund board should have the full discretion to make the decision to apply fees, gates and suspensions without any reference to minimum liquidity thresholds taking into account the best interests of investors.  We suggest that the fund board should take into account any and all measures available to them e.g. delayed settlement to determine the most appropriate course of action in the interests of all investors. </w:t>
      </w:r>
    </w:p>
    <w:p w14:paraId="7E7DE242" w14:textId="77777777" w:rsidR="000451F5" w:rsidRPr="005737F1" w:rsidRDefault="000451F5" w:rsidP="000451F5">
      <w:pPr>
        <w:jc w:val="both"/>
        <w:rPr>
          <w:rFonts w:cstheme="minorHAnsi"/>
          <w:color w:val="000000" w:themeColor="text1"/>
          <w:szCs w:val="20"/>
        </w:rPr>
      </w:pPr>
      <w:r w:rsidRPr="005737F1">
        <w:rPr>
          <w:rFonts w:cstheme="minorHAnsi"/>
          <w:color w:val="000000" w:themeColor="text1"/>
          <w:szCs w:val="20"/>
        </w:rPr>
        <w:t xml:space="preserve">This would also have the effect of applying a consistent approach for both LVNAV, CNAV and VNAV Short Term Money Funds.  This proposal will have a positive effect on the resilience of MMFs by enabling managers to use liquid assets in the best interests of investors and mitigate against pro-cyclical redemption behaviour. </w:t>
      </w:r>
    </w:p>
    <w:p w14:paraId="3E5DE946" w14:textId="77777777" w:rsidR="000451F5" w:rsidRPr="005737F1" w:rsidRDefault="000451F5" w:rsidP="000451F5">
      <w:pPr>
        <w:jc w:val="both"/>
        <w:rPr>
          <w:rFonts w:cstheme="minorHAnsi"/>
          <w:color w:val="000000" w:themeColor="text1"/>
          <w:szCs w:val="20"/>
        </w:rPr>
      </w:pPr>
    </w:p>
    <w:p w14:paraId="33CB0077" w14:textId="77777777" w:rsidR="000451F5" w:rsidRPr="005737F1" w:rsidRDefault="000451F5" w:rsidP="000451F5">
      <w:pPr>
        <w:jc w:val="both"/>
        <w:rPr>
          <w:rFonts w:cstheme="minorHAnsi"/>
          <w:color w:val="000000" w:themeColor="text1"/>
          <w:szCs w:val="20"/>
        </w:rPr>
      </w:pPr>
      <w:r w:rsidRPr="005737F1">
        <w:rPr>
          <w:rFonts w:cstheme="minorHAnsi"/>
          <w:color w:val="000000" w:themeColor="text1"/>
          <w:szCs w:val="20"/>
        </w:rPr>
        <w:t xml:space="preserve">Option #2 </w:t>
      </w:r>
    </w:p>
    <w:p w14:paraId="0DDDAD80" w14:textId="77777777" w:rsidR="000451F5" w:rsidRPr="005737F1" w:rsidRDefault="000451F5" w:rsidP="000451F5">
      <w:pPr>
        <w:jc w:val="both"/>
        <w:rPr>
          <w:rFonts w:cstheme="minorHAnsi"/>
          <w:color w:val="000000" w:themeColor="text1"/>
          <w:szCs w:val="20"/>
        </w:rPr>
      </w:pPr>
      <w:r w:rsidRPr="005737F1">
        <w:rPr>
          <w:rFonts w:cstheme="minorHAnsi"/>
          <w:color w:val="000000" w:themeColor="text1"/>
          <w:szCs w:val="20"/>
        </w:rPr>
        <w:t xml:space="preserve">ESMA has suggested an amendment to the conditions under which gates / fees may be applied but we suggest that this has the effect of moving the bright line elsewhere and therefore does not serve to make the funds more resilient.  We also note the suggestion to move the decision around the application of fees, gates or suspension to a regulatory body and suggest this is not practical.  These decisions are specific, complex and time bound and we suggest that it is not practical to extend decision making to an external body. </w:t>
      </w:r>
    </w:p>
    <w:p w14:paraId="0C55B9EE" w14:textId="77777777" w:rsidR="000451F5" w:rsidRPr="005737F1" w:rsidRDefault="000451F5" w:rsidP="000451F5">
      <w:pPr>
        <w:jc w:val="both"/>
        <w:rPr>
          <w:rFonts w:cstheme="minorHAnsi"/>
          <w:color w:val="000000" w:themeColor="text1"/>
          <w:szCs w:val="20"/>
        </w:rPr>
      </w:pPr>
    </w:p>
    <w:p w14:paraId="4FCA9C4D" w14:textId="77777777" w:rsidR="000451F5" w:rsidRPr="005737F1" w:rsidRDefault="000451F5" w:rsidP="000451F5">
      <w:pPr>
        <w:jc w:val="both"/>
        <w:rPr>
          <w:rFonts w:cstheme="minorHAnsi"/>
          <w:color w:val="000000" w:themeColor="text1"/>
          <w:szCs w:val="20"/>
        </w:rPr>
      </w:pPr>
      <w:r w:rsidRPr="005737F1">
        <w:rPr>
          <w:rFonts w:cstheme="minorHAnsi"/>
          <w:color w:val="000000" w:themeColor="text1"/>
          <w:szCs w:val="20"/>
        </w:rPr>
        <w:t xml:space="preserve">Gating a fund is far more impactful to clients that the application of fees given that it blocks access to their cash rather than impairing it.  The significance of that action, particularly in a liquidity event, means it should only be applied in the most extraordinary events and not linked to automatic triggers. </w:t>
      </w:r>
    </w:p>
    <w:p w14:paraId="7C6525E0" w14:textId="77777777" w:rsidR="000451F5" w:rsidRPr="005737F1" w:rsidRDefault="000451F5" w:rsidP="000451F5">
      <w:pPr>
        <w:rPr>
          <w:rFonts w:cstheme="minorHAnsi"/>
          <w:bCs/>
          <w:color w:val="000000" w:themeColor="text1"/>
          <w:szCs w:val="20"/>
        </w:rPr>
      </w:pPr>
      <w:r w:rsidRPr="005737F1">
        <w:rPr>
          <w:rFonts w:cstheme="minorHAnsi"/>
          <w:color w:val="000000" w:themeColor="text1"/>
          <w:szCs w:val="20"/>
        </w:rPr>
        <w:t xml:space="preserve">We believe the application of a fee, gate or suspension would remain a matter for the fund board to decide taking all factors into account and acting in the best interests of all investors in the fund.  The proposal to have this decision taken by a regulator or supervisor will </w:t>
      </w:r>
      <w:r w:rsidRPr="005737F1">
        <w:rPr>
          <w:rFonts w:cstheme="minorHAnsi"/>
          <w:bCs/>
          <w:color w:val="000000" w:themeColor="text1"/>
          <w:szCs w:val="20"/>
        </w:rPr>
        <w:t>create significant resource constraints on all parties and generate uncertainty in the minds of investors</w:t>
      </w:r>
    </w:p>
    <w:p w14:paraId="74F60965" w14:textId="77777777" w:rsidR="000451F5" w:rsidRPr="005737F1" w:rsidRDefault="000451F5" w:rsidP="000451F5">
      <w:pPr>
        <w:rPr>
          <w:rFonts w:cstheme="minorHAnsi"/>
          <w:bCs/>
          <w:color w:val="000000" w:themeColor="text1"/>
          <w:szCs w:val="20"/>
        </w:rPr>
      </w:pPr>
    </w:p>
    <w:tbl>
      <w:tblPr>
        <w:tblStyle w:val="TableGrid"/>
        <w:tblpPr w:leftFromText="180" w:rightFromText="180" w:vertAnchor="text" w:horzAnchor="margin" w:tblpY="184"/>
        <w:tblW w:w="10210" w:type="dxa"/>
        <w:tblLook w:val="04A0" w:firstRow="1" w:lastRow="0" w:firstColumn="1" w:lastColumn="0" w:noHBand="0" w:noVBand="1"/>
      </w:tblPr>
      <w:tblGrid>
        <w:gridCol w:w="10210"/>
      </w:tblGrid>
      <w:tr w:rsidR="000451F5" w:rsidRPr="005737F1" w14:paraId="2CB899C5" w14:textId="77777777" w:rsidTr="00891722">
        <w:tc>
          <w:tcPr>
            <w:tcW w:w="10210" w:type="dxa"/>
            <w:shd w:val="clear" w:color="auto" w:fill="EEECE1" w:themeFill="background2"/>
          </w:tcPr>
          <w:p w14:paraId="638B7007" w14:textId="77777777" w:rsidR="000451F5" w:rsidRPr="005737F1" w:rsidRDefault="000451F5" w:rsidP="00891722">
            <w:pPr>
              <w:jc w:val="both"/>
              <w:rPr>
                <w:rFonts w:cstheme="minorHAnsi"/>
                <w:b/>
                <w:bCs/>
                <w:szCs w:val="20"/>
              </w:rPr>
            </w:pPr>
            <w:r w:rsidRPr="005737F1">
              <w:rPr>
                <w:rFonts w:cstheme="minorHAnsi"/>
                <w:b/>
                <w:bCs/>
                <w:szCs w:val="20"/>
              </w:rPr>
              <w:t>I    Impact on the Resilience of MMFs</w:t>
            </w:r>
          </w:p>
          <w:p w14:paraId="7755AC1C" w14:textId="77777777" w:rsidR="000451F5" w:rsidRPr="005737F1" w:rsidRDefault="000451F5" w:rsidP="00891722">
            <w:pPr>
              <w:jc w:val="both"/>
              <w:rPr>
                <w:rFonts w:cstheme="minorHAnsi"/>
                <w:szCs w:val="20"/>
              </w:rPr>
            </w:pPr>
          </w:p>
        </w:tc>
      </w:tr>
      <w:tr w:rsidR="000451F5" w:rsidRPr="005737F1" w14:paraId="4E7BF099" w14:textId="77777777" w:rsidTr="00891722">
        <w:tc>
          <w:tcPr>
            <w:tcW w:w="10210" w:type="dxa"/>
          </w:tcPr>
          <w:p w14:paraId="40EFEE1D" w14:textId="77777777" w:rsidR="000451F5" w:rsidRPr="005737F1" w:rsidRDefault="000451F5" w:rsidP="00891722">
            <w:pPr>
              <w:ind w:left="306" w:hanging="306"/>
              <w:jc w:val="both"/>
              <w:rPr>
                <w:rFonts w:cstheme="minorHAnsi"/>
                <w:i/>
                <w:iCs/>
                <w:szCs w:val="20"/>
              </w:rPr>
            </w:pPr>
            <w:r w:rsidRPr="005737F1">
              <w:rPr>
                <w:rFonts w:cstheme="minorHAnsi"/>
                <w:i/>
                <w:iCs/>
                <w:szCs w:val="20"/>
              </w:rPr>
              <w:t xml:space="preserve">i </w:t>
            </w:r>
            <w:r w:rsidRPr="005737F1">
              <w:rPr>
                <w:rFonts w:cstheme="minorHAnsi"/>
                <w:i/>
                <w:iCs/>
                <w:szCs w:val="20"/>
              </w:rPr>
              <w:tab/>
              <w:t>How would the policy option work in mitigating the structural vulnerabilities of MMFs?</w:t>
            </w:r>
          </w:p>
          <w:p w14:paraId="4F8E9651" w14:textId="77777777" w:rsidR="000451F5" w:rsidRPr="005737F1" w:rsidRDefault="000451F5" w:rsidP="00891722">
            <w:pPr>
              <w:spacing w:after="120"/>
              <w:jc w:val="both"/>
              <w:rPr>
                <w:rFonts w:cstheme="minorHAnsi"/>
                <w:szCs w:val="20"/>
              </w:rPr>
            </w:pPr>
            <w:r w:rsidRPr="005737F1">
              <w:rPr>
                <w:rFonts w:cstheme="minorHAnsi"/>
                <w:szCs w:val="20"/>
              </w:rPr>
              <w:t xml:space="preserve">It is assumed that fees are in scope of this policy option given they are prescribed under Article 34. </w:t>
            </w:r>
          </w:p>
          <w:p w14:paraId="2C297BB7" w14:textId="77777777" w:rsidR="000451F5" w:rsidRPr="005737F1" w:rsidRDefault="000451F5" w:rsidP="00891722">
            <w:pPr>
              <w:spacing w:after="120"/>
              <w:jc w:val="both"/>
              <w:rPr>
                <w:rFonts w:cstheme="minorHAnsi"/>
                <w:szCs w:val="20"/>
              </w:rPr>
            </w:pPr>
            <w:r w:rsidRPr="005737F1">
              <w:rPr>
                <w:rFonts w:cstheme="minorHAnsi"/>
                <w:szCs w:val="20"/>
              </w:rPr>
              <w:t xml:space="preserve">Decoupling will make MMFs more resilient as the liquidity thresholds can be used in the intended countercyclical way.  As noted above, the 30% WLA had the unintended effect of focusing investors on one single metric for fund health and generated pre-emptive redemptions.  Decoupling will reduce the investor sensitivity allowing funds to use the liquid assets in the best interests of investors in the fund. </w:t>
            </w:r>
          </w:p>
        </w:tc>
      </w:tr>
      <w:tr w:rsidR="000451F5" w:rsidRPr="005737F1" w14:paraId="4CDAB2C2" w14:textId="77777777" w:rsidTr="00891722">
        <w:tc>
          <w:tcPr>
            <w:tcW w:w="10210" w:type="dxa"/>
          </w:tcPr>
          <w:p w14:paraId="03CA049D" w14:textId="77777777" w:rsidR="000451F5" w:rsidRPr="005737F1" w:rsidRDefault="000451F5" w:rsidP="00891722">
            <w:pPr>
              <w:jc w:val="both"/>
              <w:rPr>
                <w:rFonts w:cstheme="minorHAnsi"/>
                <w:i/>
                <w:iCs/>
                <w:szCs w:val="20"/>
              </w:rPr>
            </w:pPr>
            <w:r w:rsidRPr="005737F1">
              <w:rPr>
                <w:rFonts w:cstheme="minorHAnsi"/>
                <w:i/>
                <w:iCs/>
                <w:szCs w:val="20"/>
              </w:rPr>
              <w:t>ii</w:t>
            </w:r>
            <w:r w:rsidRPr="005737F1">
              <w:rPr>
                <w:rFonts w:cstheme="minorHAnsi"/>
                <w:i/>
                <w:iCs/>
                <w:szCs w:val="20"/>
              </w:rPr>
              <w:tab/>
              <w:t>Would it apply to all MMFs?</w:t>
            </w:r>
          </w:p>
          <w:p w14:paraId="781FA524" w14:textId="77777777" w:rsidR="000451F5" w:rsidRPr="005737F1" w:rsidRDefault="000451F5" w:rsidP="00891722">
            <w:pPr>
              <w:ind w:left="306" w:hanging="306"/>
              <w:jc w:val="both"/>
              <w:rPr>
                <w:rFonts w:cstheme="minorHAnsi"/>
                <w:iCs/>
                <w:szCs w:val="20"/>
              </w:rPr>
            </w:pPr>
            <w:r w:rsidRPr="005737F1">
              <w:rPr>
                <w:rFonts w:cstheme="minorHAnsi"/>
                <w:iCs/>
                <w:szCs w:val="20"/>
              </w:rPr>
              <w:t xml:space="preserve">We favour consistency across all fund types where it is possible.  We noted that ST VNAV funds have lower daily and weekly liquidity thresholds (7.5% and 15% respectively versus 10% and 30% for LVNAV and PDCNAV funds) and the definition of what can be included is DLA and WLA is much more permissive. </w:t>
            </w:r>
          </w:p>
          <w:p w14:paraId="710F596D" w14:textId="77777777" w:rsidR="000451F5" w:rsidRPr="005737F1" w:rsidRDefault="000451F5" w:rsidP="00891722">
            <w:pPr>
              <w:ind w:left="306" w:hanging="306"/>
              <w:jc w:val="both"/>
              <w:rPr>
                <w:rFonts w:cstheme="minorHAnsi"/>
                <w:iCs/>
                <w:szCs w:val="20"/>
              </w:rPr>
            </w:pPr>
            <w:r w:rsidRPr="005737F1">
              <w:rPr>
                <w:rFonts w:cstheme="minorHAnsi"/>
                <w:iCs/>
                <w:szCs w:val="20"/>
              </w:rPr>
              <w:t xml:space="preserve">In addition, as noted under question 5, we would recommend removing the 17.5% cap on the ‘highly liquid’ assets up to 190 days which can count towards the 30 % WLA of an LVNAV (or PDCNAV) MMF. This is generally considered to refer to sovereign, supranational or agency debt and the cap therefore appears to be an unnecessary additional constraint. Given the objective to ensure funds have sufficient liquidity that is usable, the restriction makes little sense. </w:t>
            </w:r>
          </w:p>
          <w:p w14:paraId="74E69478" w14:textId="77777777" w:rsidR="000451F5" w:rsidRPr="005737F1" w:rsidRDefault="000451F5" w:rsidP="00891722">
            <w:pPr>
              <w:ind w:left="306" w:hanging="306"/>
              <w:jc w:val="both"/>
              <w:rPr>
                <w:rFonts w:cstheme="minorHAnsi"/>
                <w:iCs/>
                <w:szCs w:val="20"/>
              </w:rPr>
            </w:pPr>
          </w:p>
        </w:tc>
      </w:tr>
      <w:tr w:rsidR="000451F5" w:rsidRPr="005737F1" w14:paraId="317F14AD" w14:textId="77777777" w:rsidTr="00891722">
        <w:tc>
          <w:tcPr>
            <w:tcW w:w="10210" w:type="dxa"/>
          </w:tcPr>
          <w:p w14:paraId="7D089D5B" w14:textId="77777777" w:rsidR="000451F5" w:rsidRPr="005737F1" w:rsidRDefault="000451F5" w:rsidP="00891722">
            <w:pPr>
              <w:tabs>
                <w:tab w:val="left" w:pos="306"/>
                <w:tab w:val="left" w:pos="690"/>
              </w:tabs>
              <w:ind w:left="447" w:hanging="447"/>
              <w:jc w:val="both"/>
              <w:rPr>
                <w:rFonts w:cstheme="minorHAnsi"/>
                <w:szCs w:val="20"/>
              </w:rPr>
            </w:pPr>
            <w:r w:rsidRPr="005737F1">
              <w:rPr>
                <w:rFonts w:cstheme="minorHAnsi"/>
                <w:i/>
                <w:iCs/>
                <w:szCs w:val="20"/>
              </w:rPr>
              <w:t>ii</w:t>
            </w:r>
            <w:r w:rsidRPr="005737F1">
              <w:rPr>
                <w:rFonts w:cstheme="minorHAnsi"/>
                <w:i/>
                <w:iCs/>
                <w:szCs w:val="20"/>
              </w:rPr>
              <w:tab/>
              <w:t>a)</w:t>
            </w:r>
            <w:r w:rsidRPr="005737F1">
              <w:rPr>
                <w:rFonts w:cstheme="minorHAnsi"/>
                <w:i/>
                <w:iCs/>
                <w:szCs w:val="20"/>
              </w:rPr>
              <w:tab/>
            </w:r>
            <w:r w:rsidRPr="005737F1">
              <w:rPr>
                <w:rFonts w:cstheme="minorHAnsi"/>
                <w:szCs w:val="20"/>
              </w:rPr>
              <w:t>Is the option currently in place in any jurisdiction, and if so, has it been helpful?</w:t>
            </w:r>
          </w:p>
          <w:p w14:paraId="4E89A6F1" w14:textId="77777777" w:rsidR="000451F5" w:rsidRPr="005737F1" w:rsidRDefault="000451F5" w:rsidP="00891722">
            <w:pPr>
              <w:tabs>
                <w:tab w:val="left" w:pos="306"/>
                <w:tab w:val="left" w:pos="690"/>
              </w:tabs>
              <w:ind w:left="447" w:hanging="447"/>
              <w:jc w:val="both"/>
              <w:rPr>
                <w:rFonts w:cstheme="minorHAnsi"/>
                <w:szCs w:val="20"/>
              </w:rPr>
            </w:pPr>
            <w:r w:rsidRPr="005737F1">
              <w:rPr>
                <w:rFonts w:cstheme="minorHAnsi"/>
                <w:iCs/>
                <w:szCs w:val="20"/>
              </w:rPr>
              <w:t>No</w:t>
            </w:r>
          </w:p>
          <w:p w14:paraId="11D64132" w14:textId="77777777" w:rsidR="000451F5" w:rsidRPr="005737F1" w:rsidRDefault="000451F5" w:rsidP="00891722">
            <w:pPr>
              <w:tabs>
                <w:tab w:val="left" w:pos="306"/>
              </w:tabs>
              <w:jc w:val="both"/>
              <w:rPr>
                <w:rFonts w:cstheme="minorHAnsi"/>
                <w:szCs w:val="20"/>
              </w:rPr>
            </w:pPr>
            <w:r w:rsidRPr="005737F1">
              <w:rPr>
                <w:rFonts w:cstheme="minorHAnsi"/>
                <w:i/>
                <w:iCs/>
                <w:szCs w:val="20"/>
              </w:rPr>
              <w:tab/>
              <w:t>b)</w:t>
            </w:r>
            <w:r w:rsidRPr="005737F1">
              <w:rPr>
                <w:rFonts w:cstheme="minorHAnsi"/>
                <w:i/>
                <w:iCs/>
                <w:szCs w:val="20"/>
              </w:rPr>
              <w:tab/>
            </w:r>
            <w:r w:rsidRPr="005737F1">
              <w:rPr>
                <w:rFonts w:cstheme="minorHAnsi"/>
                <w:szCs w:val="20"/>
              </w:rPr>
              <w:t>How would it represent a change from current rules or practices in other jurisdictions?</w:t>
            </w:r>
          </w:p>
          <w:p w14:paraId="638FE63E" w14:textId="77777777" w:rsidR="000451F5" w:rsidRPr="005737F1" w:rsidRDefault="000451F5" w:rsidP="00891722">
            <w:pPr>
              <w:tabs>
                <w:tab w:val="left" w:pos="306"/>
              </w:tabs>
              <w:ind w:left="272" w:hanging="272"/>
              <w:jc w:val="both"/>
              <w:rPr>
                <w:rFonts w:cstheme="minorHAnsi"/>
                <w:szCs w:val="20"/>
              </w:rPr>
            </w:pPr>
            <w:r w:rsidRPr="005737F1">
              <w:rPr>
                <w:rFonts w:cstheme="minorHAnsi"/>
                <w:szCs w:val="20"/>
              </w:rPr>
              <w:tab/>
              <w:t>c)</w:t>
            </w:r>
            <w:r w:rsidRPr="005737F1">
              <w:rPr>
                <w:rFonts w:cstheme="minorHAnsi"/>
                <w:szCs w:val="20"/>
              </w:rPr>
              <w:tab/>
              <w:t>Has the option been implemented previously and, if so, what were the main findings?</w:t>
            </w:r>
          </w:p>
          <w:p w14:paraId="2280B284" w14:textId="77777777" w:rsidR="000451F5" w:rsidRPr="005737F1" w:rsidRDefault="000451F5" w:rsidP="00891722">
            <w:pPr>
              <w:tabs>
                <w:tab w:val="left" w:pos="306"/>
              </w:tabs>
              <w:ind w:left="272" w:hanging="272"/>
              <w:jc w:val="both"/>
              <w:rPr>
                <w:rFonts w:cstheme="minorHAnsi"/>
                <w:szCs w:val="20"/>
              </w:rPr>
            </w:pPr>
            <w:r w:rsidRPr="005737F1">
              <w:rPr>
                <w:rFonts w:cstheme="minorHAnsi"/>
                <w:szCs w:val="20"/>
              </w:rPr>
              <w:lastRenderedPageBreak/>
              <w:t xml:space="preserve">Prior to the US SEC Reforms of 2a7 funds in 2014, funds could utilise their 30% liquidity buffers which worked effectively during the 2011 European debt crisis.   European banks came under pressure and an aversion to that European bank risk drove outflows from Prime and into Government funds.  The reallocation worked smoothly and the ability to use the buffers effectively made this a seamless transition. </w:t>
            </w:r>
          </w:p>
          <w:p w14:paraId="3E4D2B33" w14:textId="77777777" w:rsidR="000451F5" w:rsidRPr="005737F1" w:rsidRDefault="000451F5" w:rsidP="00891722">
            <w:pPr>
              <w:tabs>
                <w:tab w:val="left" w:pos="306"/>
              </w:tabs>
              <w:ind w:left="272" w:hanging="272"/>
              <w:jc w:val="both"/>
              <w:rPr>
                <w:rFonts w:cstheme="minorHAnsi"/>
                <w:szCs w:val="20"/>
              </w:rPr>
            </w:pPr>
          </w:p>
        </w:tc>
      </w:tr>
      <w:tr w:rsidR="000451F5" w:rsidRPr="005737F1" w14:paraId="528B065C" w14:textId="77777777" w:rsidTr="00891722">
        <w:tc>
          <w:tcPr>
            <w:tcW w:w="10210" w:type="dxa"/>
          </w:tcPr>
          <w:p w14:paraId="7348FFD2" w14:textId="77777777" w:rsidR="000451F5" w:rsidRPr="005737F1" w:rsidRDefault="000451F5" w:rsidP="00891722">
            <w:pPr>
              <w:tabs>
                <w:tab w:val="left" w:pos="306"/>
                <w:tab w:val="left" w:pos="690"/>
              </w:tabs>
              <w:ind w:left="447" w:hanging="447"/>
              <w:jc w:val="both"/>
              <w:rPr>
                <w:rFonts w:cstheme="minorHAnsi"/>
                <w:i/>
                <w:iCs/>
                <w:szCs w:val="20"/>
              </w:rPr>
            </w:pPr>
          </w:p>
        </w:tc>
      </w:tr>
    </w:tbl>
    <w:p w14:paraId="2F3BC73C" w14:textId="77777777" w:rsidR="000451F5" w:rsidRDefault="000451F5" w:rsidP="000451F5">
      <w:pPr>
        <w:rPr>
          <w:rFonts w:cstheme="minorHAnsi"/>
          <w:bCs/>
          <w:color w:val="000000" w:themeColor="text1"/>
        </w:rPr>
      </w:pPr>
    </w:p>
    <w:p w14:paraId="65859A85" w14:textId="77777777" w:rsidR="000451F5" w:rsidRDefault="000451F5" w:rsidP="000451F5">
      <w:pPr>
        <w:rPr>
          <w:rFonts w:cstheme="minorHAnsi"/>
          <w:bCs/>
          <w:color w:val="000000" w:themeColor="text1"/>
        </w:rPr>
      </w:pPr>
    </w:p>
    <w:tbl>
      <w:tblPr>
        <w:tblStyle w:val="TableGrid"/>
        <w:tblpPr w:leftFromText="180" w:rightFromText="180" w:vertAnchor="text" w:horzAnchor="margin" w:tblpY="13"/>
        <w:tblW w:w="10201" w:type="dxa"/>
        <w:tblLook w:val="04A0" w:firstRow="1" w:lastRow="0" w:firstColumn="1" w:lastColumn="0" w:noHBand="0" w:noVBand="1"/>
      </w:tblPr>
      <w:tblGrid>
        <w:gridCol w:w="10201"/>
      </w:tblGrid>
      <w:tr w:rsidR="000451F5" w:rsidRPr="005737F1" w14:paraId="6D2A5AEF" w14:textId="77777777" w:rsidTr="00891722">
        <w:tc>
          <w:tcPr>
            <w:tcW w:w="10201" w:type="dxa"/>
            <w:shd w:val="clear" w:color="auto" w:fill="EEECE1" w:themeFill="background2"/>
          </w:tcPr>
          <w:p w14:paraId="0488F776" w14:textId="77777777" w:rsidR="000451F5" w:rsidRPr="005737F1" w:rsidRDefault="000451F5" w:rsidP="00891722">
            <w:pPr>
              <w:jc w:val="both"/>
              <w:rPr>
                <w:rFonts w:cstheme="minorHAnsi"/>
                <w:b/>
                <w:bCs/>
                <w:szCs w:val="20"/>
              </w:rPr>
            </w:pPr>
            <w:r w:rsidRPr="005737F1">
              <w:rPr>
                <w:rFonts w:cstheme="minorHAnsi"/>
                <w:b/>
                <w:bCs/>
                <w:szCs w:val="20"/>
              </w:rPr>
              <w:t>II    Effects on Investor Behaviour</w:t>
            </w:r>
          </w:p>
          <w:p w14:paraId="158A13E8" w14:textId="77777777" w:rsidR="000451F5" w:rsidRPr="005737F1" w:rsidRDefault="000451F5" w:rsidP="00891722">
            <w:pPr>
              <w:jc w:val="both"/>
              <w:rPr>
                <w:rFonts w:cstheme="minorHAnsi"/>
                <w:szCs w:val="20"/>
              </w:rPr>
            </w:pPr>
            <w:r w:rsidRPr="005737F1">
              <w:rPr>
                <w:rFonts w:cstheme="minorHAnsi"/>
                <w:szCs w:val="20"/>
              </w:rPr>
              <w:tab/>
            </w:r>
          </w:p>
        </w:tc>
      </w:tr>
      <w:tr w:rsidR="000451F5" w:rsidRPr="005737F1" w14:paraId="1BBD8AEC" w14:textId="77777777" w:rsidTr="00891722">
        <w:tc>
          <w:tcPr>
            <w:tcW w:w="10201" w:type="dxa"/>
          </w:tcPr>
          <w:p w14:paraId="0CEF70BF" w14:textId="77777777" w:rsidR="000451F5" w:rsidRPr="005737F1" w:rsidRDefault="000451F5" w:rsidP="00891722">
            <w:pPr>
              <w:ind w:left="447" w:hanging="447"/>
              <w:jc w:val="both"/>
              <w:rPr>
                <w:rFonts w:cstheme="minorHAnsi"/>
                <w:szCs w:val="20"/>
              </w:rPr>
            </w:pPr>
            <w:r w:rsidRPr="005737F1">
              <w:rPr>
                <w:rFonts w:cstheme="minorHAnsi"/>
                <w:i/>
                <w:iCs/>
                <w:szCs w:val="20"/>
              </w:rPr>
              <w:t xml:space="preserve">i </w:t>
            </w:r>
            <w:r w:rsidRPr="005737F1">
              <w:rPr>
                <w:rFonts w:cstheme="minorHAnsi"/>
                <w:b/>
                <w:bCs/>
                <w:i/>
                <w:iCs/>
                <w:szCs w:val="20"/>
              </w:rPr>
              <w:tab/>
            </w:r>
            <w:r w:rsidRPr="005737F1">
              <w:rPr>
                <w:rFonts w:cstheme="minorHAnsi"/>
                <w:szCs w:val="20"/>
              </w:rPr>
              <w:t>From a micro perspective (viewing the MMF in isolation), how would the policy option affect investors’ incentives to redeem during stress events?</w:t>
            </w:r>
          </w:p>
          <w:p w14:paraId="58C514D8" w14:textId="77777777" w:rsidR="000451F5" w:rsidRPr="005737F1" w:rsidRDefault="000451F5" w:rsidP="00891722">
            <w:pPr>
              <w:pStyle w:val="ListParagraph"/>
              <w:ind w:left="731"/>
              <w:jc w:val="both"/>
              <w:rPr>
                <w:rFonts w:cstheme="minorHAnsi"/>
                <w:szCs w:val="20"/>
              </w:rPr>
            </w:pPr>
            <w:r w:rsidRPr="005737F1">
              <w:rPr>
                <w:rFonts w:cstheme="minorHAnsi"/>
                <w:szCs w:val="20"/>
              </w:rPr>
              <w:t xml:space="preserve">Removal of the perceived link between liquidity thresholds and fees &amp; gates will reduce incentives to redeem removing the pre-trigger that drove redemption activity in March 2020. </w:t>
            </w:r>
          </w:p>
        </w:tc>
      </w:tr>
      <w:tr w:rsidR="000451F5" w:rsidRPr="005737F1" w14:paraId="163C78AF" w14:textId="77777777" w:rsidTr="00891722">
        <w:tc>
          <w:tcPr>
            <w:tcW w:w="10201" w:type="dxa"/>
          </w:tcPr>
          <w:p w14:paraId="51873B27" w14:textId="77777777" w:rsidR="000451F5" w:rsidRPr="005737F1" w:rsidRDefault="000451F5" w:rsidP="00891722">
            <w:pPr>
              <w:ind w:left="447" w:hanging="447"/>
              <w:jc w:val="both"/>
              <w:rPr>
                <w:rFonts w:cstheme="minorHAnsi"/>
                <w:szCs w:val="20"/>
              </w:rPr>
            </w:pPr>
            <w:r w:rsidRPr="005737F1">
              <w:rPr>
                <w:rFonts w:cstheme="minorHAnsi"/>
                <w:i/>
                <w:iCs/>
                <w:szCs w:val="20"/>
              </w:rPr>
              <w:t>ii</w:t>
            </w:r>
            <w:r w:rsidRPr="005737F1">
              <w:rPr>
                <w:rFonts w:cstheme="minorHAnsi"/>
                <w:b/>
                <w:bCs/>
                <w:i/>
                <w:iCs/>
                <w:szCs w:val="20"/>
              </w:rPr>
              <w:tab/>
            </w:r>
            <w:r w:rsidRPr="005737F1">
              <w:rPr>
                <w:rFonts w:cstheme="minorHAnsi"/>
                <w:szCs w:val="20"/>
              </w:rPr>
              <w:t>From a macro perspective, how would this option mitigate the effects of a generalised “dash for cash” as seen in March 2020; and/or runs prompted by a credit crisis, as seen in September 2008?</w:t>
            </w:r>
          </w:p>
          <w:p w14:paraId="4BF52295" w14:textId="77777777" w:rsidR="000451F5" w:rsidRPr="005737F1" w:rsidRDefault="000451F5" w:rsidP="00891722">
            <w:pPr>
              <w:pStyle w:val="ListParagraph"/>
              <w:jc w:val="both"/>
              <w:rPr>
                <w:rFonts w:cstheme="minorHAnsi"/>
                <w:bCs/>
                <w:iCs/>
                <w:szCs w:val="20"/>
              </w:rPr>
            </w:pPr>
            <w:r w:rsidRPr="005737F1">
              <w:rPr>
                <w:rFonts w:cstheme="minorHAnsi"/>
                <w:bCs/>
                <w:iCs/>
                <w:szCs w:val="20"/>
              </w:rPr>
              <w:t xml:space="preserve">Without the incentive to redeem, investors will remain in MMFs thereby encouraging stability. </w:t>
            </w:r>
          </w:p>
        </w:tc>
      </w:tr>
      <w:tr w:rsidR="000451F5" w:rsidRPr="005737F1" w14:paraId="1852A4B0" w14:textId="77777777" w:rsidTr="00891722">
        <w:tc>
          <w:tcPr>
            <w:tcW w:w="10201" w:type="dxa"/>
          </w:tcPr>
          <w:p w14:paraId="28EEA126" w14:textId="77777777" w:rsidR="000451F5" w:rsidRPr="005737F1" w:rsidRDefault="000451F5" w:rsidP="00891722">
            <w:pPr>
              <w:ind w:left="447" w:hanging="447"/>
              <w:jc w:val="both"/>
              <w:rPr>
                <w:rFonts w:cstheme="minorHAnsi"/>
                <w:szCs w:val="20"/>
              </w:rPr>
            </w:pPr>
            <w:r w:rsidRPr="005737F1">
              <w:rPr>
                <w:rFonts w:cstheme="minorHAnsi"/>
                <w:i/>
                <w:iCs/>
                <w:szCs w:val="20"/>
              </w:rPr>
              <w:t>iii a)</w:t>
            </w:r>
            <w:r w:rsidRPr="005737F1">
              <w:rPr>
                <w:rFonts w:cstheme="minorHAnsi"/>
                <w:szCs w:val="20"/>
              </w:rPr>
              <w:t xml:space="preserve"> Does the option effectively shift MMF risks to investors?</w:t>
            </w:r>
          </w:p>
          <w:p w14:paraId="65A904E5" w14:textId="77777777" w:rsidR="000451F5" w:rsidRPr="005737F1" w:rsidRDefault="000451F5" w:rsidP="00891722">
            <w:pPr>
              <w:ind w:left="447" w:hanging="447"/>
              <w:jc w:val="both"/>
              <w:rPr>
                <w:rFonts w:cstheme="minorHAnsi"/>
                <w:b/>
                <w:bCs/>
                <w:iCs/>
                <w:szCs w:val="20"/>
              </w:rPr>
            </w:pPr>
            <w:r w:rsidRPr="005737F1">
              <w:rPr>
                <w:rFonts w:cstheme="minorHAnsi"/>
                <w:iCs/>
                <w:szCs w:val="20"/>
              </w:rPr>
              <w:t xml:space="preserve">         In our view yes, the buffers can be used as intended thereby making MMFs more resilient.</w:t>
            </w:r>
          </w:p>
          <w:p w14:paraId="202DBA15" w14:textId="77777777" w:rsidR="000451F5" w:rsidRPr="005737F1" w:rsidRDefault="000451F5" w:rsidP="00891722">
            <w:pPr>
              <w:ind w:left="447" w:hanging="447"/>
              <w:jc w:val="both"/>
              <w:rPr>
                <w:rFonts w:cstheme="minorHAnsi"/>
                <w:szCs w:val="20"/>
              </w:rPr>
            </w:pPr>
            <w:r w:rsidRPr="005737F1">
              <w:rPr>
                <w:rFonts w:cstheme="minorHAnsi"/>
                <w:i/>
                <w:iCs/>
                <w:szCs w:val="20"/>
              </w:rPr>
              <w:t xml:space="preserve">   b)</w:t>
            </w:r>
            <w:r w:rsidRPr="005737F1">
              <w:rPr>
                <w:rFonts w:cstheme="minorHAnsi"/>
                <w:b/>
                <w:bCs/>
                <w:i/>
                <w:iCs/>
                <w:szCs w:val="20"/>
              </w:rPr>
              <w:tab/>
            </w:r>
            <w:r w:rsidRPr="005737F1">
              <w:rPr>
                <w:rFonts w:cstheme="minorHAnsi"/>
                <w:szCs w:val="20"/>
              </w:rPr>
              <w:t>Does it make those risks more salient and transparent for investors? Are investors treated equally?</w:t>
            </w:r>
          </w:p>
          <w:p w14:paraId="154878E5" w14:textId="23A43B40" w:rsidR="000451F5" w:rsidRPr="005737F1" w:rsidRDefault="000451F5" w:rsidP="0088346A">
            <w:pPr>
              <w:jc w:val="both"/>
              <w:rPr>
                <w:rFonts w:cstheme="minorHAnsi"/>
                <w:iCs/>
                <w:szCs w:val="20"/>
              </w:rPr>
            </w:pPr>
            <w:r w:rsidRPr="005737F1">
              <w:rPr>
                <w:rFonts w:cstheme="minorHAnsi"/>
                <w:iCs/>
                <w:szCs w:val="20"/>
              </w:rPr>
              <w:t xml:space="preserve">Decoupling should have the effect of removing first mover advantage and ensure that the risks </w:t>
            </w:r>
            <w:r w:rsidR="0088346A" w:rsidRPr="005737F1">
              <w:rPr>
                <w:rFonts w:cstheme="minorHAnsi"/>
                <w:iCs/>
                <w:szCs w:val="20"/>
              </w:rPr>
              <w:t>are</w:t>
            </w:r>
            <w:r w:rsidRPr="005737F1">
              <w:rPr>
                <w:rFonts w:cstheme="minorHAnsi"/>
                <w:iCs/>
                <w:szCs w:val="20"/>
              </w:rPr>
              <w:t xml:space="preserve"> distributed more equally. </w:t>
            </w:r>
          </w:p>
        </w:tc>
      </w:tr>
    </w:tbl>
    <w:p w14:paraId="5E86153C" w14:textId="77777777" w:rsidR="000451F5" w:rsidRDefault="000451F5" w:rsidP="000451F5">
      <w:pPr>
        <w:rPr>
          <w:rFonts w:cstheme="minorHAnsi"/>
          <w:bCs/>
          <w:color w:val="000000" w:themeColor="text1"/>
        </w:rPr>
      </w:pPr>
    </w:p>
    <w:tbl>
      <w:tblPr>
        <w:tblStyle w:val="TableGrid"/>
        <w:tblW w:w="10347" w:type="dxa"/>
        <w:tblInd w:w="-5" w:type="dxa"/>
        <w:tblLook w:val="04A0" w:firstRow="1" w:lastRow="0" w:firstColumn="1" w:lastColumn="0" w:noHBand="0" w:noVBand="1"/>
      </w:tblPr>
      <w:tblGrid>
        <w:gridCol w:w="10347"/>
      </w:tblGrid>
      <w:tr w:rsidR="000451F5" w:rsidRPr="005737F1" w14:paraId="50E9811B" w14:textId="77777777" w:rsidTr="00891722">
        <w:tc>
          <w:tcPr>
            <w:tcW w:w="10347" w:type="dxa"/>
            <w:shd w:val="clear" w:color="auto" w:fill="EEECE1" w:themeFill="background2"/>
          </w:tcPr>
          <w:p w14:paraId="25A74262" w14:textId="77777777" w:rsidR="000451F5" w:rsidRPr="005737F1" w:rsidRDefault="000451F5" w:rsidP="00891722">
            <w:pPr>
              <w:ind w:left="447" w:hanging="447"/>
              <w:jc w:val="both"/>
              <w:rPr>
                <w:rFonts w:cstheme="minorHAnsi"/>
                <w:b/>
                <w:bCs/>
                <w:szCs w:val="20"/>
              </w:rPr>
            </w:pPr>
            <w:r w:rsidRPr="005737F1">
              <w:rPr>
                <w:rFonts w:cstheme="minorHAnsi"/>
                <w:b/>
                <w:bCs/>
                <w:szCs w:val="20"/>
              </w:rPr>
              <w:t>III</w:t>
            </w:r>
            <w:r w:rsidRPr="005737F1">
              <w:rPr>
                <w:rFonts w:cstheme="minorHAnsi"/>
                <w:b/>
                <w:bCs/>
                <w:szCs w:val="20"/>
              </w:rPr>
              <w:tab/>
              <w:t>Effects on Fund Managers</w:t>
            </w:r>
          </w:p>
          <w:p w14:paraId="1CAA6B77" w14:textId="77777777" w:rsidR="000451F5" w:rsidRPr="005737F1" w:rsidRDefault="000451F5" w:rsidP="00891722">
            <w:pPr>
              <w:jc w:val="both"/>
              <w:rPr>
                <w:rFonts w:cstheme="minorHAnsi"/>
                <w:szCs w:val="20"/>
              </w:rPr>
            </w:pPr>
          </w:p>
        </w:tc>
      </w:tr>
      <w:tr w:rsidR="000451F5" w:rsidRPr="005737F1" w14:paraId="41588730" w14:textId="77777777" w:rsidTr="00891722">
        <w:tc>
          <w:tcPr>
            <w:tcW w:w="10347" w:type="dxa"/>
          </w:tcPr>
          <w:p w14:paraId="290AD096" w14:textId="77777777" w:rsidR="000451F5" w:rsidRPr="005737F1" w:rsidRDefault="000451F5" w:rsidP="00891722">
            <w:pPr>
              <w:ind w:left="447" w:hanging="425"/>
              <w:jc w:val="both"/>
              <w:rPr>
                <w:rFonts w:cstheme="minorHAnsi"/>
                <w:szCs w:val="20"/>
              </w:rPr>
            </w:pPr>
            <w:r w:rsidRPr="005737F1">
              <w:rPr>
                <w:rFonts w:cstheme="minorHAnsi"/>
                <w:szCs w:val="20"/>
              </w:rPr>
              <w:t>i</w:t>
            </w:r>
            <w:r w:rsidRPr="005737F1">
              <w:rPr>
                <w:rFonts w:cstheme="minorHAnsi"/>
                <w:szCs w:val="20"/>
              </w:rPr>
              <w:tab/>
              <w:t>How would the policy option affect MMFs’ liquidity management in normal versus stressed times?</w:t>
            </w:r>
          </w:p>
          <w:p w14:paraId="1EF0D3ED" w14:textId="77777777" w:rsidR="000451F5" w:rsidRPr="005737F1" w:rsidRDefault="000451F5" w:rsidP="00891722">
            <w:pPr>
              <w:ind w:left="447" w:hanging="447"/>
              <w:jc w:val="both"/>
              <w:rPr>
                <w:rFonts w:cstheme="minorHAnsi"/>
                <w:szCs w:val="20"/>
              </w:rPr>
            </w:pPr>
            <w:r w:rsidRPr="005737F1">
              <w:rPr>
                <w:rFonts w:cstheme="minorHAnsi"/>
                <w:szCs w:val="20"/>
              </w:rPr>
              <w:t xml:space="preserve">We fully support the availability of all liquidity management tools including fees and gates and strongly agree that they should be retained albeit without automatic triggers that create bright lines for investors.  </w:t>
            </w:r>
          </w:p>
          <w:p w14:paraId="17FEDEE0" w14:textId="77777777" w:rsidR="000451F5" w:rsidRPr="005737F1" w:rsidRDefault="000451F5" w:rsidP="00891722">
            <w:pPr>
              <w:ind w:left="447" w:hanging="447"/>
              <w:jc w:val="both"/>
              <w:rPr>
                <w:rFonts w:cstheme="minorHAnsi"/>
                <w:szCs w:val="20"/>
              </w:rPr>
            </w:pPr>
            <w:r w:rsidRPr="005737F1">
              <w:rPr>
                <w:rFonts w:cstheme="minorHAnsi"/>
                <w:szCs w:val="20"/>
              </w:rPr>
              <w:t>It is our view that decoupling will not impact the liquidity management protocols under normal market conditions, we expect that managers will continue to run high or above threshold levels of liquidity and maintain transparency on reporting thereby maintaining investor confidence in the product.</w:t>
            </w:r>
          </w:p>
          <w:p w14:paraId="27B8FE8F" w14:textId="77777777" w:rsidR="000451F5" w:rsidRPr="005737F1" w:rsidRDefault="000451F5" w:rsidP="00891722">
            <w:pPr>
              <w:ind w:left="447" w:hanging="447"/>
              <w:jc w:val="both"/>
              <w:rPr>
                <w:rFonts w:cstheme="minorHAnsi"/>
                <w:szCs w:val="20"/>
              </w:rPr>
            </w:pPr>
            <w:r w:rsidRPr="005737F1">
              <w:rPr>
                <w:rFonts w:cstheme="minorHAnsi"/>
                <w:szCs w:val="20"/>
              </w:rPr>
              <w:t xml:space="preserve">Decoupling will simply allow managers to utilise buffers as they were intended instead of the scenario encountered in March 2020 when funds were forced to sell assets in order to maintain liquidity above the regulatory trigger.  There was sufficient liquidity in the funds to satisfy redemptions, however managers were not selling to fund redemptions, they were instead focused on maintaining liquidity above the trigger.  Removing the automatic trigger removes the investors’ singular focus on this metric and the unnecessary redemptions which accompanied that. </w:t>
            </w:r>
          </w:p>
          <w:p w14:paraId="7F0A7CDA" w14:textId="77777777" w:rsidR="000451F5" w:rsidRPr="005737F1" w:rsidRDefault="000451F5" w:rsidP="00891722">
            <w:pPr>
              <w:ind w:left="447" w:hanging="447"/>
              <w:jc w:val="both"/>
              <w:rPr>
                <w:rFonts w:cstheme="minorHAnsi"/>
                <w:szCs w:val="20"/>
              </w:rPr>
            </w:pPr>
          </w:p>
          <w:p w14:paraId="5064AD48" w14:textId="77777777" w:rsidR="000451F5" w:rsidRPr="005737F1" w:rsidRDefault="000451F5" w:rsidP="00891722">
            <w:pPr>
              <w:ind w:left="447" w:hanging="447"/>
              <w:jc w:val="both"/>
              <w:rPr>
                <w:rFonts w:cstheme="minorHAnsi"/>
                <w:szCs w:val="20"/>
              </w:rPr>
            </w:pPr>
            <w:r w:rsidRPr="005737F1">
              <w:rPr>
                <w:rFonts w:cstheme="minorHAnsi"/>
                <w:szCs w:val="20"/>
              </w:rPr>
              <w:t xml:space="preserve">    </w:t>
            </w:r>
          </w:p>
        </w:tc>
      </w:tr>
      <w:tr w:rsidR="000451F5" w:rsidRPr="005737F1" w14:paraId="20B23DF0" w14:textId="77777777" w:rsidTr="00891722">
        <w:tc>
          <w:tcPr>
            <w:tcW w:w="10347" w:type="dxa"/>
          </w:tcPr>
          <w:p w14:paraId="7C4702B8" w14:textId="77777777" w:rsidR="000451F5" w:rsidRPr="005737F1" w:rsidRDefault="000451F5" w:rsidP="00891722">
            <w:pPr>
              <w:ind w:left="447" w:hanging="447"/>
              <w:jc w:val="both"/>
              <w:rPr>
                <w:rFonts w:cstheme="minorHAnsi"/>
                <w:szCs w:val="20"/>
              </w:rPr>
            </w:pPr>
            <w:r w:rsidRPr="005737F1">
              <w:rPr>
                <w:rFonts w:cstheme="minorHAnsi"/>
                <w:szCs w:val="20"/>
              </w:rPr>
              <w:t>ii</w:t>
            </w:r>
            <w:r w:rsidRPr="005737F1">
              <w:rPr>
                <w:rFonts w:cstheme="minorHAnsi"/>
                <w:szCs w:val="20"/>
              </w:rPr>
              <w:tab/>
              <w:t>How would it impact the ability or willingness of MMFs to invest in short-term funding instruments or use the repo market?</w:t>
            </w:r>
          </w:p>
          <w:p w14:paraId="4B403538" w14:textId="77777777" w:rsidR="000451F5" w:rsidRPr="005737F1" w:rsidRDefault="000451F5" w:rsidP="00891722">
            <w:pPr>
              <w:ind w:left="447" w:hanging="447"/>
              <w:jc w:val="both"/>
              <w:rPr>
                <w:rFonts w:cstheme="minorHAnsi"/>
                <w:szCs w:val="20"/>
              </w:rPr>
            </w:pPr>
            <w:r w:rsidRPr="005737F1">
              <w:rPr>
                <w:rFonts w:cstheme="minorHAnsi"/>
                <w:szCs w:val="20"/>
              </w:rPr>
              <w:t xml:space="preserve"> It should have a positive impact on a MMFs ability to invest as they will be able to invest in assets out beyond one week.  They were constrained in doing this during the crisis because of the focus on the 30% liquidity threshold within one week in order to avoid pre-emptive redemption activity from investors.  A removal of that focus from investors would enable the MMFs to return to normal trading activity sooner as the markets normalised.  </w:t>
            </w:r>
          </w:p>
          <w:p w14:paraId="7946803B" w14:textId="77777777" w:rsidR="000451F5" w:rsidRPr="005737F1" w:rsidRDefault="000451F5" w:rsidP="00891722">
            <w:pPr>
              <w:pStyle w:val="ListParagraph"/>
              <w:jc w:val="both"/>
              <w:rPr>
                <w:rFonts w:cstheme="minorHAnsi"/>
                <w:szCs w:val="20"/>
              </w:rPr>
            </w:pPr>
          </w:p>
        </w:tc>
      </w:tr>
    </w:tbl>
    <w:p w14:paraId="53F5C543" w14:textId="77777777" w:rsidR="000451F5" w:rsidRDefault="000451F5" w:rsidP="000451F5">
      <w:pPr>
        <w:rPr>
          <w:rFonts w:cstheme="minorHAnsi"/>
          <w:bCs/>
          <w:color w:val="000000" w:themeColor="text1"/>
        </w:rPr>
      </w:pPr>
    </w:p>
    <w:tbl>
      <w:tblPr>
        <w:tblStyle w:val="TableGrid"/>
        <w:tblW w:w="10205" w:type="dxa"/>
        <w:tblLook w:val="04A0" w:firstRow="1" w:lastRow="0" w:firstColumn="1" w:lastColumn="0" w:noHBand="0" w:noVBand="1"/>
      </w:tblPr>
      <w:tblGrid>
        <w:gridCol w:w="10205"/>
      </w:tblGrid>
      <w:tr w:rsidR="000451F5" w:rsidRPr="005737F1" w14:paraId="4145DAF1" w14:textId="77777777" w:rsidTr="00891722">
        <w:tc>
          <w:tcPr>
            <w:tcW w:w="10205" w:type="dxa"/>
            <w:shd w:val="clear" w:color="auto" w:fill="EEECE1" w:themeFill="background2"/>
          </w:tcPr>
          <w:p w14:paraId="63E93D38" w14:textId="77777777" w:rsidR="000451F5" w:rsidRPr="005737F1" w:rsidRDefault="000451F5" w:rsidP="00891722">
            <w:pPr>
              <w:tabs>
                <w:tab w:val="left" w:pos="447"/>
              </w:tabs>
              <w:jc w:val="both"/>
              <w:rPr>
                <w:rFonts w:cstheme="minorHAnsi"/>
                <w:b/>
                <w:bCs/>
                <w:szCs w:val="20"/>
              </w:rPr>
            </w:pPr>
            <w:r w:rsidRPr="005737F1">
              <w:rPr>
                <w:rFonts w:cstheme="minorHAnsi"/>
                <w:b/>
                <w:bCs/>
                <w:szCs w:val="20"/>
              </w:rPr>
              <w:t>IV</w:t>
            </w:r>
            <w:r w:rsidRPr="005737F1">
              <w:rPr>
                <w:rFonts w:cstheme="minorHAnsi"/>
                <w:b/>
                <w:bCs/>
                <w:szCs w:val="20"/>
              </w:rPr>
              <w:tab/>
              <w:t>Broader Impacts on the Stability and Functioning of Short-term Funding Markets</w:t>
            </w:r>
          </w:p>
          <w:p w14:paraId="05DE6E9B" w14:textId="77777777" w:rsidR="000451F5" w:rsidRPr="005737F1" w:rsidRDefault="000451F5" w:rsidP="00891722">
            <w:pPr>
              <w:tabs>
                <w:tab w:val="left" w:pos="447"/>
              </w:tabs>
              <w:jc w:val="both"/>
              <w:rPr>
                <w:rFonts w:cstheme="minorHAnsi"/>
                <w:b/>
                <w:bCs/>
                <w:szCs w:val="20"/>
              </w:rPr>
            </w:pPr>
          </w:p>
        </w:tc>
      </w:tr>
      <w:tr w:rsidR="000451F5" w:rsidRPr="005737F1" w14:paraId="7C6DB93A" w14:textId="77777777" w:rsidTr="00891722">
        <w:trPr>
          <w:trHeight w:val="416"/>
        </w:trPr>
        <w:tc>
          <w:tcPr>
            <w:tcW w:w="10205" w:type="dxa"/>
          </w:tcPr>
          <w:p w14:paraId="2FED36F4" w14:textId="77777777" w:rsidR="000451F5" w:rsidRPr="005737F1" w:rsidRDefault="000451F5" w:rsidP="00891722">
            <w:pPr>
              <w:tabs>
                <w:tab w:val="left" w:pos="164"/>
                <w:tab w:val="left" w:pos="447"/>
              </w:tabs>
              <w:ind w:left="447" w:hanging="447"/>
              <w:jc w:val="both"/>
              <w:rPr>
                <w:rFonts w:cstheme="minorHAnsi"/>
                <w:szCs w:val="20"/>
              </w:rPr>
            </w:pPr>
            <w:r w:rsidRPr="005737F1">
              <w:rPr>
                <w:rFonts w:cstheme="minorHAnsi"/>
                <w:szCs w:val="20"/>
              </w:rPr>
              <w:t>i</w:t>
            </w:r>
            <w:r w:rsidRPr="005737F1">
              <w:rPr>
                <w:rFonts w:cstheme="minorHAnsi"/>
                <w:szCs w:val="20"/>
              </w:rPr>
              <w:tab/>
              <w:t>a)</w:t>
            </w:r>
            <w:r w:rsidRPr="005737F1">
              <w:rPr>
                <w:rFonts w:cstheme="minorHAnsi"/>
                <w:szCs w:val="20"/>
              </w:rPr>
              <w:tab/>
              <w:t>Where are investors likely to move if MMFs become less attractive as a result of the policy option?</w:t>
            </w:r>
          </w:p>
          <w:p w14:paraId="3A61FB98" w14:textId="77777777" w:rsidR="000451F5" w:rsidRPr="005737F1" w:rsidRDefault="000451F5" w:rsidP="00891722">
            <w:pPr>
              <w:tabs>
                <w:tab w:val="left" w:pos="164"/>
                <w:tab w:val="left" w:pos="447"/>
              </w:tabs>
              <w:jc w:val="both"/>
              <w:rPr>
                <w:rFonts w:cstheme="minorHAnsi"/>
                <w:szCs w:val="20"/>
              </w:rPr>
            </w:pPr>
            <w:r w:rsidRPr="005737F1">
              <w:rPr>
                <w:rFonts w:cstheme="minorHAnsi"/>
                <w:szCs w:val="20"/>
              </w:rPr>
              <w:tab/>
              <w:t xml:space="preserve">This policy action should maintain investors within the MMFs sector. </w:t>
            </w:r>
          </w:p>
          <w:p w14:paraId="5BFDBE99" w14:textId="77777777" w:rsidR="000451F5" w:rsidRPr="005737F1" w:rsidRDefault="000451F5" w:rsidP="00891722">
            <w:pPr>
              <w:tabs>
                <w:tab w:val="left" w:pos="164"/>
                <w:tab w:val="left" w:pos="447"/>
              </w:tabs>
              <w:jc w:val="both"/>
              <w:rPr>
                <w:rFonts w:cstheme="minorHAnsi"/>
                <w:szCs w:val="20"/>
              </w:rPr>
            </w:pPr>
          </w:p>
          <w:p w14:paraId="3085DF41" w14:textId="77777777" w:rsidR="000451F5" w:rsidRPr="005737F1" w:rsidRDefault="000451F5" w:rsidP="00891722">
            <w:pPr>
              <w:tabs>
                <w:tab w:val="left" w:pos="164"/>
                <w:tab w:val="left" w:pos="447"/>
              </w:tabs>
              <w:ind w:left="447" w:hanging="447"/>
              <w:jc w:val="both"/>
              <w:rPr>
                <w:rFonts w:cstheme="minorHAnsi"/>
                <w:szCs w:val="20"/>
              </w:rPr>
            </w:pPr>
            <w:r w:rsidRPr="005737F1">
              <w:rPr>
                <w:rFonts w:cstheme="minorHAnsi"/>
                <w:szCs w:val="20"/>
              </w:rPr>
              <w:tab/>
              <w:t>b)</w:t>
            </w:r>
            <w:r w:rsidRPr="005737F1">
              <w:rPr>
                <w:rFonts w:cstheme="minorHAnsi"/>
                <w:szCs w:val="20"/>
              </w:rPr>
              <w:tab/>
              <w:t>Do these substitutes have vulnerabilities to runs?</w:t>
            </w:r>
          </w:p>
          <w:p w14:paraId="1AD29B21" w14:textId="77777777" w:rsidR="000451F5" w:rsidRPr="005737F1" w:rsidRDefault="000451F5" w:rsidP="00891722">
            <w:pPr>
              <w:tabs>
                <w:tab w:val="left" w:pos="164"/>
                <w:tab w:val="left" w:pos="447"/>
              </w:tabs>
              <w:ind w:left="447" w:hanging="447"/>
              <w:jc w:val="both"/>
              <w:rPr>
                <w:rFonts w:cstheme="minorHAnsi"/>
                <w:szCs w:val="20"/>
              </w:rPr>
            </w:pPr>
            <w:r w:rsidRPr="005737F1">
              <w:rPr>
                <w:rFonts w:cstheme="minorHAnsi"/>
                <w:szCs w:val="20"/>
              </w:rPr>
              <w:t>N/A</w:t>
            </w:r>
          </w:p>
          <w:p w14:paraId="1C9604A7" w14:textId="77777777" w:rsidR="000451F5" w:rsidRPr="005737F1" w:rsidRDefault="000451F5" w:rsidP="00891722">
            <w:pPr>
              <w:tabs>
                <w:tab w:val="left" w:pos="164"/>
                <w:tab w:val="left" w:pos="447"/>
              </w:tabs>
              <w:jc w:val="both"/>
              <w:rPr>
                <w:rFonts w:cstheme="minorHAnsi"/>
                <w:szCs w:val="20"/>
              </w:rPr>
            </w:pPr>
            <w:r w:rsidRPr="005737F1">
              <w:rPr>
                <w:rFonts w:cstheme="minorHAnsi"/>
                <w:szCs w:val="20"/>
              </w:rPr>
              <w:tab/>
              <w:t>c)</w:t>
            </w:r>
            <w:r w:rsidRPr="005737F1">
              <w:rPr>
                <w:rFonts w:cstheme="minorHAnsi"/>
                <w:szCs w:val="20"/>
              </w:rPr>
              <w:tab/>
              <w:t>Are they transparent to investors and regulators?</w:t>
            </w:r>
          </w:p>
          <w:p w14:paraId="423D2EF8" w14:textId="77777777" w:rsidR="000451F5" w:rsidRPr="005737F1" w:rsidRDefault="000451F5" w:rsidP="00891722">
            <w:pPr>
              <w:tabs>
                <w:tab w:val="left" w:pos="164"/>
                <w:tab w:val="left" w:pos="447"/>
              </w:tabs>
              <w:jc w:val="both"/>
              <w:rPr>
                <w:rFonts w:cstheme="minorHAnsi"/>
                <w:szCs w:val="20"/>
              </w:rPr>
            </w:pPr>
            <w:r w:rsidRPr="005737F1">
              <w:rPr>
                <w:rFonts w:cstheme="minorHAnsi"/>
                <w:szCs w:val="20"/>
              </w:rPr>
              <w:t xml:space="preserve"> N/A</w:t>
            </w:r>
          </w:p>
          <w:p w14:paraId="403FB1B1" w14:textId="77777777" w:rsidR="000451F5" w:rsidRPr="005737F1" w:rsidRDefault="000451F5" w:rsidP="00891722">
            <w:pPr>
              <w:tabs>
                <w:tab w:val="left" w:pos="164"/>
                <w:tab w:val="left" w:pos="447"/>
              </w:tabs>
              <w:jc w:val="both"/>
              <w:rPr>
                <w:rFonts w:cstheme="minorHAnsi"/>
                <w:szCs w:val="20"/>
              </w:rPr>
            </w:pPr>
            <w:r w:rsidRPr="005737F1">
              <w:rPr>
                <w:rFonts w:cstheme="minorHAnsi"/>
                <w:szCs w:val="20"/>
              </w:rPr>
              <w:tab/>
              <w:t>d)</w:t>
            </w:r>
            <w:r w:rsidRPr="005737F1">
              <w:rPr>
                <w:rFonts w:cstheme="minorHAnsi"/>
                <w:szCs w:val="20"/>
              </w:rPr>
              <w:tab/>
              <w:t>Are they regulated?</w:t>
            </w:r>
          </w:p>
          <w:p w14:paraId="6690A5B8" w14:textId="77777777" w:rsidR="000451F5" w:rsidRPr="005737F1" w:rsidRDefault="000451F5" w:rsidP="00891722">
            <w:pPr>
              <w:tabs>
                <w:tab w:val="left" w:pos="164"/>
                <w:tab w:val="left" w:pos="447"/>
              </w:tabs>
              <w:jc w:val="both"/>
              <w:rPr>
                <w:rFonts w:cstheme="minorHAnsi"/>
                <w:szCs w:val="20"/>
              </w:rPr>
            </w:pPr>
            <w:r w:rsidRPr="005737F1">
              <w:rPr>
                <w:rFonts w:cstheme="minorHAnsi"/>
                <w:szCs w:val="20"/>
              </w:rPr>
              <w:t xml:space="preserve">N/A </w:t>
            </w:r>
          </w:p>
          <w:p w14:paraId="56327C8D" w14:textId="77777777" w:rsidR="000451F5" w:rsidRPr="005737F1" w:rsidRDefault="000451F5" w:rsidP="00891722">
            <w:pPr>
              <w:tabs>
                <w:tab w:val="left" w:pos="164"/>
                <w:tab w:val="left" w:pos="447"/>
              </w:tabs>
              <w:jc w:val="both"/>
              <w:rPr>
                <w:rFonts w:cstheme="minorHAnsi"/>
                <w:szCs w:val="20"/>
              </w:rPr>
            </w:pPr>
            <w:r w:rsidRPr="005737F1">
              <w:rPr>
                <w:rFonts w:cstheme="minorHAnsi"/>
                <w:szCs w:val="20"/>
              </w:rPr>
              <w:tab/>
              <w:t>e)</w:t>
            </w:r>
            <w:r w:rsidRPr="005737F1">
              <w:rPr>
                <w:rFonts w:cstheme="minorHAnsi"/>
                <w:szCs w:val="20"/>
              </w:rPr>
              <w:tab/>
              <w:t>Do they embed more risks for investors (e.g., counterparty risk) or be more costly?</w:t>
            </w:r>
          </w:p>
          <w:p w14:paraId="69E11EF6" w14:textId="77777777" w:rsidR="000451F5" w:rsidRPr="005737F1" w:rsidRDefault="000451F5" w:rsidP="00891722">
            <w:pPr>
              <w:tabs>
                <w:tab w:val="left" w:pos="164"/>
                <w:tab w:val="left" w:pos="447"/>
              </w:tabs>
              <w:jc w:val="both"/>
              <w:rPr>
                <w:rFonts w:cstheme="minorHAnsi"/>
                <w:szCs w:val="20"/>
              </w:rPr>
            </w:pPr>
            <w:r w:rsidRPr="005737F1">
              <w:rPr>
                <w:rFonts w:cstheme="minorHAnsi"/>
                <w:szCs w:val="20"/>
              </w:rPr>
              <w:t xml:space="preserve">N/A </w:t>
            </w:r>
          </w:p>
        </w:tc>
      </w:tr>
      <w:tr w:rsidR="000451F5" w:rsidRPr="005737F1" w14:paraId="5E1F495B" w14:textId="77777777" w:rsidTr="00891722">
        <w:trPr>
          <w:trHeight w:val="1495"/>
        </w:trPr>
        <w:tc>
          <w:tcPr>
            <w:tcW w:w="10205" w:type="dxa"/>
          </w:tcPr>
          <w:p w14:paraId="1867DB90" w14:textId="1BE78151" w:rsidR="000451F5" w:rsidRPr="005737F1" w:rsidRDefault="000451F5" w:rsidP="00891722">
            <w:pPr>
              <w:tabs>
                <w:tab w:val="left" w:pos="164"/>
                <w:tab w:val="left" w:pos="447"/>
              </w:tabs>
              <w:ind w:left="447" w:hanging="447"/>
              <w:jc w:val="both"/>
              <w:rPr>
                <w:rFonts w:cstheme="minorHAnsi"/>
                <w:szCs w:val="20"/>
              </w:rPr>
            </w:pPr>
            <w:r w:rsidRPr="005737F1">
              <w:rPr>
                <w:rFonts w:cstheme="minorHAnsi"/>
                <w:szCs w:val="20"/>
              </w:rPr>
              <w:t>ii</w:t>
            </w:r>
            <w:r w:rsidRPr="005737F1">
              <w:rPr>
                <w:rFonts w:cstheme="minorHAnsi"/>
                <w:szCs w:val="20"/>
              </w:rPr>
              <w:tab/>
              <w:t>a)</w:t>
            </w:r>
            <w:r w:rsidRPr="005737F1">
              <w:rPr>
                <w:rFonts w:cstheme="minorHAnsi"/>
                <w:szCs w:val="20"/>
              </w:rPr>
              <w:tab/>
              <w:t>What alternative sources of short-term funding are available for borrowers that currently rely on MMFs for financing?</w:t>
            </w:r>
            <w:r w:rsidRPr="005737F1">
              <w:rPr>
                <w:rFonts w:cstheme="minorHAnsi"/>
                <w:szCs w:val="20"/>
              </w:rPr>
              <w:tab/>
            </w:r>
          </w:p>
          <w:p w14:paraId="1B58C836" w14:textId="096D21C7" w:rsidR="0088346A" w:rsidRPr="005737F1" w:rsidRDefault="0088346A" w:rsidP="00891722">
            <w:pPr>
              <w:tabs>
                <w:tab w:val="left" w:pos="164"/>
                <w:tab w:val="left" w:pos="447"/>
              </w:tabs>
              <w:ind w:left="447" w:hanging="447"/>
              <w:jc w:val="both"/>
              <w:rPr>
                <w:rFonts w:cstheme="minorHAnsi"/>
                <w:szCs w:val="20"/>
              </w:rPr>
            </w:pPr>
            <w:r w:rsidRPr="005737F1">
              <w:rPr>
                <w:rFonts w:cstheme="minorHAnsi"/>
                <w:szCs w:val="20"/>
              </w:rPr>
              <w:t xml:space="preserve">        N/A</w:t>
            </w:r>
          </w:p>
          <w:p w14:paraId="635ECF98" w14:textId="77777777" w:rsidR="000451F5" w:rsidRPr="005737F1" w:rsidRDefault="000451F5" w:rsidP="00891722">
            <w:pPr>
              <w:tabs>
                <w:tab w:val="left" w:pos="164"/>
                <w:tab w:val="left" w:pos="447"/>
              </w:tabs>
              <w:jc w:val="both"/>
              <w:rPr>
                <w:rFonts w:cstheme="minorHAnsi"/>
                <w:szCs w:val="20"/>
              </w:rPr>
            </w:pPr>
            <w:r w:rsidRPr="005737F1">
              <w:rPr>
                <w:rFonts w:cstheme="minorHAnsi"/>
                <w:szCs w:val="20"/>
              </w:rPr>
              <w:tab/>
            </w:r>
          </w:p>
          <w:p w14:paraId="474EE178" w14:textId="77777777" w:rsidR="000451F5" w:rsidRPr="005737F1" w:rsidRDefault="000451F5" w:rsidP="00891722">
            <w:pPr>
              <w:tabs>
                <w:tab w:val="left" w:pos="164"/>
                <w:tab w:val="left" w:pos="447"/>
              </w:tabs>
              <w:ind w:left="447" w:hanging="447"/>
              <w:jc w:val="both"/>
              <w:rPr>
                <w:rFonts w:cstheme="minorHAnsi"/>
                <w:szCs w:val="20"/>
              </w:rPr>
            </w:pPr>
            <w:r w:rsidRPr="005737F1">
              <w:rPr>
                <w:rFonts w:cstheme="minorHAnsi"/>
                <w:szCs w:val="20"/>
              </w:rPr>
              <w:tab/>
              <w:t>b)</w:t>
            </w:r>
            <w:r w:rsidRPr="005737F1">
              <w:rPr>
                <w:rFonts w:cstheme="minorHAnsi"/>
                <w:szCs w:val="20"/>
              </w:rPr>
              <w:tab/>
              <w:t>Are these alternative sources more stable than MMFs at all times?</w:t>
            </w:r>
          </w:p>
          <w:p w14:paraId="382C9DF9" w14:textId="5A02E2AD" w:rsidR="000451F5" w:rsidRPr="005737F1" w:rsidRDefault="0088346A" w:rsidP="00891722">
            <w:pPr>
              <w:tabs>
                <w:tab w:val="left" w:pos="164"/>
                <w:tab w:val="left" w:pos="447"/>
              </w:tabs>
              <w:ind w:left="447" w:hanging="447"/>
              <w:jc w:val="both"/>
              <w:rPr>
                <w:rFonts w:cstheme="minorHAnsi"/>
                <w:szCs w:val="20"/>
              </w:rPr>
            </w:pPr>
            <w:r w:rsidRPr="005737F1">
              <w:rPr>
                <w:rFonts w:cstheme="minorHAnsi"/>
                <w:szCs w:val="20"/>
              </w:rPr>
              <w:t xml:space="preserve">         N/A</w:t>
            </w:r>
          </w:p>
          <w:p w14:paraId="22B52A15" w14:textId="77777777" w:rsidR="000451F5" w:rsidRPr="005737F1" w:rsidRDefault="000451F5" w:rsidP="00891722">
            <w:pPr>
              <w:tabs>
                <w:tab w:val="left" w:pos="164"/>
                <w:tab w:val="left" w:pos="447"/>
              </w:tabs>
              <w:ind w:left="447" w:hanging="447"/>
              <w:jc w:val="both"/>
              <w:rPr>
                <w:rFonts w:cstheme="minorHAnsi"/>
                <w:szCs w:val="20"/>
              </w:rPr>
            </w:pPr>
            <w:r w:rsidRPr="005737F1">
              <w:rPr>
                <w:rFonts w:cstheme="minorHAnsi"/>
                <w:szCs w:val="20"/>
              </w:rPr>
              <w:tab/>
              <w:t>c)</w:t>
            </w:r>
            <w:r w:rsidRPr="005737F1">
              <w:rPr>
                <w:rFonts w:cstheme="minorHAnsi"/>
                <w:szCs w:val="20"/>
              </w:rPr>
              <w:tab/>
              <w:t>Can they in effect be scaled to replace MMF economic function?</w:t>
            </w:r>
          </w:p>
          <w:p w14:paraId="1B1C2C31" w14:textId="35F3C11F" w:rsidR="000451F5" w:rsidRPr="005737F1" w:rsidRDefault="0088346A" w:rsidP="00891722">
            <w:pPr>
              <w:tabs>
                <w:tab w:val="left" w:pos="164"/>
                <w:tab w:val="left" w:pos="447"/>
              </w:tabs>
              <w:ind w:left="447" w:hanging="447"/>
              <w:jc w:val="both"/>
              <w:rPr>
                <w:rFonts w:cstheme="minorHAnsi"/>
                <w:szCs w:val="20"/>
              </w:rPr>
            </w:pPr>
            <w:r w:rsidRPr="005737F1">
              <w:rPr>
                <w:rFonts w:cstheme="minorHAnsi"/>
                <w:szCs w:val="20"/>
              </w:rPr>
              <w:t xml:space="preserve">        N/A</w:t>
            </w:r>
          </w:p>
          <w:p w14:paraId="22D80EFF" w14:textId="586E7608" w:rsidR="000451F5" w:rsidRPr="005737F1" w:rsidRDefault="000451F5" w:rsidP="00891722">
            <w:pPr>
              <w:tabs>
                <w:tab w:val="left" w:pos="164"/>
                <w:tab w:val="left" w:pos="447"/>
              </w:tabs>
              <w:ind w:left="447" w:hanging="447"/>
              <w:jc w:val="both"/>
              <w:rPr>
                <w:rFonts w:cstheme="minorHAnsi"/>
                <w:szCs w:val="20"/>
              </w:rPr>
            </w:pPr>
            <w:r w:rsidRPr="005737F1">
              <w:rPr>
                <w:rFonts w:cstheme="minorHAnsi"/>
                <w:szCs w:val="20"/>
              </w:rPr>
              <w:tab/>
              <w:t>d)</w:t>
            </w:r>
            <w:r w:rsidRPr="005737F1">
              <w:rPr>
                <w:rFonts w:cstheme="minorHAnsi"/>
                <w:szCs w:val="20"/>
              </w:rPr>
              <w:tab/>
              <w:t>Would this address the financial stability issues noted or would risks simply be transferred elsewhere in the market without mitigating them effectively?</w:t>
            </w:r>
          </w:p>
          <w:p w14:paraId="20B2F2FD" w14:textId="6770284B" w:rsidR="0088346A" w:rsidRPr="005737F1" w:rsidRDefault="0088346A" w:rsidP="00891722">
            <w:pPr>
              <w:tabs>
                <w:tab w:val="left" w:pos="164"/>
                <w:tab w:val="left" w:pos="447"/>
              </w:tabs>
              <w:ind w:left="447" w:hanging="447"/>
              <w:jc w:val="both"/>
              <w:rPr>
                <w:rFonts w:cstheme="minorHAnsi"/>
                <w:szCs w:val="20"/>
              </w:rPr>
            </w:pPr>
            <w:r w:rsidRPr="005737F1">
              <w:rPr>
                <w:rFonts w:cstheme="minorHAnsi"/>
                <w:szCs w:val="20"/>
              </w:rPr>
              <w:t xml:space="preserve">        N/A</w:t>
            </w:r>
          </w:p>
          <w:p w14:paraId="55C41325" w14:textId="77777777" w:rsidR="000451F5" w:rsidRPr="005737F1" w:rsidRDefault="000451F5" w:rsidP="00891722">
            <w:pPr>
              <w:tabs>
                <w:tab w:val="left" w:pos="164"/>
                <w:tab w:val="left" w:pos="447"/>
              </w:tabs>
              <w:ind w:left="447" w:hanging="447"/>
              <w:jc w:val="both"/>
              <w:rPr>
                <w:rFonts w:cstheme="minorHAnsi"/>
                <w:szCs w:val="20"/>
              </w:rPr>
            </w:pPr>
          </w:p>
        </w:tc>
      </w:tr>
    </w:tbl>
    <w:p w14:paraId="312A600C" w14:textId="77777777" w:rsidR="000451F5" w:rsidRDefault="000451F5" w:rsidP="000451F5">
      <w:pPr>
        <w:rPr>
          <w:rFonts w:cstheme="minorHAnsi"/>
          <w:bCs/>
          <w:color w:val="000000" w:themeColor="text1"/>
        </w:rPr>
      </w:pPr>
    </w:p>
    <w:p w14:paraId="6FD778B3" w14:textId="5DD99BF6" w:rsidR="00492B3A" w:rsidRDefault="00492B3A" w:rsidP="000451F5"/>
    <w:permEnd w:id="1823616926"/>
    <w:p w14:paraId="383E5893" w14:textId="58F91FDE" w:rsidR="00492B3A" w:rsidRDefault="00492B3A" w:rsidP="00492B3A">
      <w:r>
        <w:t>&lt;ESMA_QUESTION_</w:t>
      </w:r>
      <w:r w:rsidR="00DC1B3F">
        <w:t>MMFR</w:t>
      </w:r>
      <w:r>
        <w:t>_3&gt;</w:t>
      </w:r>
    </w:p>
    <w:p w14:paraId="4AD8C875" w14:textId="77777777" w:rsidR="00492B3A" w:rsidRDefault="00492B3A" w:rsidP="00492B3A"/>
    <w:p w14:paraId="798F0E29" w14:textId="62BC3067" w:rsidR="00492B3A" w:rsidRDefault="00976448" w:rsidP="00492B3A">
      <w:pPr>
        <w:pStyle w:val="Questionstyle"/>
      </w:pPr>
      <w:r w:rsidRPr="00F43E30">
        <w:t xml:space="preserve">i) </w:t>
      </w:r>
      <w:r w:rsidRPr="00F43E30">
        <w:rPr>
          <w:color w:val="201F1E"/>
          <w:bdr w:val="none" w:sz="0" w:space="0" w:color="auto" w:frame="1"/>
          <w:lang w:val="en-IE"/>
        </w:rPr>
        <w:t xml:space="preserve">Do you agree with the above assessment of the potential need to </w:t>
      </w:r>
      <w:r w:rsidRPr="00F43E30">
        <w:rPr>
          <w:lang w:val="en-US"/>
        </w:rPr>
        <w:t xml:space="preserve">require MMFs to use swing pricing and / or ADL / liquidity fees and the corresponding proposal </w:t>
      </w:r>
      <w:r w:rsidRPr="00F43E30">
        <w:rPr>
          <w:lang w:val="en-US"/>
        </w:rPr>
        <w:lastRenderedPageBreak/>
        <w:t>of amendment of the MMF Regulation (including the above list of corresponding potential benefits and drawbacks)</w:t>
      </w:r>
      <w:r w:rsidRPr="00F43E30">
        <w:rPr>
          <w:color w:val="201F1E"/>
          <w:bdr w:val="none" w:sz="0" w:space="0" w:color="auto" w:frame="1"/>
          <w:lang w:val="en-IE"/>
        </w:rPr>
        <w:t>? ii) If you are of the view that swing pricing might not be workable for certain types of MMFs, which instruments would you suggest as an alternative for these types of MMFs going forward</w:t>
      </w:r>
      <w:r w:rsidRPr="00F43E30">
        <w:rPr>
          <w:lang w:val="en-US"/>
        </w:rPr>
        <w:t xml:space="preserve">? </w:t>
      </w:r>
      <w:r w:rsidRPr="00F43E30">
        <w:rPr>
          <w:color w:val="201F1E"/>
          <w:bdr w:val="none" w:sz="0" w:space="0" w:color="auto" w:frame="1"/>
          <w:lang w:val="en-IE"/>
        </w:rPr>
        <w:t>When you answer this question, please also take into account the grid of criteria listed in paragraphs 76 to 80</w:t>
      </w:r>
      <w:r>
        <w:t>.</w:t>
      </w:r>
    </w:p>
    <w:p w14:paraId="001F3D0D" w14:textId="3E350E89" w:rsidR="00492B3A" w:rsidRDefault="00492B3A" w:rsidP="00492B3A">
      <w:r>
        <w:t>&lt;ESMA_QUESTION_</w:t>
      </w:r>
      <w:r w:rsidR="00DC1B3F">
        <w:t>MMFR</w:t>
      </w:r>
      <w:r>
        <w:t>_4&gt;</w:t>
      </w:r>
    </w:p>
    <w:p w14:paraId="637BFCA8" w14:textId="77777777" w:rsidR="00891722" w:rsidRDefault="00891722" w:rsidP="00252293">
      <w:pPr>
        <w:jc w:val="both"/>
      </w:pPr>
      <w:permStart w:id="910372547" w:edGrp="everyone"/>
    </w:p>
    <w:p w14:paraId="5A59F550" w14:textId="11A4346D" w:rsidR="00252293" w:rsidRPr="005737F1" w:rsidRDefault="00252293" w:rsidP="00252293">
      <w:pPr>
        <w:jc w:val="both"/>
        <w:rPr>
          <w:rFonts w:cstheme="minorHAnsi"/>
          <w:szCs w:val="20"/>
        </w:rPr>
      </w:pPr>
      <w:r w:rsidRPr="005737F1">
        <w:rPr>
          <w:szCs w:val="20"/>
        </w:rPr>
        <w:t xml:space="preserve"> </w:t>
      </w:r>
      <w:r w:rsidRPr="005737F1">
        <w:rPr>
          <w:rFonts w:cstheme="minorHAnsi"/>
          <w:szCs w:val="20"/>
        </w:rPr>
        <w:t xml:space="preserve">Liquidity Management Tools should be available to all fund types and should be operated at the discretion of the fund board to avoid the creation of any new bright lines and allow the tools to operate in the best interest of all investors. </w:t>
      </w:r>
    </w:p>
    <w:p w14:paraId="4824DCD9" w14:textId="77777777" w:rsidR="00252293" w:rsidRPr="005737F1" w:rsidRDefault="00252293" w:rsidP="00252293">
      <w:pPr>
        <w:jc w:val="both"/>
        <w:rPr>
          <w:rFonts w:cstheme="minorHAnsi"/>
          <w:b/>
          <w:szCs w:val="20"/>
        </w:rPr>
      </w:pPr>
      <w:r w:rsidRPr="005737F1">
        <w:rPr>
          <w:rFonts w:cstheme="minorHAnsi"/>
          <w:b/>
          <w:szCs w:val="20"/>
        </w:rPr>
        <w:t xml:space="preserve">Liquidity Fees are the most appropriate tool </w:t>
      </w:r>
    </w:p>
    <w:p w14:paraId="4939420E" w14:textId="77777777" w:rsidR="00252293" w:rsidRPr="005737F1" w:rsidRDefault="00252293" w:rsidP="00252293">
      <w:pPr>
        <w:jc w:val="both"/>
        <w:rPr>
          <w:rFonts w:cstheme="minorHAnsi"/>
          <w:szCs w:val="20"/>
        </w:rPr>
      </w:pPr>
      <w:r w:rsidRPr="005737F1">
        <w:rPr>
          <w:rFonts w:cstheme="minorHAnsi"/>
          <w:szCs w:val="20"/>
        </w:rPr>
        <w:t>The Liquidity Fees as currently allowed for under Article 34 are designed to allow a MMF to manage a severe liquidity event, ensuring the cost of providing liquidity is borne by any investors that redeem rather than those that remain in the fund.  We suggest that these are applied consistently to all fund types i.e. including VNAV funds and not just CNAV or LVNAV.  We do not support the proposal to apply a swing price or other ADL mechanism to ‘redemptions only’ as a mechanism already exists under Article 34 and is subject to the dual trigger prescribed under 34(1)(a).   Their purpose is to pass on the cost of redemptions and acting as a disincentive to remaining investors to redeem.  Fees are a disincentive to trading and should act to reduce the likelihood of applying gates which is more impactful to the fund and to its investors. Again, we note that the likelihood of using these measures is reduced by the ability to use the liquidity buffers as a countercyclical tool as they were intended.</w:t>
      </w:r>
    </w:p>
    <w:p w14:paraId="34A7E908" w14:textId="77777777" w:rsidR="00252293" w:rsidRPr="005737F1" w:rsidRDefault="00252293" w:rsidP="00252293">
      <w:pPr>
        <w:jc w:val="both"/>
        <w:rPr>
          <w:rFonts w:cstheme="minorHAnsi"/>
          <w:szCs w:val="20"/>
        </w:rPr>
      </w:pPr>
      <w:r w:rsidRPr="005737F1">
        <w:rPr>
          <w:rFonts w:cstheme="minorHAnsi"/>
          <w:szCs w:val="20"/>
        </w:rPr>
        <w:t>A Liquidity fee is focused on investors that redeem from a fund. Based on our experience that the mid</w:t>
      </w:r>
      <w:bookmarkStart w:id="2" w:name="_GoBack"/>
      <w:bookmarkEnd w:id="2"/>
      <w:r w:rsidRPr="005737F1">
        <w:rPr>
          <w:rFonts w:cstheme="minorHAnsi"/>
          <w:szCs w:val="20"/>
        </w:rPr>
        <w:t xml:space="preserve"> to offer spread does not widen significantly during a period of market stress, or at any other time, it is not necessary to apply any form of fee or charge on investors subscribing into a fund. Indeed, this could create a disincentive to invest in an MMF at a time when it would be beneficial. </w:t>
      </w:r>
    </w:p>
    <w:p w14:paraId="28A3987F" w14:textId="77777777" w:rsidR="00252293" w:rsidRPr="005737F1" w:rsidRDefault="00252293" w:rsidP="00252293">
      <w:pPr>
        <w:jc w:val="both"/>
        <w:rPr>
          <w:rFonts w:cstheme="minorHAnsi"/>
          <w:szCs w:val="20"/>
        </w:rPr>
      </w:pPr>
      <w:r w:rsidRPr="005737F1">
        <w:rPr>
          <w:rFonts w:cstheme="minorHAnsi"/>
          <w:szCs w:val="20"/>
        </w:rPr>
        <w:t xml:space="preserve">A MMF must act in the interest of all investors and as ESMA notes, MMFs may not chose to use them which may be the appropriate decision for a given circumstance.  It is not possible to legislate for all possible market permutations and as such we propose it is useful to have a framework to operate fees, and indeed any of the other liquidity management tools but not a hard trigger as we have seen with liquidity thresholds this can create a bright line and result in pro-cyclical redemption behaviour. </w:t>
      </w:r>
    </w:p>
    <w:p w14:paraId="271E09A5" w14:textId="77777777" w:rsidR="00252293" w:rsidRPr="005737F1" w:rsidRDefault="00252293" w:rsidP="00252293">
      <w:pPr>
        <w:jc w:val="both"/>
        <w:rPr>
          <w:rFonts w:cstheme="minorHAnsi"/>
          <w:szCs w:val="20"/>
        </w:rPr>
      </w:pPr>
      <w:r w:rsidRPr="005737F1">
        <w:rPr>
          <w:rFonts w:cstheme="minorHAnsi"/>
          <w:szCs w:val="20"/>
        </w:rPr>
        <w:t xml:space="preserve">The level of fee is defined in advance of the dealing day and therefore investors have greater visibility on the fee as they are advised at the time of their redemption where as a swing is applied at the end of the day once all dealing has been completed. The latter will impact the utility of MMFs to investors as they do not have time to react whereas a liquidity fee notified at the point of transaction gives the investor the choice to source cash elsewhere or deal with the shortfall created by the application of the fee. </w:t>
      </w:r>
    </w:p>
    <w:p w14:paraId="4664B9AF" w14:textId="77777777" w:rsidR="00252293" w:rsidRPr="005737F1" w:rsidRDefault="00252293" w:rsidP="00252293">
      <w:pPr>
        <w:jc w:val="both"/>
        <w:rPr>
          <w:rFonts w:cstheme="minorHAnsi"/>
          <w:b/>
          <w:szCs w:val="20"/>
        </w:rPr>
      </w:pPr>
      <w:r w:rsidRPr="005737F1">
        <w:rPr>
          <w:rFonts w:cstheme="minorHAnsi"/>
          <w:b/>
          <w:szCs w:val="20"/>
        </w:rPr>
        <w:t xml:space="preserve">Swing prices not an appropriate tool for MMFs </w:t>
      </w:r>
    </w:p>
    <w:p w14:paraId="21345800" w14:textId="77777777" w:rsidR="00252293" w:rsidRPr="005737F1" w:rsidRDefault="00252293" w:rsidP="00252293">
      <w:pPr>
        <w:jc w:val="both"/>
        <w:rPr>
          <w:rFonts w:cstheme="minorHAnsi"/>
          <w:iCs/>
          <w:szCs w:val="20"/>
        </w:rPr>
      </w:pPr>
      <w:r w:rsidRPr="005737F1">
        <w:rPr>
          <w:rFonts w:cstheme="minorHAnsi"/>
          <w:iCs/>
          <w:szCs w:val="20"/>
        </w:rPr>
        <w:t xml:space="preserve">By design, MMFs are structured to hold liquidity that is sufficient to meet redemptions and therefore does not need to sell a full slice of assets in order to meet redemptions in a normal market environment as is the case with other long term mutual funds. Swing pricing is designed to be used for those fund types where the fund sells less liquid assets in order to meet redemptions which may impact remaining investors.  This is not the case with MMFs which are structured to meet redemptions by design therefore it is rare to sell longer dated less liquid assets to meet redemptions </w:t>
      </w:r>
    </w:p>
    <w:p w14:paraId="7020C147" w14:textId="77777777" w:rsidR="00252293" w:rsidRPr="005737F1" w:rsidRDefault="00252293" w:rsidP="00252293">
      <w:pPr>
        <w:jc w:val="both"/>
        <w:rPr>
          <w:rFonts w:cstheme="minorHAnsi"/>
          <w:szCs w:val="20"/>
        </w:rPr>
      </w:pPr>
      <w:r w:rsidRPr="005737F1">
        <w:rPr>
          <w:rFonts w:cstheme="minorHAnsi"/>
          <w:szCs w:val="20"/>
        </w:rPr>
        <w:t xml:space="preserve">Aside from the operational challenges created by Swing pricing it reduces the utility of the product for investors and as such we expect that investors will choose to place their cash outside of MMFs.  The reduction in utility is driven by two components: </w:t>
      </w:r>
    </w:p>
    <w:p w14:paraId="33A3B35C" w14:textId="77777777" w:rsidR="00252293" w:rsidRPr="005737F1" w:rsidRDefault="00252293" w:rsidP="00290E98">
      <w:pPr>
        <w:pStyle w:val="ListParagraph"/>
        <w:numPr>
          <w:ilvl w:val="0"/>
          <w:numId w:val="38"/>
        </w:numPr>
        <w:spacing w:after="160" w:line="259" w:lineRule="auto"/>
        <w:jc w:val="both"/>
        <w:rPr>
          <w:rFonts w:cstheme="minorHAnsi"/>
          <w:szCs w:val="20"/>
        </w:rPr>
      </w:pPr>
      <w:r w:rsidRPr="005737F1">
        <w:rPr>
          <w:rFonts w:cstheme="minorHAnsi"/>
          <w:szCs w:val="20"/>
        </w:rPr>
        <w:lastRenderedPageBreak/>
        <w:t xml:space="preserve">The swing factor will bring a second dimension to price volatility in the NAV of the fund over and above market price moves which would be misleading for investors during normal market conditions. We expect this will lead to pre-emptive redemptions in stressed market conditions as investors will be unable to judge the full potential impact to the value of their holding.  </w:t>
      </w:r>
    </w:p>
    <w:p w14:paraId="2A249FEC" w14:textId="77777777" w:rsidR="00252293" w:rsidRPr="005737F1" w:rsidRDefault="00252293" w:rsidP="00290E98">
      <w:pPr>
        <w:pStyle w:val="ListParagraph"/>
        <w:numPr>
          <w:ilvl w:val="0"/>
          <w:numId w:val="38"/>
        </w:numPr>
        <w:spacing w:after="160" w:line="259" w:lineRule="auto"/>
        <w:jc w:val="both"/>
        <w:rPr>
          <w:rFonts w:cstheme="minorHAnsi"/>
          <w:szCs w:val="20"/>
        </w:rPr>
      </w:pPr>
      <w:r w:rsidRPr="005737F1">
        <w:rPr>
          <w:rFonts w:cstheme="minorHAnsi"/>
          <w:szCs w:val="20"/>
        </w:rPr>
        <w:t>Contrary to liquidity fees, swing pricing applies to both redemptions and subscriptions which would favour subscribing issuers at the expense of the current fund holders.</w:t>
      </w:r>
    </w:p>
    <w:p w14:paraId="5A17EFDB" w14:textId="77777777" w:rsidR="00252293" w:rsidRPr="005737F1" w:rsidRDefault="00252293" w:rsidP="00252293">
      <w:pPr>
        <w:rPr>
          <w:rFonts w:cstheme="minorHAnsi"/>
          <w:szCs w:val="20"/>
        </w:rPr>
      </w:pPr>
    </w:p>
    <w:p w14:paraId="63599D91" w14:textId="77777777" w:rsidR="00252293" w:rsidRPr="005737F1" w:rsidRDefault="00252293" w:rsidP="00252293">
      <w:pPr>
        <w:rPr>
          <w:rFonts w:cstheme="minorHAnsi"/>
          <w:b/>
          <w:szCs w:val="20"/>
        </w:rPr>
      </w:pPr>
      <w:r w:rsidRPr="005737F1">
        <w:rPr>
          <w:rFonts w:cstheme="minorHAnsi"/>
          <w:b/>
          <w:szCs w:val="20"/>
        </w:rPr>
        <w:t xml:space="preserve">Challenges with operating the swing mechanism </w:t>
      </w:r>
    </w:p>
    <w:p w14:paraId="7FFEAAEC" w14:textId="77777777" w:rsidR="00252293" w:rsidRPr="005737F1" w:rsidRDefault="00252293" w:rsidP="00252293">
      <w:pPr>
        <w:jc w:val="both"/>
        <w:rPr>
          <w:rFonts w:cstheme="minorHAnsi"/>
          <w:iCs/>
          <w:szCs w:val="20"/>
        </w:rPr>
      </w:pPr>
      <w:r w:rsidRPr="005737F1">
        <w:rPr>
          <w:rFonts w:cstheme="minorHAnsi"/>
          <w:iCs/>
          <w:szCs w:val="20"/>
        </w:rPr>
        <w:t xml:space="preserve">Swing Pricing, is particularly ill adapted to LVNAV or PDCNAV funds for the following reasons: </w:t>
      </w:r>
    </w:p>
    <w:p w14:paraId="67F02B79" w14:textId="77777777" w:rsidR="00252293" w:rsidRPr="005737F1" w:rsidRDefault="00252293" w:rsidP="00290E98">
      <w:pPr>
        <w:pStyle w:val="ListParagraph"/>
        <w:numPr>
          <w:ilvl w:val="0"/>
          <w:numId w:val="39"/>
        </w:numPr>
        <w:spacing w:after="160" w:line="259" w:lineRule="auto"/>
        <w:jc w:val="both"/>
        <w:rPr>
          <w:rFonts w:cstheme="minorHAnsi"/>
          <w:iCs/>
          <w:szCs w:val="20"/>
        </w:rPr>
      </w:pPr>
      <w:r w:rsidRPr="005737F1">
        <w:rPr>
          <w:rFonts w:cstheme="minorHAnsi"/>
          <w:iCs/>
          <w:szCs w:val="20"/>
        </w:rPr>
        <w:t>Pricing basis</w:t>
      </w:r>
    </w:p>
    <w:p w14:paraId="03C0B806" w14:textId="77777777" w:rsidR="00252293" w:rsidRPr="005737F1" w:rsidRDefault="00252293" w:rsidP="00290E98">
      <w:pPr>
        <w:pStyle w:val="ListParagraph"/>
        <w:numPr>
          <w:ilvl w:val="1"/>
          <w:numId w:val="39"/>
        </w:numPr>
        <w:spacing w:after="160" w:line="259" w:lineRule="auto"/>
        <w:jc w:val="both"/>
        <w:rPr>
          <w:rFonts w:cstheme="minorHAnsi"/>
          <w:iCs/>
          <w:szCs w:val="20"/>
        </w:rPr>
      </w:pPr>
      <w:r w:rsidRPr="005737F1">
        <w:rPr>
          <w:rFonts w:cstheme="minorHAnsi"/>
          <w:iCs/>
          <w:szCs w:val="20"/>
        </w:rPr>
        <w:t xml:space="preserve">Swing pricing is effective for longer term mutual funds where the assets are priced at mid.  Under Article 29 an LVNAV fund is required to price its assets at the most prudent of bid and offer and as such the funds are priced at bid.  The fact that the fund prices at bid negates the impact of the swing.  </w:t>
      </w:r>
    </w:p>
    <w:p w14:paraId="13606359" w14:textId="77777777" w:rsidR="00252293" w:rsidRPr="005737F1" w:rsidRDefault="00252293" w:rsidP="00290E98">
      <w:pPr>
        <w:pStyle w:val="ListParagraph"/>
        <w:numPr>
          <w:ilvl w:val="1"/>
          <w:numId w:val="39"/>
        </w:numPr>
        <w:spacing w:after="160" w:line="259" w:lineRule="auto"/>
        <w:jc w:val="both"/>
        <w:rPr>
          <w:rFonts w:cstheme="minorHAnsi"/>
          <w:iCs/>
          <w:szCs w:val="20"/>
        </w:rPr>
      </w:pPr>
      <w:r w:rsidRPr="005737F1">
        <w:rPr>
          <w:rFonts w:cstheme="minorHAnsi"/>
          <w:szCs w:val="20"/>
        </w:rPr>
        <w:t xml:space="preserve">As noted by ESMA there is a lack of transparency of private markets which makes it challenging to assess market prices.  We support any and all efforts to increase the transparency which better supports all of the measures proposed.  </w:t>
      </w:r>
      <w:r w:rsidRPr="005737F1">
        <w:rPr>
          <w:rFonts w:cstheme="minorHAnsi"/>
          <w:iCs/>
          <w:szCs w:val="20"/>
        </w:rPr>
        <w:t xml:space="preserve">We support ESMAs suggestion under 101 that more transparency is needed. </w:t>
      </w:r>
    </w:p>
    <w:p w14:paraId="73D00467" w14:textId="77777777" w:rsidR="00252293" w:rsidRPr="005737F1" w:rsidRDefault="00252293" w:rsidP="00290E98">
      <w:pPr>
        <w:pStyle w:val="ListParagraph"/>
        <w:numPr>
          <w:ilvl w:val="0"/>
          <w:numId w:val="39"/>
        </w:numPr>
        <w:spacing w:after="160" w:line="259" w:lineRule="auto"/>
        <w:jc w:val="both"/>
        <w:rPr>
          <w:rFonts w:cstheme="minorHAnsi"/>
          <w:i/>
          <w:iCs/>
          <w:szCs w:val="20"/>
        </w:rPr>
      </w:pPr>
      <w:r w:rsidRPr="005737F1">
        <w:rPr>
          <w:rFonts w:cstheme="minorHAnsi"/>
          <w:iCs/>
          <w:szCs w:val="20"/>
        </w:rPr>
        <w:t xml:space="preserve">Timeline for decision making &amp; processing </w:t>
      </w:r>
    </w:p>
    <w:p w14:paraId="0E45D0AB" w14:textId="0974B2D8" w:rsidR="00252293" w:rsidRPr="005737F1" w:rsidRDefault="00252293" w:rsidP="00290E98">
      <w:pPr>
        <w:pStyle w:val="ListParagraph"/>
        <w:numPr>
          <w:ilvl w:val="1"/>
          <w:numId w:val="39"/>
        </w:numPr>
        <w:spacing w:after="160" w:line="259" w:lineRule="auto"/>
        <w:jc w:val="both"/>
        <w:rPr>
          <w:rFonts w:cstheme="minorHAnsi"/>
          <w:i/>
          <w:iCs/>
          <w:szCs w:val="20"/>
        </w:rPr>
      </w:pPr>
      <w:r w:rsidRPr="005737F1">
        <w:rPr>
          <w:rFonts w:cstheme="minorHAnsi"/>
          <w:iCs/>
          <w:szCs w:val="20"/>
        </w:rPr>
        <w:t>Decision point – the determination of a swing is made after the fund has closed for dealing which prohibits application on a same day settlement fund or a fund running an intraday payment model.   Moving the funds to T1 settlement will remove the utility of the product</w:t>
      </w:r>
      <w:r w:rsidR="0088346A" w:rsidRPr="005737F1">
        <w:rPr>
          <w:rFonts w:cstheme="minorHAnsi"/>
          <w:iCs/>
          <w:szCs w:val="20"/>
        </w:rPr>
        <w:t xml:space="preserve"> </w:t>
      </w:r>
      <w:r w:rsidR="0088346A" w:rsidRPr="005737F1">
        <w:rPr>
          <w:szCs w:val="20"/>
        </w:rPr>
        <w:t>for investor, especially Institutional investors, where same-day liquidity is essential</w:t>
      </w:r>
      <w:r w:rsidRPr="005737F1">
        <w:rPr>
          <w:rFonts w:cstheme="minorHAnsi"/>
          <w:iCs/>
          <w:szCs w:val="20"/>
        </w:rPr>
        <w:t>.</w:t>
      </w:r>
    </w:p>
    <w:p w14:paraId="2762DD4E" w14:textId="77777777" w:rsidR="00252293" w:rsidRPr="005737F1" w:rsidRDefault="00252293" w:rsidP="00290E98">
      <w:pPr>
        <w:pStyle w:val="ListParagraph"/>
        <w:numPr>
          <w:ilvl w:val="1"/>
          <w:numId w:val="39"/>
        </w:numPr>
        <w:spacing w:after="160" w:line="259" w:lineRule="auto"/>
        <w:rPr>
          <w:rFonts w:cstheme="minorHAnsi"/>
          <w:szCs w:val="20"/>
        </w:rPr>
      </w:pPr>
      <w:r w:rsidRPr="005737F1">
        <w:rPr>
          <w:rFonts w:cstheme="minorHAnsi"/>
          <w:szCs w:val="20"/>
        </w:rPr>
        <w:t xml:space="preserve">Decision makers - the complexity and timing around the decision to apply any of the liquidity mechanisms creates challenges in bringing multiple external stakeholders into the decision.  Rather than regulator triggered decisions we would suggest that it is more appropriate to ensure there is a robust framework governing the application of these measures and prompt reporting to the regulator. </w:t>
      </w:r>
    </w:p>
    <w:p w14:paraId="16D0C11F" w14:textId="77777777" w:rsidR="00252293" w:rsidRPr="005737F1" w:rsidRDefault="00252293" w:rsidP="00290E98">
      <w:pPr>
        <w:pStyle w:val="ListParagraph"/>
        <w:numPr>
          <w:ilvl w:val="1"/>
          <w:numId w:val="39"/>
        </w:numPr>
        <w:spacing w:after="160" w:line="259" w:lineRule="auto"/>
        <w:jc w:val="both"/>
        <w:rPr>
          <w:rFonts w:cstheme="minorHAnsi"/>
          <w:i/>
          <w:iCs/>
          <w:szCs w:val="20"/>
        </w:rPr>
      </w:pPr>
      <w:r w:rsidRPr="005737F1">
        <w:rPr>
          <w:rFonts w:cstheme="minorHAnsi"/>
          <w:iCs/>
          <w:szCs w:val="20"/>
        </w:rPr>
        <w:t xml:space="preserve">Time to process – the time needed to determine and process the results of a swing do not work for a same day settlement fund or a fund running an intraday payment model. Eliminating this capability of the product reduces its utility and will drive investors elsewhere.   </w:t>
      </w:r>
    </w:p>
    <w:p w14:paraId="618D762F" w14:textId="77777777" w:rsidR="00252293" w:rsidRPr="00AF677A" w:rsidRDefault="00252293" w:rsidP="00290E98">
      <w:pPr>
        <w:pStyle w:val="ListParagraph"/>
        <w:numPr>
          <w:ilvl w:val="0"/>
          <w:numId w:val="39"/>
        </w:numPr>
        <w:spacing w:after="160" w:line="259" w:lineRule="auto"/>
        <w:jc w:val="both"/>
        <w:rPr>
          <w:rFonts w:cstheme="minorHAnsi"/>
          <w:i/>
          <w:iCs/>
        </w:rPr>
      </w:pPr>
      <w:r w:rsidRPr="005737F1">
        <w:rPr>
          <w:rFonts w:cstheme="minorHAnsi"/>
          <w:iCs/>
          <w:szCs w:val="20"/>
        </w:rPr>
        <w:t>Downstream impact to distribution partners – all distribution platforms would need to process the effect of the swing also which further prohibits the ability to apply this feature on a same day fund.</w:t>
      </w:r>
      <w:r w:rsidRPr="00AF677A">
        <w:rPr>
          <w:rFonts w:cstheme="minorHAnsi"/>
          <w:iCs/>
        </w:rPr>
        <w:t xml:space="preserve"> </w:t>
      </w:r>
    </w:p>
    <w:p w14:paraId="60499239" w14:textId="77777777" w:rsidR="00252293" w:rsidRDefault="00252293" w:rsidP="00492B3A"/>
    <w:tbl>
      <w:tblPr>
        <w:tblStyle w:val="TableGrid"/>
        <w:tblW w:w="0" w:type="auto"/>
        <w:tblLook w:val="04A0" w:firstRow="1" w:lastRow="0" w:firstColumn="1" w:lastColumn="0" w:noHBand="0" w:noVBand="1"/>
      </w:tblPr>
      <w:tblGrid>
        <w:gridCol w:w="9016"/>
      </w:tblGrid>
      <w:tr w:rsidR="00252293" w:rsidRPr="005737F1" w14:paraId="0A88E066" w14:textId="77777777" w:rsidTr="00252293">
        <w:tc>
          <w:tcPr>
            <w:tcW w:w="9016" w:type="dxa"/>
            <w:shd w:val="clear" w:color="auto" w:fill="EEECE1" w:themeFill="background2"/>
          </w:tcPr>
          <w:p w14:paraId="2B90927F" w14:textId="77777777" w:rsidR="00252293" w:rsidRPr="005737F1" w:rsidRDefault="00252293" w:rsidP="00891722">
            <w:pPr>
              <w:jc w:val="both"/>
              <w:rPr>
                <w:rFonts w:cstheme="minorHAnsi"/>
                <w:b/>
                <w:bCs/>
                <w:szCs w:val="20"/>
              </w:rPr>
            </w:pPr>
            <w:r w:rsidRPr="005737F1">
              <w:rPr>
                <w:rFonts w:cstheme="minorHAnsi"/>
                <w:b/>
                <w:bCs/>
                <w:szCs w:val="20"/>
              </w:rPr>
              <w:t>I    Impact on the Resilience of MMFs</w:t>
            </w:r>
          </w:p>
          <w:p w14:paraId="6450CB01" w14:textId="77777777" w:rsidR="00252293" w:rsidRPr="005737F1" w:rsidRDefault="00252293" w:rsidP="00891722">
            <w:pPr>
              <w:jc w:val="both"/>
              <w:rPr>
                <w:rFonts w:cstheme="minorHAnsi"/>
                <w:szCs w:val="20"/>
              </w:rPr>
            </w:pPr>
          </w:p>
        </w:tc>
      </w:tr>
      <w:tr w:rsidR="00252293" w:rsidRPr="005737F1" w14:paraId="117478C0" w14:textId="77777777" w:rsidTr="00252293">
        <w:tc>
          <w:tcPr>
            <w:tcW w:w="9016" w:type="dxa"/>
          </w:tcPr>
          <w:p w14:paraId="40156645" w14:textId="77777777" w:rsidR="00252293" w:rsidRPr="005737F1" w:rsidRDefault="00252293" w:rsidP="00891722">
            <w:pPr>
              <w:ind w:left="306" w:hanging="306"/>
              <w:jc w:val="both"/>
              <w:rPr>
                <w:rFonts w:cstheme="minorHAnsi"/>
                <w:i/>
                <w:iCs/>
                <w:szCs w:val="20"/>
              </w:rPr>
            </w:pPr>
            <w:r w:rsidRPr="005737F1">
              <w:rPr>
                <w:rFonts w:cstheme="minorHAnsi"/>
                <w:i/>
                <w:iCs/>
                <w:szCs w:val="20"/>
              </w:rPr>
              <w:t xml:space="preserve">i </w:t>
            </w:r>
            <w:r w:rsidRPr="005737F1">
              <w:rPr>
                <w:rFonts w:cstheme="minorHAnsi"/>
                <w:i/>
                <w:iCs/>
                <w:szCs w:val="20"/>
              </w:rPr>
              <w:tab/>
              <w:t>How would the policy option work in mitigating the structural vulnerabilities of MMFs?</w:t>
            </w:r>
          </w:p>
          <w:p w14:paraId="10014E45" w14:textId="77777777" w:rsidR="00252293" w:rsidRPr="005737F1" w:rsidRDefault="00252293" w:rsidP="00891722">
            <w:pPr>
              <w:ind w:left="612" w:hanging="306"/>
              <w:jc w:val="both"/>
              <w:rPr>
                <w:rFonts w:cstheme="minorHAnsi"/>
                <w:iCs/>
                <w:szCs w:val="20"/>
              </w:rPr>
            </w:pPr>
            <w:r w:rsidRPr="005737F1">
              <w:rPr>
                <w:rFonts w:cstheme="minorHAnsi"/>
                <w:iCs/>
                <w:szCs w:val="20"/>
              </w:rPr>
              <w:t xml:space="preserve">The proposal to add swing pricing does not address any specific structural vulnerability.   We argue that the key tools, Liquidity Fees, to support the management of a stressed market event already exist under Article 34 of the regulation and they should be maintained.  The provisions to link these tools to Liquidity thresholds should be removed to allow funds to use the liquidity within the portfolio in a countercyclical way.  </w:t>
            </w:r>
          </w:p>
          <w:p w14:paraId="1D246172" w14:textId="77777777" w:rsidR="00252293" w:rsidRPr="005737F1" w:rsidRDefault="00252293" w:rsidP="00891722">
            <w:pPr>
              <w:ind w:left="612" w:hanging="306"/>
              <w:jc w:val="both"/>
              <w:rPr>
                <w:rFonts w:cstheme="minorHAnsi"/>
                <w:iCs/>
                <w:szCs w:val="20"/>
              </w:rPr>
            </w:pPr>
            <w:r w:rsidRPr="005737F1">
              <w:rPr>
                <w:rFonts w:cstheme="minorHAnsi"/>
                <w:iCs/>
                <w:szCs w:val="20"/>
              </w:rPr>
              <w:t xml:space="preserve">We support the view of IMMFA that Swing Pricing would damage the ongoing utility of Money Market Funds and drive investors elsewhere thereby concentrating risk to elsewhere in the market.  Swing pricing does not address the fundamental issue of underlying market illiquidity which was caused by widespread market disruption.  That market dislocation was driven by the withdrawal of intermediaries from even the most liquid markets. </w:t>
            </w:r>
          </w:p>
          <w:p w14:paraId="17BB049E" w14:textId="77777777" w:rsidR="00252293" w:rsidRPr="005737F1" w:rsidRDefault="00252293" w:rsidP="00891722">
            <w:pPr>
              <w:ind w:left="612" w:hanging="306"/>
              <w:jc w:val="both"/>
              <w:rPr>
                <w:rFonts w:cstheme="minorHAnsi"/>
                <w:iCs/>
                <w:szCs w:val="20"/>
              </w:rPr>
            </w:pPr>
          </w:p>
          <w:p w14:paraId="7CACEFB2" w14:textId="77777777" w:rsidR="00252293" w:rsidRPr="005737F1" w:rsidRDefault="00252293" w:rsidP="00891722">
            <w:pPr>
              <w:spacing w:after="120"/>
              <w:jc w:val="both"/>
              <w:rPr>
                <w:rFonts w:cstheme="minorHAnsi"/>
                <w:szCs w:val="20"/>
              </w:rPr>
            </w:pPr>
          </w:p>
        </w:tc>
      </w:tr>
      <w:tr w:rsidR="00252293" w:rsidRPr="005737F1" w14:paraId="5E230112" w14:textId="77777777" w:rsidTr="00252293">
        <w:tc>
          <w:tcPr>
            <w:tcW w:w="9016" w:type="dxa"/>
          </w:tcPr>
          <w:p w14:paraId="3C49259B" w14:textId="77777777" w:rsidR="00252293" w:rsidRPr="005737F1" w:rsidRDefault="00252293" w:rsidP="00891722">
            <w:pPr>
              <w:jc w:val="both"/>
              <w:rPr>
                <w:rFonts w:cstheme="minorHAnsi"/>
                <w:i/>
                <w:iCs/>
                <w:szCs w:val="20"/>
              </w:rPr>
            </w:pPr>
            <w:r w:rsidRPr="005737F1">
              <w:rPr>
                <w:rFonts w:cstheme="minorHAnsi"/>
                <w:i/>
                <w:iCs/>
                <w:szCs w:val="20"/>
              </w:rPr>
              <w:lastRenderedPageBreak/>
              <w:t>ii</w:t>
            </w:r>
            <w:r w:rsidRPr="005737F1">
              <w:rPr>
                <w:rFonts w:cstheme="minorHAnsi"/>
                <w:i/>
                <w:iCs/>
                <w:szCs w:val="20"/>
              </w:rPr>
              <w:tab/>
              <w:t>Would it apply to all MMFs?</w:t>
            </w:r>
          </w:p>
          <w:p w14:paraId="5D348C90" w14:textId="77777777" w:rsidR="00252293" w:rsidRPr="005737F1" w:rsidRDefault="00252293" w:rsidP="00891722">
            <w:pPr>
              <w:jc w:val="both"/>
              <w:rPr>
                <w:rFonts w:cstheme="minorHAnsi"/>
                <w:iCs/>
                <w:szCs w:val="20"/>
              </w:rPr>
            </w:pPr>
            <w:r w:rsidRPr="005737F1">
              <w:rPr>
                <w:rFonts w:cstheme="minorHAnsi"/>
                <w:iCs/>
                <w:szCs w:val="20"/>
              </w:rPr>
              <w:t xml:space="preserve">Broadly, the option to apply a fee, gate or suspension should be available to all fund types to ensure a fund has all the tools it needs to manage through any market event. </w:t>
            </w:r>
          </w:p>
          <w:p w14:paraId="440167AC" w14:textId="77777777" w:rsidR="00252293" w:rsidRPr="005737F1" w:rsidRDefault="00252293" w:rsidP="00891722">
            <w:pPr>
              <w:jc w:val="both"/>
              <w:rPr>
                <w:rFonts w:cstheme="minorHAnsi"/>
                <w:iCs/>
                <w:szCs w:val="20"/>
              </w:rPr>
            </w:pPr>
          </w:p>
          <w:p w14:paraId="04F318E4" w14:textId="77777777" w:rsidR="00252293" w:rsidRPr="005737F1" w:rsidRDefault="00252293" w:rsidP="00891722">
            <w:pPr>
              <w:jc w:val="both"/>
              <w:rPr>
                <w:rFonts w:cstheme="minorHAnsi"/>
                <w:iCs/>
                <w:szCs w:val="20"/>
              </w:rPr>
            </w:pPr>
            <w:r w:rsidRPr="005737F1">
              <w:rPr>
                <w:rFonts w:cstheme="minorHAnsi"/>
                <w:iCs/>
                <w:szCs w:val="20"/>
              </w:rPr>
              <w:t xml:space="preserve">We note that ESMA has identified in 101(iii) that swing pricing would not work for LVNAV or PDCNAV where the fund is trading at constant NAV per share.   </w:t>
            </w:r>
          </w:p>
          <w:p w14:paraId="7D0E896A" w14:textId="77777777" w:rsidR="00252293" w:rsidRPr="005737F1" w:rsidRDefault="00252293" w:rsidP="00891722">
            <w:pPr>
              <w:jc w:val="both"/>
              <w:rPr>
                <w:rFonts w:cstheme="minorHAnsi"/>
                <w:iCs/>
                <w:szCs w:val="20"/>
              </w:rPr>
            </w:pPr>
          </w:p>
          <w:p w14:paraId="31BA9641" w14:textId="77777777" w:rsidR="00252293" w:rsidRPr="005737F1" w:rsidRDefault="00252293" w:rsidP="00891722">
            <w:pPr>
              <w:jc w:val="both"/>
              <w:rPr>
                <w:rFonts w:cstheme="minorHAnsi"/>
                <w:iCs/>
                <w:szCs w:val="20"/>
              </w:rPr>
            </w:pPr>
            <w:r w:rsidRPr="005737F1">
              <w:rPr>
                <w:rFonts w:cstheme="minorHAnsi"/>
                <w:iCs/>
                <w:szCs w:val="20"/>
              </w:rPr>
              <w:t xml:space="preserve"> </w:t>
            </w:r>
          </w:p>
        </w:tc>
      </w:tr>
      <w:tr w:rsidR="00252293" w:rsidRPr="005737F1" w14:paraId="233B3C47" w14:textId="77777777" w:rsidTr="00252293">
        <w:tc>
          <w:tcPr>
            <w:tcW w:w="9016" w:type="dxa"/>
          </w:tcPr>
          <w:p w14:paraId="7FECF7FC" w14:textId="77777777" w:rsidR="00252293" w:rsidRPr="005737F1" w:rsidRDefault="00252293" w:rsidP="00891722">
            <w:pPr>
              <w:tabs>
                <w:tab w:val="left" w:pos="306"/>
                <w:tab w:val="left" w:pos="690"/>
              </w:tabs>
              <w:ind w:left="447" w:hanging="447"/>
              <w:jc w:val="both"/>
              <w:rPr>
                <w:rFonts w:cstheme="minorHAnsi"/>
                <w:szCs w:val="20"/>
              </w:rPr>
            </w:pPr>
            <w:r w:rsidRPr="005737F1">
              <w:rPr>
                <w:rFonts w:cstheme="minorHAnsi"/>
                <w:i/>
                <w:iCs/>
                <w:szCs w:val="20"/>
              </w:rPr>
              <w:t>ii</w:t>
            </w:r>
            <w:r w:rsidRPr="005737F1">
              <w:rPr>
                <w:rFonts w:cstheme="minorHAnsi"/>
                <w:i/>
                <w:iCs/>
                <w:szCs w:val="20"/>
              </w:rPr>
              <w:tab/>
              <w:t>a)</w:t>
            </w:r>
            <w:r w:rsidRPr="005737F1">
              <w:rPr>
                <w:rFonts w:cstheme="minorHAnsi"/>
                <w:i/>
                <w:iCs/>
                <w:szCs w:val="20"/>
              </w:rPr>
              <w:tab/>
            </w:r>
            <w:r w:rsidRPr="005737F1">
              <w:rPr>
                <w:rFonts w:cstheme="minorHAnsi"/>
                <w:szCs w:val="20"/>
              </w:rPr>
              <w:t>Is the option currently in place in any jurisdiction, and if so, has it been helpful?</w:t>
            </w:r>
            <w:r w:rsidRPr="005737F1">
              <w:rPr>
                <w:rFonts w:cstheme="minorHAnsi"/>
                <w:szCs w:val="20"/>
              </w:rPr>
              <w:br/>
              <w:t>Swing pricing has been used in many European jurisdictions for longer dated mutual funds however it has not been used on MMFs, it was deemed unsuitable for the product in the last regulatory review as there was a preference to use Liquidity Fees which act to levy the cost of redemption to redeeming investors. It has not been used in the US.</w:t>
            </w:r>
          </w:p>
          <w:p w14:paraId="40F286B1" w14:textId="77777777" w:rsidR="00252293" w:rsidRPr="005737F1" w:rsidRDefault="00252293" w:rsidP="00891722">
            <w:pPr>
              <w:tabs>
                <w:tab w:val="left" w:pos="306"/>
                <w:tab w:val="left" w:pos="690"/>
              </w:tabs>
              <w:ind w:left="894" w:hanging="447"/>
              <w:rPr>
                <w:rFonts w:cstheme="minorHAnsi"/>
                <w:szCs w:val="20"/>
              </w:rPr>
            </w:pPr>
            <w:r w:rsidRPr="005737F1">
              <w:rPr>
                <w:rFonts w:cstheme="minorHAnsi"/>
                <w:iCs/>
                <w:szCs w:val="20"/>
              </w:rPr>
              <w:t>As noted above, MMFs are structurally different from longer term mutual funds who fund redemptions by selling a vertical slice of their portfolio.  This is not the case for MMFs who by design hold liquidity buffers for the purposes of funding redemptions.  The key issue in the March 2020 crisis was the inability to use that buffer due to the link to fees and gates. A swing price would not have made a difference in managing redemptions on the fund. Funds could have triggered Liquidity Fees and any other ADL tool like Swing Pricing should they have needed to but this was not required.</w:t>
            </w:r>
          </w:p>
          <w:p w14:paraId="33260FCA" w14:textId="77777777" w:rsidR="00252293" w:rsidRPr="005737F1" w:rsidRDefault="00252293" w:rsidP="00891722">
            <w:pPr>
              <w:tabs>
                <w:tab w:val="left" w:pos="306"/>
                <w:tab w:val="left" w:pos="690"/>
              </w:tabs>
              <w:ind w:left="894" w:hanging="447"/>
              <w:rPr>
                <w:rFonts w:cstheme="minorHAnsi"/>
                <w:szCs w:val="20"/>
              </w:rPr>
            </w:pPr>
          </w:p>
          <w:p w14:paraId="563889E7" w14:textId="77777777" w:rsidR="00252293" w:rsidRPr="005737F1" w:rsidRDefault="00252293" w:rsidP="00891722">
            <w:pPr>
              <w:tabs>
                <w:tab w:val="left" w:pos="306"/>
              </w:tabs>
              <w:jc w:val="both"/>
              <w:rPr>
                <w:rFonts w:cstheme="minorHAnsi"/>
                <w:szCs w:val="20"/>
              </w:rPr>
            </w:pPr>
            <w:r w:rsidRPr="005737F1">
              <w:rPr>
                <w:rFonts w:cstheme="minorHAnsi"/>
                <w:i/>
                <w:iCs/>
                <w:szCs w:val="20"/>
              </w:rPr>
              <w:tab/>
              <w:t>b)</w:t>
            </w:r>
            <w:r w:rsidRPr="005737F1">
              <w:rPr>
                <w:rFonts w:cstheme="minorHAnsi"/>
                <w:i/>
                <w:iCs/>
                <w:szCs w:val="20"/>
              </w:rPr>
              <w:tab/>
            </w:r>
            <w:r w:rsidRPr="005737F1">
              <w:rPr>
                <w:rFonts w:cstheme="minorHAnsi"/>
                <w:szCs w:val="20"/>
              </w:rPr>
              <w:t xml:space="preserve">How would it represent a change from current rules or practices in other </w:t>
            </w:r>
            <w:r w:rsidRPr="005737F1">
              <w:rPr>
                <w:rFonts w:cstheme="minorHAnsi"/>
                <w:szCs w:val="20"/>
              </w:rPr>
              <w:tab/>
            </w:r>
            <w:r w:rsidRPr="005737F1">
              <w:rPr>
                <w:rFonts w:cstheme="minorHAnsi"/>
                <w:szCs w:val="20"/>
              </w:rPr>
              <w:tab/>
            </w:r>
            <w:r w:rsidRPr="005737F1">
              <w:rPr>
                <w:rFonts w:cstheme="minorHAnsi"/>
                <w:szCs w:val="20"/>
              </w:rPr>
              <w:tab/>
            </w:r>
            <w:r w:rsidRPr="005737F1">
              <w:rPr>
                <w:rFonts w:cstheme="minorHAnsi"/>
                <w:szCs w:val="20"/>
              </w:rPr>
              <w:tab/>
              <w:t>jurisdictions?</w:t>
            </w:r>
          </w:p>
          <w:p w14:paraId="520F54BC" w14:textId="77777777" w:rsidR="00252293" w:rsidRPr="005737F1" w:rsidRDefault="00252293" w:rsidP="00891722">
            <w:pPr>
              <w:tabs>
                <w:tab w:val="left" w:pos="306"/>
              </w:tabs>
              <w:ind w:left="272"/>
              <w:jc w:val="both"/>
              <w:rPr>
                <w:rFonts w:cstheme="minorHAnsi"/>
                <w:szCs w:val="20"/>
              </w:rPr>
            </w:pPr>
            <w:r w:rsidRPr="005737F1">
              <w:rPr>
                <w:rFonts w:cstheme="minorHAnsi"/>
                <w:szCs w:val="20"/>
              </w:rPr>
              <w:t xml:space="preserve">Swing pricing is a new concept to all MMF investors particularly in the US where they have not been used at all. </w:t>
            </w:r>
          </w:p>
          <w:p w14:paraId="313286C4" w14:textId="77777777" w:rsidR="00252293" w:rsidRPr="005737F1" w:rsidRDefault="00252293" w:rsidP="00891722">
            <w:pPr>
              <w:tabs>
                <w:tab w:val="left" w:pos="306"/>
              </w:tabs>
              <w:jc w:val="both"/>
              <w:rPr>
                <w:rFonts w:cstheme="minorHAnsi"/>
                <w:szCs w:val="20"/>
              </w:rPr>
            </w:pPr>
          </w:p>
          <w:p w14:paraId="7A68D834" w14:textId="77777777" w:rsidR="00252293" w:rsidRPr="005737F1" w:rsidRDefault="00252293" w:rsidP="00891722">
            <w:pPr>
              <w:tabs>
                <w:tab w:val="left" w:pos="306"/>
              </w:tabs>
              <w:ind w:left="272" w:hanging="272"/>
              <w:jc w:val="both"/>
              <w:rPr>
                <w:rFonts w:cstheme="minorHAnsi"/>
                <w:szCs w:val="20"/>
              </w:rPr>
            </w:pPr>
            <w:r w:rsidRPr="005737F1">
              <w:rPr>
                <w:rFonts w:cstheme="minorHAnsi"/>
                <w:szCs w:val="20"/>
              </w:rPr>
              <w:tab/>
              <w:t>c)</w:t>
            </w:r>
            <w:r w:rsidRPr="005737F1">
              <w:rPr>
                <w:rFonts w:cstheme="minorHAnsi"/>
                <w:szCs w:val="20"/>
              </w:rPr>
              <w:tab/>
              <w:t xml:space="preserve">Has the option been implemented previously and, if so, what were the main </w:t>
            </w:r>
            <w:r w:rsidRPr="005737F1">
              <w:rPr>
                <w:rFonts w:cstheme="minorHAnsi"/>
                <w:szCs w:val="20"/>
              </w:rPr>
              <w:tab/>
            </w:r>
            <w:r w:rsidRPr="005737F1">
              <w:rPr>
                <w:rFonts w:cstheme="minorHAnsi"/>
                <w:szCs w:val="20"/>
              </w:rPr>
              <w:tab/>
            </w:r>
            <w:r w:rsidRPr="005737F1">
              <w:rPr>
                <w:rFonts w:cstheme="minorHAnsi"/>
                <w:szCs w:val="20"/>
              </w:rPr>
              <w:tab/>
              <w:t>findings?</w:t>
            </w:r>
            <w:r w:rsidRPr="005737F1">
              <w:rPr>
                <w:rFonts w:cstheme="minorHAnsi"/>
                <w:szCs w:val="20"/>
              </w:rPr>
              <w:br/>
              <w:t xml:space="preserve">As above, they have been used in Europe for longer term funds but deemed unsuitable for same day settlement MMF. </w:t>
            </w:r>
          </w:p>
        </w:tc>
      </w:tr>
      <w:tr w:rsidR="00252293" w:rsidRPr="005737F1" w14:paraId="5A900312" w14:textId="77777777" w:rsidTr="00252293">
        <w:tc>
          <w:tcPr>
            <w:tcW w:w="9016" w:type="dxa"/>
          </w:tcPr>
          <w:p w14:paraId="3295A736" w14:textId="77777777" w:rsidR="00252293" w:rsidRPr="005737F1" w:rsidRDefault="00252293" w:rsidP="00891722">
            <w:pPr>
              <w:jc w:val="both"/>
              <w:rPr>
                <w:rFonts w:cstheme="minorHAnsi"/>
                <w:b/>
                <w:bCs/>
                <w:szCs w:val="20"/>
              </w:rPr>
            </w:pPr>
            <w:r w:rsidRPr="005737F1">
              <w:rPr>
                <w:rFonts w:cstheme="minorHAnsi"/>
                <w:b/>
                <w:bCs/>
                <w:szCs w:val="20"/>
              </w:rPr>
              <w:t>II    Effects on Investor Behaviour</w:t>
            </w:r>
          </w:p>
          <w:p w14:paraId="323C9E41" w14:textId="77777777" w:rsidR="00252293" w:rsidRPr="005737F1" w:rsidRDefault="00252293" w:rsidP="00891722">
            <w:pPr>
              <w:jc w:val="both"/>
              <w:rPr>
                <w:rFonts w:cstheme="minorHAnsi"/>
                <w:szCs w:val="20"/>
              </w:rPr>
            </w:pPr>
            <w:r w:rsidRPr="005737F1">
              <w:rPr>
                <w:rFonts w:cstheme="minorHAnsi"/>
                <w:szCs w:val="20"/>
              </w:rPr>
              <w:tab/>
            </w:r>
          </w:p>
        </w:tc>
      </w:tr>
      <w:tr w:rsidR="00252293" w:rsidRPr="005737F1" w14:paraId="38E410E9" w14:textId="77777777" w:rsidTr="00252293">
        <w:tc>
          <w:tcPr>
            <w:tcW w:w="9016" w:type="dxa"/>
          </w:tcPr>
          <w:p w14:paraId="61D2B31C" w14:textId="77777777" w:rsidR="00252293" w:rsidRPr="005737F1" w:rsidRDefault="00252293" w:rsidP="00891722">
            <w:pPr>
              <w:ind w:left="447" w:hanging="447"/>
              <w:jc w:val="both"/>
              <w:rPr>
                <w:rFonts w:cstheme="minorHAnsi"/>
                <w:szCs w:val="20"/>
              </w:rPr>
            </w:pPr>
            <w:r w:rsidRPr="005737F1">
              <w:rPr>
                <w:rFonts w:cstheme="minorHAnsi"/>
                <w:i/>
                <w:iCs/>
                <w:szCs w:val="20"/>
              </w:rPr>
              <w:t xml:space="preserve">i </w:t>
            </w:r>
            <w:r w:rsidRPr="005737F1">
              <w:rPr>
                <w:rFonts w:cstheme="minorHAnsi"/>
                <w:b/>
                <w:bCs/>
                <w:i/>
                <w:iCs/>
                <w:szCs w:val="20"/>
              </w:rPr>
              <w:tab/>
            </w:r>
            <w:r w:rsidRPr="005737F1">
              <w:rPr>
                <w:rFonts w:cstheme="minorHAnsi"/>
                <w:szCs w:val="20"/>
              </w:rPr>
              <w:t>From a micro perspective (viewing the MMF in isolation), how would the policy option affect investors’ incentives to redeem during stress events?</w:t>
            </w:r>
          </w:p>
          <w:p w14:paraId="6B2E36C0" w14:textId="77777777" w:rsidR="00252293" w:rsidRPr="005737F1" w:rsidRDefault="00252293" w:rsidP="00290E98">
            <w:pPr>
              <w:pStyle w:val="ListParagraph"/>
              <w:numPr>
                <w:ilvl w:val="0"/>
                <w:numId w:val="44"/>
              </w:numPr>
              <w:rPr>
                <w:rFonts w:cstheme="minorHAnsi"/>
                <w:iCs/>
                <w:szCs w:val="20"/>
              </w:rPr>
            </w:pPr>
            <w:r w:rsidRPr="005737F1">
              <w:rPr>
                <w:rFonts w:cstheme="minorHAnsi"/>
                <w:iCs/>
                <w:szCs w:val="20"/>
              </w:rPr>
              <w:t>Impacts the viability of the product longer term: The lack of certainty over the application and scale of the swing will create challenges for investors.  Greater transparency over the details could create another bright line in and of itself. The NAV applicable to their deal will be subject to both asset pricing volatility and the impact of net flows on the day which will prove difficult for clients to attribute.  A lack of certainty or understanding on the product or its features will drive investors elsewhere</w:t>
            </w:r>
            <w:r w:rsidRPr="005737F1">
              <w:rPr>
                <w:rFonts w:cstheme="minorHAnsi"/>
                <w:iCs/>
                <w:color w:val="000000" w:themeColor="text1"/>
                <w:szCs w:val="20"/>
              </w:rPr>
              <w:t xml:space="preserve">.  </w:t>
            </w:r>
            <w:r w:rsidRPr="005737F1">
              <w:rPr>
                <w:rFonts w:cstheme="minorHAnsi"/>
                <w:iCs/>
                <w:szCs w:val="20"/>
              </w:rPr>
              <w:t>From December 2015 to end Dec 2016, $770bn flowed out of the Prime Institutional money fund industry in reaction to the conversion to VNAV.  Through our engagement with US institutional clients, that there are corporates in the US today who would invest in Prime money market funds, but their treasury management system or accounting platform still cannot support the variable NAV.</w:t>
            </w:r>
          </w:p>
          <w:p w14:paraId="66F74E12" w14:textId="77777777" w:rsidR="00252293" w:rsidRPr="005737F1" w:rsidRDefault="00252293" w:rsidP="00891722">
            <w:pPr>
              <w:ind w:left="360"/>
              <w:jc w:val="both"/>
              <w:rPr>
                <w:rFonts w:cstheme="minorHAnsi"/>
                <w:iCs/>
                <w:szCs w:val="20"/>
              </w:rPr>
            </w:pPr>
          </w:p>
          <w:p w14:paraId="387AFF27" w14:textId="77777777" w:rsidR="00252293" w:rsidRPr="005737F1" w:rsidRDefault="00252293" w:rsidP="00891722">
            <w:pPr>
              <w:ind w:left="360"/>
              <w:jc w:val="both"/>
              <w:rPr>
                <w:rFonts w:cstheme="minorHAnsi"/>
                <w:iCs/>
                <w:szCs w:val="20"/>
              </w:rPr>
            </w:pPr>
          </w:p>
          <w:p w14:paraId="619B433F" w14:textId="77777777" w:rsidR="00252293" w:rsidRPr="005737F1" w:rsidRDefault="00252293" w:rsidP="00891722">
            <w:pPr>
              <w:ind w:left="360"/>
              <w:jc w:val="center"/>
              <w:rPr>
                <w:rFonts w:cstheme="minorHAnsi"/>
                <w:iCs/>
                <w:szCs w:val="20"/>
              </w:rPr>
            </w:pPr>
            <w:r w:rsidRPr="005737F1">
              <w:rPr>
                <w:noProof/>
                <w:szCs w:val="20"/>
                <w:lang w:eastAsia="en-GB"/>
              </w:rPr>
              <w:drawing>
                <wp:inline distT="0" distB="0" distL="0" distR="0" wp14:anchorId="3EEFDA76" wp14:editId="129CB65D">
                  <wp:extent cx="2078966" cy="1247380"/>
                  <wp:effectExtent l="0" t="0" r="0" b="0"/>
                  <wp:docPr id="4" name="Picture 4" descr="cid:image002.png@01D76C4A.B7B4A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descr="cid:image002.png@01D76C4A.B7B4AD1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091204" cy="1254723"/>
                          </a:xfrm>
                          <a:prstGeom prst="rect">
                            <a:avLst/>
                          </a:prstGeom>
                          <a:noFill/>
                          <a:ln>
                            <a:noFill/>
                          </a:ln>
                        </pic:spPr>
                      </pic:pic>
                    </a:graphicData>
                  </a:graphic>
                </wp:inline>
              </w:drawing>
            </w:r>
          </w:p>
          <w:p w14:paraId="1C6FBE0D" w14:textId="77777777" w:rsidR="00252293" w:rsidRPr="005737F1" w:rsidRDefault="00252293" w:rsidP="00891722">
            <w:pPr>
              <w:ind w:left="360"/>
              <w:jc w:val="both"/>
              <w:rPr>
                <w:rFonts w:cstheme="minorHAnsi"/>
                <w:iCs/>
                <w:szCs w:val="20"/>
              </w:rPr>
            </w:pPr>
          </w:p>
          <w:p w14:paraId="05DABD5C" w14:textId="77777777" w:rsidR="00252293" w:rsidRPr="005737F1" w:rsidRDefault="00252293" w:rsidP="00290E98">
            <w:pPr>
              <w:pStyle w:val="ListParagraph"/>
              <w:numPr>
                <w:ilvl w:val="0"/>
                <w:numId w:val="40"/>
              </w:numPr>
              <w:jc w:val="both"/>
              <w:rPr>
                <w:rFonts w:cstheme="minorHAnsi"/>
                <w:iCs/>
                <w:szCs w:val="20"/>
              </w:rPr>
            </w:pPr>
            <w:r w:rsidRPr="005737F1">
              <w:rPr>
                <w:rFonts w:cstheme="minorHAnsi"/>
                <w:iCs/>
                <w:szCs w:val="20"/>
              </w:rPr>
              <w:t xml:space="preserve">May become another bright line – more sophisticated investors may seek to withdraw their cash in anticipation of swing price in advance creating a potential redemption issue in and of itself. </w:t>
            </w:r>
          </w:p>
          <w:p w14:paraId="339F3496" w14:textId="77777777" w:rsidR="00252293" w:rsidRPr="005737F1" w:rsidRDefault="00252293" w:rsidP="00891722">
            <w:pPr>
              <w:jc w:val="both"/>
              <w:rPr>
                <w:rFonts w:cstheme="minorHAnsi"/>
                <w:iCs/>
                <w:szCs w:val="20"/>
              </w:rPr>
            </w:pPr>
          </w:p>
          <w:p w14:paraId="7DB120E0" w14:textId="77777777" w:rsidR="00252293" w:rsidRPr="005737F1" w:rsidRDefault="00252293" w:rsidP="00290E98">
            <w:pPr>
              <w:pStyle w:val="ListParagraph"/>
              <w:numPr>
                <w:ilvl w:val="0"/>
                <w:numId w:val="40"/>
              </w:numPr>
              <w:jc w:val="both"/>
              <w:rPr>
                <w:rFonts w:cstheme="minorHAnsi"/>
                <w:iCs/>
                <w:szCs w:val="20"/>
              </w:rPr>
            </w:pPr>
            <w:r w:rsidRPr="005737F1">
              <w:rPr>
                <w:rFonts w:cstheme="minorHAnsi"/>
                <w:iCs/>
                <w:szCs w:val="20"/>
              </w:rPr>
              <w:t xml:space="preserve">PDCNAVs should be excluded from the application of swing pricing as they are unlikely to experience the same redemption pressure as either Prime LVNAVs and VNAVS. </w:t>
            </w:r>
          </w:p>
          <w:p w14:paraId="0F472F08" w14:textId="77777777" w:rsidR="00252293" w:rsidRPr="005737F1" w:rsidRDefault="00252293" w:rsidP="00891722">
            <w:pPr>
              <w:jc w:val="both"/>
              <w:rPr>
                <w:rFonts w:cstheme="minorHAnsi"/>
                <w:szCs w:val="20"/>
              </w:rPr>
            </w:pPr>
          </w:p>
        </w:tc>
      </w:tr>
      <w:tr w:rsidR="00252293" w:rsidRPr="005737F1" w14:paraId="2397DD5B" w14:textId="77777777" w:rsidTr="00252293">
        <w:tc>
          <w:tcPr>
            <w:tcW w:w="9016" w:type="dxa"/>
          </w:tcPr>
          <w:p w14:paraId="20698DAB" w14:textId="77777777" w:rsidR="00252293" w:rsidRPr="005737F1" w:rsidRDefault="00252293" w:rsidP="00891722">
            <w:pPr>
              <w:ind w:left="447" w:hanging="447"/>
              <w:jc w:val="both"/>
              <w:rPr>
                <w:rFonts w:cstheme="minorHAnsi"/>
                <w:szCs w:val="20"/>
              </w:rPr>
            </w:pPr>
            <w:r w:rsidRPr="005737F1">
              <w:rPr>
                <w:rFonts w:cstheme="minorHAnsi"/>
                <w:i/>
                <w:iCs/>
                <w:szCs w:val="20"/>
              </w:rPr>
              <w:t>ii</w:t>
            </w:r>
            <w:r w:rsidRPr="005737F1">
              <w:rPr>
                <w:rFonts w:cstheme="minorHAnsi"/>
                <w:b/>
                <w:bCs/>
                <w:i/>
                <w:iCs/>
                <w:szCs w:val="20"/>
              </w:rPr>
              <w:tab/>
            </w:r>
            <w:r w:rsidRPr="005737F1">
              <w:rPr>
                <w:rFonts w:cstheme="minorHAnsi"/>
                <w:szCs w:val="20"/>
              </w:rPr>
              <w:t>From a macro perspective, how would this option mitigate the effects of a generalised “dash for cash” as seen in March 2020; and/or runs prompted by a credit crisis, as seen in September 2008?</w:t>
            </w:r>
          </w:p>
          <w:p w14:paraId="0C6C967E" w14:textId="77777777" w:rsidR="00252293" w:rsidRPr="005737F1" w:rsidRDefault="00252293" w:rsidP="00290E98">
            <w:pPr>
              <w:pStyle w:val="ListParagraph"/>
              <w:numPr>
                <w:ilvl w:val="0"/>
                <w:numId w:val="41"/>
              </w:numPr>
              <w:jc w:val="both"/>
              <w:rPr>
                <w:rFonts w:cstheme="minorHAnsi"/>
                <w:bCs/>
                <w:iCs/>
                <w:szCs w:val="20"/>
              </w:rPr>
            </w:pPr>
            <w:r w:rsidRPr="005737F1">
              <w:rPr>
                <w:rFonts w:cstheme="minorHAnsi"/>
                <w:bCs/>
                <w:iCs/>
                <w:szCs w:val="20"/>
              </w:rPr>
              <w:t xml:space="preserve">For clarity we do not believe there was a “dash for cash” from MMFS in March 2020. The degree of redemption activity in MMFs across the currencies in absolute terms does not suggest a dash for cash (particularly when compared to the short-term liquidity levels held in MMFs). Any challenges in March 2020 were created by the fact that the wider money markets were not functioning therefore reducing market liquidity.  </w:t>
            </w:r>
          </w:p>
          <w:p w14:paraId="3CD60A2F" w14:textId="77777777" w:rsidR="00252293" w:rsidRPr="005737F1" w:rsidRDefault="00252293" w:rsidP="00290E98">
            <w:pPr>
              <w:pStyle w:val="ListParagraph"/>
              <w:numPr>
                <w:ilvl w:val="0"/>
                <w:numId w:val="41"/>
              </w:numPr>
              <w:jc w:val="both"/>
              <w:rPr>
                <w:rFonts w:cstheme="minorHAnsi"/>
                <w:bCs/>
                <w:iCs/>
                <w:szCs w:val="20"/>
              </w:rPr>
            </w:pPr>
            <w:r w:rsidRPr="005737F1">
              <w:rPr>
                <w:rFonts w:cstheme="minorHAnsi"/>
                <w:bCs/>
                <w:iCs/>
                <w:szCs w:val="20"/>
              </w:rPr>
              <w:t xml:space="preserve">The “dash for cash” in March 2020 would not have been mitigated by Swing pricing as investors of all types across all sectors required cash for their own idiosyncratic reason e.g. </w:t>
            </w:r>
            <w:r w:rsidRPr="005737F1">
              <w:rPr>
                <w:rFonts w:cstheme="minorHAnsi"/>
                <w:bCs/>
                <w:iCs/>
                <w:szCs w:val="20"/>
              </w:rPr>
              <w:lastRenderedPageBreak/>
              <w:t xml:space="preserve">a margin call, funding working capital as businesses closed etc Operational constraints coupled with the uncertainty inherent in the mechanism will drive investors away from MMFs into other areas of the market which may not benefit from the same transparency or risk management. Many investors require stable NAVs for their internal procedures or processes and while they can cope with variation as an exception (e.g. collar break, application of a liquidity fee) an ongoing movement in the price late in the processing day challenge the utility of the product.   The application of a fee is more practical and more easily implemented by the client base particularly as the work to implement this feature was completed as part of the MMFR regulation.]  </w:t>
            </w:r>
          </w:p>
          <w:p w14:paraId="7A517F91" w14:textId="77777777" w:rsidR="00252293" w:rsidRPr="005737F1" w:rsidRDefault="00252293" w:rsidP="00891722">
            <w:pPr>
              <w:pStyle w:val="ListParagraph"/>
              <w:jc w:val="both"/>
              <w:rPr>
                <w:rFonts w:cstheme="minorHAnsi"/>
                <w:bCs/>
                <w:iCs/>
                <w:szCs w:val="20"/>
              </w:rPr>
            </w:pPr>
          </w:p>
        </w:tc>
      </w:tr>
      <w:tr w:rsidR="00252293" w:rsidRPr="005737F1" w14:paraId="69E2DAC6" w14:textId="77777777" w:rsidTr="00252293">
        <w:tc>
          <w:tcPr>
            <w:tcW w:w="9016" w:type="dxa"/>
          </w:tcPr>
          <w:p w14:paraId="1413B352" w14:textId="77777777" w:rsidR="00252293" w:rsidRPr="005737F1" w:rsidRDefault="00252293" w:rsidP="00891722">
            <w:pPr>
              <w:ind w:left="447" w:hanging="447"/>
              <w:jc w:val="both"/>
              <w:rPr>
                <w:rFonts w:cstheme="minorHAnsi"/>
                <w:szCs w:val="20"/>
              </w:rPr>
            </w:pPr>
            <w:r w:rsidRPr="005737F1">
              <w:rPr>
                <w:rFonts w:cstheme="minorHAnsi"/>
                <w:i/>
                <w:iCs/>
                <w:szCs w:val="20"/>
              </w:rPr>
              <w:lastRenderedPageBreak/>
              <w:t>iii a)</w:t>
            </w:r>
            <w:r w:rsidRPr="005737F1">
              <w:rPr>
                <w:rFonts w:cstheme="minorHAnsi"/>
                <w:szCs w:val="20"/>
              </w:rPr>
              <w:t xml:space="preserve"> Does the option effectively shift MMF risks to investors?</w:t>
            </w:r>
          </w:p>
          <w:p w14:paraId="52D2FA4C" w14:textId="77777777" w:rsidR="00252293" w:rsidRPr="005737F1" w:rsidRDefault="00252293" w:rsidP="00290E98">
            <w:pPr>
              <w:pStyle w:val="ListParagraph"/>
              <w:numPr>
                <w:ilvl w:val="0"/>
                <w:numId w:val="42"/>
              </w:numPr>
              <w:jc w:val="both"/>
              <w:rPr>
                <w:rFonts w:cstheme="minorHAnsi"/>
                <w:szCs w:val="20"/>
              </w:rPr>
            </w:pPr>
            <w:r w:rsidRPr="005737F1">
              <w:rPr>
                <w:rFonts w:cstheme="minorHAnsi"/>
                <w:szCs w:val="20"/>
              </w:rPr>
              <w:t>Liquidity fees are designed to apply the cost of funding redemptions to the redeeming investors thereby protecting the remaining investors from the impact.  We believe the risk has been transferred to and is understood by investors.  The funds are clearly marketed as an investment product and it is clear that fees can be applicable to fund redemptions. The engagement that took place with investors during the wider debate on MMF reform post the GFC and in the run up to the implementation of MMFR has ensured that investors understand and accept the purpose of the Liquidity fee mechanism.</w:t>
            </w:r>
          </w:p>
          <w:p w14:paraId="02D92794" w14:textId="77777777" w:rsidR="00252293" w:rsidRPr="005737F1" w:rsidRDefault="00252293" w:rsidP="00290E98">
            <w:pPr>
              <w:pStyle w:val="ListParagraph"/>
              <w:numPr>
                <w:ilvl w:val="0"/>
                <w:numId w:val="42"/>
              </w:numPr>
              <w:jc w:val="both"/>
              <w:rPr>
                <w:rFonts w:cstheme="minorHAnsi"/>
                <w:b/>
                <w:bCs/>
                <w:iCs/>
                <w:szCs w:val="20"/>
              </w:rPr>
            </w:pPr>
            <w:r w:rsidRPr="005737F1">
              <w:rPr>
                <w:rFonts w:cstheme="minorHAnsi"/>
                <w:iCs/>
                <w:szCs w:val="20"/>
              </w:rPr>
              <w:t xml:space="preserve">Full disclosure of swing factors would create another bright line and risk repeating the challenges faced in March 2020 with investors focused on a single metric. </w:t>
            </w:r>
          </w:p>
          <w:p w14:paraId="5FD016CE" w14:textId="77777777" w:rsidR="00252293" w:rsidRPr="005737F1" w:rsidRDefault="00252293" w:rsidP="00891722">
            <w:pPr>
              <w:ind w:left="447" w:hanging="447"/>
              <w:jc w:val="both"/>
              <w:rPr>
                <w:rFonts w:cstheme="minorHAnsi"/>
                <w:szCs w:val="20"/>
              </w:rPr>
            </w:pPr>
            <w:r w:rsidRPr="005737F1">
              <w:rPr>
                <w:rFonts w:cstheme="minorHAnsi"/>
                <w:i/>
                <w:iCs/>
                <w:szCs w:val="20"/>
              </w:rPr>
              <w:t xml:space="preserve">   b)</w:t>
            </w:r>
            <w:r w:rsidRPr="005737F1">
              <w:rPr>
                <w:rFonts w:cstheme="minorHAnsi"/>
                <w:b/>
                <w:bCs/>
                <w:i/>
                <w:iCs/>
                <w:szCs w:val="20"/>
              </w:rPr>
              <w:tab/>
            </w:r>
            <w:r w:rsidRPr="005737F1">
              <w:rPr>
                <w:rFonts w:cstheme="minorHAnsi"/>
                <w:szCs w:val="20"/>
              </w:rPr>
              <w:t>Does it make those risks more salient and transparent for investors? Are investors treated equally?</w:t>
            </w:r>
          </w:p>
          <w:p w14:paraId="4D07C5F6" w14:textId="041A3F2A" w:rsidR="00252293" w:rsidRPr="005737F1" w:rsidRDefault="00252293" w:rsidP="00290E98">
            <w:pPr>
              <w:pStyle w:val="ListParagraph"/>
              <w:numPr>
                <w:ilvl w:val="0"/>
                <w:numId w:val="43"/>
              </w:numPr>
              <w:jc w:val="both"/>
              <w:rPr>
                <w:rFonts w:cstheme="minorHAnsi"/>
                <w:szCs w:val="20"/>
              </w:rPr>
            </w:pPr>
            <w:r w:rsidRPr="005737F1">
              <w:rPr>
                <w:rFonts w:cstheme="minorHAnsi"/>
                <w:iCs/>
                <w:szCs w:val="20"/>
              </w:rPr>
              <w:t>By its nature, investors will face uncertainty at the point of trading and will not understand whether they have been subject to a swing or understand the scale of it until after the dealing cut-off.  This uncertainty is likely to create more pre-emptive redemptions as investors will not want to be exposed to a risk they can</w:t>
            </w:r>
            <w:r w:rsidR="0088346A" w:rsidRPr="005737F1">
              <w:rPr>
                <w:rFonts w:cstheme="minorHAnsi"/>
                <w:iCs/>
                <w:szCs w:val="20"/>
              </w:rPr>
              <w:t>not</w:t>
            </w:r>
            <w:r w:rsidRPr="005737F1">
              <w:rPr>
                <w:rFonts w:cstheme="minorHAnsi"/>
                <w:iCs/>
                <w:szCs w:val="20"/>
              </w:rPr>
              <w:t xml:space="preserve"> anticipate or measure in advance.  </w:t>
            </w:r>
          </w:p>
          <w:p w14:paraId="3E425924" w14:textId="77777777" w:rsidR="00252293" w:rsidRPr="005737F1" w:rsidRDefault="00252293" w:rsidP="00290E98">
            <w:pPr>
              <w:pStyle w:val="ListParagraph"/>
              <w:numPr>
                <w:ilvl w:val="0"/>
                <w:numId w:val="43"/>
              </w:numPr>
              <w:jc w:val="both"/>
              <w:rPr>
                <w:rFonts w:cstheme="minorHAnsi"/>
                <w:szCs w:val="20"/>
              </w:rPr>
            </w:pPr>
            <w:r w:rsidRPr="005737F1">
              <w:rPr>
                <w:rFonts w:cstheme="minorHAnsi"/>
                <w:iCs/>
                <w:szCs w:val="20"/>
              </w:rPr>
              <w:t xml:space="preserve">The mechanism for Liquidity Fees allows the investor to be informed at the point of trade and therefore they can determine if they want to proceed with the trade and or understand the impact on their proceeds.  </w:t>
            </w:r>
          </w:p>
          <w:p w14:paraId="12628DB4" w14:textId="77777777" w:rsidR="00252293" w:rsidRPr="005737F1" w:rsidRDefault="00252293" w:rsidP="00891722">
            <w:pPr>
              <w:pStyle w:val="ListParagraph"/>
              <w:jc w:val="both"/>
              <w:rPr>
                <w:rFonts w:cstheme="minorHAnsi"/>
                <w:i/>
                <w:iCs/>
                <w:szCs w:val="20"/>
              </w:rPr>
            </w:pPr>
          </w:p>
        </w:tc>
      </w:tr>
      <w:tr w:rsidR="00252293" w:rsidRPr="005737F1" w14:paraId="0890358E" w14:textId="77777777" w:rsidTr="00252293">
        <w:tc>
          <w:tcPr>
            <w:tcW w:w="9016" w:type="dxa"/>
          </w:tcPr>
          <w:p w14:paraId="5D34B772" w14:textId="77777777" w:rsidR="00252293" w:rsidRPr="005737F1" w:rsidRDefault="00252293" w:rsidP="00891722">
            <w:pPr>
              <w:ind w:left="447" w:hanging="447"/>
              <w:jc w:val="both"/>
              <w:rPr>
                <w:rFonts w:cstheme="minorHAnsi"/>
                <w:b/>
                <w:bCs/>
                <w:szCs w:val="20"/>
              </w:rPr>
            </w:pPr>
            <w:r w:rsidRPr="005737F1">
              <w:rPr>
                <w:rFonts w:cstheme="minorHAnsi"/>
                <w:b/>
                <w:bCs/>
                <w:szCs w:val="20"/>
              </w:rPr>
              <w:t>III</w:t>
            </w:r>
            <w:r w:rsidRPr="005737F1">
              <w:rPr>
                <w:rFonts w:cstheme="minorHAnsi"/>
                <w:b/>
                <w:bCs/>
                <w:szCs w:val="20"/>
              </w:rPr>
              <w:tab/>
              <w:t>Effects on Fund Managers</w:t>
            </w:r>
          </w:p>
          <w:p w14:paraId="4A6E67C8" w14:textId="77777777" w:rsidR="00252293" w:rsidRPr="005737F1" w:rsidRDefault="00252293" w:rsidP="00891722">
            <w:pPr>
              <w:jc w:val="both"/>
              <w:rPr>
                <w:rFonts w:cstheme="minorHAnsi"/>
                <w:szCs w:val="20"/>
              </w:rPr>
            </w:pPr>
          </w:p>
        </w:tc>
      </w:tr>
      <w:tr w:rsidR="00252293" w:rsidRPr="005737F1" w14:paraId="3F9B6F45" w14:textId="77777777" w:rsidTr="00252293">
        <w:tc>
          <w:tcPr>
            <w:tcW w:w="9016" w:type="dxa"/>
          </w:tcPr>
          <w:p w14:paraId="1F635085" w14:textId="77777777" w:rsidR="00252293" w:rsidRPr="005737F1" w:rsidRDefault="00252293" w:rsidP="00891722">
            <w:pPr>
              <w:ind w:left="447" w:hanging="425"/>
              <w:jc w:val="both"/>
              <w:rPr>
                <w:rFonts w:cstheme="minorHAnsi"/>
                <w:szCs w:val="20"/>
              </w:rPr>
            </w:pPr>
            <w:r w:rsidRPr="005737F1">
              <w:rPr>
                <w:rFonts w:cstheme="minorHAnsi"/>
                <w:szCs w:val="20"/>
              </w:rPr>
              <w:t>i</w:t>
            </w:r>
            <w:r w:rsidRPr="005737F1">
              <w:rPr>
                <w:rFonts w:cstheme="minorHAnsi"/>
                <w:szCs w:val="20"/>
              </w:rPr>
              <w:tab/>
              <w:t>How would the policy option affect MMFs’ liquidity management in normal versus stressed times?</w:t>
            </w:r>
          </w:p>
          <w:p w14:paraId="4014C02E" w14:textId="77777777" w:rsidR="00252293" w:rsidRPr="005737F1" w:rsidRDefault="00252293" w:rsidP="00891722">
            <w:pPr>
              <w:ind w:left="872" w:hanging="425"/>
              <w:jc w:val="both"/>
              <w:rPr>
                <w:rFonts w:cstheme="minorHAnsi"/>
                <w:szCs w:val="20"/>
              </w:rPr>
            </w:pPr>
            <w:r w:rsidRPr="005737F1">
              <w:rPr>
                <w:rFonts w:cstheme="minorHAnsi"/>
                <w:szCs w:val="20"/>
              </w:rPr>
              <w:t xml:space="preserve">It will not impact in normal market times as there is no additional cost to building / maintaining liquidity in the portfolio. </w:t>
            </w:r>
          </w:p>
          <w:p w14:paraId="771D7196" w14:textId="77777777" w:rsidR="00252293" w:rsidRPr="005737F1" w:rsidRDefault="00252293" w:rsidP="00891722">
            <w:pPr>
              <w:ind w:left="447" w:hanging="447"/>
              <w:jc w:val="both"/>
              <w:rPr>
                <w:rFonts w:cstheme="minorHAnsi"/>
                <w:szCs w:val="20"/>
              </w:rPr>
            </w:pPr>
          </w:p>
        </w:tc>
      </w:tr>
      <w:tr w:rsidR="00252293" w:rsidRPr="005737F1" w14:paraId="33A0C2EE" w14:textId="77777777" w:rsidTr="00252293">
        <w:tc>
          <w:tcPr>
            <w:tcW w:w="9016" w:type="dxa"/>
          </w:tcPr>
          <w:p w14:paraId="49087392" w14:textId="77777777" w:rsidR="00252293" w:rsidRPr="005737F1" w:rsidRDefault="00252293" w:rsidP="00891722">
            <w:pPr>
              <w:ind w:left="447" w:hanging="447"/>
              <w:jc w:val="both"/>
              <w:rPr>
                <w:rFonts w:cstheme="minorHAnsi"/>
                <w:szCs w:val="20"/>
              </w:rPr>
            </w:pPr>
            <w:r w:rsidRPr="005737F1">
              <w:rPr>
                <w:rFonts w:cstheme="minorHAnsi"/>
                <w:szCs w:val="20"/>
              </w:rPr>
              <w:t>ii</w:t>
            </w:r>
            <w:r w:rsidRPr="005737F1">
              <w:rPr>
                <w:rFonts w:cstheme="minorHAnsi"/>
                <w:szCs w:val="20"/>
              </w:rPr>
              <w:tab/>
              <w:t>How would it impact the ability or willingness of MMFs to invest in short-term funding instruments or use the repo market?</w:t>
            </w:r>
          </w:p>
          <w:p w14:paraId="64468925" w14:textId="77777777" w:rsidR="00252293" w:rsidRPr="005737F1" w:rsidRDefault="00252293" w:rsidP="00891722">
            <w:pPr>
              <w:ind w:left="894" w:hanging="447"/>
              <w:jc w:val="both"/>
              <w:rPr>
                <w:rFonts w:cstheme="minorHAnsi"/>
                <w:szCs w:val="20"/>
              </w:rPr>
            </w:pPr>
            <w:r w:rsidRPr="005737F1">
              <w:rPr>
                <w:rFonts w:cstheme="minorHAnsi"/>
                <w:szCs w:val="20"/>
              </w:rPr>
              <w:t xml:space="preserve">In themselves they will not materially change the appetite of MMFs to invest in short-term funding and repo markets. They may improve the ability of MMFs to continue to invest in short-term funding markets during a wider market dislocation. If the size of MMFs were to reduce it would impact the level of their investment in short-term funding and repo markets which would be detrimental. </w:t>
            </w:r>
          </w:p>
          <w:p w14:paraId="010839DF" w14:textId="77777777" w:rsidR="00252293" w:rsidRPr="005737F1" w:rsidRDefault="00252293" w:rsidP="00891722">
            <w:pPr>
              <w:pStyle w:val="ListParagraph"/>
              <w:jc w:val="both"/>
              <w:rPr>
                <w:rFonts w:cstheme="minorHAnsi"/>
                <w:szCs w:val="20"/>
              </w:rPr>
            </w:pPr>
          </w:p>
        </w:tc>
      </w:tr>
      <w:tr w:rsidR="00252293" w:rsidRPr="005737F1" w14:paraId="2EF0A494" w14:textId="77777777" w:rsidTr="00252293">
        <w:tc>
          <w:tcPr>
            <w:tcW w:w="9016" w:type="dxa"/>
          </w:tcPr>
          <w:p w14:paraId="0A2FDF33" w14:textId="77777777" w:rsidR="00252293" w:rsidRPr="005737F1" w:rsidRDefault="00252293" w:rsidP="00891722">
            <w:pPr>
              <w:tabs>
                <w:tab w:val="left" w:pos="447"/>
              </w:tabs>
              <w:jc w:val="both"/>
              <w:rPr>
                <w:rFonts w:cstheme="minorHAnsi"/>
                <w:b/>
                <w:bCs/>
                <w:szCs w:val="20"/>
              </w:rPr>
            </w:pPr>
            <w:r w:rsidRPr="005737F1">
              <w:rPr>
                <w:rFonts w:cstheme="minorHAnsi"/>
                <w:b/>
                <w:bCs/>
                <w:szCs w:val="20"/>
              </w:rPr>
              <w:t>IV</w:t>
            </w:r>
            <w:r w:rsidRPr="005737F1">
              <w:rPr>
                <w:rFonts w:cstheme="minorHAnsi"/>
                <w:b/>
                <w:bCs/>
                <w:szCs w:val="20"/>
              </w:rPr>
              <w:tab/>
              <w:t>Broader Impacts on the Stability and Functioning of Short-term Funding Markets</w:t>
            </w:r>
          </w:p>
          <w:p w14:paraId="69925C6D" w14:textId="77777777" w:rsidR="00252293" w:rsidRPr="005737F1" w:rsidRDefault="00252293" w:rsidP="00891722">
            <w:pPr>
              <w:tabs>
                <w:tab w:val="left" w:pos="447"/>
              </w:tabs>
              <w:jc w:val="both"/>
              <w:rPr>
                <w:rFonts w:cstheme="minorHAnsi"/>
                <w:b/>
                <w:bCs/>
                <w:szCs w:val="20"/>
              </w:rPr>
            </w:pPr>
          </w:p>
        </w:tc>
      </w:tr>
      <w:tr w:rsidR="00252293" w:rsidRPr="005737F1" w14:paraId="317F0E73" w14:textId="77777777" w:rsidTr="00252293">
        <w:trPr>
          <w:trHeight w:val="416"/>
        </w:trPr>
        <w:tc>
          <w:tcPr>
            <w:tcW w:w="9016" w:type="dxa"/>
          </w:tcPr>
          <w:p w14:paraId="60E69994" w14:textId="77777777" w:rsidR="00252293" w:rsidRPr="005737F1" w:rsidRDefault="00252293" w:rsidP="00891722">
            <w:pPr>
              <w:tabs>
                <w:tab w:val="left" w:pos="164"/>
                <w:tab w:val="left" w:pos="447"/>
              </w:tabs>
              <w:ind w:left="447" w:hanging="447"/>
              <w:rPr>
                <w:rFonts w:cstheme="minorHAnsi"/>
                <w:szCs w:val="20"/>
              </w:rPr>
            </w:pPr>
            <w:r w:rsidRPr="005737F1">
              <w:rPr>
                <w:rFonts w:cstheme="minorHAnsi"/>
                <w:szCs w:val="20"/>
              </w:rPr>
              <w:t>We support Liquidity Management mechanisms that ensure that redeeming investors cover the cost of redemptions in the fund and remaining investors are not impacted.  We proposed that Liquidity Fees are the most appropriate mechanism to achieve this as they maintain the utility of MMFs.  There is a significant risk that investors migrate away from MMFs into bank deposits or into other non- transparent or regulated parts of the market</w:t>
            </w:r>
          </w:p>
          <w:p w14:paraId="099EBE7A" w14:textId="77777777" w:rsidR="00252293" w:rsidRPr="005737F1" w:rsidRDefault="00252293" w:rsidP="00891722">
            <w:pPr>
              <w:tabs>
                <w:tab w:val="left" w:pos="164"/>
                <w:tab w:val="left" w:pos="447"/>
              </w:tabs>
              <w:ind w:left="447" w:hanging="447"/>
              <w:rPr>
                <w:rFonts w:cstheme="minorHAnsi"/>
                <w:szCs w:val="20"/>
              </w:rPr>
            </w:pPr>
          </w:p>
          <w:p w14:paraId="29FDFD87" w14:textId="77777777" w:rsidR="00252293" w:rsidRPr="005737F1" w:rsidRDefault="00252293" w:rsidP="00891722">
            <w:pPr>
              <w:tabs>
                <w:tab w:val="left" w:pos="164"/>
                <w:tab w:val="left" w:pos="447"/>
              </w:tabs>
              <w:ind w:left="447" w:hanging="447"/>
              <w:rPr>
                <w:rFonts w:cstheme="minorHAnsi"/>
                <w:szCs w:val="20"/>
              </w:rPr>
            </w:pPr>
            <w:r w:rsidRPr="005737F1">
              <w:rPr>
                <w:rFonts w:cstheme="minorHAnsi"/>
                <w:szCs w:val="20"/>
              </w:rPr>
              <w:t>i</w:t>
            </w:r>
            <w:r w:rsidRPr="005737F1">
              <w:rPr>
                <w:rFonts w:cstheme="minorHAnsi"/>
                <w:szCs w:val="20"/>
              </w:rPr>
              <w:tab/>
              <w:t>a)</w:t>
            </w:r>
            <w:r w:rsidRPr="005737F1">
              <w:rPr>
                <w:rFonts w:cstheme="minorHAnsi"/>
                <w:szCs w:val="20"/>
              </w:rPr>
              <w:tab/>
              <w:t>Where are investors likely to move if MMFs become less attractive as a result of the policy option?</w:t>
            </w:r>
          </w:p>
          <w:p w14:paraId="0FF3E828" w14:textId="050E339C" w:rsidR="00252293" w:rsidRPr="005737F1" w:rsidRDefault="00252293" w:rsidP="00891722">
            <w:pPr>
              <w:tabs>
                <w:tab w:val="left" w:pos="164"/>
                <w:tab w:val="left" w:pos="447"/>
              </w:tabs>
              <w:ind w:left="447"/>
              <w:rPr>
                <w:rFonts w:cstheme="minorHAnsi"/>
                <w:szCs w:val="20"/>
              </w:rPr>
            </w:pPr>
            <w:r w:rsidRPr="005737F1">
              <w:rPr>
                <w:rFonts w:cstheme="minorHAnsi"/>
                <w:szCs w:val="20"/>
              </w:rPr>
              <w:t xml:space="preserve">Bank deposits – this will prove problematic as there is a lack of demand amongst banks for non-operating cash.  The deposit market does not have the appetite nor capacity to absorb the liquidity currently held in MMFs. In addition, the average maturity of these deposits is likely to be shorter than that provided by MMFs as investors will focus primarily on overnight deposits to achieve the same level of liquidity as the benefits of pooling are removed from the investor. On the one hand this removes any maturity transformation but creates challenges for borrowers in the money markets who will not have access to longer term money market funding. This investor behaviour would also exacerbate the lack of demand for deposits </w:t>
            </w:r>
            <w:r w:rsidR="0088346A" w:rsidRPr="005737F1">
              <w:rPr>
                <w:rFonts w:cstheme="minorHAnsi"/>
                <w:szCs w:val="20"/>
              </w:rPr>
              <w:t xml:space="preserve">from banks </w:t>
            </w:r>
            <w:r w:rsidRPr="005737F1">
              <w:rPr>
                <w:rFonts w:cstheme="minorHAnsi"/>
                <w:szCs w:val="20"/>
              </w:rPr>
              <w:t xml:space="preserve">which is most acute in very short-term deposits. </w:t>
            </w:r>
          </w:p>
          <w:p w14:paraId="1B1DFE48" w14:textId="77777777" w:rsidR="00252293" w:rsidRPr="005737F1" w:rsidRDefault="00252293" w:rsidP="00891722">
            <w:pPr>
              <w:tabs>
                <w:tab w:val="left" w:pos="164"/>
                <w:tab w:val="left" w:pos="447"/>
              </w:tabs>
              <w:ind w:left="447"/>
              <w:rPr>
                <w:rFonts w:cstheme="minorHAnsi"/>
                <w:szCs w:val="20"/>
              </w:rPr>
            </w:pPr>
            <w:r w:rsidRPr="005737F1">
              <w:rPr>
                <w:rFonts w:cstheme="minorHAnsi"/>
                <w:szCs w:val="20"/>
              </w:rPr>
              <w:t xml:space="preserve">Segregated mandates – a mandate managed solely on behalf of a single investor. </w:t>
            </w:r>
          </w:p>
          <w:p w14:paraId="68B0C906" w14:textId="77777777" w:rsidR="00252293" w:rsidRPr="005737F1" w:rsidRDefault="00252293" w:rsidP="00891722">
            <w:pPr>
              <w:tabs>
                <w:tab w:val="left" w:pos="164"/>
                <w:tab w:val="left" w:pos="447"/>
              </w:tabs>
              <w:ind w:left="447"/>
              <w:rPr>
                <w:rFonts w:cstheme="minorHAnsi"/>
                <w:szCs w:val="20"/>
              </w:rPr>
            </w:pPr>
          </w:p>
          <w:p w14:paraId="611CE636" w14:textId="77777777" w:rsidR="00252293" w:rsidRPr="005737F1" w:rsidRDefault="00252293" w:rsidP="00891722">
            <w:pPr>
              <w:tabs>
                <w:tab w:val="left" w:pos="164"/>
                <w:tab w:val="left" w:pos="447"/>
              </w:tabs>
              <w:ind w:left="447"/>
              <w:rPr>
                <w:rFonts w:cstheme="minorHAnsi"/>
                <w:szCs w:val="20"/>
              </w:rPr>
            </w:pPr>
            <w:r w:rsidRPr="005737F1">
              <w:rPr>
                <w:rFonts w:cstheme="minorHAnsi"/>
                <w:szCs w:val="20"/>
              </w:rPr>
              <w:t xml:space="preserve">For investors that need to raise liquidity during a period of market stress if they are invested in a deposit or a segregated mandate neither will change their behaviour or market impact when compared to them being invested in an MMF. The investor will look to break a deposit or close the segregated mandate requiring the sale of assets. The impact on short-term funding markets will be the same as if the investor was invested in an MMF. However, if the liquidity profile of the investors deposits or segregated mandate is lower than that of an MMF it would exacerbate the issue as more deposits would need to be ‘broken’ or assets sold.  </w:t>
            </w:r>
            <w:r w:rsidRPr="005737F1">
              <w:rPr>
                <w:rFonts w:cstheme="minorHAnsi"/>
                <w:szCs w:val="20"/>
              </w:rPr>
              <w:br/>
            </w:r>
          </w:p>
          <w:p w14:paraId="2CB88933" w14:textId="77777777" w:rsidR="00252293" w:rsidRPr="005737F1" w:rsidRDefault="00252293" w:rsidP="00891722">
            <w:pPr>
              <w:tabs>
                <w:tab w:val="left" w:pos="164"/>
                <w:tab w:val="left" w:pos="447"/>
              </w:tabs>
              <w:ind w:left="447" w:hanging="447"/>
              <w:rPr>
                <w:rFonts w:cstheme="minorHAnsi"/>
                <w:szCs w:val="20"/>
              </w:rPr>
            </w:pPr>
            <w:r w:rsidRPr="005737F1">
              <w:rPr>
                <w:rFonts w:cstheme="minorHAnsi"/>
                <w:szCs w:val="20"/>
              </w:rPr>
              <w:lastRenderedPageBreak/>
              <w:tab/>
              <w:t>b)</w:t>
            </w:r>
            <w:r w:rsidRPr="005737F1">
              <w:rPr>
                <w:rFonts w:cstheme="minorHAnsi"/>
                <w:szCs w:val="20"/>
              </w:rPr>
              <w:tab/>
              <w:t>Do these substitutes have vulnerabilities to runs?</w:t>
            </w:r>
          </w:p>
          <w:p w14:paraId="3E742C5D" w14:textId="77777777" w:rsidR="00252293" w:rsidRPr="005737F1" w:rsidRDefault="00252293" w:rsidP="00290E98">
            <w:pPr>
              <w:pStyle w:val="ListParagraph"/>
              <w:numPr>
                <w:ilvl w:val="0"/>
                <w:numId w:val="47"/>
              </w:numPr>
              <w:tabs>
                <w:tab w:val="left" w:pos="164"/>
                <w:tab w:val="left" w:pos="447"/>
              </w:tabs>
              <w:rPr>
                <w:rFonts w:cstheme="minorHAnsi"/>
                <w:szCs w:val="20"/>
              </w:rPr>
            </w:pPr>
            <w:r w:rsidRPr="005737F1">
              <w:rPr>
                <w:rFonts w:cstheme="minorHAnsi"/>
                <w:szCs w:val="20"/>
              </w:rPr>
              <w:t xml:space="preserve">Investor needs for liquidity will remain the same regardless of whether that holding is in a MMF or held elsewhere throughout the system.  Consequently, the pressure on the system as a whole will persist but it may now sit in multiple less transparent parts of the system.  Investors will not hold minimum liquidity levels or be able to net off against subscriptions coming from other sectors (e.g. retail flows were positive thereby netting off flows from e.g. airlines or margin calls). </w:t>
            </w:r>
          </w:p>
          <w:p w14:paraId="09D6C687" w14:textId="77777777" w:rsidR="00252293" w:rsidRPr="005737F1" w:rsidRDefault="00252293" w:rsidP="00891722">
            <w:pPr>
              <w:tabs>
                <w:tab w:val="left" w:pos="164"/>
                <w:tab w:val="left" w:pos="447"/>
              </w:tabs>
              <w:rPr>
                <w:rFonts w:cstheme="minorHAnsi"/>
                <w:szCs w:val="20"/>
              </w:rPr>
            </w:pPr>
            <w:r w:rsidRPr="005737F1">
              <w:rPr>
                <w:rFonts w:cstheme="minorHAnsi"/>
                <w:szCs w:val="20"/>
              </w:rPr>
              <w:tab/>
              <w:t>c)</w:t>
            </w:r>
            <w:r w:rsidRPr="005737F1">
              <w:rPr>
                <w:rFonts w:cstheme="minorHAnsi"/>
                <w:szCs w:val="20"/>
              </w:rPr>
              <w:tab/>
              <w:t>Are they transparent to investors and regulators?</w:t>
            </w:r>
          </w:p>
          <w:p w14:paraId="0F8ADB40" w14:textId="77777777" w:rsidR="00252293" w:rsidRPr="005737F1" w:rsidRDefault="00252293" w:rsidP="00290E98">
            <w:pPr>
              <w:pStyle w:val="ListParagraph"/>
              <w:numPr>
                <w:ilvl w:val="0"/>
                <w:numId w:val="46"/>
              </w:numPr>
              <w:tabs>
                <w:tab w:val="left" w:pos="164"/>
                <w:tab w:val="left" w:pos="447"/>
              </w:tabs>
              <w:rPr>
                <w:rFonts w:cstheme="minorHAnsi"/>
                <w:szCs w:val="20"/>
              </w:rPr>
            </w:pPr>
            <w:r w:rsidRPr="005737F1">
              <w:rPr>
                <w:rFonts w:cstheme="minorHAnsi"/>
                <w:szCs w:val="20"/>
              </w:rPr>
              <w:t xml:space="preserve">Clearly, bank deposits are but other forms such as segregated mandates or direct holdings by investors are not. </w:t>
            </w:r>
          </w:p>
          <w:p w14:paraId="5D09CE2F" w14:textId="77777777" w:rsidR="00252293" w:rsidRPr="005737F1" w:rsidRDefault="00252293" w:rsidP="00290E98">
            <w:pPr>
              <w:pStyle w:val="ListParagraph"/>
              <w:numPr>
                <w:ilvl w:val="0"/>
                <w:numId w:val="46"/>
              </w:numPr>
              <w:tabs>
                <w:tab w:val="left" w:pos="164"/>
                <w:tab w:val="left" w:pos="447"/>
              </w:tabs>
              <w:rPr>
                <w:rFonts w:cstheme="minorHAnsi"/>
                <w:szCs w:val="20"/>
              </w:rPr>
            </w:pPr>
            <w:r w:rsidRPr="005737F1">
              <w:rPr>
                <w:rFonts w:cstheme="minorHAnsi"/>
                <w:szCs w:val="20"/>
              </w:rPr>
              <w:t xml:space="preserve">Under the assumption that banks will not want all of these deposits cash may move to down the credit curve or to non-regulated places which is likely to exacerbate systematic risk. </w:t>
            </w:r>
          </w:p>
          <w:p w14:paraId="5C37DA28" w14:textId="77777777" w:rsidR="00252293" w:rsidRPr="005737F1" w:rsidRDefault="00252293" w:rsidP="00891722">
            <w:pPr>
              <w:tabs>
                <w:tab w:val="left" w:pos="164"/>
                <w:tab w:val="left" w:pos="447"/>
              </w:tabs>
              <w:rPr>
                <w:rFonts w:cstheme="minorHAnsi"/>
                <w:szCs w:val="20"/>
              </w:rPr>
            </w:pPr>
            <w:r w:rsidRPr="005737F1">
              <w:rPr>
                <w:rFonts w:cstheme="minorHAnsi"/>
                <w:szCs w:val="20"/>
              </w:rPr>
              <w:tab/>
              <w:t>d)</w:t>
            </w:r>
            <w:r w:rsidRPr="005737F1">
              <w:rPr>
                <w:rFonts w:cstheme="minorHAnsi"/>
                <w:szCs w:val="20"/>
              </w:rPr>
              <w:tab/>
              <w:t>Are they regulated?</w:t>
            </w:r>
          </w:p>
          <w:p w14:paraId="65B91EC0" w14:textId="77777777" w:rsidR="00252293" w:rsidRPr="005737F1" w:rsidRDefault="00252293" w:rsidP="00290E98">
            <w:pPr>
              <w:pStyle w:val="ListParagraph"/>
              <w:numPr>
                <w:ilvl w:val="0"/>
                <w:numId w:val="45"/>
              </w:numPr>
              <w:tabs>
                <w:tab w:val="left" w:pos="164"/>
                <w:tab w:val="left" w:pos="447"/>
              </w:tabs>
              <w:rPr>
                <w:rFonts w:cstheme="minorHAnsi"/>
                <w:szCs w:val="20"/>
              </w:rPr>
            </w:pPr>
            <w:r w:rsidRPr="005737F1">
              <w:rPr>
                <w:rFonts w:cstheme="minorHAnsi"/>
                <w:szCs w:val="20"/>
              </w:rPr>
              <w:t>Direct investments may not.</w:t>
            </w:r>
          </w:p>
          <w:p w14:paraId="09DD8D03" w14:textId="77777777" w:rsidR="00252293" w:rsidRPr="005737F1" w:rsidRDefault="00252293" w:rsidP="00290E98">
            <w:pPr>
              <w:pStyle w:val="ListParagraph"/>
              <w:numPr>
                <w:ilvl w:val="0"/>
                <w:numId w:val="45"/>
              </w:numPr>
              <w:tabs>
                <w:tab w:val="left" w:pos="164"/>
                <w:tab w:val="left" w:pos="447"/>
              </w:tabs>
              <w:rPr>
                <w:rFonts w:cstheme="minorHAnsi"/>
                <w:szCs w:val="20"/>
              </w:rPr>
            </w:pPr>
            <w:r w:rsidRPr="005737F1">
              <w:rPr>
                <w:rFonts w:cstheme="minorHAnsi"/>
                <w:szCs w:val="20"/>
              </w:rPr>
              <w:t>Segregated mandates are not a regulated vehicle and will be less transparent</w:t>
            </w:r>
          </w:p>
          <w:p w14:paraId="137756BA" w14:textId="77777777" w:rsidR="00252293" w:rsidRPr="005737F1" w:rsidRDefault="00252293" w:rsidP="00891722">
            <w:pPr>
              <w:pStyle w:val="ListParagraph"/>
              <w:tabs>
                <w:tab w:val="left" w:pos="164"/>
                <w:tab w:val="left" w:pos="447"/>
              </w:tabs>
              <w:rPr>
                <w:rFonts w:cstheme="minorHAnsi"/>
                <w:szCs w:val="20"/>
              </w:rPr>
            </w:pPr>
          </w:p>
          <w:p w14:paraId="6446DE9B" w14:textId="77777777" w:rsidR="00252293" w:rsidRPr="005737F1" w:rsidRDefault="00252293" w:rsidP="00891722">
            <w:pPr>
              <w:tabs>
                <w:tab w:val="left" w:pos="164"/>
                <w:tab w:val="left" w:pos="447"/>
              </w:tabs>
              <w:rPr>
                <w:rFonts w:cstheme="minorHAnsi"/>
                <w:szCs w:val="20"/>
              </w:rPr>
            </w:pPr>
            <w:r w:rsidRPr="005737F1">
              <w:rPr>
                <w:rFonts w:cstheme="minorHAnsi"/>
                <w:szCs w:val="20"/>
              </w:rPr>
              <w:tab/>
              <w:t>e)</w:t>
            </w:r>
            <w:r w:rsidRPr="005737F1">
              <w:rPr>
                <w:rFonts w:cstheme="minorHAnsi"/>
                <w:szCs w:val="20"/>
              </w:rPr>
              <w:tab/>
              <w:t>Do they embed more risks for investors (e.g., counterparty risk) or be more costly?</w:t>
            </w:r>
          </w:p>
          <w:p w14:paraId="0DD6D3A0" w14:textId="77777777" w:rsidR="00252293" w:rsidRPr="005737F1" w:rsidRDefault="00252293" w:rsidP="00891722">
            <w:pPr>
              <w:tabs>
                <w:tab w:val="left" w:pos="164"/>
                <w:tab w:val="left" w:pos="447"/>
              </w:tabs>
              <w:ind w:left="360"/>
              <w:rPr>
                <w:rFonts w:cstheme="minorHAnsi"/>
                <w:szCs w:val="20"/>
              </w:rPr>
            </w:pPr>
            <w:r w:rsidRPr="005737F1">
              <w:rPr>
                <w:rFonts w:cstheme="minorHAnsi"/>
                <w:szCs w:val="20"/>
              </w:rPr>
              <w:t xml:space="preserve">We expect it will do both for investors. </w:t>
            </w:r>
          </w:p>
          <w:p w14:paraId="05816982" w14:textId="77777777" w:rsidR="00252293" w:rsidRPr="005737F1" w:rsidRDefault="00252293" w:rsidP="00290E98">
            <w:pPr>
              <w:pStyle w:val="ListParagraph"/>
              <w:numPr>
                <w:ilvl w:val="0"/>
                <w:numId w:val="48"/>
              </w:numPr>
              <w:tabs>
                <w:tab w:val="left" w:pos="164"/>
                <w:tab w:val="left" w:pos="447"/>
              </w:tabs>
              <w:rPr>
                <w:rFonts w:cstheme="minorHAnsi"/>
                <w:szCs w:val="20"/>
              </w:rPr>
            </w:pPr>
            <w:r w:rsidRPr="005737F1">
              <w:rPr>
                <w:rFonts w:cstheme="minorHAnsi"/>
                <w:szCs w:val="20"/>
              </w:rPr>
              <w:t xml:space="preserve">Expertise and cost – investors outsource their cash management expertise to MMFs who can provide a low-risk alternative to taking single name exposure to banks.   </w:t>
            </w:r>
          </w:p>
          <w:p w14:paraId="50B96589" w14:textId="77777777" w:rsidR="00252293" w:rsidRPr="005737F1" w:rsidRDefault="00252293" w:rsidP="00290E98">
            <w:pPr>
              <w:pStyle w:val="ListParagraph"/>
              <w:numPr>
                <w:ilvl w:val="0"/>
                <w:numId w:val="48"/>
              </w:numPr>
              <w:tabs>
                <w:tab w:val="left" w:pos="164"/>
                <w:tab w:val="left" w:pos="447"/>
              </w:tabs>
              <w:rPr>
                <w:rFonts w:cstheme="minorHAnsi"/>
                <w:szCs w:val="20"/>
              </w:rPr>
            </w:pPr>
            <w:r w:rsidRPr="005737F1">
              <w:rPr>
                <w:rFonts w:cstheme="minorHAnsi"/>
                <w:szCs w:val="20"/>
              </w:rPr>
              <w:t xml:space="preserve">Investors who are of sufficient size and scale may be able to access the market directly and the dealer community will be impacted by the higher volume of investors transacting in smaller trade sizes which we expect this will increase costs for both investors and dealers. </w:t>
            </w:r>
          </w:p>
          <w:p w14:paraId="73791348" w14:textId="77777777" w:rsidR="00252293" w:rsidRPr="005737F1" w:rsidRDefault="00252293" w:rsidP="00290E98">
            <w:pPr>
              <w:pStyle w:val="ListParagraph"/>
              <w:numPr>
                <w:ilvl w:val="0"/>
                <w:numId w:val="48"/>
              </w:numPr>
              <w:tabs>
                <w:tab w:val="left" w:pos="164"/>
                <w:tab w:val="left" w:pos="447"/>
              </w:tabs>
              <w:rPr>
                <w:rFonts w:cstheme="minorHAnsi"/>
                <w:szCs w:val="20"/>
              </w:rPr>
            </w:pPr>
            <w:r w:rsidRPr="005737F1">
              <w:rPr>
                <w:rFonts w:cstheme="minorHAnsi"/>
                <w:szCs w:val="20"/>
              </w:rPr>
              <w:t xml:space="preserve">For smaller investors who cannot access the market, they will be forced to take higher concentrated exposure to single names banks.  In the event that banks do not have appetite for their deposits, investors may be forced to place deposits with second tier banks.  </w:t>
            </w:r>
          </w:p>
          <w:p w14:paraId="06E59B2F" w14:textId="77777777" w:rsidR="00252293" w:rsidRPr="005737F1" w:rsidRDefault="00252293" w:rsidP="00891722">
            <w:pPr>
              <w:tabs>
                <w:tab w:val="left" w:pos="164"/>
                <w:tab w:val="left" w:pos="447"/>
              </w:tabs>
              <w:rPr>
                <w:rFonts w:cstheme="minorHAnsi"/>
                <w:szCs w:val="20"/>
              </w:rPr>
            </w:pPr>
          </w:p>
        </w:tc>
      </w:tr>
      <w:tr w:rsidR="00252293" w:rsidRPr="005737F1" w14:paraId="3A53622E" w14:textId="77777777" w:rsidTr="00252293">
        <w:trPr>
          <w:trHeight w:val="1495"/>
        </w:trPr>
        <w:tc>
          <w:tcPr>
            <w:tcW w:w="9016" w:type="dxa"/>
          </w:tcPr>
          <w:p w14:paraId="725A2A57" w14:textId="77777777" w:rsidR="00252293" w:rsidRPr="005737F1" w:rsidRDefault="00252293" w:rsidP="00891722">
            <w:pPr>
              <w:tabs>
                <w:tab w:val="left" w:pos="164"/>
                <w:tab w:val="left" w:pos="447"/>
              </w:tabs>
              <w:ind w:left="447" w:hanging="447"/>
              <w:jc w:val="both"/>
              <w:rPr>
                <w:rFonts w:cstheme="minorHAnsi"/>
                <w:szCs w:val="20"/>
              </w:rPr>
            </w:pPr>
            <w:r w:rsidRPr="005737F1">
              <w:rPr>
                <w:rFonts w:cstheme="minorHAnsi"/>
                <w:szCs w:val="20"/>
              </w:rPr>
              <w:lastRenderedPageBreak/>
              <w:t>ii</w:t>
            </w:r>
            <w:r w:rsidRPr="005737F1">
              <w:rPr>
                <w:rFonts w:cstheme="minorHAnsi"/>
                <w:szCs w:val="20"/>
              </w:rPr>
              <w:tab/>
              <w:t>a)</w:t>
            </w:r>
            <w:r w:rsidRPr="005737F1">
              <w:rPr>
                <w:rFonts w:cstheme="minorHAnsi"/>
                <w:szCs w:val="20"/>
              </w:rPr>
              <w:tab/>
              <w:t>What alternative sources of short-term funding are available for borrowers that currently rely on MMFs for financing?</w:t>
            </w:r>
            <w:r w:rsidRPr="005737F1">
              <w:rPr>
                <w:rFonts w:cstheme="minorHAnsi"/>
                <w:szCs w:val="20"/>
              </w:rPr>
              <w:tab/>
            </w:r>
          </w:p>
          <w:p w14:paraId="08174046" w14:textId="77777777" w:rsidR="00252293" w:rsidRPr="005737F1" w:rsidRDefault="00252293" w:rsidP="00290E98">
            <w:pPr>
              <w:pStyle w:val="ListParagraph"/>
              <w:numPr>
                <w:ilvl w:val="0"/>
                <w:numId w:val="49"/>
              </w:numPr>
              <w:tabs>
                <w:tab w:val="left" w:pos="164"/>
                <w:tab w:val="left" w:pos="447"/>
              </w:tabs>
              <w:jc w:val="both"/>
              <w:rPr>
                <w:rFonts w:cstheme="minorHAnsi"/>
                <w:szCs w:val="20"/>
              </w:rPr>
            </w:pPr>
            <w:r w:rsidRPr="005737F1">
              <w:rPr>
                <w:rFonts w:cstheme="minorHAnsi"/>
                <w:szCs w:val="20"/>
              </w:rPr>
              <w:t>The deep pool of liquidity created by MMFs is a vital source of funding to a wide range of short-term issuers including banks, sovereigns, supra-nationals, agencies, corporates and other financial institutions. These issuers are able to borrow through the CP, CD or bill markets by tapping into demand from MMFs. Such short-term debt is easily accessed, attractively priced and flexible, allowing issuers to manage fluctuating or seasonal cash flow and working capital requirements at competitive funding levels, and also to diversify their investor base. For most investment grade non-financial borrowers this is more efficient than bank borrowing. For banks themselves it provides an efficient means of financing trading books and is a crucial alternative source of funding. It is unrealistic to expect an alternative source of finance for these issuers which would allow the same ease of access, cost efficiency and flexibility. Alternatives are limited and less adapted to an issuer’s needs.</w:t>
            </w:r>
          </w:p>
          <w:p w14:paraId="7F0969DC" w14:textId="597FAA7E" w:rsidR="00252293" w:rsidRPr="005737F1" w:rsidRDefault="00252293" w:rsidP="00290E98">
            <w:pPr>
              <w:pStyle w:val="ListParagraph"/>
              <w:numPr>
                <w:ilvl w:val="0"/>
                <w:numId w:val="49"/>
              </w:numPr>
              <w:tabs>
                <w:tab w:val="left" w:pos="164"/>
                <w:tab w:val="left" w:pos="447"/>
              </w:tabs>
              <w:jc w:val="both"/>
              <w:rPr>
                <w:rFonts w:cstheme="minorHAnsi"/>
                <w:szCs w:val="20"/>
              </w:rPr>
            </w:pPr>
            <w:r w:rsidRPr="005737F1">
              <w:rPr>
                <w:rFonts w:cstheme="minorHAnsi"/>
                <w:szCs w:val="20"/>
              </w:rPr>
              <w:t>As noted by ESMA, non-public MMFs hold substantial amounts of bank paper. This funding cannot readily be replaced so in our view any suppression of MMFs would result in a reduction of the flow of private credit. Whilst banks may be able to source more funding through the US CP market by issuing US CP or Yankee CDs, this funding is subject to foreign exchange (FX) risk if not being used to fund USD assets (i.e., Euro funding becomes subject to FX cross-currency risk</w:t>
            </w:r>
            <w:r w:rsidR="0088346A" w:rsidRPr="005737F1">
              <w:rPr>
                <w:rFonts w:cstheme="minorHAnsi"/>
                <w:szCs w:val="20"/>
              </w:rPr>
              <w:t>)</w:t>
            </w:r>
            <w:r w:rsidRPr="005737F1">
              <w:rPr>
                <w:rFonts w:cstheme="minorHAnsi"/>
                <w:szCs w:val="20"/>
              </w:rPr>
              <w:t>. Smaller European banks are likely to fund at better levels in Europe than in the US where investors demand a very regular market presence and high volumes and where smaller issuers would lack name recognition.</w:t>
            </w:r>
          </w:p>
          <w:p w14:paraId="272F121D" w14:textId="77777777" w:rsidR="00252293" w:rsidRPr="005737F1" w:rsidRDefault="00252293" w:rsidP="00290E98">
            <w:pPr>
              <w:pStyle w:val="ListParagraph"/>
              <w:numPr>
                <w:ilvl w:val="0"/>
                <w:numId w:val="49"/>
              </w:numPr>
              <w:tabs>
                <w:tab w:val="left" w:pos="164"/>
                <w:tab w:val="left" w:pos="447"/>
              </w:tabs>
              <w:jc w:val="both"/>
              <w:rPr>
                <w:rFonts w:cstheme="minorHAnsi"/>
                <w:szCs w:val="20"/>
              </w:rPr>
            </w:pPr>
            <w:r w:rsidRPr="005737F1">
              <w:rPr>
                <w:rFonts w:cstheme="minorHAnsi"/>
                <w:szCs w:val="20"/>
              </w:rPr>
              <w:t>Non-financials would have to fund through banks which is inefficient and expensive. Such bank intermediation also goes against Capital Markets Union which seeks to diversify funding sources. The above comments on access to the US CP being subject to certain requirements such as size, regularity and name recognition, are also true for non-financials and are likely to be more acute in the case of non-financial issuers who will be smaller.</w:t>
            </w:r>
          </w:p>
          <w:p w14:paraId="53D6994F" w14:textId="77777777" w:rsidR="00252293" w:rsidRPr="005737F1" w:rsidRDefault="00252293" w:rsidP="00290E98">
            <w:pPr>
              <w:pStyle w:val="ListParagraph"/>
              <w:numPr>
                <w:ilvl w:val="0"/>
                <w:numId w:val="49"/>
              </w:numPr>
              <w:tabs>
                <w:tab w:val="left" w:pos="164"/>
                <w:tab w:val="left" w:pos="447"/>
              </w:tabs>
              <w:jc w:val="both"/>
              <w:rPr>
                <w:rFonts w:cstheme="minorHAnsi"/>
                <w:szCs w:val="20"/>
              </w:rPr>
            </w:pPr>
            <w:r w:rsidRPr="005737F1">
              <w:rPr>
                <w:rFonts w:cstheme="minorHAnsi"/>
                <w:szCs w:val="20"/>
              </w:rPr>
              <w:t xml:space="preserve">Some highly rated non-financials have lower funding costs than banks due to their scarcity value and credit quality. This means that if they depend on banks, they will have to pay higher margins to borrow. </w:t>
            </w:r>
          </w:p>
          <w:p w14:paraId="6AC43D12" w14:textId="77777777" w:rsidR="00252293" w:rsidRPr="005737F1" w:rsidRDefault="00252293" w:rsidP="00290E98">
            <w:pPr>
              <w:pStyle w:val="ListParagraph"/>
              <w:numPr>
                <w:ilvl w:val="0"/>
                <w:numId w:val="49"/>
              </w:numPr>
              <w:tabs>
                <w:tab w:val="left" w:pos="164"/>
                <w:tab w:val="left" w:pos="447"/>
              </w:tabs>
              <w:jc w:val="both"/>
              <w:rPr>
                <w:rFonts w:cstheme="minorHAnsi"/>
                <w:szCs w:val="20"/>
              </w:rPr>
            </w:pPr>
            <w:r w:rsidRPr="005737F1">
              <w:rPr>
                <w:rFonts w:cstheme="minorHAnsi"/>
                <w:szCs w:val="20"/>
              </w:rPr>
              <w:t>This is particularly true for other non-financial categories such as governments, state agencies and supra-nationals. These also have lower funding costs than banks, so, again, will be penalised if dependent on bank borrowing.</w:t>
            </w:r>
          </w:p>
          <w:p w14:paraId="0567BF6C" w14:textId="77777777" w:rsidR="00252293" w:rsidRPr="005737F1" w:rsidRDefault="00252293" w:rsidP="00290E98">
            <w:pPr>
              <w:pStyle w:val="ListParagraph"/>
              <w:numPr>
                <w:ilvl w:val="0"/>
                <w:numId w:val="49"/>
              </w:numPr>
              <w:tabs>
                <w:tab w:val="left" w:pos="164"/>
                <w:tab w:val="left" w:pos="447"/>
              </w:tabs>
              <w:jc w:val="both"/>
              <w:rPr>
                <w:rFonts w:cstheme="minorHAnsi"/>
                <w:szCs w:val="20"/>
              </w:rPr>
            </w:pPr>
            <w:r w:rsidRPr="005737F1">
              <w:rPr>
                <w:rFonts w:cstheme="minorHAnsi"/>
                <w:szCs w:val="20"/>
              </w:rPr>
              <w:t>These issuers would have to fund in the longer-term markets which would give them significantly less flexibility and higher funding costs.</w:t>
            </w:r>
          </w:p>
          <w:p w14:paraId="78274AA7" w14:textId="77777777" w:rsidR="00252293" w:rsidRPr="005737F1" w:rsidRDefault="00252293" w:rsidP="00290E98">
            <w:pPr>
              <w:pStyle w:val="ListParagraph"/>
              <w:numPr>
                <w:ilvl w:val="0"/>
                <w:numId w:val="49"/>
              </w:numPr>
              <w:tabs>
                <w:tab w:val="left" w:pos="164"/>
                <w:tab w:val="left" w:pos="447"/>
              </w:tabs>
              <w:jc w:val="both"/>
              <w:rPr>
                <w:rFonts w:cstheme="minorHAnsi"/>
                <w:szCs w:val="20"/>
              </w:rPr>
            </w:pPr>
            <w:r w:rsidRPr="005737F1">
              <w:rPr>
                <w:rFonts w:cstheme="minorHAnsi"/>
                <w:szCs w:val="20"/>
              </w:rPr>
              <w:t xml:space="preserve">For working capital requirements such as funding receivables, non-financial issuers currently able to issue CP or, in the case of smaller companies, fund via bank sponsored ABCP programmes, may be forced to look to companies which offer supply </w:t>
            </w:r>
            <w:r w:rsidRPr="005737F1">
              <w:rPr>
                <w:rFonts w:cstheme="minorHAnsi"/>
                <w:szCs w:val="20"/>
              </w:rPr>
              <w:lastRenderedPageBreak/>
              <w:t>chain financing (such as Greensill). These companies are significantly less regulated and transparent.</w:t>
            </w:r>
          </w:p>
          <w:p w14:paraId="1667E042" w14:textId="77777777" w:rsidR="00252293" w:rsidRPr="005737F1" w:rsidRDefault="00252293" w:rsidP="00891722">
            <w:pPr>
              <w:tabs>
                <w:tab w:val="left" w:pos="164"/>
                <w:tab w:val="left" w:pos="447"/>
              </w:tabs>
              <w:ind w:left="447" w:hanging="447"/>
              <w:jc w:val="both"/>
              <w:rPr>
                <w:rFonts w:cstheme="minorHAnsi"/>
                <w:szCs w:val="20"/>
              </w:rPr>
            </w:pPr>
            <w:r w:rsidRPr="005737F1">
              <w:rPr>
                <w:rFonts w:cstheme="minorHAnsi"/>
                <w:szCs w:val="20"/>
              </w:rPr>
              <w:tab/>
              <w:t>b)</w:t>
            </w:r>
            <w:r w:rsidRPr="005737F1">
              <w:rPr>
                <w:rFonts w:cstheme="minorHAnsi"/>
                <w:szCs w:val="20"/>
              </w:rPr>
              <w:tab/>
              <w:t>Are these alternative sources more stable than MMFs at all times?</w:t>
            </w:r>
          </w:p>
          <w:p w14:paraId="2A12F38F" w14:textId="77777777" w:rsidR="00252293" w:rsidRPr="005737F1" w:rsidRDefault="00252293" w:rsidP="00290E98">
            <w:pPr>
              <w:pStyle w:val="ListParagraph"/>
              <w:numPr>
                <w:ilvl w:val="0"/>
                <w:numId w:val="49"/>
              </w:numPr>
              <w:tabs>
                <w:tab w:val="left" w:pos="164"/>
                <w:tab w:val="left" w:pos="447"/>
              </w:tabs>
              <w:jc w:val="both"/>
              <w:rPr>
                <w:rFonts w:cstheme="minorHAnsi"/>
                <w:szCs w:val="20"/>
              </w:rPr>
            </w:pPr>
            <w:r w:rsidRPr="005737F1">
              <w:rPr>
                <w:rFonts w:cstheme="minorHAnsi"/>
                <w:szCs w:val="20"/>
              </w:rPr>
              <w:t>If an investor needs to raise liquidity during a period of market stress the stability of the funding they provide will not be more stable regardless of the form of funding that is provided.</w:t>
            </w:r>
          </w:p>
          <w:p w14:paraId="3416758A" w14:textId="77777777" w:rsidR="00252293" w:rsidRPr="005737F1" w:rsidRDefault="00252293" w:rsidP="00290E98">
            <w:pPr>
              <w:pStyle w:val="ListParagraph"/>
              <w:numPr>
                <w:ilvl w:val="0"/>
                <w:numId w:val="49"/>
              </w:numPr>
              <w:tabs>
                <w:tab w:val="left" w:pos="164"/>
                <w:tab w:val="left" w:pos="447"/>
              </w:tabs>
              <w:jc w:val="both"/>
              <w:rPr>
                <w:rFonts w:cstheme="minorHAnsi"/>
                <w:szCs w:val="20"/>
              </w:rPr>
            </w:pPr>
            <w:r w:rsidRPr="005737F1">
              <w:rPr>
                <w:rFonts w:cstheme="minorHAnsi"/>
                <w:szCs w:val="20"/>
              </w:rPr>
              <w:t>Committed bank funding is stable but would be very expensive. This could ultimately be passed on to consumers.</w:t>
            </w:r>
          </w:p>
          <w:p w14:paraId="5CA7F8A3" w14:textId="77777777" w:rsidR="00252293" w:rsidRPr="005737F1" w:rsidRDefault="00252293" w:rsidP="00290E98">
            <w:pPr>
              <w:pStyle w:val="ListParagraph"/>
              <w:numPr>
                <w:ilvl w:val="0"/>
                <w:numId w:val="49"/>
              </w:numPr>
              <w:tabs>
                <w:tab w:val="left" w:pos="164"/>
                <w:tab w:val="left" w:pos="447"/>
              </w:tabs>
              <w:jc w:val="both"/>
              <w:rPr>
                <w:rFonts w:cstheme="minorHAnsi"/>
                <w:szCs w:val="20"/>
              </w:rPr>
            </w:pPr>
            <w:r w:rsidRPr="005737F1">
              <w:rPr>
                <w:rFonts w:cstheme="minorHAnsi"/>
                <w:szCs w:val="20"/>
              </w:rPr>
              <w:t>Long term funding will also be more expensive and is an inefficient method of funding short term assets such as seasonal working capital requirements or temporary operational cash needs.</w:t>
            </w:r>
          </w:p>
          <w:p w14:paraId="32FA6653" w14:textId="77777777" w:rsidR="00252293" w:rsidRPr="005737F1" w:rsidRDefault="00252293" w:rsidP="00891722">
            <w:pPr>
              <w:tabs>
                <w:tab w:val="left" w:pos="164"/>
                <w:tab w:val="left" w:pos="447"/>
              </w:tabs>
              <w:ind w:left="447" w:hanging="447"/>
              <w:jc w:val="both"/>
              <w:rPr>
                <w:rFonts w:cstheme="minorHAnsi"/>
                <w:szCs w:val="20"/>
              </w:rPr>
            </w:pPr>
          </w:p>
          <w:p w14:paraId="4B344136" w14:textId="77777777" w:rsidR="00252293" w:rsidRPr="005737F1" w:rsidRDefault="00252293" w:rsidP="00891722">
            <w:pPr>
              <w:tabs>
                <w:tab w:val="left" w:pos="164"/>
                <w:tab w:val="left" w:pos="447"/>
              </w:tabs>
              <w:ind w:left="447" w:hanging="447"/>
              <w:jc w:val="both"/>
              <w:rPr>
                <w:rFonts w:cstheme="minorHAnsi"/>
                <w:szCs w:val="20"/>
              </w:rPr>
            </w:pPr>
            <w:r w:rsidRPr="005737F1">
              <w:rPr>
                <w:rFonts w:cstheme="minorHAnsi"/>
                <w:szCs w:val="20"/>
              </w:rPr>
              <w:tab/>
              <w:t>c)</w:t>
            </w:r>
            <w:r w:rsidRPr="005737F1">
              <w:rPr>
                <w:rFonts w:cstheme="minorHAnsi"/>
                <w:szCs w:val="20"/>
              </w:rPr>
              <w:tab/>
              <w:t>Can they in effect be scaled to replace MMF economic function?</w:t>
            </w:r>
          </w:p>
          <w:p w14:paraId="2EB6A443" w14:textId="77777777" w:rsidR="00252293" w:rsidRPr="005737F1" w:rsidRDefault="00252293" w:rsidP="00290E98">
            <w:pPr>
              <w:pStyle w:val="ListParagraph"/>
              <w:numPr>
                <w:ilvl w:val="0"/>
                <w:numId w:val="49"/>
              </w:numPr>
              <w:tabs>
                <w:tab w:val="left" w:pos="164"/>
                <w:tab w:val="left" w:pos="447"/>
              </w:tabs>
              <w:jc w:val="both"/>
              <w:rPr>
                <w:rFonts w:cstheme="minorHAnsi"/>
                <w:szCs w:val="20"/>
              </w:rPr>
            </w:pPr>
            <w:r w:rsidRPr="005737F1">
              <w:rPr>
                <w:rFonts w:cstheme="minorHAnsi"/>
                <w:szCs w:val="20"/>
              </w:rPr>
              <w:t xml:space="preserve">We do not believe this would be possible. </w:t>
            </w:r>
          </w:p>
          <w:p w14:paraId="2FC86A8B" w14:textId="77777777" w:rsidR="00252293" w:rsidRPr="005737F1" w:rsidRDefault="00252293" w:rsidP="00290E98">
            <w:pPr>
              <w:pStyle w:val="ListParagraph"/>
              <w:numPr>
                <w:ilvl w:val="0"/>
                <w:numId w:val="49"/>
              </w:numPr>
              <w:tabs>
                <w:tab w:val="left" w:pos="164"/>
                <w:tab w:val="left" w:pos="447"/>
              </w:tabs>
              <w:jc w:val="both"/>
              <w:rPr>
                <w:rFonts w:cstheme="minorHAnsi"/>
                <w:szCs w:val="20"/>
              </w:rPr>
            </w:pPr>
            <w:r w:rsidRPr="005737F1">
              <w:rPr>
                <w:rFonts w:cstheme="minorHAnsi"/>
                <w:szCs w:val="20"/>
              </w:rPr>
              <w:t xml:space="preserve">Any reduction in the supply of credit to the economy is likely to have a downstream impact, particularly in the case of the withdrawal of funding by such a large established market as the MMF sector. </w:t>
            </w:r>
          </w:p>
          <w:p w14:paraId="36AC25EC" w14:textId="77777777" w:rsidR="00252293" w:rsidRPr="005737F1" w:rsidRDefault="00252293" w:rsidP="00290E98">
            <w:pPr>
              <w:pStyle w:val="ListParagraph"/>
              <w:numPr>
                <w:ilvl w:val="0"/>
                <w:numId w:val="49"/>
              </w:numPr>
              <w:tabs>
                <w:tab w:val="left" w:pos="164"/>
                <w:tab w:val="left" w:pos="447"/>
              </w:tabs>
              <w:jc w:val="both"/>
              <w:rPr>
                <w:rFonts w:cstheme="minorHAnsi"/>
                <w:szCs w:val="20"/>
              </w:rPr>
            </w:pPr>
            <w:r w:rsidRPr="005737F1">
              <w:rPr>
                <w:rFonts w:cstheme="minorHAnsi"/>
                <w:szCs w:val="20"/>
              </w:rPr>
              <w:t>We note and welcome ESMA’s intention to preserve the economic function of MMFs and caution against reforms which would be an impediment to such preservation.</w:t>
            </w:r>
          </w:p>
          <w:p w14:paraId="053796E5" w14:textId="77777777" w:rsidR="00252293" w:rsidRPr="005737F1" w:rsidRDefault="00252293" w:rsidP="00290E98">
            <w:pPr>
              <w:pStyle w:val="ListParagraph"/>
              <w:numPr>
                <w:ilvl w:val="0"/>
                <w:numId w:val="49"/>
              </w:numPr>
              <w:tabs>
                <w:tab w:val="left" w:pos="164"/>
                <w:tab w:val="left" w:pos="447"/>
              </w:tabs>
              <w:jc w:val="both"/>
              <w:rPr>
                <w:rFonts w:cstheme="minorHAnsi"/>
                <w:szCs w:val="20"/>
              </w:rPr>
            </w:pPr>
            <w:r w:rsidRPr="005737F1">
              <w:rPr>
                <w:rFonts w:cstheme="minorHAnsi"/>
                <w:szCs w:val="20"/>
              </w:rPr>
              <w:t>The ECP market provides an important source of flexible efficient funding for a multiplicity of issuers, including European banks, governments and agencies etc. It is likely the market would be negatively impacted by a reduction in MMFs.</w:t>
            </w:r>
          </w:p>
          <w:p w14:paraId="40A47F98" w14:textId="77777777" w:rsidR="00252293" w:rsidRPr="005737F1" w:rsidRDefault="00252293" w:rsidP="00891722">
            <w:pPr>
              <w:tabs>
                <w:tab w:val="left" w:pos="164"/>
                <w:tab w:val="left" w:pos="447"/>
              </w:tabs>
              <w:ind w:left="447" w:hanging="447"/>
              <w:jc w:val="both"/>
              <w:rPr>
                <w:rFonts w:cstheme="minorHAnsi"/>
                <w:szCs w:val="20"/>
              </w:rPr>
            </w:pPr>
          </w:p>
          <w:p w14:paraId="01BFD119" w14:textId="77777777" w:rsidR="00252293" w:rsidRPr="005737F1" w:rsidRDefault="00252293" w:rsidP="00891722">
            <w:pPr>
              <w:tabs>
                <w:tab w:val="left" w:pos="164"/>
                <w:tab w:val="left" w:pos="447"/>
              </w:tabs>
              <w:ind w:left="447" w:hanging="447"/>
              <w:jc w:val="both"/>
              <w:rPr>
                <w:rFonts w:cstheme="minorHAnsi"/>
                <w:szCs w:val="20"/>
              </w:rPr>
            </w:pPr>
            <w:r w:rsidRPr="005737F1">
              <w:rPr>
                <w:rFonts w:cstheme="minorHAnsi"/>
                <w:szCs w:val="20"/>
              </w:rPr>
              <w:tab/>
              <w:t>d)</w:t>
            </w:r>
            <w:r w:rsidRPr="005737F1">
              <w:rPr>
                <w:rFonts w:cstheme="minorHAnsi"/>
                <w:szCs w:val="20"/>
              </w:rPr>
              <w:tab/>
              <w:t>Would this address the financial stability issues noted or would risks simply be transferred elsewhere in the market without mitigating them effectively?</w:t>
            </w:r>
          </w:p>
          <w:p w14:paraId="36C56E9F" w14:textId="77777777" w:rsidR="00252293" w:rsidRPr="005737F1" w:rsidRDefault="00252293" w:rsidP="00290E98">
            <w:pPr>
              <w:pStyle w:val="ListParagraph"/>
              <w:numPr>
                <w:ilvl w:val="0"/>
                <w:numId w:val="49"/>
              </w:numPr>
              <w:tabs>
                <w:tab w:val="left" w:pos="164"/>
                <w:tab w:val="left" w:pos="447"/>
              </w:tabs>
              <w:jc w:val="both"/>
              <w:rPr>
                <w:rFonts w:cstheme="minorHAnsi"/>
                <w:szCs w:val="20"/>
              </w:rPr>
            </w:pPr>
            <w:r w:rsidRPr="005737F1">
              <w:rPr>
                <w:rFonts w:cstheme="minorHAnsi"/>
                <w:szCs w:val="20"/>
              </w:rPr>
              <w:t>Swing pricing does not address the financial stability issues raised and a shift of funds out of MMFs would in our view result in risks being transferred to elsewhere in the system</w:t>
            </w:r>
          </w:p>
          <w:p w14:paraId="4F3188A1" w14:textId="77777777" w:rsidR="00252293" w:rsidRPr="005737F1" w:rsidRDefault="00252293" w:rsidP="00891722">
            <w:pPr>
              <w:tabs>
                <w:tab w:val="left" w:pos="164"/>
                <w:tab w:val="left" w:pos="447"/>
              </w:tabs>
              <w:ind w:left="447" w:hanging="447"/>
              <w:jc w:val="both"/>
              <w:rPr>
                <w:rFonts w:cstheme="minorHAnsi"/>
                <w:szCs w:val="20"/>
              </w:rPr>
            </w:pPr>
          </w:p>
        </w:tc>
      </w:tr>
    </w:tbl>
    <w:p w14:paraId="59BB589D" w14:textId="77777777" w:rsidR="00252293" w:rsidRDefault="00252293" w:rsidP="00492B3A"/>
    <w:p w14:paraId="6FE2ECE6" w14:textId="77777777" w:rsidR="00252293" w:rsidRPr="003B124F" w:rsidRDefault="00252293" w:rsidP="00252293">
      <w:pPr>
        <w:ind w:left="60"/>
        <w:jc w:val="both"/>
        <w:rPr>
          <w:rFonts w:cstheme="minorHAnsi"/>
        </w:rPr>
      </w:pPr>
      <w:r w:rsidRPr="005737F1">
        <w:rPr>
          <w:rFonts w:cstheme="minorHAnsi"/>
          <w:szCs w:val="20"/>
        </w:rPr>
        <w:t>During March 2020, funds had sufficient liquidity but were unable to use that to fund redemptions, the decoupling of the link between liquidity thresholds and gates and fees will make a significant impact on MMFs ability to manage stress situations going forward. In addition to this measure, we strongly suggest that Liquidity Fees are the most appropriate regime to ensure that the cost of redemptions are borne by redeeming investors..  Fees are a disincentive to trading and should act to reduce the likelihood of applying gates which is more impactful to the fund and to its investors</w:t>
      </w:r>
      <w:r w:rsidRPr="00251E82">
        <w:rPr>
          <w:rFonts w:cstheme="minorHAnsi"/>
        </w:rPr>
        <w:t>.</w:t>
      </w:r>
    </w:p>
    <w:p w14:paraId="2CE5A695" w14:textId="77777777" w:rsidR="00252293" w:rsidRDefault="00252293" w:rsidP="00492B3A"/>
    <w:p w14:paraId="4975BC77" w14:textId="2475CAEC" w:rsidR="00492B3A" w:rsidRDefault="00492B3A" w:rsidP="00492B3A"/>
    <w:permEnd w:id="910372547"/>
    <w:p w14:paraId="44CC0988" w14:textId="6046863B" w:rsidR="00492B3A" w:rsidRDefault="00492B3A" w:rsidP="00492B3A">
      <w:r>
        <w:t>&lt;ESMA_QUESTION_</w:t>
      </w:r>
      <w:r w:rsidR="00DC1B3F">
        <w:t>MMFR</w:t>
      </w:r>
      <w:r>
        <w:t>_4&gt;</w:t>
      </w:r>
    </w:p>
    <w:p w14:paraId="629688A3" w14:textId="77777777" w:rsidR="00492B3A" w:rsidRDefault="00492B3A" w:rsidP="00492B3A"/>
    <w:p w14:paraId="4404B413" w14:textId="29EA4379" w:rsidR="00492B3A" w:rsidRDefault="00976448" w:rsidP="00492B3A">
      <w:pPr>
        <w:pStyle w:val="Questionstyle"/>
      </w:pPr>
      <w:r w:rsidRPr="00F43E30">
        <w:rPr>
          <w:lang w:val="en-US"/>
        </w:rPr>
        <w:t xml:space="preserve">i) </w:t>
      </w:r>
      <w:r w:rsidRPr="00F43E30">
        <w:rPr>
          <w:color w:val="201F1E"/>
          <w:bdr w:val="none" w:sz="0" w:space="0" w:color="auto" w:frame="1"/>
          <w:lang w:val="en-IE"/>
        </w:rPr>
        <w:t xml:space="preserve">Do you agree with the above assessment of the potential need to </w:t>
      </w:r>
      <w:r w:rsidRPr="00F43E30">
        <w:rPr>
          <w:lang w:val="en-IE"/>
        </w:rPr>
        <w:t>increase liquidity buffers and/or make them usable/countercyclical</w:t>
      </w:r>
      <w:r w:rsidRPr="00F43E30">
        <w:rPr>
          <w:lang w:val="en-US"/>
        </w:rPr>
        <w:t xml:space="preserve"> and the corresponding potential proposal of amendment of the MMF Regulation</w:t>
      </w:r>
      <w:r w:rsidRPr="00F43E30">
        <w:rPr>
          <w:color w:val="201F1E"/>
          <w:bdr w:val="none" w:sz="0" w:space="0" w:color="auto" w:frame="1"/>
          <w:lang w:val="en-IE"/>
        </w:rPr>
        <w:t>? ii) With respect to option 1 above, views are sought in particular on the relevant threshold (on the size of redemptions) from which WLA would need to be automatically adjusted. When you answer this question, please also take into account the grid of criteria listed in paragraphs 76 to 80</w:t>
      </w:r>
      <w:r>
        <w:t>.</w:t>
      </w:r>
    </w:p>
    <w:p w14:paraId="037D1519" w14:textId="4D01ACCC" w:rsidR="00492B3A" w:rsidRDefault="00492B3A" w:rsidP="00492B3A">
      <w:r>
        <w:t>&lt;ESMA_QUESTION_</w:t>
      </w:r>
      <w:r w:rsidR="00DC1B3F">
        <w:t>MMFR</w:t>
      </w:r>
      <w:r>
        <w:t>_5&gt;</w:t>
      </w:r>
    </w:p>
    <w:p w14:paraId="5B0DB3E0" w14:textId="77777777" w:rsidR="00891722" w:rsidRDefault="00891722" w:rsidP="00252293">
      <w:pPr>
        <w:jc w:val="both"/>
      </w:pPr>
      <w:permStart w:id="1454397300" w:edGrp="everyone"/>
    </w:p>
    <w:p w14:paraId="7936E4DE" w14:textId="7A66F68F" w:rsidR="00252293" w:rsidRPr="005737F1" w:rsidRDefault="00252293" w:rsidP="00252293">
      <w:pPr>
        <w:jc w:val="both"/>
        <w:rPr>
          <w:rFonts w:cstheme="minorHAnsi"/>
          <w:szCs w:val="20"/>
        </w:rPr>
      </w:pPr>
      <w:r w:rsidRPr="005737F1">
        <w:rPr>
          <w:szCs w:val="20"/>
        </w:rPr>
        <w:t xml:space="preserve"> </w:t>
      </w:r>
      <w:r w:rsidRPr="005737F1">
        <w:rPr>
          <w:rFonts w:cstheme="minorHAnsi"/>
          <w:szCs w:val="20"/>
        </w:rPr>
        <w:t xml:space="preserve">The ability to utilise liquidity buffers as they were intended is key to resolving the challenges faced by MMFs in March 2020.  The 30% WLA requirement was designed to ensure that funds hold robust liquidity levels to meet redemptions.  The funds had sufficient liquidity to support redemptions during the Covid crisis but were unable to dip into that liquidity buffer because of investor perception based on the link to fees and gates.  Managers often carry additional liquidity in the lead in to busy periods like month or quarter end and indeed managers had started to build additional liquidity during March 2020.  Therefore, we conclude that a simple increase in liquidity levels will not address investor perception issues. </w:t>
      </w:r>
    </w:p>
    <w:p w14:paraId="49F71F98" w14:textId="77777777" w:rsidR="00252293" w:rsidRPr="005737F1" w:rsidRDefault="00252293" w:rsidP="00252293">
      <w:pPr>
        <w:jc w:val="both"/>
        <w:rPr>
          <w:rFonts w:cstheme="minorHAnsi"/>
          <w:szCs w:val="20"/>
        </w:rPr>
      </w:pPr>
      <w:r w:rsidRPr="005737F1">
        <w:rPr>
          <w:rFonts w:cstheme="minorHAnsi"/>
          <w:szCs w:val="20"/>
        </w:rPr>
        <w:lastRenderedPageBreak/>
        <w:t xml:space="preserve">While it may prove helpful to clarify the conditions of use or provide relief on adherence to the thresholds the proposals under options #1 and #2 would not, on their own, remove the pro-cyclical effect.  The proposals have the effect of moving the ‘bright line’ rather than eliminating it.  We do consider that option #3 may merit further investigation as the ability to manage both sides of a funds liabilities could be beneficial however it will also depend on the removal of the link between liquidity thresholds and fees / gates.  </w:t>
      </w:r>
    </w:p>
    <w:p w14:paraId="2883E94E" w14:textId="77777777" w:rsidR="00252293" w:rsidRPr="005737F1" w:rsidRDefault="00252293" w:rsidP="00252293">
      <w:pPr>
        <w:jc w:val="both"/>
        <w:rPr>
          <w:rFonts w:cstheme="minorHAnsi"/>
          <w:szCs w:val="20"/>
        </w:rPr>
      </w:pPr>
    </w:p>
    <w:p w14:paraId="679A1C11" w14:textId="77777777" w:rsidR="00252293" w:rsidRPr="005737F1" w:rsidRDefault="00252293" w:rsidP="00252293">
      <w:pPr>
        <w:jc w:val="both"/>
        <w:rPr>
          <w:rFonts w:cstheme="minorHAnsi"/>
          <w:szCs w:val="20"/>
        </w:rPr>
      </w:pPr>
      <w:r w:rsidRPr="005737F1">
        <w:rPr>
          <w:rFonts w:cstheme="minorHAnsi"/>
          <w:szCs w:val="20"/>
        </w:rPr>
        <w:t>Option #1</w:t>
      </w:r>
    </w:p>
    <w:p w14:paraId="1E33A400" w14:textId="77777777" w:rsidR="00252293" w:rsidRPr="005737F1" w:rsidRDefault="00252293" w:rsidP="00252293">
      <w:pPr>
        <w:jc w:val="both"/>
        <w:rPr>
          <w:rFonts w:cstheme="minorHAnsi"/>
          <w:szCs w:val="20"/>
        </w:rPr>
      </w:pPr>
      <w:r w:rsidRPr="005737F1">
        <w:rPr>
          <w:rFonts w:cstheme="minorHAnsi"/>
          <w:szCs w:val="20"/>
        </w:rPr>
        <w:t xml:space="preserve">This option results in an alteration of the WLA requirement subject to net redemptions or regulatory approval.  Whilst we believe the proposal, particularly the point around regulatory relief could have merit in the event that the link to fees and gates was maintained, we foresee a number of challenges with the practical application that render it ineffective.  </w:t>
      </w:r>
    </w:p>
    <w:p w14:paraId="3E275616" w14:textId="77777777" w:rsidR="00252293" w:rsidRPr="005737F1" w:rsidRDefault="00252293" w:rsidP="00252293">
      <w:pPr>
        <w:jc w:val="both"/>
        <w:rPr>
          <w:rFonts w:cstheme="minorHAnsi"/>
          <w:szCs w:val="20"/>
        </w:rPr>
      </w:pPr>
      <w:r w:rsidRPr="005737F1">
        <w:rPr>
          <w:rFonts w:cstheme="minorHAnsi"/>
          <w:szCs w:val="20"/>
        </w:rPr>
        <w:t xml:space="preserve">Regulatory relief may encourage investors to regard temporary drops between the mandated thresholds as admissible and appropriate at times of stress therefore they may be helpful to bring about stability in times of stress. </w:t>
      </w:r>
    </w:p>
    <w:p w14:paraId="061E6BC7" w14:textId="77777777" w:rsidR="00252293" w:rsidRPr="005737F1" w:rsidRDefault="00252293" w:rsidP="00252293">
      <w:pPr>
        <w:jc w:val="both"/>
        <w:rPr>
          <w:rFonts w:cstheme="minorHAnsi"/>
          <w:szCs w:val="20"/>
        </w:rPr>
      </w:pPr>
      <w:r w:rsidRPr="005737F1">
        <w:rPr>
          <w:rFonts w:cstheme="minorHAnsi"/>
          <w:szCs w:val="20"/>
        </w:rPr>
        <w:t>However, investors are likely to continue monitoring to the original headline thresholds and it is likely that they will continue to place pre-emptive redemptions in a scenario where the thresholds have not been delinked from fees or gates.  Therefore, the proposal has the effect of simply moving the bright line.</w:t>
      </w:r>
    </w:p>
    <w:p w14:paraId="58196657" w14:textId="77777777" w:rsidR="00252293" w:rsidRPr="005737F1" w:rsidRDefault="00252293" w:rsidP="00252293">
      <w:pPr>
        <w:jc w:val="both"/>
        <w:rPr>
          <w:rFonts w:cstheme="minorHAnsi"/>
          <w:szCs w:val="20"/>
        </w:rPr>
      </w:pPr>
      <w:r w:rsidRPr="005737F1">
        <w:rPr>
          <w:rFonts w:cstheme="minorHAnsi"/>
          <w:szCs w:val="20"/>
        </w:rPr>
        <w:t xml:space="preserve">Impact of applying on individual funds – investors may perceive greater risk in a fund that has had relief applied or is operating to lower thresholds versus other available funds which may generate redemption activity.  Clearly defined rules would be required to ensure that investors interpreted this in the correct way. </w:t>
      </w:r>
    </w:p>
    <w:p w14:paraId="61780885" w14:textId="77777777" w:rsidR="00252293" w:rsidRPr="005737F1" w:rsidRDefault="00252293" w:rsidP="00252293">
      <w:pPr>
        <w:jc w:val="both"/>
        <w:rPr>
          <w:rFonts w:cstheme="minorHAnsi"/>
          <w:szCs w:val="20"/>
        </w:rPr>
      </w:pPr>
      <w:r w:rsidRPr="005737F1">
        <w:rPr>
          <w:rFonts w:cstheme="minorHAnsi"/>
          <w:szCs w:val="20"/>
        </w:rPr>
        <w:t xml:space="preserve">Timeliness of decision making on limit relief will be a factor for investors as they are unlikely to wait to understand if a fund is going to avail of these measures.  </w:t>
      </w:r>
    </w:p>
    <w:p w14:paraId="54EBCC41" w14:textId="77777777" w:rsidR="00252293" w:rsidRPr="005737F1" w:rsidRDefault="00252293" w:rsidP="00252293">
      <w:pPr>
        <w:jc w:val="both"/>
        <w:rPr>
          <w:rFonts w:cstheme="minorHAnsi"/>
          <w:szCs w:val="20"/>
        </w:rPr>
      </w:pPr>
    </w:p>
    <w:p w14:paraId="7507AFB4" w14:textId="77777777" w:rsidR="00252293" w:rsidRPr="005737F1" w:rsidRDefault="00252293" w:rsidP="00252293">
      <w:pPr>
        <w:jc w:val="both"/>
        <w:rPr>
          <w:rFonts w:cstheme="minorHAnsi"/>
          <w:szCs w:val="20"/>
        </w:rPr>
      </w:pPr>
      <w:r w:rsidRPr="005737F1">
        <w:rPr>
          <w:rFonts w:cstheme="minorHAnsi"/>
          <w:szCs w:val="20"/>
        </w:rPr>
        <w:t xml:space="preserve">Option #2 </w:t>
      </w:r>
    </w:p>
    <w:p w14:paraId="42EC8147" w14:textId="77777777" w:rsidR="00252293" w:rsidRPr="005737F1" w:rsidRDefault="00252293" w:rsidP="00252293">
      <w:pPr>
        <w:jc w:val="both"/>
        <w:rPr>
          <w:rFonts w:cstheme="minorHAnsi"/>
          <w:szCs w:val="20"/>
        </w:rPr>
      </w:pPr>
      <w:r w:rsidRPr="005737F1">
        <w:rPr>
          <w:rFonts w:cstheme="minorHAnsi"/>
          <w:szCs w:val="20"/>
        </w:rPr>
        <w:t xml:space="preserve">This option envisages an additional buffer is built into the current liquidity thresholds set by reference to stress test results.  This option does not resolve the investor perception point around the link to publicly available liquidity thresholds and the application of fees &amp; gates.  Again, we note that the funds had sufficient funds to support redemptions during March with many funds carrying liquidity in excess of the minimum threshold required but the investor perception issue remained.  The investor will have no transparency over the additional buffer which will result in continued focus on the existing level which is highly likely to generate pre-emptive redemptions. </w:t>
      </w:r>
    </w:p>
    <w:p w14:paraId="0628686C" w14:textId="77777777" w:rsidR="00252293" w:rsidRPr="005737F1" w:rsidRDefault="00252293" w:rsidP="00252293">
      <w:pPr>
        <w:jc w:val="both"/>
        <w:rPr>
          <w:rFonts w:cstheme="minorHAnsi"/>
          <w:szCs w:val="20"/>
        </w:rPr>
      </w:pPr>
    </w:p>
    <w:p w14:paraId="573AB2BA" w14:textId="77777777" w:rsidR="00252293" w:rsidRPr="005737F1" w:rsidRDefault="00252293" w:rsidP="00252293">
      <w:pPr>
        <w:jc w:val="both"/>
        <w:rPr>
          <w:rFonts w:cstheme="minorHAnsi"/>
          <w:szCs w:val="20"/>
        </w:rPr>
      </w:pPr>
      <w:r w:rsidRPr="005737F1">
        <w:rPr>
          <w:rFonts w:cstheme="minorHAnsi"/>
          <w:szCs w:val="20"/>
        </w:rPr>
        <w:t xml:space="preserve">In addition to that, it should be noted that stress tests can become out of date quite quickly and may be irrelevant for the particular stress the fund is facing. </w:t>
      </w:r>
    </w:p>
    <w:p w14:paraId="01E76BF5" w14:textId="77777777" w:rsidR="00252293" w:rsidRPr="005737F1" w:rsidRDefault="00252293" w:rsidP="00252293">
      <w:pPr>
        <w:jc w:val="both"/>
        <w:rPr>
          <w:rFonts w:cstheme="minorHAnsi"/>
          <w:szCs w:val="20"/>
        </w:rPr>
      </w:pPr>
      <w:r w:rsidRPr="005737F1">
        <w:rPr>
          <w:rFonts w:cstheme="minorHAnsi"/>
          <w:szCs w:val="20"/>
        </w:rPr>
        <w:t xml:space="preserve">As noted in question 4, we do not believe that swing pricing is an appropriate tool for MMFs.  The use of liquidity buffers implies that the fund has built more liquidity and therefore it does not follow that a mandatory swing or fee should be applied as the fund should have the liquid assets necessary to meet redemptions. </w:t>
      </w:r>
    </w:p>
    <w:p w14:paraId="26253613" w14:textId="77777777" w:rsidR="00252293" w:rsidRPr="005737F1" w:rsidRDefault="00252293" w:rsidP="00252293">
      <w:pPr>
        <w:jc w:val="both"/>
        <w:rPr>
          <w:rFonts w:cstheme="minorHAnsi"/>
          <w:szCs w:val="20"/>
        </w:rPr>
      </w:pPr>
      <w:r w:rsidRPr="005737F1">
        <w:rPr>
          <w:rFonts w:cstheme="minorHAnsi"/>
          <w:szCs w:val="20"/>
        </w:rPr>
        <w:t xml:space="preserve">Option #3 </w:t>
      </w:r>
    </w:p>
    <w:p w14:paraId="7C9846DA" w14:textId="77777777" w:rsidR="00252293" w:rsidRPr="005737F1" w:rsidRDefault="00252293" w:rsidP="00252293">
      <w:pPr>
        <w:jc w:val="both"/>
        <w:rPr>
          <w:rFonts w:cstheme="minorHAnsi"/>
          <w:szCs w:val="20"/>
        </w:rPr>
      </w:pPr>
      <w:r w:rsidRPr="005737F1">
        <w:rPr>
          <w:rFonts w:cstheme="minorHAnsi"/>
          <w:szCs w:val="20"/>
        </w:rPr>
        <w:t xml:space="preserve">In our opinion a key element of liquidity risk management is control of individual investor concentration levels and of investor type concentration levels. This is as important as the liquidity profile of the assets themselves. Since the GFC we have applied these type of controls as part of our liquidity risk management process. Therefore, we believe this option merits further exploration and we would encourage regulators to engage in further exploration with us and other asset managers that have a similar position. We do note that there may be challenges to effectively write these type of controls into regulation without creating other trade- offs. However, we do see potentially significant benefits in closer consideration of client concentration and investor profiling. </w:t>
      </w:r>
    </w:p>
    <w:p w14:paraId="709F0B8A" w14:textId="144BC9B2" w:rsidR="00492B3A" w:rsidRPr="005737F1" w:rsidRDefault="00252293" w:rsidP="00252293">
      <w:pPr>
        <w:rPr>
          <w:rFonts w:cstheme="minorHAnsi"/>
          <w:szCs w:val="20"/>
        </w:rPr>
      </w:pPr>
      <w:r w:rsidRPr="005737F1">
        <w:rPr>
          <w:rFonts w:cstheme="minorHAnsi"/>
          <w:szCs w:val="20"/>
        </w:rPr>
        <w:t xml:space="preserve">An idea worth further exploration is the concept of ‘dynamic WLA management’. The concept would be an asymmetric adjustment higher in the WLA required if certain client concentration or client type concentration levels were met. As noted above we recognise that this requires careful consideration to avoid any unintended consequences. We strongly </w:t>
      </w:r>
      <w:r w:rsidRPr="005737F1">
        <w:rPr>
          <w:rFonts w:cstheme="minorHAnsi"/>
          <w:szCs w:val="20"/>
        </w:rPr>
        <w:lastRenderedPageBreak/>
        <w:t>support further consideration of how liability management to support liquidity risk management could be included in the MMFR</w:t>
      </w:r>
    </w:p>
    <w:p w14:paraId="3A8566F0" w14:textId="01E26652" w:rsidR="00252293" w:rsidRPr="005737F1" w:rsidRDefault="00252293" w:rsidP="00252293">
      <w:pPr>
        <w:rPr>
          <w:rFonts w:cstheme="minorHAnsi"/>
          <w:szCs w:val="20"/>
        </w:rPr>
      </w:pPr>
    </w:p>
    <w:tbl>
      <w:tblPr>
        <w:tblStyle w:val="TableGrid"/>
        <w:tblpPr w:leftFromText="180" w:rightFromText="180" w:vertAnchor="text" w:horzAnchor="margin" w:tblpY="184"/>
        <w:tblW w:w="10210" w:type="dxa"/>
        <w:tblLook w:val="04A0" w:firstRow="1" w:lastRow="0" w:firstColumn="1" w:lastColumn="0" w:noHBand="0" w:noVBand="1"/>
      </w:tblPr>
      <w:tblGrid>
        <w:gridCol w:w="10210"/>
      </w:tblGrid>
      <w:tr w:rsidR="00252293" w:rsidRPr="005737F1" w14:paraId="622E91F3" w14:textId="77777777" w:rsidTr="00891722">
        <w:tc>
          <w:tcPr>
            <w:tcW w:w="10210" w:type="dxa"/>
            <w:shd w:val="clear" w:color="auto" w:fill="EEECE1" w:themeFill="background2"/>
          </w:tcPr>
          <w:p w14:paraId="26B4778C" w14:textId="77777777" w:rsidR="00252293" w:rsidRPr="005737F1" w:rsidRDefault="00252293" w:rsidP="00891722">
            <w:pPr>
              <w:jc w:val="both"/>
              <w:rPr>
                <w:rFonts w:cstheme="minorHAnsi"/>
                <w:b/>
                <w:bCs/>
                <w:szCs w:val="20"/>
              </w:rPr>
            </w:pPr>
            <w:r w:rsidRPr="005737F1">
              <w:rPr>
                <w:rFonts w:cstheme="minorHAnsi"/>
                <w:b/>
                <w:bCs/>
                <w:szCs w:val="20"/>
              </w:rPr>
              <w:t>I    Impact on the Resilience of MMFs</w:t>
            </w:r>
          </w:p>
          <w:p w14:paraId="745B007C" w14:textId="77777777" w:rsidR="00252293" w:rsidRPr="005737F1" w:rsidRDefault="00252293" w:rsidP="00891722">
            <w:pPr>
              <w:jc w:val="both"/>
              <w:rPr>
                <w:rFonts w:cstheme="minorHAnsi"/>
                <w:szCs w:val="20"/>
              </w:rPr>
            </w:pPr>
          </w:p>
        </w:tc>
      </w:tr>
      <w:tr w:rsidR="00252293" w:rsidRPr="005737F1" w14:paraId="3EA7589C" w14:textId="77777777" w:rsidTr="00891722">
        <w:trPr>
          <w:trHeight w:val="3983"/>
        </w:trPr>
        <w:tc>
          <w:tcPr>
            <w:tcW w:w="10210" w:type="dxa"/>
          </w:tcPr>
          <w:p w14:paraId="2FA20FB0" w14:textId="77777777" w:rsidR="00252293" w:rsidRPr="005737F1" w:rsidRDefault="00252293" w:rsidP="00891722">
            <w:pPr>
              <w:ind w:left="306" w:hanging="306"/>
              <w:jc w:val="both"/>
              <w:rPr>
                <w:rFonts w:cstheme="minorHAnsi"/>
                <w:i/>
                <w:iCs/>
                <w:szCs w:val="20"/>
              </w:rPr>
            </w:pPr>
            <w:r w:rsidRPr="005737F1">
              <w:rPr>
                <w:rFonts w:cstheme="minorHAnsi"/>
                <w:i/>
                <w:iCs/>
                <w:szCs w:val="20"/>
              </w:rPr>
              <w:t xml:space="preserve">i </w:t>
            </w:r>
            <w:r w:rsidRPr="005737F1">
              <w:rPr>
                <w:rFonts w:cstheme="minorHAnsi"/>
                <w:i/>
                <w:iCs/>
                <w:szCs w:val="20"/>
              </w:rPr>
              <w:tab/>
              <w:t>How would the policy option work in mitigating the structural vulnerabilities of MMFs?</w:t>
            </w:r>
          </w:p>
          <w:p w14:paraId="7740A8CD" w14:textId="523109B4" w:rsidR="00252293" w:rsidRPr="005737F1" w:rsidRDefault="00252293" w:rsidP="00891722">
            <w:pPr>
              <w:spacing w:after="120"/>
              <w:jc w:val="both"/>
              <w:rPr>
                <w:rFonts w:cstheme="minorHAnsi"/>
                <w:szCs w:val="20"/>
              </w:rPr>
            </w:pPr>
            <w:r w:rsidRPr="005737F1">
              <w:rPr>
                <w:rFonts w:cstheme="minorHAnsi"/>
                <w:szCs w:val="20"/>
              </w:rPr>
              <w:t xml:space="preserve">The 30% WLA threshold is already a substantial amount of liquidity and many managers already hold WLA in excess of the WLA threshold.   </w:t>
            </w:r>
            <w:r w:rsidR="0088346A" w:rsidRPr="005737F1">
              <w:rPr>
                <w:rFonts w:cstheme="minorHAnsi"/>
                <w:szCs w:val="20"/>
              </w:rPr>
              <w:t>We agree</w:t>
            </w:r>
            <w:r w:rsidRPr="005737F1">
              <w:rPr>
                <w:rFonts w:cstheme="minorHAnsi"/>
                <w:szCs w:val="20"/>
              </w:rPr>
              <w:t xml:space="preserve"> with IMMFA that there is no empirical evidence to support the need for buffers in excess of 30%.  Making the buffers usable is the key policy option required to address the challenges faced in March 2020.  Managers had sufficient cash to fund redemptions during this period but were required to sell assets to maintain the WLA buffers because of the b</w:t>
            </w:r>
            <w:r w:rsidR="0088346A" w:rsidRPr="005737F1">
              <w:rPr>
                <w:rFonts w:cstheme="minorHAnsi"/>
                <w:szCs w:val="20"/>
              </w:rPr>
              <w:t>r</w:t>
            </w:r>
            <w:r w:rsidRPr="005737F1">
              <w:rPr>
                <w:rFonts w:cstheme="minorHAnsi"/>
                <w:szCs w:val="20"/>
              </w:rPr>
              <w:t xml:space="preserve">ight line created by the link between buffers and fees / gates.  </w:t>
            </w:r>
          </w:p>
          <w:p w14:paraId="0698C6D3" w14:textId="77777777" w:rsidR="00252293" w:rsidRPr="005737F1" w:rsidRDefault="00252293" w:rsidP="00891722">
            <w:pPr>
              <w:spacing w:after="120"/>
              <w:jc w:val="both"/>
              <w:rPr>
                <w:rFonts w:cstheme="minorHAnsi"/>
                <w:szCs w:val="20"/>
              </w:rPr>
            </w:pPr>
            <w:r w:rsidRPr="005737F1">
              <w:rPr>
                <w:rFonts w:cstheme="minorHAnsi"/>
                <w:szCs w:val="20"/>
              </w:rPr>
              <w:t xml:space="preserve">Building excess liquidity buffers based on stress tests could be complex to administer, opaque to investors and ultimately not effective if they the link to fees and gates remain.  They simply have the effect of moving the bright line. </w:t>
            </w:r>
          </w:p>
          <w:p w14:paraId="2E1033FE" w14:textId="77777777" w:rsidR="00252293" w:rsidRPr="005737F1" w:rsidRDefault="00252293" w:rsidP="00891722">
            <w:pPr>
              <w:spacing w:after="120"/>
              <w:jc w:val="both"/>
              <w:rPr>
                <w:rFonts w:cstheme="minorHAnsi"/>
                <w:szCs w:val="20"/>
              </w:rPr>
            </w:pPr>
            <w:r w:rsidRPr="005737F1">
              <w:rPr>
                <w:rFonts w:cstheme="minorHAnsi"/>
                <w:szCs w:val="20"/>
              </w:rPr>
              <w:t xml:space="preserve">Increasing liquidity buffers may result in further challenges to place cash in the one week maturities as there is limited bank appetite for overnight cash, either on a secured or an unsecured basis, creating severe capacity constraints. </w:t>
            </w:r>
          </w:p>
        </w:tc>
      </w:tr>
      <w:tr w:rsidR="00252293" w:rsidRPr="005737F1" w14:paraId="5434D7D9" w14:textId="77777777" w:rsidTr="00891722">
        <w:tc>
          <w:tcPr>
            <w:tcW w:w="10210" w:type="dxa"/>
          </w:tcPr>
          <w:p w14:paraId="34FF417F" w14:textId="77777777" w:rsidR="00252293" w:rsidRPr="005737F1" w:rsidRDefault="00252293" w:rsidP="00891722">
            <w:pPr>
              <w:jc w:val="both"/>
              <w:rPr>
                <w:rFonts w:cstheme="minorHAnsi"/>
                <w:i/>
                <w:iCs/>
                <w:szCs w:val="20"/>
              </w:rPr>
            </w:pPr>
            <w:r w:rsidRPr="005737F1">
              <w:rPr>
                <w:rFonts w:cstheme="minorHAnsi"/>
                <w:i/>
                <w:iCs/>
                <w:szCs w:val="20"/>
              </w:rPr>
              <w:t>ii</w:t>
            </w:r>
            <w:r w:rsidRPr="005737F1">
              <w:rPr>
                <w:rFonts w:cstheme="minorHAnsi"/>
                <w:i/>
                <w:iCs/>
                <w:szCs w:val="20"/>
              </w:rPr>
              <w:tab/>
              <w:t>Would it apply to all MMFs?</w:t>
            </w:r>
          </w:p>
          <w:p w14:paraId="3F808366" w14:textId="77777777" w:rsidR="00252293" w:rsidRPr="005737F1" w:rsidRDefault="00252293" w:rsidP="00290E98">
            <w:pPr>
              <w:pStyle w:val="ListParagraph"/>
              <w:numPr>
                <w:ilvl w:val="0"/>
                <w:numId w:val="49"/>
              </w:numPr>
              <w:tabs>
                <w:tab w:val="left" w:pos="164"/>
                <w:tab w:val="left" w:pos="447"/>
              </w:tabs>
              <w:jc w:val="both"/>
              <w:rPr>
                <w:rFonts w:cstheme="minorHAnsi"/>
                <w:szCs w:val="20"/>
              </w:rPr>
            </w:pPr>
            <w:r w:rsidRPr="005737F1">
              <w:rPr>
                <w:rFonts w:cstheme="minorHAnsi"/>
                <w:szCs w:val="20"/>
              </w:rPr>
              <w:t>We are in favour of any changes being calibrated consistently and applied across fund types i.e. if changes were to be required by regulation these changes would increase the differentials already in existence between different fund types.</w:t>
            </w:r>
          </w:p>
          <w:p w14:paraId="403DA6DD" w14:textId="77777777" w:rsidR="00252293" w:rsidRPr="005737F1" w:rsidRDefault="00252293" w:rsidP="00290E98">
            <w:pPr>
              <w:pStyle w:val="ListParagraph"/>
              <w:numPr>
                <w:ilvl w:val="0"/>
                <w:numId w:val="49"/>
              </w:numPr>
              <w:tabs>
                <w:tab w:val="left" w:pos="164"/>
                <w:tab w:val="left" w:pos="447"/>
              </w:tabs>
              <w:jc w:val="both"/>
              <w:rPr>
                <w:rFonts w:cstheme="minorHAnsi"/>
                <w:szCs w:val="20"/>
              </w:rPr>
            </w:pPr>
            <w:r w:rsidRPr="005737F1">
              <w:rPr>
                <w:rFonts w:cstheme="minorHAnsi"/>
                <w:szCs w:val="20"/>
              </w:rPr>
              <w:t>LVNAV MMFs already have significantly higher minimum liquidity thresholds than VNAV MMFs. This should make them better able to withstand redemption pressure, providing that the buffers are made usable.</w:t>
            </w:r>
          </w:p>
          <w:p w14:paraId="183738B7" w14:textId="77777777" w:rsidR="00252293" w:rsidRPr="005737F1" w:rsidRDefault="00252293" w:rsidP="00290E98">
            <w:pPr>
              <w:pStyle w:val="ListParagraph"/>
              <w:numPr>
                <w:ilvl w:val="0"/>
                <w:numId w:val="49"/>
              </w:numPr>
              <w:tabs>
                <w:tab w:val="left" w:pos="164"/>
                <w:tab w:val="left" w:pos="447"/>
              </w:tabs>
              <w:jc w:val="both"/>
              <w:rPr>
                <w:rFonts w:cstheme="minorHAnsi"/>
                <w:szCs w:val="20"/>
              </w:rPr>
            </w:pPr>
            <w:r w:rsidRPr="005737F1">
              <w:rPr>
                <w:rFonts w:cstheme="minorHAnsi"/>
                <w:szCs w:val="20"/>
              </w:rPr>
              <w:t xml:space="preserve">In our view consideration should be given to the standardisation of the definition of WLA across fund types as it relates to eligible instruments. For all funds only ‘highly liquid’ assets should be eligible. </w:t>
            </w:r>
          </w:p>
          <w:p w14:paraId="19878273" w14:textId="77777777" w:rsidR="00252293" w:rsidRPr="005737F1" w:rsidRDefault="00252293" w:rsidP="00290E98">
            <w:pPr>
              <w:pStyle w:val="ListParagraph"/>
              <w:numPr>
                <w:ilvl w:val="0"/>
                <w:numId w:val="49"/>
              </w:numPr>
              <w:tabs>
                <w:tab w:val="left" w:pos="164"/>
                <w:tab w:val="left" w:pos="447"/>
              </w:tabs>
              <w:jc w:val="both"/>
              <w:rPr>
                <w:rFonts w:cstheme="minorHAnsi"/>
                <w:szCs w:val="20"/>
              </w:rPr>
            </w:pPr>
            <w:r w:rsidRPr="005737F1">
              <w:rPr>
                <w:rFonts w:cstheme="minorHAnsi"/>
                <w:szCs w:val="20"/>
              </w:rPr>
              <w:t>Article 24 of MMFR allows for a significantly less stringent definition of the composition of WLA for VNAV MMFs. LVNAV/PDCNAVs can include 17.5 % of assets up to 190 days provided these assets subject to Article 17 (7) are ‘highly liquid’ and can be redeemed and settled within one working day. VNAV MMFs may include up to 7.5 % (i.e., half of their WLA) of assets which can include ‘money market instruments or units or shares of other MMFs…provided they are able to be redeemed and settled within five working days’. This would qualify non-public debt that faced severe liquidity challenges during the pandemic for inclusion.</w:t>
            </w:r>
          </w:p>
          <w:p w14:paraId="7EA43191" w14:textId="77777777" w:rsidR="00252293" w:rsidRPr="005737F1" w:rsidRDefault="00252293" w:rsidP="00290E98">
            <w:pPr>
              <w:pStyle w:val="ListParagraph"/>
              <w:numPr>
                <w:ilvl w:val="0"/>
                <w:numId w:val="49"/>
              </w:numPr>
              <w:tabs>
                <w:tab w:val="left" w:pos="164"/>
                <w:tab w:val="left" w:pos="447"/>
              </w:tabs>
              <w:jc w:val="both"/>
              <w:rPr>
                <w:rFonts w:cstheme="minorHAnsi"/>
                <w:szCs w:val="20"/>
              </w:rPr>
            </w:pPr>
            <w:r w:rsidRPr="005737F1">
              <w:rPr>
                <w:rFonts w:cstheme="minorHAnsi"/>
                <w:szCs w:val="20"/>
              </w:rPr>
              <w:t xml:space="preserve">We would recommend removing the 17.5% cap on the ‘highly liquid’ assets up to 190 days which can count towards the 30 % WLA of an LVNAV (or PDCNAV) MMF. This is generally considered to refer to sovereign, supranational or agency debt and the cap therefore appears to be an unnecessary additional constraint. Given the objective to ensure funds have sufficient liquidity that is usable, the restriction makes little sense. </w:t>
            </w:r>
          </w:p>
          <w:p w14:paraId="7C0E85ED" w14:textId="77777777" w:rsidR="00252293" w:rsidRPr="005737F1" w:rsidRDefault="00252293" w:rsidP="00891722">
            <w:pPr>
              <w:ind w:left="306" w:hanging="306"/>
              <w:jc w:val="both"/>
              <w:rPr>
                <w:rFonts w:cstheme="minorHAnsi"/>
                <w:i/>
                <w:iCs/>
                <w:szCs w:val="20"/>
              </w:rPr>
            </w:pPr>
          </w:p>
        </w:tc>
      </w:tr>
      <w:tr w:rsidR="00252293" w:rsidRPr="005737F1" w14:paraId="796913E5" w14:textId="77777777" w:rsidTr="00891722">
        <w:tc>
          <w:tcPr>
            <w:tcW w:w="10210" w:type="dxa"/>
          </w:tcPr>
          <w:p w14:paraId="0A497853" w14:textId="77777777" w:rsidR="00252293" w:rsidRPr="005737F1" w:rsidRDefault="00252293" w:rsidP="00891722">
            <w:pPr>
              <w:tabs>
                <w:tab w:val="left" w:pos="306"/>
                <w:tab w:val="left" w:pos="690"/>
              </w:tabs>
              <w:ind w:left="447" w:hanging="447"/>
              <w:jc w:val="both"/>
              <w:rPr>
                <w:rFonts w:cstheme="minorHAnsi"/>
                <w:szCs w:val="20"/>
              </w:rPr>
            </w:pPr>
            <w:r w:rsidRPr="005737F1">
              <w:rPr>
                <w:rFonts w:cstheme="minorHAnsi"/>
                <w:i/>
                <w:iCs/>
                <w:szCs w:val="20"/>
              </w:rPr>
              <w:t>ii</w:t>
            </w:r>
            <w:r w:rsidRPr="005737F1">
              <w:rPr>
                <w:rFonts w:cstheme="minorHAnsi"/>
                <w:i/>
                <w:iCs/>
                <w:szCs w:val="20"/>
              </w:rPr>
              <w:tab/>
              <w:t>a)</w:t>
            </w:r>
            <w:r w:rsidRPr="005737F1">
              <w:rPr>
                <w:rFonts w:cstheme="minorHAnsi"/>
                <w:i/>
                <w:iCs/>
                <w:szCs w:val="20"/>
              </w:rPr>
              <w:tab/>
            </w:r>
            <w:r w:rsidRPr="005737F1">
              <w:rPr>
                <w:rFonts w:cstheme="minorHAnsi"/>
                <w:szCs w:val="20"/>
              </w:rPr>
              <w:t>Is the option currently in place in any jurisdiction, and if so, has it been helpful?</w:t>
            </w:r>
          </w:p>
          <w:p w14:paraId="3F99CF7C" w14:textId="77777777" w:rsidR="00252293" w:rsidRPr="005737F1" w:rsidRDefault="00252293" w:rsidP="00891722">
            <w:pPr>
              <w:tabs>
                <w:tab w:val="left" w:pos="306"/>
                <w:tab w:val="left" w:pos="690"/>
              </w:tabs>
              <w:ind w:left="447" w:hanging="447"/>
              <w:jc w:val="both"/>
              <w:rPr>
                <w:rFonts w:cstheme="minorHAnsi"/>
                <w:szCs w:val="20"/>
              </w:rPr>
            </w:pPr>
          </w:p>
          <w:p w14:paraId="0AB99EE4" w14:textId="77777777" w:rsidR="00252293" w:rsidRPr="005737F1" w:rsidRDefault="00252293" w:rsidP="00891722">
            <w:pPr>
              <w:tabs>
                <w:tab w:val="left" w:pos="306"/>
                <w:tab w:val="left" w:pos="690"/>
              </w:tabs>
              <w:ind w:left="360"/>
              <w:jc w:val="both"/>
              <w:rPr>
                <w:rFonts w:cstheme="minorHAnsi"/>
                <w:szCs w:val="20"/>
              </w:rPr>
            </w:pPr>
            <w:r w:rsidRPr="005737F1">
              <w:rPr>
                <w:rFonts w:cstheme="minorHAnsi"/>
                <w:szCs w:val="20"/>
              </w:rPr>
              <w:t>With regard to the definition of DLA and WLA noted above, in the US there is no limit placed on the amount of US Treasury securities that can count towards DLA. US Federal Agency Discount Notes that mature within 60 days can be included in WLA without limits.</w:t>
            </w:r>
          </w:p>
          <w:p w14:paraId="0E115850" w14:textId="77777777" w:rsidR="00252293" w:rsidRPr="005737F1" w:rsidRDefault="00252293" w:rsidP="00891722">
            <w:pPr>
              <w:tabs>
                <w:tab w:val="left" w:pos="306"/>
                <w:tab w:val="left" w:pos="690"/>
              </w:tabs>
              <w:ind w:left="447" w:hanging="447"/>
              <w:jc w:val="both"/>
              <w:rPr>
                <w:rFonts w:cstheme="minorHAnsi"/>
                <w:szCs w:val="20"/>
              </w:rPr>
            </w:pPr>
            <w:r w:rsidRPr="005737F1">
              <w:rPr>
                <w:rFonts w:cstheme="minorHAnsi"/>
                <w:szCs w:val="20"/>
              </w:rPr>
              <w:tab/>
            </w:r>
          </w:p>
          <w:p w14:paraId="4A75B37A" w14:textId="3D1FFBCA" w:rsidR="00252293" w:rsidRPr="005737F1" w:rsidRDefault="00252293" w:rsidP="00891722">
            <w:pPr>
              <w:tabs>
                <w:tab w:val="left" w:pos="306"/>
              </w:tabs>
              <w:jc w:val="both"/>
              <w:rPr>
                <w:rFonts w:cstheme="minorHAnsi"/>
                <w:szCs w:val="20"/>
              </w:rPr>
            </w:pPr>
            <w:r w:rsidRPr="005737F1">
              <w:rPr>
                <w:rFonts w:cstheme="minorHAnsi"/>
                <w:i/>
                <w:iCs/>
                <w:szCs w:val="20"/>
              </w:rPr>
              <w:tab/>
              <w:t>b)</w:t>
            </w:r>
            <w:r w:rsidRPr="005737F1">
              <w:rPr>
                <w:rFonts w:cstheme="minorHAnsi"/>
                <w:i/>
                <w:iCs/>
                <w:szCs w:val="20"/>
              </w:rPr>
              <w:tab/>
            </w:r>
            <w:r w:rsidRPr="005737F1">
              <w:rPr>
                <w:rFonts w:cstheme="minorHAnsi"/>
                <w:szCs w:val="20"/>
              </w:rPr>
              <w:t xml:space="preserve">How would it represent a change from current rules or practices in other </w:t>
            </w:r>
            <w:r w:rsidR="005737F1" w:rsidRPr="005737F1">
              <w:rPr>
                <w:rFonts w:cstheme="minorHAnsi"/>
                <w:szCs w:val="20"/>
              </w:rPr>
              <w:t>ju</w:t>
            </w:r>
            <w:r w:rsidRPr="005737F1">
              <w:rPr>
                <w:rFonts w:cstheme="minorHAnsi"/>
                <w:szCs w:val="20"/>
              </w:rPr>
              <w:t>risdictions?</w:t>
            </w:r>
          </w:p>
          <w:p w14:paraId="0F0B3CC4" w14:textId="6AE8E367" w:rsidR="005737F1" w:rsidRPr="005737F1" w:rsidRDefault="005737F1" w:rsidP="005737F1">
            <w:pPr>
              <w:tabs>
                <w:tab w:val="left" w:pos="306"/>
              </w:tabs>
              <w:ind w:left="272"/>
              <w:jc w:val="both"/>
              <w:rPr>
                <w:rFonts w:cstheme="minorHAnsi"/>
                <w:szCs w:val="20"/>
              </w:rPr>
            </w:pPr>
            <w:r w:rsidRPr="005737F1">
              <w:rPr>
                <w:rFonts w:cstheme="minorHAnsi"/>
                <w:szCs w:val="20"/>
              </w:rPr>
              <w:t>See above</w:t>
            </w:r>
          </w:p>
          <w:p w14:paraId="207334ED" w14:textId="77777777" w:rsidR="00252293" w:rsidRPr="005737F1" w:rsidRDefault="00252293" w:rsidP="00891722">
            <w:pPr>
              <w:tabs>
                <w:tab w:val="left" w:pos="306"/>
              </w:tabs>
              <w:jc w:val="both"/>
              <w:rPr>
                <w:rFonts w:cstheme="minorHAnsi"/>
                <w:szCs w:val="20"/>
              </w:rPr>
            </w:pPr>
          </w:p>
          <w:p w14:paraId="7EC22742" w14:textId="1AB7E462" w:rsidR="00252293" w:rsidRPr="005737F1" w:rsidRDefault="00252293" w:rsidP="005737F1">
            <w:pPr>
              <w:tabs>
                <w:tab w:val="left" w:pos="306"/>
              </w:tabs>
              <w:ind w:left="272" w:hanging="272"/>
              <w:jc w:val="both"/>
              <w:rPr>
                <w:rFonts w:cstheme="minorHAnsi"/>
                <w:szCs w:val="20"/>
              </w:rPr>
            </w:pPr>
            <w:r w:rsidRPr="005737F1">
              <w:rPr>
                <w:rFonts w:cstheme="minorHAnsi"/>
                <w:szCs w:val="20"/>
              </w:rPr>
              <w:tab/>
              <w:t>c)</w:t>
            </w:r>
            <w:r w:rsidRPr="005737F1">
              <w:rPr>
                <w:rFonts w:cstheme="minorHAnsi"/>
                <w:szCs w:val="20"/>
              </w:rPr>
              <w:tab/>
              <w:t>Has the option been implemented previously and, if so, what were the main findings?</w:t>
            </w:r>
          </w:p>
        </w:tc>
      </w:tr>
      <w:tr w:rsidR="00252293" w:rsidRPr="005737F1" w14:paraId="16323CEC" w14:textId="77777777" w:rsidTr="00891722">
        <w:tc>
          <w:tcPr>
            <w:tcW w:w="10210" w:type="dxa"/>
          </w:tcPr>
          <w:p w14:paraId="4F2D4162" w14:textId="77777777" w:rsidR="00252293" w:rsidRPr="005737F1" w:rsidRDefault="00252293" w:rsidP="00891722">
            <w:pPr>
              <w:tabs>
                <w:tab w:val="left" w:pos="306"/>
                <w:tab w:val="left" w:pos="690"/>
              </w:tabs>
              <w:ind w:left="447" w:hanging="447"/>
              <w:jc w:val="both"/>
              <w:rPr>
                <w:rFonts w:cstheme="minorHAnsi"/>
                <w:i/>
                <w:iCs/>
                <w:szCs w:val="20"/>
              </w:rPr>
            </w:pPr>
          </w:p>
        </w:tc>
      </w:tr>
    </w:tbl>
    <w:p w14:paraId="657C16E0" w14:textId="22A20359" w:rsidR="00252293" w:rsidRDefault="00252293" w:rsidP="00252293">
      <w:pPr>
        <w:rPr>
          <w:rFonts w:cstheme="minorHAnsi"/>
        </w:rPr>
      </w:pPr>
    </w:p>
    <w:tbl>
      <w:tblPr>
        <w:tblStyle w:val="TableGrid"/>
        <w:tblpPr w:leftFromText="180" w:rightFromText="180" w:vertAnchor="text" w:horzAnchor="margin" w:tblpY="13"/>
        <w:tblW w:w="10201" w:type="dxa"/>
        <w:tblLook w:val="04A0" w:firstRow="1" w:lastRow="0" w:firstColumn="1" w:lastColumn="0" w:noHBand="0" w:noVBand="1"/>
      </w:tblPr>
      <w:tblGrid>
        <w:gridCol w:w="10201"/>
      </w:tblGrid>
      <w:tr w:rsidR="005737F1" w:rsidRPr="005737F1" w14:paraId="0626598D" w14:textId="77777777" w:rsidTr="00AF677A">
        <w:tc>
          <w:tcPr>
            <w:tcW w:w="10201" w:type="dxa"/>
            <w:shd w:val="clear" w:color="auto" w:fill="EEECE1" w:themeFill="background2"/>
          </w:tcPr>
          <w:p w14:paraId="6F96A89B" w14:textId="77777777" w:rsidR="005737F1" w:rsidRPr="005737F1" w:rsidRDefault="005737F1" w:rsidP="00AF677A">
            <w:pPr>
              <w:jc w:val="both"/>
              <w:rPr>
                <w:rFonts w:cstheme="minorHAnsi"/>
                <w:b/>
                <w:bCs/>
                <w:szCs w:val="20"/>
              </w:rPr>
            </w:pPr>
            <w:r w:rsidRPr="005737F1">
              <w:rPr>
                <w:rFonts w:cstheme="minorHAnsi"/>
                <w:b/>
                <w:bCs/>
                <w:szCs w:val="20"/>
              </w:rPr>
              <w:t>II    Effects on Investor Behaviour</w:t>
            </w:r>
          </w:p>
          <w:p w14:paraId="01CF3B66" w14:textId="77777777" w:rsidR="005737F1" w:rsidRPr="005737F1" w:rsidRDefault="005737F1" w:rsidP="00AF677A">
            <w:pPr>
              <w:jc w:val="both"/>
              <w:rPr>
                <w:rFonts w:cstheme="minorHAnsi"/>
                <w:szCs w:val="20"/>
              </w:rPr>
            </w:pPr>
            <w:r w:rsidRPr="005737F1">
              <w:rPr>
                <w:rFonts w:cstheme="minorHAnsi"/>
                <w:szCs w:val="20"/>
              </w:rPr>
              <w:tab/>
            </w:r>
          </w:p>
        </w:tc>
      </w:tr>
      <w:tr w:rsidR="005737F1" w:rsidRPr="005737F1" w14:paraId="65EE80E7" w14:textId="77777777" w:rsidTr="00AF677A">
        <w:tc>
          <w:tcPr>
            <w:tcW w:w="10201" w:type="dxa"/>
          </w:tcPr>
          <w:p w14:paraId="0846311F" w14:textId="77777777" w:rsidR="005737F1" w:rsidRPr="005737F1" w:rsidRDefault="005737F1" w:rsidP="00AF677A">
            <w:pPr>
              <w:ind w:left="447" w:hanging="447"/>
              <w:jc w:val="both"/>
              <w:rPr>
                <w:rFonts w:cstheme="minorHAnsi"/>
                <w:szCs w:val="20"/>
              </w:rPr>
            </w:pPr>
            <w:r w:rsidRPr="005737F1">
              <w:rPr>
                <w:rFonts w:cstheme="minorHAnsi"/>
                <w:i/>
                <w:iCs/>
                <w:szCs w:val="20"/>
              </w:rPr>
              <w:t xml:space="preserve">i </w:t>
            </w:r>
            <w:r w:rsidRPr="005737F1">
              <w:rPr>
                <w:rFonts w:cstheme="minorHAnsi"/>
                <w:b/>
                <w:bCs/>
                <w:i/>
                <w:iCs/>
                <w:szCs w:val="20"/>
              </w:rPr>
              <w:tab/>
            </w:r>
            <w:r w:rsidRPr="005737F1">
              <w:rPr>
                <w:rFonts w:cstheme="minorHAnsi"/>
                <w:szCs w:val="20"/>
              </w:rPr>
              <w:t>From a micro perspective (viewing the MMF in isolation), how would the policy option affect investors’ incentives to redeem during stress events?</w:t>
            </w:r>
          </w:p>
          <w:p w14:paraId="07D733E5" w14:textId="77777777" w:rsidR="005737F1" w:rsidRPr="005737F1" w:rsidRDefault="005737F1" w:rsidP="00AF677A">
            <w:pPr>
              <w:pStyle w:val="ListParagraph"/>
              <w:ind w:left="731"/>
              <w:jc w:val="both"/>
              <w:rPr>
                <w:rFonts w:cstheme="minorHAnsi"/>
                <w:szCs w:val="20"/>
              </w:rPr>
            </w:pPr>
            <w:r w:rsidRPr="005737F1">
              <w:rPr>
                <w:rFonts w:cstheme="minorHAnsi"/>
                <w:szCs w:val="20"/>
              </w:rPr>
              <w:t xml:space="preserve">It is not necessary to increase liquidity buffers if they have been delinked allowing them to be used in a countercyclical fashion and mitigating first mover advantage. On the assumption that buffers are delinked we do not see a requirement for the measures proposed.  </w:t>
            </w:r>
          </w:p>
        </w:tc>
      </w:tr>
      <w:tr w:rsidR="005737F1" w:rsidRPr="005737F1" w14:paraId="6932FADD" w14:textId="77777777" w:rsidTr="00AF677A">
        <w:tc>
          <w:tcPr>
            <w:tcW w:w="10201" w:type="dxa"/>
          </w:tcPr>
          <w:p w14:paraId="09D4175F" w14:textId="77777777" w:rsidR="005737F1" w:rsidRPr="005737F1" w:rsidRDefault="005737F1" w:rsidP="00AF677A">
            <w:pPr>
              <w:ind w:left="447" w:hanging="447"/>
              <w:jc w:val="both"/>
              <w:rPr>
                <w:rFonts w:cstheme="minorHAnsi"/>
                <w:szCs w:val="20"/>
              </w:rPr>
            </w:pPr>
            <w:r w:rsidRPr="005737F1">
              <w:rPr>
                <w:rFonts w:cstheme="minorHAnsi"/>
                <w:i/>
                <w:iCs/>
                <w:szCs w:val="20"/>
              </w:rPr>
              <w:t>ii</w:t>
            </w:r>
            <w:r w:rsidRPr="005737F1">
              <w:rPr>
                <w:rFonts w:cstheme="minorHAnsi"/>
                <w:b/>
                <w:bCs/>
                <w:i/>
                <w:iCs/>
                <w:szCs w:val="20"/>
              </w:rPr>
              <w:tab/>
            </w:r>
            <w:r w:rsidRPr="005737F1">
              <w:rPr>
                <w:rFonts w:cstheme="minorHAnsi"/>
                <w:szCs w:val="20"/>
              </w:rPr>
              <w:t>From a macro perspective, how would this option mitigate the effects of a generalised “dash for cash” as seen in March 2020; and/or runs prompted by a credit crisis, as seen in September 2008?</w:t>
            </w:r>
          </w:p>
          <w:p w14:paraId="28914C90" w14:textId="77777777" w:rsidR="005737F1" w:rsidRPr="005737F1" w:rsidRDefault="005737F1" w:rsidP="00AF677A">
            <w:pPr>
              <w:pStyle w:val="ListParagraph"/>
              <w:jc w:val="both"/>
              <w:rPr>
                <w:rFonts w:cstheme="minorHAnsi"/>
                <w:bCs/>
                <w:iCs/>
                <w:szCs w:val="20"/>
              </w:rPr>
            </w:pPr>
            <w:r w:rsidRPr="005737F1">
              <w:rPr>
                <w:rFonts w:cstheme="minorHAnsi"/>
                <w:bCs/>
                <w:iCs/>
                <w:szCs w:val="20"/>
              </w:rPr>
              <w:t xml:space="preserve">Delinking allows the fund to use the buffers to fund redemptions as intended thereby mitigating the risks experienced in March 2020 when investors redeemed.  It eliminates any potential First Mover Advantage. </w:t>
            </w:r>
          </w:p>
        </w:tc>
      </w:tr>
      <w:tr w:rsidR="005737F1" w:rsidRPr="005737F1" w14:paraId="5915AE32" w14:textId="77777777" w:rsidTr="00AF677A">
        <w:tc>
          <w:tcPr>
            <w:tcW w:w="10201" w:type="dxa"/>
          </w:tcPr>
          <w:p w14:paraId="63CEE638" w14:textId="77777777" w:rsidR="005737F1" w:rsidRPr="005737F1" w:rsidRDefault="005737F1" w:rsidP="00AF677A">
            <w:pPr>
              <w:ind w:left="447" w:hanging="447"/>
              <w:jc w:val="both"/>
              <w:rPr>
                <w:rFonts w:cstheme="minorHAnsi"/>
                <w:b/>
                <w:bCs/>
                <w:i/>
                <w:iCs/>
                <w:szCs w:val="20"/>
              </w:rPr>
            </w:pPr>
            <w:r w:rsidRPr="005737F1">
              <w:rPr>
                <w:rFonts w:cstheme="minorHAnsi"/>
                <w:i/>
                <w:iCs/>
                <w:szCs w:val="20"/>
              </w:rPr>
              <w:t>iii a)</w:t>
            </w:r>
            <w:r w:rsidRPr="005737F1">
              <w:rPr>
                <w:rFonts w:cstheme="minorHAnsi"/>
                <w:szCs w:val="20"/>
              </w:rPr>
              <w:t xml:space="preserve"> Does the option effectively shift MMF risks to investors?</w:t>
            </w:r>
          </w:p>
          <w:p w14:paraId="1362EECD" w14:textId="77777777" w:rsidR="005737F1" w:rsidRPr="005737F1" w:rsidRDefault="005737F1" w:rsidP="00AF677A">
            <w:pPr>
              <w:ind w:left="447" w:hanging="447"/>
              <w:jc w:val="both"/>
              <w:rPr>
                <w:rFonts w:cstheme="minorHAnsi"/>
                <w:szCs w:val="20"/>
              </w:rPr>
            </w:pPr>
            <w:r w:rsidRPr="005737F1">
              <w:rPr>
                <w:rFonts w:cstheme="minorHAnsi"/>
                <w:i/>
                <w:iCs/>
                <w:szCs w:val="20"/>
              </w:rPr>
              <w:t xml:space="preserve">   b)</w:t>
            </w:r>
            <w:r w:rsidRPr="005737F1">
              <w:rPr>
                <w:rFonts w:cstheme="minorHAnsi"/>
                <w:b/>
                <w:bCs/>
                <w:i/>
                <w:iCs/>
                <w:szCs w:val="20"/>
              </w:rPr>
              <w:tab/>
            </w:r>
            <w:r w:rsidRPr="005737F1">
              <w:rPr>
                <w:rFonts w:cstheme="minorHAnsi"/>
                <w:szCs w:val="20"/>
              </w:rPr>
              <w:t>Does it make those risks more salient and transparent for investors? Are investors treated equally?</w:t>
            </w:r>
          </w:p>
          <w:p w14:paraId="556FFCFF" w14:textId="77777777" w:rsidR="005737F1" w:rsidRPr="005737F1" w:rsidRDefault="005737F1" w:rsidP="005737F1">
            <w:pPr>
              <w:ind w:left="709"/>
              <w:jc w:val="both"/>
              <w:rPr>
                <w:rFonts w:cstheme="minorHAnsi"/>
                <w:szCs w:val="20"/>
              </w:rPr>
            </w:pPr>
            <w:r w:rsidRPr="005737F1">
              <w:rPr>
                <w:rFonts w:cstheme="minorHAnsi"/>
                <w:iCs/>
                <w:szCs w:val="20"/>
              </w:rPr>
              <w:t xml:space="preserve"> Mitigating the risk of a first mover advantage ensures that investors are treated equally. </w:t>
            </w:r>
          </w:p>
          <w:p w14:paraId="4449AA43" w14:textId="77777777" w:rsidR="005737F1" w:rsidRPr="005737F1" w:rsidRDefault="005737F1" w:rsidP="00AF677A">
            <w:pPr>
              <w:pStyle w:val="ListParagraph"/>
              <w:jc w:val="both"/>
              <w:rPr>
                <w:rFonts w:cstheme="minorHAnsi"/>
                <w:i/>
                <w:iCs/>
                <w:szCs w:val="20"/>
              </w:rPr>
            </w:pPr>
          </w:p>
        </w:tc>
      </w:tr>
    </w:tbl>
    <w:p w14:paraId="3C673471" w14:textId="60E313D8" w:rsidR="005737F1" w:rsidRDefault="005737F1" w:rsidP="00252293">
      <w:pPr>
        <w:rPr>
          <w:rFonts w:cstheme="minorHAnsi"/>
        </w:rPr>
      </w:pPr>
    </w:p>
    <w:p w14:paraId="027D2921" w14:textId="431C8F16" w:rsidR="005737F1" w:rsidRDefault="005737F1" w:rsidP="00252293">
      <w:pPr>
        <w:rPr>
          <w:rFonts w:cstheme="minorHAnsi"/>
        </w:rPr>
      </w:pPr>
    </w:p>
    <w:p w14:paraId="39AA0C05" w14:textId="77777777" w:rsidR="005737F1" w:rsidRDefault="005737F1" w:rsidP="00252293">
      <w:pPr>
        <w:rPr>
          <w:rFonts w:cstheme="minorHAnsi"/>
        </w:rPr>
      </w:pPr>
    </w:p>
    <w:tbl>
      <w:tblPr>
        <w:tblStyle w:val="TableGrid"/>
        <w:tblW w:w="10347" w:type="dxa"/>
        <w:tblInd w:w="-5" w:type="dxa"/>
        <w:tblLook w:val="04A0" w:firstRow="1" w:lastRow="0" w:firstColumn="1" w:lastColumn="0" w:noHBand="0" w:noVBand="1"/>
      </w:tblPr>
      <w:tblGrid>
        <w:gridCol w:w="10347"/>
      </w:tblGrid>
      <w:tr w:rsidR="00252293" w:rsidRPr="005737F1" w14:paraId="1426F48F" w14:textId="77777777" w:rsidTr="00891722">
        <w:tc>
          <w:tcPr>
            <w:tcW w:w="10347" w:type="dxa"/>
            <w:shd w:val="clear" w:color="auto" w:fill="EEECE1" w:themeFill="background2"/>
          </w:tcPr>
          <w:p w14:paraId="6ACFAA8F" w14:textId="77777777" w:rsidR="00252293" w:rsidRPr="005737F1" w:rsidRDefault="00252293" w:rsidP="00891722">
            <w:pPr>
              <w:ind w:left="447" w:hanging="447"/>
              <w:jc w:val="both"/>
              <w:rPr>
                <w:rFonts w:cstheme="minorHAnsi"/>
                <w:b/>
                <w:bCs/>
                <w:szCs w:val="20"/>
              </w:rPr>
            </w:pPr>
            <w:r w:rsidRPr="005737F1">
              <w:rPr>
                <w:rFonts w:cstheme="minorHAnsi"/>
                <w:b/>
                <w:bCs/>
                <w:szCs w:val="20"/>
              </w:rPr>
              <w:t>III</w:t>
            </w:r>
            <w:r w:rsidRPr="005737F1">
              <w:rPr>
                <w:rFonts w:cstheme="minorHAnsi"/>
                <w:b/>
                <w:bCs/>
                <w:szCs w:val="20"/>
              </w:rPr>
              <w:tab/>
              <w:t>Effects on Fund Managers</w:t>
            </w:r>
          </w:p>
          <w:p w14:paraId="3BCF20B8" w14:textId="77777777" w:rsidR="00252293" w:rsidRPr="005737F1" w:rsidRDefault="00252293" w:rsidP="00891722">
            <w:pPr>
              <w:jc w:val="both"/>
              <w:rPr>
                <w:rFonts w:cstheme="minorHAnsi"/>
                <w:szCs w:val="20"/>
              </w:rPr>
            </w:pPr>
          </w:p>
        </w:tc>
      </w:tr>
      <w:tr w:rsidR="00252293" w:rsidRPr="005737F1" w14:paraId="18C2C39A" w14:textId="77777777" w:rsidTr="00891722">
        <w:tc>
          <w:tcPr>
            <w:tcW w:w="10347" w:type="dxa"/>
          </w:tcPr>
          <w:p w14:paraId="3580D0E4" w14:textId="77777777" w:rsidR="00252293" w:rsidRPr="005737F1" w:rsidRDefault="00252293" w:rsidP="00891722">
            <w:pPr>
              <w:ind w:left="447" w:hanging="425"/>
              <w:jc w:val="both"/>
              <w:rPr>
                <w:rFonts w:cstheme="minorHAnsi"/>
                <w:szCs w:val="20"/>
              </w:rPr>
            </w:pPr>
            <w:r w:rsidRPr="005737F1">
              <w:rPr>
                <w:rFonts w:cstheme="minorHAnsi"/>
                <w:szCs w:val="20"/>
              </w:rPr>
              <w:t>i</w:t>
            </w:r>
            <w:r w:rsidRPr="005737F1">
              <w:rPr>
                <w:rFonts w:cstheme="minorHAnsi"/>
                <w:szCs w:val="20"/>
              </w:rPr>
              <w:tab/>
              <w:t>How would the policy option affect MMFs’ liquidity management in normal versus stressed times?</w:t>
            </w:r>
          </w:p>
          <w:p w14:paraId="29DA847C" w14:textId="77777777" w:rsidR="00252293" w:rsidRPr="005737F1" w:rsidRDefault="00252293" w:rsidP="00290E98">
            <w:pPr>
              <w:pStyle w:val="ListParagraph"/>
              <w:numPr>
                <w:ilvl w:val="0"/>
                <w:numId w:val="50"/>
              </w:numPr>
              <w:jc w:val="both"/>
              <w:rPr>
                <w:rFonts w:cstheme="minorHAnsi"/>
                <w:szCs w:val="20"/>
              </w:rPr>
            </w:pPr>
            <w:r w:rsidRPr="005737F1">
              <w:rPr>
                <w:rFonts w:cstheme="minorHAnsi"/>
                <w:szCs w:val="20"/>
              </w:rPr>
              <w:t xml:space="preserve">Higher buffers may be difficult to invest given the lack of appetite in the banking market for very short-term deposits and reverse repo. </w:t>
            </w:r>
          </w:p>
          <w:p w14:paraId="3F1951BA" w14:textId="77777777" w:rsidR="00252293" w:rsidRPr="005737F1" w:rsidRDefault="00252293" w:rsidP="00290E98">
            <w:pPr>
              <w:pStyle w:val="ListParagraph"/>
              <w:numPr>
                <w:ilvl w:val="0"/>
                <w:numId w:val="50"/>
              </w:numPr>
              <w:jc w:val="both"/>
              <w:rPr>
                <w:rFonts w:cstheme="minorHAnsi"/>
                <w:szCs w:val="20"/>
              </w:rPr>
            </w:pPr>
            <w:r w:rsidRPr="005737F1">
              <w:rPr>
                <w:rFonts w:cstheme="minorHAnsi"/>
                <w:szCs w:val="20"/>
              </w:rPr>
              <w:t>This would be particularly acute around reporting dates such as month ends, quarters ends and year end when it can already be difficult to find a home for cash.</w:t>
            </w:r>
          </w:p>
          <w:p w14:paraId="49612DC1" w14:textId="77777777" w:rsidR="00252293" w:rsidRPr="005737F1" w:rsidRDefault="00252293" w:rsidP="00290E98">
            <w:pPr>
              <w:pStyle w:val="ListParagraph"/>
              <w:numPr>
                <w:ilvl w:val="0"/>
                <w:numId w:val="50"/>
              </w:numPr>
              <w:jc w:val="both"/>
              <w:rPr>
                <w:rFonts w:cstheme="minorHAnsi"/>
                <w:szCs w:val="20"/>
              </w:rPr>
            </w:pPr>
            <w:r w:rsidRPr="005737F1">
              <w:rPr>
                <w:rFonts w:cstheme="minorHAnsi"/>
                <w:szCs w:val="20"/>
              </w:rPr>
              <w:t>Higher liquidity levels would also increase the rollover risk for issuers by reducing the supply of liquidity available.</w:t>
            </w:r>
          </w:p>
          <w:p w14:paraId="30250F25" w14:textId="77777777" w:rsidR="00252293" w:rsidRPr="005737F1" w:rsidRDefault="00252293" w:rsidP="00891722">
            <w:pPr>
              <w:ind w:left="447" w:hanging="447"/>
              <w:jc w:val="both"/>
              <w:rPr>
                <w:rFonts w:cstheme="minorHAnsi"/>
                <w:szCs w:val="20"/>
              </w:rPr>
            </w:pPr>
          </w:p>
        </w:tc>
      </w:tr>
      <w:tr w:rsidR="00252293" w:rsidRPr="005737F1" w14:paraId="1EB537C7" w14:textId="77777777" w:rsidTr="00891722">
        <w:tc>
          <w:tcPr>
            <w:tcW w:w="10347" w:type="dxa"/>
          </w:tcPr>
          <w:p w14:paraId="02D6B787" w14:textId="77777777" w:rsidR="00252293" w:rsidRPr="005737F1" w:rsidRDefault="00252293" w:rsidP="00891722">
            <w:pPr>
              <w:ind w:left="447" w:hanging="447"/>
              <w:jc w:val="both"/>
              <w:rPr>
                <w:rFonts w:cstheme="minorHAnsi"/>
                <w:szCs w:val="20"/>
              </w:rPr>
            </w:pPr>
            <w:r w:rsidRPr="005737F1">
              <w:rPr>
                <w:rFonts w:cstheme="minorHAnsi"/>
                <w:szCs w:val="20"/>
              </w:rPr>
              <w:t>ii</w:t>
            </w:r>
            <w:r w:rsidRPr="005737F1">
              <w:rPr>
                <w:rFonts w:cstheme="minorHAnsi"/>
                <w:szCs w:val="20"/>
              </w:rPr>
              <w:tab/>
              <w:t>How would it impact the ability or willingness of MMFs to invest in short-term funding instruments or use the repo market?</w:t>
            </w:r>
          </w:p>
          <w:p w14:paraId="024B5B96" w14:textId="77777777" w:rsidR="00252293" w:rsidRPr="005737F1" w:rsidRDefault="00252293" w:rsidP="00891722">
            <w:pPr>
              <w:ind w:left="447"/>
              <w:jc w:val="both"/>
              <w:rPr>
                <w:rFonts w:cstheme="minorHAnsi"/>
                <w:szCs w:val="20"/>
              </w:rPr>
            </w:pPr>
            <w:r w:rsidRPr="005737F1">
              <w:rPr>
                <w:rFonts w:cstheme="minorHAnsi"/>
                <w:szCs w:val="20"/>
              </w:rPr>
              <w:t>Higher buffers would require managers to invest a greater percentage of assets in overnight deposits or reverse repo. We reiterate the point made above, that this could be very problematic given supply constraints and could therefore amplify stress around reporting dates when this is already acute.</w:t>
            </w:r>
          </w:p>
          <w:p w14:paraId="20053D0C" w14:textId="77777777" w:rsidR="00252293" w:rsidRPr="005737F1" w:rsidRDefault="00252293" w:rsidP="00891722">
            <w:pPr>
              <w:ind w:left="447" w:hanging="447"/>
              <w:jc w:val="both"/>
              <w:rPr>
                <w:rFonts w:cstheme="minorHAnsi"/>
                <w:szCs w:val="20"/>
              </w:rPr>
            </w:pPr>
          </w:p>
          <w:p w14:paraId="0403BEA3" w14:textId="77777777" w:rsidR="00252293" w:rsidRPr="005737F1" w:rsidRDefault="00252293" w:rsidP="00891722">
            <w:pPr>
              <w:pStyle w:val="ListParagraph"/>
              <w:jc w:val="both"/>
              <w:rPr>
                <w:rFonts w:cstheme="minorHAnsi"/>
                <w:szCs w:val="20"/>
              </w:rPr>
            </w:pPr>
          </w:p>
        </w:tc>
      </w:tr>
    </w:tbl>
    <w:p w14:paraId="6423A748" w14:textId="760A8F50" w:rsidR="00252293" w:rsidRDefault="00252293" w:rsidP="00252293">
      <w:pPr>
        <w:rPr>
          <w:rFonts w:cstheme="minorHAnsi"/>
        </w:rPr>
      </w:pPr>
    </w:p>
    <w:tbl>
      <w:tblPr>
        <w:tblStyle w:val="TableGrid"/>
        <w:tblW w:w="10205" w:type="dxa"/>
        <w:tblLook w:val="04A0" w:firstRow="1" w:lastRow="0" w:firstColumn="1" w:lastColumn="0" w:noHBand="0" w:noVBand="1"/>
      </w:tblPr>
      <w:tblGrid>
        <w:gridCol w:w="10205"/>
      </w:tblGrid>
      <w:tr w:rsidR="00252293" w:rsidRPr="005737F1" w14:paraId="09D7288B" w14:textId="77777777" w:rsidTr="00891722">
        <w:tc>
          <w:tcPr>
            <w:tcW w:w="10205" w:type="dxa"/>
            <w:shd w:val="clear" w:color="auto" w:fill="EEECE1" w:themeFill="background2"/>
          </w:tcPr>
          <w:p w14:paraId="0C631934" w14:textId="77777777" w:rsidR="00252293" w:rsidRPr="005737F1" w:rsidRDefault="00252293" w:rsidP="00891722">
            <w:pPr>
              <w:tabs>
                <w:tab w:val="left" w:pos="447"/>
              </w:tabs>
              <w:jc w:val="both"/>
              <w:rPr>
                <w:rFonts w:cstheme="minorHAnsi"/>
                <w:b/>
                <w:bCs/>
                <w:szCs w:val="20"/>
              </w:rPr>
            </w:pPr>
            <w:r w:rsidRPr="005737F1">
              <w:rPr>
                <w:rFonts w:cstheme="minorHAnsi"/>
                <w:b/>
                <w:bCs/>
                <w:szCs w:val="20"/>
              </w:rPr>
              <w:t>IV</w:t>
            </w:r>
            <w:r w:rsidRPr="005737F1">
              <w:rPr>
                <w:rFonts w:cstheme="minorHAnsi"/>
                <w:b/>
                <w:bCs/>
                <w:szCs w:val="20"/>
              </w:rPr>
              <w:tab/>
              <w:t>Broader Impacts on the Stability and Functioning of Short-term Funding Markets</w:t>
            </w:r>
          </w:p>
          <w:p w14:paraId="50CAA98B" w14:textId="77777777" w:rsidR="00252293" w:rsidRPr="005737F1" w:rsidRDefault="00252293" w:rsidP="00891722">
            <w:pPr>
              <w:tabs>
                <w:tab w:val="left" w:pos="447"/>
              </w:tabs>
              <w:jc w:val="both"/>
              <w:rPr>
                <w:rFonts w:cstheme="minorHAnsi"/>
                <w:b/>
                <w:bCs/>
                <w:szCs w:val="20"/>
              </w:rPr>
            </w:pPr>
          </w:p>
        </w:tc>
      </w:tr>
      <w:tr w:rsidR="00252293" w:rsidRPr="005737F1" w14:paraId="580DFF97" w14:textId="77777777" w:rsidTr="00891722">
        <w:trPr>
          <w:trHeight w:val="416"/>
        </w:trPr>
        <w:tc>
          <w:tcPr>
            <w:tcW w:w="10205" w:type="dxa"/>
          </w:tcPr>
          <w:p w14:paraId="1E3B1751" w14:textId="77777777" w:rsidR="00252293" w:rsidRPr="005737F1" w:rsidRDefault="00252293" w:rsidP="00891722">
            <w:pPr>
              <w:tabs>
                <w:tab w:val="left" w:pos="164"/>
                <w:tab w:val="left" w:pos="447"/>
              </w:tabs>
              <w:ind w:left="447" w:hanging="447"/>
              <w:jc w:val="both"/>
              <w:rPr>
                <w:rFonts w:cstheme="minorHAnsi"/>
                <w:szCs w:val="20"/>
              </w:rPr>
            </w:pPr>
            <w:r w:rsidRPr="005737F1">
              <w:rPr>
                <w:rFonts w:cstheme="minorHAnsi"/>
                <w:szCs w:val="20"/>
              </w:rPr>
              <w:t>i</w:t>
            </w:r>
            <w:r w:rsidRPr="005737F1">
              <w:rPr>
                <w:rFonts w:cstheme="minorHAnsi"/>
                <w:szCs w:val="20"/>
              </w:rPr>
              <w:tab/>
              <w:t>a)</w:t>
            </w:r>
            <w:r w:rsidRPr="005737F1">
              <w:rPr>
                <w:rFonts w:cstheme="minorHAnsi"/>
                <w:szCs w:val="20"/>
              </w:rPr>
              <w:tab/>
              <w:t>Where are investors likely to move if MMFs become less attractive as a result of the policy option?</w:t>
            </w:r>
          </w:p>
          <w:p w14:paraId="5BFA4874" w14:textId="4978F74E" w:rsidR="00252293" w:rsidRPr="005737F1" w:rsidRDefault="00252293" w:rsidP="00891722">
            <w:pPr>
              <w:tabs>
                <w:tab w:val="left" w:pos="164"/>
                <w:tab w:val="left" w:pos="447"/>
              </w:tabs>
              <w:jc w:val="both"/>
              <w:rPr>
                <w:rFonts w:cstheme="minorHAnsi"/>
                <w:szCs w:val="20"/>
              </w:rPr>
            </w:pPr>
            <w:r w:rsidRPr="005737F1">
              <w:rPr>
                <w:rFonts w:cstheme="minorHAnsi"/>
                <w:szCs w:val="20"/>
              </w:rPr>
              <w:tab/>
              <w:t xml:space="preserve"> Please refer to the feedback under Q4 on the alternatives and the broader impacts.</w:t>
            </w:r>
          </w:p>
          <w:p w14:paraId="40B4457A" w14:textId="77777777" w:rsidR="005737F1" w:rsidRPr="005737F1" w:rsidRDefault="005737F1" w:rsidP="00891722">
            <w:pPr>
              <w:tabs>
                <w:tab w:val="left" w:pos="164"/>
                <w:tab w:val="left" w:pos="447"/>
              </w:tabs>
              <w:jc w:val="both"/>
              <w:rPr>
                <w:rFonts w:cstheme="minorHAnsi"/>
                <w:szCs w:val="20"/>
              </w:rPr>
            </w:pPr>
          </w:p>
          <w:p w14:paraId="2BBA75AA" w14:textId="3EC51DF3" w:rsidR="00252293" w:rsidRPr="005737F1" w:rsidRDefault="00252293" w:rsidP="00891722">
            <w:pPr>
              <w:tabs>
                <w:tab w:val="left" w:pos="164"/>
                <w:tab w:val="left" w:pos="447"/>
              </w:tabs>
              <w:ind w:left="447" w:hanging="447"/>
              <w:jc w:val="both"/>
              <w:rPr>
                <w:rFonts w:cstheme="minorHAnsi"/>
                <w:szCs w:val="20"/>
              </w:rPr>
            </w:pPr>
            <w:r w:rsidRPr="005737F1">
              <w:rPr>
                <w:rFonts w:cstheme="minorHAnsi"/>
                <w:szCs w:val="20"/>
              </w:rPr>
              <w:lastRenderedPageBreak/>
              <w:tab/>
              <w:t>b)</w:t>
            </w:r>
            <w:r w:rsidRPr="005737F1">
              <w:rPr>
                <w:rFonts w:cstheme="minorHAnsi"/>
                <w:szCs w:val="20"/>
              </w:rPr>
              <w:tab/>
              <w:t>Do these substitutes have vulnerabilities to runs?</w:t>
            </w:r>
          </w:p>
          <w:p w14:paraId="2B1ABEE2" w14:textId="65D9D910" w:rsidR="005737F1" w:rsidRPr="005737F1" w:rsidRDefault="005737F1" w:rsidP="00891722">
            <w:pPr>
              <w:tabs>
                <w:tab w:val="left" w:pos="164"/>
                <w:tab w:val="left" w:pos="447"/>
              </w:tabs>
              <w:ind w:left="447" w:hanging="447"/>
              <w:jc w:val="both"/>
              <w:rPr>
                <w:rFonts w:cstheme="minorHAnsi"/>
                <w:szCs w:val="20"/>
              </w:rPr>
            </w:pPr>
            <w:r w:rsidRPr="005737F1">
              <w:rPr>
                <w:rFonts w:cstheme="minorHAnsi"/>
                <w:szCs w:val="20"/>
              </w:rPr>
              <w:t xml:space="preserve">       As above</w:t>
            </w:r>
          </w:p>
          <w:p w14:paraId="2B40C756" w14:textId="77777777" w:rsidR="00252293" w:rsidRPr="005737F1" w:rsidRDefault="00252293" w:rsidP="00891722">
            <w:pPr>
              <w:tabs>
                <w:tab w:val="left" w:pos="164"/>
                <w:tab w:val="left" w:pos="447"/>
              </w:tabs>
              <w:ind w:left="447" w:hanging="447"/>
              <w:jc w:val="both"/>
              <w:rPr>
                <w:rFonts w:cstheme="minorHAnsi"/>
                <w:szCs w:val="20"/>
              </w:rPr>
            </w:pPr>
          </w:p>
          <w:p w14:paraId="6F2BFA24" w14:textId="77777777" w:rsidR="00252293" w:rsidRPr="005737F1" w:rsidRDefault="00252293" w:rsidP="00891722">
            <w:pPr>
              <w:tabs>
                <w:tab w:val="left" w:pos="164"/>
                <w:tab w:val="left" w:pos="447"/>
              </w:tabs>
              <w:jc w:val="both"/>
              <w:rPr>
                <w:rFonts w:cstheme="minorHAnsi"/>
                <w:szCs w:val="20"/>
              </w:rPr>
            </w:pPr>
            <w:r w:rsidRPr="005737F1">
              <w:rPr>
                <w:rFonts w:cstheme="minorHAnsi"/>
                <w:szCs w:val="20"/>
              </w:rPr>
              <w:tab/>
              <w:t>c)</w:t>
            </w:r>
            <w:r w:rsidRPr="005737F1">
              <w:rPr>
                <w:rFonts w:cstheme="minorHAnsi"/>
                <w:szCs w:val="20"/>
              </w:rPr>
              <w:tab/>
              <w:t>Are they transparent to investors and regulators?</w:t>
            </w:r>
          </w:p>
          <w:p w14:paraId="79AD45C0" w14:textId="77777777" w:rsidR="005737F1" w:rsidRPr="005737F1" w:rsidRDefault="005737F1" w:rsidP="005737F1">
            <w:pPr>
              <w:tabs>
                <w:tab w:val="left" w:pos="164"/>
                <w:tab w:val="left" w:pos="447"/>
              </w:tabs>
              <w:ind w:left="447" w:hanging="447"/>
              <w:jc w:val="both"/>
              <w:rPr>
                <w:rFonts w:cstheme="minorHAnsi"/>
                <w:szCs w:val="20"/>
              </w:rPr>
            </w:pPr>
            <w:r w:rsidRPr="005737F1">
              <w:rPr>
                <w:rFonts w:cstheme="minorHAnsi"/>
                <w:szCs w:val="20"/>
              </w:rPr>
              <w:t xml:space="preserve">       As above</w:t>
            </w:r>
          </w:p>
          <w:p w14:paraId="0528375C" w14:textId="77777777" w:rsidR="00252293" w:rsidRPr="005737F1" w:rsidRDefault="00252293" w:rsidP="00891722">
            <w:pPr>
              <w:tabs>
                <w:tab w:val="left" w:pos="164"/>
                <w:tab w:val="left" w:pos="447"/>
              </w:tabs>
              <w:jc w:val="both"/>
              <w:rPr>
                <w:rFonts w:cstheme="minorHAnsi"/>
                <w:szCs w:val="20"/>
              </w:rPr>
            </w:pPr>
          </w:p>
          <w:p w14:paraId="72E076B2" w14:textId="77777777" w:rsidR="00252293" w:rsidRPr="005737F1" w:rsidRDefault="00252293" w:rsidP="00891722">
            <w:pPr>
              <w:tabs>
                <w:tab w:val="left" w:pos="164"/>
                <w:tab w:val="left" w:pos="447"/>
              </w:tabs>
              <w:jc w:val="both"/>
              <w:rPr>
                <w:rFonts w:cstheme="minorHAnsi"/>
                <w:szCs w:val="20"/>
              </w:rPr>
            </w:pPr>
            <w:r w:rsidRPr="005737F1">
              <w:rPr>
                <w:rFonts w:cstheme="minorHAnsi"/>
                <w:szCs w:val="20"/>
              </w:rPr>
              <w:tab/>
              <w:t>d)</w:t>
            </w:r>
            <w:r w:rsidRPr="005737F1">
              <w:rPr>
                <w:rFonts w:cstheme="minorHAnsi"/>
                <w:szCs w:val="20"/>
              </w:rPr>
              <w:tab/>
              <w:t>Are they regulated?</w:t>
            </w:r>
          </w:p>
          <w:p w14:paraId="673C9818" w14:textId="77777777" w:rsidR="005737F1" w:rsidRPr="005737F1" w:rsidRDefault="005737F1" w:rsidP="005737F1">
            <w:pPr>
              <w:tabs>
                <w:tab w:val="left" w:pos="164"/>
                <w:tab w:val="left" w:pos="447"/>
              </w:tabs>
              <w:ind w:left="447" w:hanging="447"/>
              <w:jc w:val="both"/>
              <w:rPr>
                <w:rFonts w:cstheme="minorHAnsi"/>
                <w:szCs w:val="20"/>
              </w:rPr>
            </w:pPr>
            <w:r w:rsidRPr="005737F1">
              <w:rPr>
                <w:rFonts w:cstheme="minorHAnsi"/>
                <w:szCs w:val="20"/>
              </w:rPr>
              <w:t xml:space="preserve">       As above</w:t>
            </w:r>
          </w:p>
          <w:p w14:paraId="2836864C" w14:textId="77777777" w:rsidR="00252293" w:rsidRPr="005737F1" w:rsidRDefault="00252293" w:rsidP="00891722">
            <w:pPr>
              <w:tabs>
                <w:tab w:val="left" w:pos="164"/>
                <w:tab w:val="left" w:pos="447"/>
              </w:tabs>
              <w:jc w:val="both"/>
              <w:rPr>
                <w:rFonts w:cstheme="minorHAnsi"/>
                <w:szCs w:val="20"/>
              </w:rPr>
            </w:pPr>
          </w:p>
          <w:p w14:paraId="2B1C4015" w14:textId="77777777" w:rsidR="00252293" w:rsidRPr="005737F1" w:rsidRDefault="00252293" w:rsidP="00891722">
            <w:pPr>
              <w:tabs>
                <w:tab w:val="left" w:pos="164"/>
                <w:tab w:val="left" w:pos="447"/>
              </w:tabs>
              <w:jc w:val="both"/>
              <w:rPr>
                <w:rFonts w:cstheme="minorHAnsi"/>
                <w:szCs w:val="20"/>
              </w:rPr>
            </w:pPr>
            <w:r w:rsidRPr="005737F1">
              <w:rPr>
                <w:rFonts w:cstheme="minorHAnsi"/>
                <w:szCs w:val="20"/>
              </w:rPr>
              <w:tab/>
              <w:t>e)</w:t>
            </w:r>
            <w:r w:rsidRPr="005737F1">
              <w:rPr>
                <w:rFonts w:cstheme="minorHAnsi"/>
                <w:szCs w:val="20"/>
              </w:rPr>
              <w:tab/>
              <w:t>Do they embed more risks for investors (e.g., counterparty risk) or be more costly?</w:t>
            </w:r>
          </w:p>
          <w:p w14:paraId="236554CE" w14:textId="77777777" w:rsidR="005737F1" w:rsidRPr="005737F1" w:rsidRDefault="005737F1" w:rsidP="005737F1">
            <w:pPr>
              <w:tabs>
                <w:tab w:val="left" w:pos="164"/>
                <w:tab w:val="left" w:pos="447"/>
              </w:tabs>
              <w:ind w:left="447" w:hanging="447"/>
              <w:jc w:val="both"/>
              <w:rPr>
                <w:rFonts w:cstheme="minorHAnsi"/>
                <w:szCs w:val="20"/>
              </w:rPr>
            </w:pPr>
            <w:r w:rsidRPr="005737F1">
              <w:rPr>
                <w:rFonts w:cstheme="minorHAnsi"/>
                <w:szCs w:val="20"/>
              </w:rPr>
              <w:t xml:space="preserve">       As above</w:t>
            </w:r>
          </w:p>
          <w:p w14:paraId="4ECAE05C" w14:textId="13D69B9B" w:rsidR="005737F1" w:rsidRPr="005737F1" w:rsidRDefault="005737F1" w:rsidP="00891722">
            <w:pPr>
              <w:tabs>
                <w:tab w:val="left" w:pos="164"/>
                <w:tab w:val="left" w:pos="447"/>
              </w:tabs>
              <w:jc w:val="both"/>
              <w:rPr>
                <w:rFonts w:cstheme="minorHAnsi"/>
                <w:szCs w:val="20"/>
              </w:rPr>
            </w:pPr>
          </w:p>
        </w:tc>
      </w:tr>
      <w:tr w:rsidR="00252293" w:rsidRPr="005737F1" w14:paraId="6B5AD400" w14:textId="77777777" w:rsidTr="00891722">
        <w:trPr>
          <w:trHeight w:val="1495"/>
        </w:trPr>
        <w:tc>
          <w:tcPr>
            <w:tcW w:w="10205" w:type="dxa"/>
          </w:tcPr>
          <w:p w14:paraId="2C13195A" w14:textId="77777777" w:rsidR="00252293" w:rsidRPr="005737F1" w:rsidRDefault="00252293" w:rsidP="00891722">
            <w:pPr>
              <w:tabs>
                <w:tab w:val="left" w:pos="164"/>
                <w:tab w:val="left" w:pos="447"/>
              </w:tabs>
              <w:ind w:left="447" w:hanging="447"/>
              <w:jc w:val="both"/>
              <w:rPr>
                <w:rFonts w:cstheme="minorHAnsi"/>
                <w:szCs w:val="20"/>
              </w:rPr>
            </w:pPr>
            <w:r w:rsidRPr="005737F1">
              <w:rPr>
                <w:rFonts w:cstheme="minorHAnsi"/>
                <w:szCs w:val="20"/>
              </w:rPr>
              <w:lastRenderedPageBreak/>
              <w:t>ii</w:t>
            </w:r>
            <w:r w:rsidRPr="005737F1">
              <w:rPr>
                <w:rFonts w:cstheme="minorHAnsi"/>
                <w:szCs w:val="20"/>
              </w:rPr>
              <w:tab/>
              <w:t>a)</w:t>
            </w:r>
            <w:r w:rsidRPr="005737F1">
              <w:rPr>
                <w:rFonts w:cstheme="minorHAnsi"/>
                <w:szCs w:val="20"/>
              </w:rPr>
              <w:tab/>
              <w:t>What alternative sources of short-term funding are available for borrowers that currently rely on MMFs for financing?</w:t>
            </w:r>
            <w:r w:rsidRPr="005737F1">
              <w:rPr>
                <w:rFonts w:cstheme="minorHAnsi"/>
                <w:szCs w:val="20"/>
              </w:rPr>
              <w:tab/>
            </w:r>
          </w:p>
          <w:p w14:paraId="73C04ED5" w14:textId="69465E5B" w:rsidR="00252293" w:rsidRPr="005737F1" w:rsidRDefault="00252293" w:rsidP="00891722">
            <w:pPr>
              <w:tabs>
                <w:tab w:val="left" w:pos="164"/>
                <w:tab w:val="left" w:pos="447"/>
              </w:tabs>
              <w:jc w:val="both"/>
              <w:rPr>
                <w:rFonts w:cstheme="minorHAnsi"/>
                <w:szCs w:val="20"/>
              </w:rPr>
            </w:pPr>
            <w:r w:rsidRPr="005737F1">
              <w:rPr>
                <w:rFonts w:cstheme="minorHAnsi"/>
                <w:szCs w:val="20"/>
              </w:rPr>
              <w:tab/>
            </w:r>
            <w:r w:rsidR="005737F1" w:rsidRPr="005737F1">
              <w:rPr>
                <w:rFonts w:cstheme="minorHAnsi"/>
                <w:szCs w:val="20"/>
              </w:rPr>
              <w:t xml:space="preserve">     </w:t>
            </w:r>
            <w:r w:rsidR="005737F1" w:rsidRPr="005737F1">
              <w:rPr>
                <w:rFonts w:cstheme="minorHAnsi"/>
                <w:szCs w:val="20"/>
              </w:rPr>
              <w:t>Please refer to the feedback under Q4</w:t>
            </w:r>
          </w:p>
          <w:p w14:paraId="339D49F9" w14:textId="77777777" w:rsidR="00252293" w:rsidRPr="005737F1" w:rsidRDefault="00252293" w:rsidP="00891722">
            <w:pPr>
              <w:tabs>
                <w:tab w:val="left" w:pos="164"/>
                <w:tab w:val="left" w:pos="447"/>
              </w:tabs>
              <w:ind w:left="447" w:hanging="447"/>
              <w:jc w:val="both"/>
              <w:rPr>
                <w:rFonts w:cstheme="minorHAnsi"/>
                <w:szCs w:val="20"/>
              </w:rPr>
            </w:pPr>
            <w:r w:rsidRPr="005737F1">
              <w:rPr>
                <w:rFonts w:cstheme="minorHAnsi"/>
                <w:szCs w:val="20"/>
              </w:rPr>
              <w:tab/>
              <w:t>b)</w:t>
            </w:r>
            <w:r w:rsidRPr="005737F1">
              <w:rPr>
                <w:rFonts w:cstheme="minorHAnsi"/>
                <w:szCs w:val="20"/>
              </w:rPr>
              <w:tab/>
              <w:t>Are these alternative sources more stable than MMFs at all times?</w:t>
            </w:r>
          </w:p>
          <w:p w14:paraId="342BB464" w14:textId="1753C0FE" w:rsidR="00252293" w:rsidRPr="005737F1" w:rsidRDefault="005737F1" w:rsidP="00891722">
            <w:pPr>
              <w:tabs>
                <w:tab w:val="left" w:pos="164"/>
                <w:tab w:val="left" w:pos="447"/>
              </w:tabs>
              <w:ind w:left="447" w:hanging="447"/>
              <w:jc w:val="both"/>
              <w:rPr>
                <w:rFonts w:cstheme="minorHAnsi"/>
                <w:szCs w:val="20"/>
              </w:rPr>
            </w:pPr>
            <w:r w:rsidRPr="005737F1">
              <w:rPr>
                <w:rFonts w:cstheme="minorHAnsi"/>
                <w:szCs w:val="20"/>
              </w:rPr>
              <w:t xml:space="preserve">       </w:t>
            </w:r>
            <w:r w:rsidRPr="005737F1">
              <w:rPr>
                <w:rFonts w:cstheme="minorHAnsi"/>
                <w:szCs w:val="20"/>
              </w:rPr>
              <w:t>Please refer to the feedback under Q4</w:t>
            </w:r>
          </w:p>
          <w:p w14:paraId="0BB43F7E" w14:textId="77777777" w:rsidR="00252293" w:rsidRPr="005737F1" w:rsidRDefault="00252293" w:rsidP="00891722">
            <w:pPr>
              <w:tabs>
                <w:tab w:val="left" w:pos="164"/>
                <w:tab w:val="left" w:pos="447"/>
              </w:tabs>
              <w:ind w:left="447" w:hanging="447"/>
              <w:jc w:val="both"/>
              <w:rPr>
                <w:rFonts w:cstheme="minorHAnsi"/>
                <w:szCs w:val="20"/>
              </w:rPr>
            </w:pPr>
            <w:r w:rsidRPr="005737F1">
              <w:rPr>
                <w:rFonts w:cstheme="minorHAnsi"/>
                <w:szCs w:val="20"/>
              </w:rPr>
              <w:tab/>
              <w:t>c)</w:t>
            </w:r>
            <w:r w:rsidRPr="005737F1">
              <w:rPr>
                <w:rFonts w:cstheme="minorHAnsi"/>
                <w:szCs w:val="20"/>
              </w:rPr>
              <w:tab/>
              <w:t>Can they in effect be scaled to replace MMF economic function?</w:t>
            </w:r>
          </w:p>
          <w:p w14:paraId="1CF46C1D" w14:textId="02770C5B" w:rsidR="00252293" w:rsidRPr="005737F1" w:rsidRDefault="005737F1" w:rsidP="00891722">
            <w:pPr>
              <w:tabs>
                <w:tab w:val="left" w:pos="164"/>
                <w:tab w:val="left" w:pos="447"/>
              </w:tabs>
              <w:ind w:left="447" w:hanging="447"/>
              <w:jc w:val="both"/>
              <w:rPr>
                <w:rFonts w:cstheme="minorHAnsi"/>
                <w:szCs w:val="20"/>
              </w:rPr>
            </w:pPr>
            <w:r w:rsidRPr="005737F1">
              <w:rPr>
                <w:rFonts w:cstheme="minorHAnsi"/>
                <w:szCs w:val="20"/>
              </w:rPr>
              <w:t xml:space="preserve">       </w:t>
            </w:r>
            <w:r w:rsidRPr="005737F1">
              <w:rPr>
                <w:rFonts w:cstheme="minorHAnsi"/>
                <w:szCs w:val="20"/>
              </w:rPr>
              <w:t>Please refer to the feedback under Q4</w:t>
            </w:r>
          </w:p>
          <w:p w14:paraId="67E455DF" w14:textId="77777777" w:rsidR="00252293" w:rsidRPr="005737F1" w:rsidRDefault="00252293" w:rsidP="00891722">
            <w:pPr>
              <w:tabs>
                <w:tab w:val="left" w:pos="164"/>
                <w:tab w:val="left" w:pos="447"/>
              </w:tabs>
              <w:ind w:left="447" w:hanging="447"/>
              <w:jc w:val="both"/>
              <w:rPr>
                <w:rFonts w:cstheme="minorHAnsi"/>
                <w:szCs w:val="20"/>
              </w:rPr>
            </w:pPr>
            <w:r w:rsidRPr="005737F1">
              <w:rPr>
                <w:rFonts w:cstheme="minorHAnsi"/>
                <w:szCs w:val="20"/>
              </w:rPr>
              <w:tab/>
              <w:t>d)</w:t>
            </w:r>
            <w:r w:rsidRPr="005737F1">
              <w:rPr>
                <w:rFonts w:cstheme="minorHAnsi"/>
                <w:szCs w:val="20"/>
              </w:rPr>
              <w:tab/>
              <w:t>Would this address the financial stability issues noted or would risks simply be transferred elsewhere in the market without mitigating them effectively?</w:t>
            </w:r>
          </w:p>
          <w:p w14:paraId="3DBF34D6" w14:textId="05DBD381" w:rsidR="00252293" w:rsidRPr="005737F1" w:rsidRDefault="005737F1" w:rsidP="00891722">
            <w:pPr>
              <w:tabs>
                <w:tab w:val="left" w:pos="164"/>
                <w:tab w:val="left" w:pos="447"/>
              </w:tabs>
              <w:ind w:left="447" w:hanging="447"/>
              <w:jc w:val="both"/>
              <w:rPr>
                <w:rFonts w:cstheme="minorHAnsi"/>
                <w:szCs w:val="20"/>
              </w:rPr>
            </w:pPr>
            <w:r w:rsidRPr="005737F1">
              <w:rPr>
                <w:rFonts w:cstheme="minorHAnsi"/>
                <w:szCs w:val="20"/>
              </w:rPr>
              <w:t xml:space="preserve">       </w:t>
            </w:r>
            <w:r w:rsidRPr="005737F1">
              <w:rPr>
                <w:rFonts w:cstheme="minorHAnsi"/>
                <w:szCs w:val="20"/>
              </w:rPr>
              <w:t>Please refer to the feedback under Q4</w:t>
            </w:r>
          </w:p>
        </w:tc>
      </w:tr>
    </w:tbl>
    <w:p w14:paraId="0E28E69A" w14:textId="1595C4EB" w:rsidR="00252293" w:rsidRDefault="00252293" w:rsidP="00252293">
      <w:pPr>
        <w:rPr>
          <w:rFonts w:cstheme="minorHAnsi"/>
        </w:rPr>
      </w:pPr>
    </w:p>
    <w:p w14:paraId="2DB03481" w14:textId="5DB6D9E8" w:rsidR="00252293" w:rsidRDefault="00252293" w:rsidP="00252293">
      <w:pPr>
        <w:rPr>
          <w:rFonts w:cstheme="minorHAnsi"/>
        </w:rPr>
      </w:pPr>
    </w:p>
    <w:p w14:paraId="4AD28DF2" w14:textId="6BCF7F0C" w:rsidR="00252293" w:rsidRDefault="00252293" w:rsidP="00252293">
      <w:pPr>
        <w:rPr>
          <w:rFonts w:cstheme="minorHAnsi"/>
        </w:rPr>
      </w:pPr>
    </w:p>
    <w:p w14:paraId="1249DEDB" w14:textId="3FF64CA9" w:rsidR="00252293" w:rsidRDefault="00252293" w:rsidP="00252293">
      <w:pPr>
        <w:rPr>
          <w:rFonts w:cstheme="minorHAnsi"/>
        </w:rPr>
      </w:pPr>
    </w:p>
    <w:p w14:paraId="66E7B659" w14:textId="77777777" w:rsidR="00252293" w:rsidRDefault="00252293" w:rsidP="00252293"/>
    <w:permEnd w:id="1454397300"/>
    <w:p w14:paraId="208A9476" w14:textId="7580A047" w:rsidR="00492B3A" w:rsidRDefault="00492B3A" w:rsidP="00492B3A">
      <w:r>
        <w:t>&lt;ESMA_QUESTION_</w:t>
      </w:r>
      <w:r w:rsidR="00DC1B3F">
        <w:t>MMFR</w:t>
      </w:r>
      <w:r>
        <w:t>_5&gt;</w:t>
      </w:r>
    </w:p>
    <w:p w14:paraId="7F6E38EC" w14:textId="77777777" w:rsidR="00492B3A" w:rsidRDefault="00492B3A" w:rsidP="00492B3A"/>
    <w:p w14:paraId="428AAF91" w14:textId="59337D31" w:rsidR="00492B3A" w:rsidRDefault="00976448" w:rsidP="00492B3A">
      <w:pPr>
        <w:pStyle w:val="Questionstyle"/>
      </w:pPr>
      <w:r w:rsidRPr="00F43E30">
        <w:rPr>
          <w:color w:val="201F1E"/>
          <w:bdr w:val="none" w:sz="0" w:space="0" w:color="auto" w:frame="1"/>
          <w:lang w:val="en-IE"/>
        </w:rPr>
        <w:t xml:space="preserve">What are your views on the potential need to </w:t>
      </w:r>
      <w:r w:rsidRPr="00F43E30">
        <w:rPr>
          <w:lang w:val="en-IE"/>
        </w:rPr>
        <w:t>eliminate CNAV and LVNAV funds, in light of the recent market developments,</w:t>
      </w:r>
      <w:r w:rsidRPr="00F43E30">
        <w:rPr>
          <w:lang w:val="en-US"/>
        </w:rPr>
        <w:t xml:space="preserve"> and the corresponding potential proposal of amendment of the MMF Regulation?</w:t>
      </w:r>
      <w:r w:rsidRPr="00F43E30">
        <w:rPr>
          <w:color w:val="201F1E"/>
          <w:bdr w:val="none" w:sz="0" w:space="0" w:color="auto" w:frame="1"/>
          <w:lang w:val="en-IE"/>
        </w:rPr>
        <w:t xml:space="preserve"> When you answer this question, please also take into account the grid of criteria listed in paragraphs 76 to 80</w:t>
      </w:r>
      <w:r>
        <w:t>.</w:t>
      </w:r>
    </w:p>
    <w:p w14:paraId="5D7E3500" w14:textId="0C5847FA" w:rsidR="00492B3A" w:rsidRDefault="00492B3A" w:rsidP="00492B3A">
      <w:r>
        <w:t>&lt;ESMA_QUESTION_</w:t>
      </w:r>
      <w:r w:rsidR="00DC1B3F">
        <w:t>MMFR</w:t>
      </w:r>
      <w:r>
        <w:t>_6&gt;</w:t>
      </w:r>
    </w:p>
    <w:p w14:paraId="0570C335" w14:textId="77777777" w:rsidR="00891722" w:rsidRDefault="00891722" w:rsidP="00252293">
      <w:pPr>
        <w:spacing w:after="120"/>
        <w:jc w:val="both"/>
      </w:pPr>
      <w:permStart w:id="164587406" w:edGrp="everyone"/>
    </w:p>
    <w:p w14:paraId="2CF1C0A9" w14:textId="537332CD" w:rsidR="00252293" w:rsidRPr="005737F1" w:rsidRDefault="00252293" w:rsidP="00252293">
      <w:pPr>
        <w:spacing w:after="120"/>
        <w:jc w:val="both"/>
        <w:rPr>
          <w:rFonts w:cstheme="minorHAnsi"/>
          <w:szCs w:val="20"/>
        </w:rPr>
      </w:pPr>
      <w:r w:rsidRPr="005737F1">
        <w:rPr>
          <w:szCs w:val="20"/>
        </w:rPr>
        <w:t xml:space="preserve">  </w:t>
      </w:r>
      <w:r w:rsidRPr="005737F1">
        <w:rPr>
          <w:rFonts w:cstheme="minorHAnsi"/>
          <w:szCs w:val="20"/>
        </w:rPr>
        <w:t xml:space="preserve">The March 2020 crisis was agnostic to fund structure or how the NAV of the fund is calculated.  The elimination of CNAVs or LVNAVS will not address the underlying issues in the short term market that drove this crisis.   US Institutional Prime VNAV funds and EUR Standard VNAV were under the most strain and as noted by various policymakers peak outflows in USD LVNAV and EUR Standard VNAV were substantially similar. The impact of outflows on LVNAV funds was different given the minimum liquidity threshold under the regulation is twice that of the WLA required by European VNAV funds.    There was sufficient liquidity to cover redemptions but this could not be used.   </w:t>
      </w:r>
    </w:p>
    <w:p w14:paraId="5178EE48" w14:textId="77777777" w:rsidR="00252293" w:rsidRPr="005737F1" w:rsidRDefault="00252293" w:rsidP="00252293">
      <w:pPr>
        <w:spacing w:after="120"/>
        <w:jc w:val="both"/>
        <w:rPr>
          <w:rFonts w:cstheme="minorHAnsi"/>
          <w:b/>
          <w:bCs/>
          <w:szCs w:val="20"/>
        </w:rPr>
      </w:pPr>
      <w:r w:rsidRPr="005737F1">
        <w:rPr>
          <w:rFonts w:cstheme="minorHAnsi"/>
          <w:szCs w:val="20"/>
        </w:rPr>
        <w:t xml:space="preserve">Investors value the utility of LVNAV and CNAVs funds, they often require them for their own internal procedures or processes and they are the practical solution for sweeps, intraday settlement and trade execution.  The variable NAV can provide a valuable option for investors comfortable with the fluctuating NAV model but not all investors can deal with them.  Importantly, it should be noted that a variable asset valuation methodology does not in itself address liquidity problems, if this were the case we should have seen significantly reduced outflows from VNAV funds and this was not the case in either the US or Europe. </w:t>
      </w:r>
    </w:p>
    <w:p w14:paraId="275A26A9" w14:textId="77777777" w:rsidR="00252293" w:rsidRPr="005737F1" w:rsidRDefault="00252293" w:rsidP="00252293">
      <w:pPr>
        <w:spacing w:after="120"/>
        <w:jc w:val="both"/>
        <w:rPr>
          <w:rFonts w:cstheme="minorHAnsi"/>
          <w:szCs w:val="20"/>
        </w:rPr>
      </w:pPr>
      <w:r w:rsidRPr="005737F1">
        <w:rPr>
          <w:rFonts w:cstheme="minorHAnsi"/>
          <w:szCs w:val="20"/>
        </w:rPr>
        <w:t>Removing LVNAVs will reduce investor choice and the supply of private credit.  We expect investors to shift into PDCNAVs but note that the scale is not available in GBP and potentially EUR.   Investor flows since the regulatory reforms implemented in 2019 shows strong support for the LVNAV structure. Continued growth in LVNAV AUM since the events of March 2020 demonstrates the ongoing appeal of the product. It is our view that it is important to preserve investor choice.</w:t>
      </w:r>
    </w:p>
    <w:p w14:paraId="4889E774" w14:textId="77777777" w:rsidR="00252293" w:rsidRPr="005737F1" w:rsidRDefault="00252293" w:rsidP="00252293">
      <w:pPr>
        <w:spacing w:after="120"/>
        <w:jc w:val="both"/>
        <w:rPr>
          <w:rFonts w:cstheme="minorHAnsi"/>
          <w:szCs w:val="20"/>
        </w:rPr>
      </w:pPr>
      <w:r w:rsidRPr="005737F1">
        <w:rPr>
          <w:rFonts w:cstheme="minorHAnsi"/>
          <w:szCs w:val="20"/>
        </w:rPr>
        <w:t xml:space="preserve">For many investors the inclusion of LVNAV MMFs as cash equivalent for the purposes of accounting is very important.  VNAV MMFs are considered as cash equivalent in France but this is not the case in other jurisdictions.  Indeed, there is not consistent designation within jurisdictions which would render the product ineligible for many investors. </w:t>
      </w:r>
    </w:p>
    <w:p w14:paraId="6D81209C" w14:textId="77777777" w:rsidR="00252293" w:rsidRPr="005737F1" w:rsidRDefault="00252293" w:rsidP="00252293">
      <w:pPr>
        <w:spacing w:after="120"/>
        <w:jc w:val="both"/>
        <w:rPr>
          <w:rFonts w:cstheme="minorHAnsi"/>
          <w:szCs w:val="20"/>
        </w:rPr>
      </w:pPr>
      <w:r w:rsidRPr="005737F1">
        <w:rPr>
          <w:rFonts w:cstheme="minorHAnsi"/>
          <w:szCs w:val="20"/>
        </w:rPr>
        <w:lastRenderedPageBreak/>
        <w:t>Some investors require an MMF to have an objective to maintain a constant NAV for other regulatory reasons, for example in the UK under the FCA requirements for CASS 7 client money “its primary investment objective must be to maintain the net asset value of the undertaking either constant at par (net of earnings), or at the value of the investors’ initial capital plus earnings”</w:t>
      </w:r>
    </w:p>
    <w:p w14:paraId="0DCCE7DA" w14:textId="77777777" w:rsidR="00252293" w:rsidRPr="005737F1" w:rsidRDefault="00252293" w:rsidP="00252293">
      <w:pPr>
        <w:spacing w:after="120"/>
        <w:jc w:val="both"/>
        <w:rPr>
          <w:rFonts w:cstheme="minorHAnsi"/>
          <w:szCs w:val="20"/>
        </w:rPr>
      </w:pPr>
      <w:r w:rsidRPr="005737F1">
        <w:rPr>
          <w:rFonts w:cstheme="minorHAnsi"/>
          <w:szCs w:val="20"/>
        </w:rPr>
        <w:t>PDCNAV funds saw inflows in March and were the most robust and resilient of all the MMF types during the period of stress and as such we see no reason to remove this fund structure.  The European PDCNAV market consists of 97% US Dollar denominated funds. PDCNAV MMFs in Sterling are only GBP3bn and in Euro EUR0.1bn, reflecting a lack of investor demand to date. This means that PDCNAV MMFs in Euro and Sterling do not currently provide a scalable alternative to LVNAV MMFs.</w:t>
      </w:r>
    </w:p>
    <w:tbl>
      <w:tblPr>
        <w:tblStyle w:val="TableGrid"/>
        <w:tblW w:w="0" w:type="auto"/>
        <w:tblLook w:val="04A0" w:firstRow="1" w:lastRow="0" w:firstColumn="1" w:lastColumn="0" w:noHBand="0" w:noVBand="1"/>
      </w:tblPr>
      <w:tblGrid>
        <w:gridCol w:w="9016"/>
      </w:tblGrid>
      <w:tr w:rsidR="00252293" w:rsidRPr="005737F1" w14:paraId="35E3C045" w14:textId="77777777" w:rsidTr="00891722">
        <w:tc>
          <w:tcPr>
            <w:tcW w:w="9016" w:type="dxa"/>
            <w:shd w:val="clear" w:color="auto" w:fill="EEECE1" w:themeFill="background2"/>
          </w:tcPr>
          <w:p w14:paraId="142780C4" w14:textId="77777777" w:rsidR="00252293" w:rsidRPr="005737F1" w:rsidRDefault="00252293" w:rsidP="00891722">
            <w:pPr>
              <w:jc w:val="both"/>
              <w:rPr>
                <w:rFonts w:cstheme="minorHAnsi"/>
                <w:b/>
                <w:bCs/>
                <w:szCs w:val="20"/>
              </w:rPr>
            </w:pPr>
            <w:r w:rsidRPr="005737F1">
              <w:rPr>
                <w:rFonts w:cstheme="minorHAnsi"/>
                <w:b/>
                <w:bCs/>
                <w:szCs w:val="20"/>
              </w:rPr>
              <w:t>I    Impact on the Resilience of MMFs</w:t>
            </w:r>
          </w:p>
          <w:p w14:paraId="4A839B25" w14:textId="77777777" w:rsidR="00252293" w:rsidRPr="005737F1" w:rsidRDefault="00252293" w:rsidP="00891722">
            <w:pPr>
              <w:ind w:left="306"/>
              <w:jc w:val="both"/>
              <w:rPr>
                <w:rFonts w:cstheme="minorHAnsi"/>
                <w:szCs w:val="20"/>
              </w:rPr>
            </w:pPr>
          </w:p>
        </w:tc>
      </w:tr>
      <w:tr w:rsidR="00252293" w:rsidRPr="005737F1" w14:paraId="4F822186" w14:textId="77777777" w:rsidTr="00891722">
        <w:tc>
          <w:tcPr>
            <w:tcW w:w="9016" w:type="dxa"/>
            <w:shd w:val="clear" w:color="auto" w:fill="auto"/>
          </w:tcPr>
          <w:p w14:paraId="7D53EB22" w14:textId="77777777" w:rsidR="00252293" w:rsidRPr="005737F1" w:rsidRDefault="00252293" w:rsidP="00891722">
            <w:pPr>
              <w:tabs>
                <w:tab w:val="left" w:pos="164"/>
                <w:tab w:val="left" w:pos="447"/>
              </w:tabs>
              <w:ind w:left="360"/>
              <w:jc w:val="both"/>
              <w:rPr>
                <w:rFonts w:cstheme="minorHAnsi"/>
                <w:color w:val="000000" w:themeColor="text1"/>
                <w:szCs w:val="20"/>
              </w:rPr>
            </w:pPr>
            <w:r w:rsidRPr="005737F1">
              <w:rPr>
                <w:rFonts w:cstheme="minorHAnsi"/>
                <w:color w:val="000000" w:themeColor="text1"/>
                <w:szCs w:val="20"/>
              </w:rPr>
              <w:t>The fund structure was not a key driver of outflows and we see no evidence to indicate that VNAV funds were more resilient.  This is borne out by the fact that US Prime VNAV MMFs and Euro Standard VNAV MMFs both experienced significant redemption activity.  The Central Bank of Ireland acknowledged that ‘VNAVs experienced significant stress in March in France and the US, albeit for different periods.</w:t>
            </w:r>
            <w:r w:rsidRPr="005737F1">
              <w:rPr>
                <w:rFonts w:cstheme="minorHAnsi"/>
                <w:szCs w:val="20"/>
              </w:rPr>
              <w:footnoteReference w:id="2"/>
            </w:r>
            <w:r w:rsidRPr="005737F1">
              <w:rPr>
                <w:rFonts w:cstheme="minorHAnsi"/>
                <w:color w:val="000000" w:themeColor="text1"/>
                <w:szCs w:val="20"/>
              </w:rPr>
              <w:t xml:space="preserve">.   Market conditions external to the fund triggered stress, the experience was not homogenous across either fund type or currency and therefore it is not possible to determine that the fund structure made VNAVs more resilient. </w:t>
            </w:r>
          </w:p>
          <w:p w14:paraId="17706FEA" w14:textId="77777777" w:rsidR="00252293" w:rsidRPr="005737F1" w:rsidRDefault="00252293" w:rsidP="00891722">
            <w:pPr>
              <w:pStyle w:val="ListParagraph"/>
              <w:jc w:val="both"/>
              <w:rPr>
                <w:rFonts w:cstheme="minorHAnsi"/>
                <w:b/>
                <w:bCs/>
                <w:szCs w:val="20"/>
              </w:rPr>
            </w:pPr>
          </w:p>
        </w:tc>
      </w:tr>
      <w:tr w:rsidR="00252293" w:rsidRPr="005737F1" w14:paraId="6B368C31" w14:textId="77777777" w:rsidTr="00891722">
        <w:tc>
          <w:tcPr>
            <w:tcW w:w="9016" w:type="dxa"/>
          </w:tcPr>
          <w:p w14:paraId="4E4CF063" w14:textId="77777777" w:rsidR="00252293" w:rsidRPr="005737F1" w:rsidRDefault="00252293" w:rsidP="00891722">
            <w:pPr>
              <w:ind w:left="306" w:hanging="306"/>
              <w:jc w:val="both"/>
              <w:rPr>
                <w:rFonts w:cstheme="minorHAnsi"/>
                <w:i/>
                <w:iCs/>
                <w:szCs w:val="20"/>
              </w:rPr>
            </w:pPr>
            <w:r w:rsidRPr="005737F1">
              <w:rPr>
                <w:rFonts w:cstheme="minorHAnsi"/>
                <w:i/>
                <w:iCs/>
                <w:szCs w:val="20"/>
              </w:rPr>
              <w:t xml:space="preserve">i </w:t>
            </w:r>
            <w:r w:rsidRPr="005737F1">
              <w:rPr>
                <w:rFonts w:cstheme="minorHAnsi"/>
                <w:i/>
                <w:iCs/>
                <w:szCs w:val="20"/>
              </w:rPr>
              <w:tab/>
              <w:t>How would the policy option work in mitigating the structural vulnerabilities of MMFs?</w:t>
            </w:r>
          </w:p>
          <w:p w14:paraId="78AEF694" w14:textId="77777777" w:rsidR="00252293" w:rsidRPr="005737F1" w:rsidRDefault="00252293" w:rsidP="00891722">
            <w:pPr>
              <w:spacing w:after="120"/>
              <w:ind w:left="360"/>
              <w:jc w:val="both"/>
              <w:rPr>
                <w:rFonts w:cstheme="minorHAnsi"/>
                <w:szCs w:val="20"/>
              </w:rPr>
            </w:pPr>
            <w:r w:rsidRPr="005737F1">
              <w:rPr>
                <w:rFonts w:cstheme="minorHAnsi"/>
                <w:color w:val="000000" w:themeColor="text1"/>
                <w:szCs w:val="20"/>
              </w:rPr>
              <w:t>VNAV MMFs remain vulnerable to run risk, so eliminating LVNAV and/or CNAV funds does not mitigate risk.</w:t>
            </w:r>
          </w:p>
        </w:tc>
      </w:tr>
      <w:tr w:rsidR="00252293" w:rsidRPr="005737F1" w14:paraId="5DEEEC91" w14:textId="77777777" w:rsidTr="00891722">
        <w:tc>
          <w:tcPr>
            <w:tcW w:w="9016" w:type="dxa"/>
          </w:tcPr>
          <w:p w14:paraId="26AD1A88" w14:textId="77777777" w:rsidR="00252293" w:rsidRPr="005737F1" w:rsidRDefault="00252293" w:rsidP="00891722">
            <w:pPr>
              <w:jc w:val="both"/>
              <w:rPr>
                <w:rFonts w:cstheme="minorHAnsi"/>
                <w:i/>
                <w:iCs/>
                <w:color w:val="000000" w:themeColor="text1"/>
                <w:szCs w:val="20"/>
              </w:rPr>
            </w:pPr>
            <w:r w:rsidRPr="005737F1">
              <w:rPr>
                <w:rFonts w:cstheme="minorHAnsi"/>
                <w:i/>
                <w:iCs/>
                <w:color w:val="000000" w:themeColor="text1"/>
                <w:szCs w:val="20"/>
              </w:rPr>
              <w:t>ii</w:t>
            </w:r>
            <w:r w:rsidRPr="005737F1">
              <w:rPr>
                <w:rFonts w:cstheme="minorHAnsi"/>
                <w:i/>
                <w:iCs/>
                <w:color w:val="000000" w:themeColor="text1"/>
                <w:szCs w:val="20"/>
              </w:rPr>
              <w:tab/>
              <w:t>Would it apply to all MMFs?</w:t>
            </w:r>
          </w:p>
          <w:p w14:paraId="59DF8814" w14:textId="77777777" w:rsidR="00252293" w:rsidRPr="005737F1" w:rsidRDefault="00252293" w:rsidP="00891722">
            <w:pPr>
              <w:ind w:left="360"/>
              <w:jc w:val="both"/>
              <w:rPr>
                <w:rFonts w:cstheme="minorHAnsi"/>
                <w:color w:val="000000" w:themeColor="text1"/>
                <w:szCs w:val="20"/>
              </w:rPr>
            </w:pPr>
            <w:r w:rsidRPr="005737F1">
              <w:rPr>
                <w:rFonts w:cstheme="minorHAnsi"/>
                <w:color w:val="000000" w:themeColor="text1"/>
                <w:szCs w:val="20"/>
              </w:rPr>
              <w:t xml:space="preserve">No. This option excludes VNAV funds.  We see no need to eliminate PDCNAV or LVNAV funds, -the former proved to be resilient and attract inflows while we argue that LVNAVs actually performed well during the crisis demonstrating that the key tenants of MMFR are effective. </w:t>
            </w:r>
          </w:p>
          <w:p w14:paraId="6F745BB4" w14:textId="77777777" w:rsidR="00252293" w:rsidRPr="005737F1" w:rsidRDefault="00252293" w:rsidP="00891722">
            <w:pPr>
              <w:ind w:left="306" w:hanging="306"/>
              <w:jc w:val="both"/>
              <w:rPr>
                <w:rFonts w:cstheme="minorHAnsi"/>
                <w:i/>
                <w:iCs/>
                <w:color w:val="000000" w:themeColor="text1"/>
                <w:szCs w:val="20"/>
              </w:rPr>
            </w:pPr>
          </w:p>
        </w:tc>
      </w:tr>
      <w:tr w:rsidR="00252293" w:rsidRPr="005737F1" w14:paraId="26B584DD" w14:textId="77777777" w:rsidTr="00891722">
        <w:tc>
          <w:tcPr>
            <w:tcW w:w="9016" w:type="dxa"/>
          </w:tcPr>
          <w:p w14:paraId="31F67156" w14:textId="77777777" w:rsidR="00252293" w:rsidRPr="005737F1" w:rsidRDefault="00252293" w:rsidP="00891722">
            <w:pPr>
              <w:tabs>
                <w:tab w:val="left" w:pos="306"/>
                <w:tab w:val="left" w:pos="690"/>
              </w:tabs>
              <w:ind w:left="447" w:hanging="447"/>
              <w:jc w:val="both"/>
              <w:rPr>
                <w:rFonts w:cstheme="minorHAnsi"/>
                <w:szCs w:val="20"/>
              </w:rPr>
            </w:pPr>
            <w:r w:rsidRPr="005737F1">
              <w:rPr>
                <w:rFonts w:cstheme="minorHAnsi"/>
                <w:i/>
                <w:iCs/>
                <w:szCs w:val="20"/>
              </w:rPr>
              <w:t>ii</w:t>
            </w:r>
            <w:r w:rsidRPr="005737F1">
              <w:rPr>
                <w:rFonts w:cstheme="minorHAnsi"/>
                <w:i/>
                <w:iCs/>
                <w:szCs w:val="20"/>
              </w:rPr>
              <w:tab/>
              <w:t>a)</w:t>
            </w:r>
            <w:r w:rsidRPr="005737F1">
              <w:rPr>
                <w:rFonts w:cstheme="minorHAnsi"/>
                <w:i/>
                <w:iCs/>
                <w:szCs w:val="20"/>
              </w:rPr>
              <w:tab/>
            </w:r>
            <w:r w:rsidRPr="005737F1">
              <w:rPr>
                <w:rFonts w:cstheme="minorHAnsi"/>
                <w:szCs w:val="20"/>
              </w:rPr>
              <w:t>Is the option currently in place in any jurisdiction, and if so, has it been helpful?</w:t>
            </w:r>
          </w:p>
          <w:p w14:paraId="5666B0FB" w14:textId="77777777" w:rsidR="00252293" w:rsidRPr="005737F1" w:rsidRDefault="00252293" w:rsidP="00891722">
            <w:pPr>
              <w:tabs>
                <w:tab w:val="left" w:pos="306"/>
                <w:tab w:val="left" w:pos="690"/>
              </w:tabs>
              <w:ind w:left="447" w:hanging="447"/>
              <w:jc w:val="both"/>
              <w:rPr>
                <w:rFonts w:cstheme="minorHAnsi"/>
                <w:szCs w:val="20"/>
              </w:rPr>
            </w:pPr>
          </w:p>
          <w:p w14:paraId="3CA064A0" w14:textId="77777777" w:rsidR="00252293" w:rsidRPr="005737F1" w:rsidRDefault="00252293" w:rsidP="00290E98">
            <w:pPr>
              <w:pStyle w:val="ListParagraph"/>
              <w:numPr>
                <w:ilvl w:val="0"/>
                <w:numId w:val="51"/>
              </w:numPr>
              <w:spacing w:after="120"/>
              <w:jc w:val="both"/>
              <w:rPr>
                <w:rFonts w:cstheme="minorHAnsi"/>
                <w:i/>
                <w:iCs/>
                <w:color w:val="000000" w:themeColor="text1"/>
                <w:szCs w:val="20"/>
              </w:rPr>
            </w:pPr>
            <w:r w:rsidRPr="005737F1">
              <w:rPr>
                <w:rFonts w:cstheme="minorHAnsi"/>
                <w:color w:val="000000" w:themeColor="text1"/>
                <w:szCs w:val="20"/>
              </w:rPr>
              <w:t>Reforms introduced in the US market after the 2008-09 global financial crisis changed institutional Prime funds from a constant to a floating NAV, whilst Government funds continued to be CNAV.</w:t>
            </w:r>
            <w:r w:rsidRPr="005737F1">
              <w:rPr>
                <w:rStyle w:val="FootnoteReference"/>
                <w:rFonts w:cstheme="minorHAnsi"/>
                <w:color w:val="000000" w:themeColor="text1"/>
                <w:szCs w:val="20"/>
              </w:rPr>
              <w:footnoteReference w:id="3"/>
            </w:r>
            <w:r w:rsidRPr="005737F1">
              <w:rPr>
                <w:rFonts w:cstheme="minorHAnsi"/>
                <w:color w:val="000000" w:themeColor="text1"/>
                <w:szCs w:val="20"/>
              </w:rPr>
              <w:t xml:space="preserve"> This resulted in a large-scale reallocation of assets out of Prime into Government funds, which grew by more than USD1 trillion after reforms were implemented in 2016.  Government MMFs now account for 77% of the US industry net assets and Prime MMFs account for only 20%. This reallocation away from Prime funds was driven by two changes: the shift to a floating NAV and the fact that Prime funds became subject to liquidity fees and redemption gate provisions, whereas US Government MMFs did not. </w:t>
            </w:r>
          </w:p>
          <w:p w14:paraId="704126FD" w14:textId="77777777" w:rsidR="00252293" w:rsidRPr="005737F1" w:rsidRDefault="00252293" w:rsidP="00290E98">
            <w:pPr>
              <w:pStyle w:val="ListParagraph"/>
              <w:numPr>
                <w:ilvl w:val="0"/>
                <w:numId w:val="51"/>
              </w:numPr>
              <w:spacing w:after="120"/>
              <w:jc w:val="both"/>
              <w:rPr>
                <w:rFonts w:cstheme="minorHAnsi"/>
                <w:color w:val="000000" w:themeColor="text1"/>
                <w:szCs w:val="20"/>
              </w:rPr>
            </w:pPr>
            <w:r w:rsidRPr="005737F1">
              <w:rPr>
                <w:rFonts w:cstheme="minorHAnsi"/>
                <w:color w:val="000000" w:themeColor="text1"/>
                <w:szCs w:val="20"/>
              </w:rPr>
              <w:t>USD denominated PDCNAV MMFs are heavily reliant on a single issuer in the form of US government debt. Capacity constraints and idiosyncrasies in the European sovereign market make this hard to replicate in EUR denominated PDCNAV MMFs.</w:t>
            </w:r>
          </w:p>
          <w:p w14:paraId="0E81A216" w14:textId="77777777" w:rsidR="00252293" w:rsidRPr="005737F1" w:rsidRDefault="00252293" w:rsidP="00290E98">
            <w:pPr>
              <w:pStyle w:val="ListParagraph"/>
              <w:numPr>
                <w:ilvl w:val="0"/>
                <w:numId w:val="51"/>
              </w:numPr>
              <w:spacing w:after="120"/>
              <w:jc w:val="both"/>
              <w:rPr>
                <w:rFonts w:cstheme="minorHAnsi"/>
                <w:i/>
                <w:iCs/>
                <w:color w:val="000000" w:themeColor="text1"/>
                <w:szCs w:val="20"/>
              </w:rPr>
            </w:pPr>
            <w:r w:rsidRPr="005737F1">
              <w:rPr>
                <w:rFonts w:cstheme="minorHAnsi"/>
                <w:color w:val="000000" w:themeColor="text1"/>
                <w:szCs w:val="20"/>
              </w:rPr>
              <w:t>US Prime funds, now floating NAV, experienced heavy redemptions in March 2020. As a percentage of fund size outflows for publicly offered institutional Prime MMFs exceeded those in September 2008.</w:t>
            </w:r>
            <w:r w:rsidRPr="005737F1">
              <w:rPr>
                <w:rStyle w:val="FootnoteReference"/>
                <w:rFonts w:cstheme="minorHAnsi"/>
                <w:color w:val="000000" w:themeColor="text1"/>
                <w:szCs w:val="20"/>
              </w:rPr>
              <w:footnoteReference w:id="4"/>
            </w:r>
            <w:r w:rsidRPr="005737F1">
              <w:rPr>
                <w:rFonts w:cstheme="minorHAnsi"/>
                <w:color w:val="000000" w:themeColor="text1"/>
                <w:szCs w:val="20"/>
              </w:rPr>
              <w:t xml:space="preserve"> Over the two-week period from March 11 to 24 net redemptions totalled 30% (approximately USD100bn) of fund assets. This compares with outflows of 26% in a two-week period in September 2008. </w:t>
            </w:r>
            <w:r w:rsidRPr="005737F1">
              <w:rPr>
                <w:rFonts w:cstheme="minorHAnsi"/>
                <w:i/>
                <w:iCs/>
                <w:color w:val="000000" w:themeColor="text1"/>
                <w:szCs w:val="20"/>
              </w:rPr>
              <w:t>This would strongly suggest that the change from stable to variable NAV has not resulted in MMFs being less susceptible to outflows.</w:t>
            </w:r>
            <w:r w:rsidRPr="005737F1">
              <w:rPr>
                <w:rFonts w:cstheme="minorHAnsi"/>
                <w:color w:val="000000" w:themeColor="text1"/>
                <w:szCs w:val="20"/>
              </w:rPr>
              <w:tab/>
            </w:r>
          </w:p>
          <w:p w14:paraId="1E33E84E" w14:textId="77777777" w:rsidR="00252293" w:rsidRPr="005737F1" w:rsidRDefault="00252293" w:rsidP="00891722">
            <w:pPr>
              <w:tabs>
                <w:tab w:val="left" w:pos="306"/>
              </w:tabs>
              <w:jc w:val="both"/>
              <w:rPr>
                <w:rFonts w:cstheme="minorHAnsi"/>
                <w:szCs w:val="20"/>
              </w:rPr>
            </w:pPr>
            <w:r w:rsidRPr="005737F1">
              <w:rPr>
                <w:rFonts w:cstheme="minorHAnsi"/>
                <w:i/>
                <w:iCs/>
                <w:szCs w:val="20"/>
              </w:rPr>
              <w:tab/>
              <w:t>b)</w:t>
            </w:r>
            <w:r w:rsidRPr="005737F1">
              <w:rPr>
                <w:rFonts w:cstheme="minorHAnsi"/>
                <w:i/>
                <w:iCs/>
                <w:szCs w:val="20"/>
              </w:rPr>
              <w:tab/>
            </w:r>
            <w:r w:rsidRPr="005737F1">
              <w:rPr>
                <w:rFonts w:cstheme="minorHAnsi"/>
                <w:szCs w:val="20"/>
              </w:rPr>
              <w:t xml:space="preserve">How would it represent a change from current rules or practices in other </w:t>
            </w:r>
            <w:r w:rsidRPr="005737F1">
              <w:rPr>
                <w:rFonts w:cstheme="minorHAnsi"/>
                <w:szCs w:val="20"/>
              </w:rPr>
              <w:tab/>
            </w:r>
            <w:r w:rsidRPr="005737F1">
              <w:rPr>
                <w:rFonts w:cstheme="minorHAnsi"/>
                <w:szCs w:val="20"/>
              </w:rPr>
              <w:tab/>
            </w:r>
            <w:r w:rsidRPr="005737F1">
              <w:rPr>
                <w:rFonts w:cstheme="minorHAnsi"/>
                <w:szCs w:val="20"/>
              </w:rPr>
              <w:tab/>
            </w:r>
            <w:r w:rsidRPr="005737F1">
              <w:rPr>
                <w:rFonts w:cstheme="minorHAnsi"/>
                <w:szCs w:val="20"/>
              </w:rPr>
              <w:tab/>
              <w:t>jurisdictions?</w:t>
            </w:r>
          </w:p>
          <w:p w14:paraId="4863C8A9" w14:textId="77777777" w:rsidR="00252293" w:rsidRPr="005737F1" w:rsidRDefault="00252293" w:rsidP="00290E98">
            <w:pPr>
              <w:pStyle w:val="ListParagraph"/>
              <w:numPr>
                <w:ilvl w:val="0"/>
                <w:numId w:val="52"/>
              </w:numPr>
              <w:spacing w:after="120"/>
              <w:jc w:val="both"/>
              <w:rPr>
                <w:rFonts w:cstheme="minorHAnsi"/>
                <w:color w:val="000000" w:themeColor="text1"/>
                <w:szCs w:val="20"/>
              </w:rPr>
            </w:pPr>
            <w:r w:rsidRPr="005737F1">
              <w:rPr>
                <w:rFonts w:cstheme="minorHAnsi"/>
                <w:color w:val="000000" w:themeColor="text1"/>
                <w:szCs w:val="20"/>
              </w:rPr>
              <w:t xml:space="preserve">European Union Money Market Fund Regulation was notably successful in facilitating a smooth investor transition from CNAV MMFs into LVNAV funds with minimal disruption to short term markets. </w:t>
            </w:r>
          </w:p>
          <w:p w14:paraId="3715CA72" w14:textId="77777777" w:rsidR="00252293" w:rsidRPr="005737F1" w:rsidRDefault="00252293" w:rsidP="00290E98">
            <w:pPr>
              <w:pStyle w:val="ListParagraph"/>
              <w:numPr>
                <w:ilvl w:val="0"/>
                <w:numId w:val="52"/>
              </w:numPr>
              <w:spacing w:after="120"/>
              <w:jc w:val="both"/>
              <w:rPr>
                <w:rFonts w:cstheme="minorHAnsi"/>
                <w:color w:val="000000" w:themeColor="text1"/>
                <w:szCs w:val="20"/>
              </w:rPr>
            </w:pPr>
            <w:r w:rsidRPr="005737F1">
              <w:rPr>
                <w:rFonts w:cstheme="minorHAnsi"/>
                <w:color w:val="000000" w:themeColor="text1"/>
                <w:szCs w:val="20"/>
              </w:rPr>
              <w:t>Recognition of high EU standards makes it an attractive marketplace for global MMF investors.</w:t>
            </w:r>
          </w:p>
          <w:p w14:paraId="5A044317" w14:textId="77777777" w:rsidR="00252293" w:rsidRPr="005737F1" w:rsidRDefault="00252293" w:rsidP="00290E98">
            <w:pPr>
              <w:pStyle w:val="ListParagraph"/>
              <w:numPr>
                <w:ilvl w:val="0"/>
                <w:numId w:val="52"/>
              </w:numPr>
              <w:spacing w:after="120"/>
              <w:jc w:val="both"/>
              <w:rPr>
                <w:rFonts w:cstheme="minorHAnsi"/>
                <w:color w:val="000000" w:themeColor="text1"/>
                <w:szCs w:val="20"/>
              </w:rPr>
            </w:pPr>
            <w:r w:rsidRPr="005737F1">
              <w:rPr>
                <w:rFonts w:cstheme="minorHAnsi"/>
                <w:color w:val="000000" w:themeColor="text1"/>
                <w:szCs w:val="20"/>
              </w:rPr>
              <w:lastRenderedPageBreak/>
              <w:t xml:space="preserve">The investor base is best served by a spectrum of funds which offers choice. </w:t>
            </w:r>
          </w:p>
          <w:p w14:paraId="708EB4BA" w14:textId="77777777" w:rsidR="00252293" w:rsidRPr="005737F1" w:rsidRDefault="00252293" w:rsidP="00891722">
            <w:pPr>
              <w:tabs>
                <w:tab w:val="left" w:pos="306"/>
              </w:tabs>
              <w:jc w:val="both"/>
              <w:rPr>
                <w:rFonts w:cstheme="minorHAnsi"/>
                <w:szCs w:val="20"/>
              </w:rPr>
            </w:pPr>
          </w:p>
          <w:p w14:paraId="2DB82893" w14:textId="77777777" w:rsidR="00252293" w:rsidRPr="005737F1" w:rsidRDefault="00252293" w:rsidP="00891722">
            <w:pPr>
              <w:tabs>
                <w:tab w:val="left" w:pos="306"/>
              </w:tabs>
              <w:ind w:left="272" w:hanging="272"/>
              <w:jc w:val="both"/>
              <w:rPr>
                <w:rFonts w:cstheme="minorHAnsi"/>
                <w:szCs w:val="20"/>
              </w:rPr>
            </w:pPr>
            <w:r w:rsidRPr="005737F1">
              <w:rPr>
                <w:rFonts w:cstheme="minorHAnsi"/>
                <w:szCs w:val="20"/>
              </w:rPr>
              <w:tab/>
              <w:t>c)</w:t>
            </w:r>
            <w:r w:rsidRPr="005737F1">
              <w:rPr>
                <w:rFonts w:cstheme="minorHAnsi"/>
                <w:szCs w:val="20"/>
              </w:rPr>
              <w:tab/>
              <w:t xml:space="preserve">Has the option been implemented previously and, if so, what were the main </w:t>
            </w:r>
            <w:r w:rsidRPr="005737F1">
              <w:rPr>
                <w:rFonts w:cstheme="minorHAnsi"/>
                <w:szCs w:val="20"/>
              </w:rPr>
              <w:tab/>
            </w:r>
            <w:r w:rsidRPr="005737F1">
              <w:rPr>
                <w:rFonts w:cstheme="minorHAnsi"/>
                <w:szCs w:val="20"/>
              </w:rPr>
              <w:tab/>
            </w:r>
            <w:r w:rsidRPr="005737F1">
              <w:rPr>
                <w:rFonts w:cstheme="minorHAnsi"/>
                <w:szCs w:val="20"/>
              </w:rPr>
              <w:tab/>
              <w:t>findings?</w:t>
            </w:r>
          </w:p>
          <w:p w14:paraId="0CF9638D" w14:textId="77777777" w:rsidR="00252293" w:rsidRPr="005737F1" w:rsidRDefault="00252293" w:rsidP="00891722">
            <w:pPr>
              <w:ind w:left="360"/>
              <w:jc w:val="both"/>
              <w:rPr>
                <w:rFonts w:cstheme="minorHAnsi"/>
                <w:color w:val="000000" w:themeColor="text1"/>
                <w:szCs w:val="20"/>
              </w:rPr>
            </w:pPr>
            <w:r w:rsidRPr="005737F1">
              <w:rPr>
                <w:rFonts w:cstheme="minorHAnsi"/>
                <w:color w:val="000000" w:themeColor="text1"/>
                <w:szCs w:val="20"/>
              </w:rPr>
              <w:t>As mentioned above, the move from stable to floating NAV for Institutional Prime MMFs took place in 2014 and resulted in a huge shift of assets out of Prime and into Government MMFs. Any such move would be particularly difficult in Europe because of i) capacity constraints in the PDCNAV market other than for USD denominated funds and ii) it would result in a significant reduction of funding to those issuers currently tapping into the liquidity provided by LVNAV MMFs.</w:t>
            </w:r>
          </w:p>
          <w:p w14:paraId="566CCB06" w14:textId="77777777" w:rsidR="00252293" w:rsidRPr="005737F1" w:rsidRDefault="00252293" w:rsidP="00891722">
            <w:pPr>
              <w:tabs>
                <w:tab w:val="left" w:pos="306"/>
              </w:tabs>
              <w:jc w:val="both"/>
              <w:rPr>
                <w:rFonts w:cstheme="minorHAnsi"/>
                <w:i/>
                <w:iCs/>
                <w:color w:val="4F81BD" w:themeColor="accent1"/>
                <w:szCs w:val="20"/>
              </w:rPr>
            </w:pPr>
          </w:p>
        </w:tc>
      </w:tr>
    </w:tbl>
    <w:p w14:paraId="26858ECF" w14:textId="2D68DA61" w:rsidR="00252293" w:rsidRDefault="00252293" w:rsidP="00492B3A"/>
    <w:tbl>
      <w:tblPr>
        <w:tblStyle w:val="TableGrid"/>
        <w:tblW w:w="0" w:type="auto"/>
        <w:tblLook w:val="04A0" w:firstRow="1" w:lastRow="0" w:firstColumn="1" w:lastColumn="0" w:noHBand="0" w:noVBand="1"/>
      </w:tblPr>
      <w:tblGrid>
        <w:gridCol w:w="9016"/>
      </w:tblGrid>
      <w:tr w:rsidR="00252293" w:rsidRPr="005737F1" w14:paraId="6A54F256" w14:textId="77777777" w:rsidTr="00891722">
        <w:tc>
          <w:tcPr>
            <w:tcW w:w="9016" w:type="dxa"/>
            <w:shd w:val="clear" w:color="auto" w:fill="EEECE1" w:themeFill="background2"/>
          </w:tcPr>
          <w:p w14:paraId="7C4283CF" w14:textId="77777777" w:rsidR="00252293" w:rsidRPr="005737F1" w:rsidRDefault="00252293" w:rsidP="00891722">
            <w:pPr>
              <w:jc w:val="both"/>
              <w:rPr>
                <w:rFonts w:cstheme="minorHAnsi"/>
                <w:b/>
                <w:bCs/>
                <w:szCs w:val="20"/>
              </w:rPr>
            </w:pPr>
            <w:r w:rsidRPr="005737F1">
              <w:rPr>
                <w:rFonts w:cstheme="minorHAnsi"/>
                <w:b/>
                <w:bCs/>
                <w:szCs w:val="20"/>
              </w:rPr>
              <w:t>II    Effects on Investor Behaviour</w:t>
            </w:r>
          </w:p>
          <w:p w14:paraId="1EC79968" w14:textId="77777777" w:rsidR="00252293" w:rsidRPr="005737F1" w:rsidRDefault="00252293" w:rsidP="00891722">
            <w:pPr>
              <w:jc w:val="both"/>
              <w:rPr>
                <w:rFonts w:cstheme="minorHAnsi"/>
                <w:szCs w:val="20"/>
              </w:rPr>
            </w:pPr>
            <w:r w:rsidRPr="005737F1">
              <w:rPr>
                <w:rFonts w:cstheme="minorHAnsi"/>
                <w:szCs w:val="20"/>
              </w:rPr>
              <w:tab/>
            </w:r>
          </w:p>
        </w:tc>
      </w:tr>
      <w:tr w:rsidR="00252293" w:rsidRPr="005737F1" w14:paraId="6CB865F4" w14:textId="77777777" w:rsidTr="00891722">
        <w:tc>
          <w:tcPr>
            <w:tcW w:w="9016" w:type="dxa"/>
          </w:tcPr>
          <w:p w14:paraId="57E1B8FD" w14:textId="77777777" w:rsidR="00252293" w:rsidRPr="005737F1" w:rsidRDefault="00252293" w:rsidP="00891722">
            <w:pPr>
              <w:ind w:left="306" w:hanging="306"/>
              <w:jc w:val="both"/>
              <w:rPr>
                <w:rFonts w:cstheme="minorHAnsi"/>
                <w:szCs w:val="20"/>
              </w:rPr>
            </w:pPr>
            <w:r w:rsidRPr="005737F1">
              <w:rPr>
                <w:rFonts w:cstheme="minorHAnsi"/>
                <w:i/>
                <w:iCs/>
                <w:szCs w:val="20"/>
              </w:rPr>
              <w:t xml:space="preserve">i </w:t>
            </w:r>
            <w:r w:rsidRPr="005737F1">
              <w:rPr>
                <w:rFonts w:cstheme="minorHAnsi"/>
                <w:b/>
                <w:bCs/>
                <w:i/>
                <w:iCs/>
                <w:szCs w:val="20"/>
              </w:rPr>
              <w:tab/>
            </w:r>
            <w:r w:rsidRPr="005737F1">
              <w:rPr>
                <w:rFonts w:cstheme="minorHAnsi"/>
                <w:szCs w:val="20"/>
              </w:rPr>
              <w:t>From a micro perspective (viewing the MMF in isolation), how would the policy option affect investors’ incentives to redeem during stress events?</w:t>
            </w:r>
          </w:p>
          <w:p w14:paraId="0982A365" w14:textId="77777777" w:rsidR="00252293" w:rsidRPr="005737F1" w:rsidRDefault="00252293" w:rsidP="00290E98">
            <w:pPr>
              <w:pStyle w:val="ListParagraph"/>
              <w:numPr>
                <w:ilvl w:val="0"/>
                <w:numId w:val="53"/>
              </w:numPr>
              <w:jc w:val="both"/>
              <w:rPr>
                <w:rFonts w:cstheme="minorHAnsi"/>
                <w:color w:val="000000" w:themeColor="text1"/>
                <w:szCs w:val="20"/>
              </w:rPr>
            </w:pPr>
            <w:r w:rsidRPr="005737F1">
              <w:rPr>
                <w:rFonts w:cstheme="minorHAnsi"/>
                <w:color w:val="000000" w:themeColor="text1"/>
                <w:szCs w:val="20"/>
              </w:rPr>
              <w:t>A VNAV structure does not reduce the incentive to redeem. Both US Prime VNAV and Euro Standard VNAV experienced significant redemption pressure, suggesting that valuation methodology was not the key determinant.</w:t>
            </w:r>
          </w:p>
          <w:p w14:paraId="73C3193A" w14:textId="77777777" w:rsidR="00252293" w:rsidRPr="005737F1" w:rsidRDefault="00252293" w:rsidP="00290E98">
            <w:pPr>
              <w:pStyle w:val="ListParagraph"/>
              <w:numPr>
                <w:ilvl w:val="0"/>
                <w:numId w:val="53"/>
              </w:numPr>
              <w:jc w:val="both"/>
              <w:rPr>
                <w:rFonts w:cstheme="minorHAnsi"/>
                <w:color w:val="000000" w:themeColor="text1"/>
                <w:szCs w:val="20"/>
              </w:rPr>
            </w:pPr>
            <w:r w:rsidRPr="005737F1">
              <w:rPr>
                <w:rFonts w:cstheme="minorHAnsi"/>
                <w:color w:val="000000" w:themeColor="text1"/>
                <w:szCs w:val="20"/>
              </w:rPr>
              <w:t>The risk of ‘bright lines’ could be mitigated by delinking liquidity thresholds from the imposition of fees, suspensions and gates, thereby strengthening LVNAVs relative to VNAVs with regard to investor incentives to redeem.</w:t>
            </w:r>
          </w:p>
          <w:p w14:paraId="1EABC779" w14:textId="77777777" w:rsidR="00252293" w:rsidRPr="005737F1" w:rsidRDefault="00252293" w:rsidP="00290E98">
            <w:pPr>
              <w:pStyle w:val="ListParagraph"/>
              <w:numPr>
                <w:ilvl w:val="0"/>
                <w:numId w:val="53"/>
              </w:numPr>
              <w:jc w:val="both"/>
              <w:rPr>
                <w:rFonts w:cstheme="minorHAnsi"/>
                <w:color w:val="000000" w:themeColor="text1"/>
                <w:szCs w:val="20"/>
              </w:rPr>
            </w:pPr>
            <w:r w:rsidRPr="005737F1">
              <w:rPr>
                <w:rFonts w:cstheme="minorHAnsi"/>
                <w:color w:val="000000" w:themeColor="text1"/>
                <w:szCs w:val="20"/>
              </w:rPr>
              <w:t>We see LVNAVs as the institutional investor’s choice and we strongly believe that choice should be preserved.</w:t>
            </w:r>
          </w:p>
          <w:p w14:paraId="3F103B1C" w14:textId="77777777" w:rsidR="00252293" w:rsidRPr="005737F1" w:rsidRDefault="00252293" w:rsidP="00891722">
            <w:pPr>
              <w:jc w:val="both"/>
              <w:rPr>
                <w:rFonts w:cstheme="minorHAnsi"/>
                <w:b/>
                <w:bCs/>
                <w:i/>
                <w:iCs/>
                <w:szCs w:val="20"/>
              </w:rPr>
            </w:pPr>
          </w:p>
        </w:tc>
      </w:tr>
      <w:tr w:rsidR="00252293" w:rsidRPr="005737F1" w14:paraId="1A5D5C69" w14:textId="77777777" w:rsidTr="00891722">
        <w:tc>
          <w:tcPr>
            <w:tcW w:w="9016" w:type="dxa"/>
          </w:tcPr>
          <w:p w14:paraId="792C3819" w14:textId="77777777" w:rsidR="00252293" w:rsidRPr="005737F1" w:rsidRDefault="00252293" w:rsidP="00290E98">
            <w:pPr>
              <w:pStyle w:val="ListParagraph"/>
              <w:numPr>
                <w:ilvl w:val="0"/>
                <w:numId w:val="53"/>
              </w:numPr>
              <w:jc w:val="both"/>
              <w:rPr>
                <w:rFonts w:cstheme="minorHAnsi"/>
                <w:color w:val="000000" w:themeColor="text1"/>
                <w:szCs w:val="20"/>
              </w:rPr>
            </w:pPr>
            <w:r w:rsidRPr="005737F1">
              <w:rPr>
                <w:rFonts w:cstheme="minorHAnsi"/>
                <w:color w:val="000000" w:themeColor="text1"/>
                <w:szCs w:val="20"/>
              </w:rPr>
              <w:t>ii</w:t>
            </w:r>
            <w:r w:rsidRPr="005737F1">
              <w:rPr>
                <w:rFonts w:cstheme="minorHAnsi"/>
                <w:color w:val="000000" w:themeColor="text1"/>
                <w:szCs w:val="20"/>
              </w:rPr>
              <w:tab/>
              <w:t>From a macro perspective, how would this option mitigate the effects of a generalised “dash for cash” as seen in March 2020; and/or runs prompted by a credit crisis, as seen in September 2008?</w:t>
            </w:r>
          </w:p>
          <w:p w14:paraId="30711E07" w14:textId="77777777" w:rsidR="00252293" w:rsidRPr="005737F1" w:rsidRDefault="00252293" w:rsidP="00290E98">
            <w:pPr>
              <w:pStyle w:val="ListParagraph"/>
              <w:numPr>
                <w:ilvl w:val="0"/>
                <w:numId w:val="53"/>
              </w:numPr>
              <w:jc w:val="both"/>
              <w:rPr>
                <w:rFonts w:cstheme="minorHAnsi"/>
                <w:color w:val="000000" w:themeColor="text1"/>
                <w:szCs w:val="20"/>
              </w:rPr>
            </w:pPr>
            <w:r w:rsidRPr="005737F1">
              <w:rPr>
                <w:rFonts w:cstheme="minorHAnsi"/>
                <w:color w:val="000000" w:themeColor="text1"/>
                <w:szCs w:val="20"/>
              </w:rPr>
              <w:t>As per above, we do not believe that eliminating CNAV and LVNAV reduces run risk in a liquidity crisis.</w:t>
            </w:r>
          </w:p>
          <w:p w14:paraId="7E99D1A0" w14:textId="77777777" w:rsidR="00252293" w:rsidRPr="005737F1" w:rsidRDefault="00252293" w:rsidP="00290E98">
            <w:pPr>
              <w:pStyle w:val="ListParagraph"/>
              <w:numPr>
                <w:ilvl w:val="0"/>
                <w:numId w:val="53"/>
              </w:numPr>
              <w:jc w:val="both"/>
              <w:rPr>
                <w:rFonts w:cstheme="minorHAnsi"/>
                <w:color w:val="000000" w:themeColor="text1"/>
                <w:szCs w:val="20"/>
              </w:rPr>
            </w:pPr>
            <w:r w:rsidRPr="005737F1">
              <w:rPr>
                <w:rFonts w:cstheme="minorHAnsi"/>
                <w:color w:val="000000" w:themeColor="text1"/>
                <w:szCs w:val="20"/>
              </w:rPr>
              <w:t xml:space="preserve">With regard to a credit event, EU MMFR provided more stringent measures to protect investors against market volatility.  An LVNAV MMF operates under a so called ‘fund collar’ which is the permissible deviation between a stable unit value (1.00) and the mark to market NAV. </w:t>
            </w:r>
          </w:p>
          <w:p w14:paraId="6E0BD438" w14:textId="77777777" w:rsidR="00252293" w:rsidRPr="005737F1" w:rsidRDefault="00252293" w:rsidP="00290E98">
            <w:pPr>
              <w:pStyle w:val="ListParagraph"/>
              <w:numPr>
                <w:ilvl w:val="0"/>
                <w:numId w:val="53"/>
              </w:numPr>
              <w:jc w:val="both"/>
              <w:rPr>
                <w:rFonts w:cstheme="minorHAnsi"/>
                <w:color w:val="000000" w:themeColor="text1"/>
                <w:szCs w:val="20"/>
              </w:rPr>
            </w:pPr>
            <w:r w:rsidRPr="005737F1">
              <w:rPr>
                <w:rFonts w:cstheme="minorHAnsi"/>
                <w:color w:val="000000" w:themeColor="text1"/>
                <w:szCs w:val="20"/>
              </w:rPr>
              <w:t xml:space="preserve">In our view the elimination of CNAV and LVNAV MMFs would force many investors to find alternative products. These options and the various impacts are discussed below (IV i) a). With regard to the macro risk of a shift into other products, the need for liquidity would remain. The ‘effects of a generalised “dash for cash”’ are unlikely to be mitigated and could in fact be more severe given that MMFs are structurally bound to hold high levels of liquidity which would not be true of the available disaggregated alternatives. </w:t>
            </w:r>
          </w:p>
          <w:p w14:paraId="56D9542A" w14:textId="77777777" w:rsidR="00252293" w:rsidRPr="005737F1" w:rsidRDefault="00252293" w:rsidP="00290E98">
            <w:pPr>
              <w:pStyle w:val="ListParagraph"/>
              <w:numPr>
                <w:ilvl w:val="0"/>
                <w:numId w:val="53"/>
              </w:numPr>
              <w:jc w:val="both"/>
              <w:rPr>
                <w:rFonts w:cstheme="minorHAnsi"/>
                <w:color w:val="000000" w:themeColor="text1"/>
                <w:szCs w:val="20"/>
              </w:rPr>
            </w:pPr>
            <w:r w:rsidRPr="005737F1">
              <w:rPr>
                <w:rFonts w:cstheme="minorHAnsi"/>
                <w:color w:val="000000" w:themeColor="text1"/>
                <w:szCs w:val="20"/>
              </w:rPr>
              <w:t>In addition to the fact that liquidity risks would not be mitigated, other products are very likely to be less regulated and less transparent, creating more macro risk.</w:t>
            </w:r>
          </w:p>
          <w:p w14:paraId="6A7EB7C8" w14:textId="77777777" w:rsidR="00252293" w:rsidRPr="005737F1" w:rsidRDefault="00252293" w:rsidP="00891722">
            <w:pPr>
              <w:pStyle w:val="ListParagraph"/>
              <w:ind w:left="1080"/>
              <w:jc w:val="both"/>
              <w:rPr>
                <w:rFonts w:cstheme="minorHAnsi"/>
                <w:color w:val="000000" w:themeColor="text1"/>
                <w:szCs w:val="20"/>
              </w:rPr>
            </w:pPr>
          </w:p>
        </w:tc>
      </w:tr>
      <w:tr w:rsidR="00252293" w:rsidRPr="005737F1" w14:paraId="20499247" w14:textId="77777777" w:rsidTr="00891722">
        <w:tc>
          <w:tcPr>
            <w:tcW w:w="9016" w:type="dxa"/>
          </w:tcPr>
          <w:p w14:paraId="0AAED914" w14:textId="77777777" w:rsidR="00252293" w:rsidRPr="005737F1" w:rsidRDefault="00252293" w:rsidP="00891722">
            <w:pPr>
              <w:ind w:left="447" w:hanging="447"/>
              <w:jc w:val="both"/>
              <w:rPr>
                <w:rFonts w:cstheme="minorHAnsi"/>
                <w:szCs w:val="20"/>
              </w:rPr>
            </w:pPr>
            <w:r w:rsidRPr="005737F1">
              <w:rPr>
                <w:rFonts w:cstheme="minorHAnsi"/>
                <w:i/>
                <w:iCs/>
                <w:szCs w:val="20"/>
              </w:rPr>
              <w:t>iii a)</w:t>
            </w:r>
            <w:r w:rsidRPr="005737F1">
              <w:rPr>
                <w:rFonts w:cstheme="minorHAnsi"/>
                <w:szCs w:val="20"/>
              </w:rPr>
              <w:t xml:space="preserve"> Does the option effectively shift MMF risks to investors?</w:t>
            </w:r>
          </w:p>
          <w:p w14:paraId="70CA78D4" w14:textId="77777777" w:rsidR="00252293" w:rsidRPr="005737F1" w:rsidRDefault="00252293" w:rsidP="00891722">
            <w:pPr>
              <w:ind w:left="447" w:hanging="447"/>
              <w:jc w:val="both"/>
              <w:rPr>
                <w:rFonts w:cstheme="minorHAnsi"/>
                <w:b/>
                <w:bCs/>
                <w:i/>
                <w:iCs/>
                <w:szCs w:val="20"/>
              </w:rPr>
            </w:pPr>
          </w:p>
          <w:p w14:paraId="228A4F6F" w14:textId="77777777" w:rsidR="00252293" w:rsidRPr="005737F1" w:rsidRDefault="00252293" w:rsidP="00891722">
            <w:pPr>
              <w:ind w:left="447" w:hanging="447"/>
              <w:jc w:val="both"/>
              <w:rPr>
                <w:rFonts w:cstheme="minorHAnsi"/>
                <w:szCs w:val="20"/>
              </w:rPr>
            </w:pPr>
            <w:r w:rsidRPr="005737F1">
              <w:rPr>
                <w:rFonts w:cstheme="minorHAnsi"/>
                <w:i/>
                <w:iCs/>
                <w:szCs w:val="20"/>
              </w:rPr>
              <w:t xml:space="preserve">   b)</w:t>
            </w:r>
            <w:r w:rsidRPr="005737F1">
              <w:rPr>
                <w:rFonts w:cstheme="minorHAnsi"/>
                <w:b/>
                <w:bCs/>
                <w:i/>
                <w:iCs/>
                <w:szCs w:val="20"/>
              </w:rPr>
              <w:tab/>
            </w:r>
            <w:r w:rsidRPr="005737F1">
              <w:rPr>
                <w:rFonts w:cstheme="minorHAnsi"/>
                <w:szCs w:val="20"/>
              </w:rPr>
              <w:t>Does it make those risks more salient and transparent for investors? Are investors treated equally?</w:t>
            </w:r>
          </w:p>
          <w:p w14:paraId="2F1616E3" w14:textId="77777777" w:rsidR="00252293" w:rsidRPr="005737F1" w:rsidRDefault="00252293" w:rsidP="00290E98">
            <w:pPr>
              <w:pStyle w:val="ListParagraph"/>
              <w:numPr>
                <w:ilvl w:val="0"/>
                <w:numId w:val="53"/>
              </w:numPr>
              <w:jc w:val="both"/>
              <w:rPr>
                <w:rFonts w:cstheme="minorHAnsi"/>
                <w:color w:val="000000" w:themeColor="text1"/>
                <w:szCs w:val="20"/>
              </w:rPr>
            </w:pPr>
            <w:r w:rsidRPr="005737F1">
              <w:rPr>
                <w:rFonts w:cstheme="minorHAnsi"/>
                <w:color w:val="000000" w:themeColor="text1"/>
                <w:szCs w:val="20"/>
              </w:rPr>
              <w:t>MMFs are already very transparent.</w:t>
            </w:r>
          </w:p>
          <w:p w14:paraId="7D78D9D4" w14:textId="77777777" w:rsidR="00252293" w:rsidRPr="005737F1" w:rsidRDefault="00252293" w:rsidP="00290E98">
            <w:pPr>
              <w:pStyle w:val="ListParagraph"/>
              <w:numPr>
                <w:ilvl w:val="0"/>
                <w:numId w:val="53"/>
              </w:numPr>
              <w:jc w:val="both"/>
              <w:rPr>
                <w:rFonts w:cstheme="minorHAnsi"/>
                <w:szCs w:val="20"/>
              </w:rPr>
            </w:pPr>
            <w:r w:rsidRPr="005737F1">
              <w:rPr>
                <w:rFonts w:cstheme="minorHAnsi"/>
                <w:color w:val="000000" w:themeColor="text1"/>
                <w:szCs w:val="20"/>
              </w:rPr>
              <w:t>We believe that investors understand the risks which are clearly disclosed.</w:t>
            </w:r>
          </w:p>
        </w:tc>
      </w:tr>
      <w:tr w:rsidR="00252293" w:rsidRPr="005737F1" w14:paraId="6F495F3B" w14:textId="77777777" w:rsidTr="00252293">
        <w:tc>
          <w:tcPr>
            <w:tcW w:w="9016" w:type="dxa"/>
          </w:tcPr>
          <w:p w14:paraId="6C8B0890" w14:textId="77777777" w:rsidR="00252293" w:rsidRPr="005737F1" w:rsidRDefault="00252293" w:rsidP="00891722">
            <w:pPr>
              <w:ind w:left="447" w:hanging="447"/>
              <w:jc w:val="both"/>
              <w:rPr>
                <w:rFonts w:cstheme="minorHAnsi"/>
                <w:b/>
                <w:bCs/>
                <w:szCs w:val="20"/>
              </w:rPr>
            </w:pPr>
            <w:r w:rsidRPr="005737F1">
              <w:rPr>
                <w:rFonts w:cstheme="minorHAnsi"/>
                <w:b/>
                <w:bCs/>
                <w:szCs w:val="20"/>
              </w:rPr>
              <w:t>III</w:t>
            </w:r>
            <w:r w:rsidRPr="005737F1">
              <w:rPr>
                <w:rFonts w:cstheme="minorHAnsi"/>
                <w:b/>
                <w:bCs/>
                <w:szCs w:val="20"/>
              </w:rPr>
              <w:tab/>
              <w:t>Effects on Fund Managers</w:t>
            </w:r>
          </w:p>
          <w:p w14:paraId="2CD48043" w14:textId="77777777" w:rsidR="00252293" w:rsidRPr="005737F1" w:rsidRDefault="00252293" w:rsidP="00891722">
            <w:pPr>
              <w:jc w:val="both"/>
              <w:rPr>
                <w:rFonts w:cstheme="minorHAnsi"/>
                <w:szCs w:val="20"/>
              </w:rPr>
            </w:pPr>
          </w:p>
        </w:tc>
      </w:tr>
      <w:tr w:rsidR="00252293" w:rsidRPr="005737F1" w14:paraId="530CA5A8" w14:textId="77777777" w:rsidTr="00252293">
        <w:tc>
          <w:tcPr>
            <w:tcW w:w="9016" w:type="dxa"/>
          </w:tcPr>
          <w:p w14:paraId="6CD752EA" w14:textId="77777777" w:rsidR="00252293" w:rsidRPr="005737F1" w:rsidRDefault="00252293" w:rsidP="00891722">
            <w:pPr>
              <w:ind w:left="447" w:hanging="425"/>
              <w:jc w:val="both"/>
              <w:rPr>
                <w:rFonts w:cstheme="minorHAnsi"/>
                <w:szCs w:val="20"/>
              </w:rPr>
            </w:pPr>
            <w:r w:rsidRPr="005737F1">
              <w:rPr>
                <w:rFonts w:cstheme="minorHAnsi"/>
                <w:szCs w:val="20"/>
              </w:rPr>
              <w:t>i</w:t>
            </w:r>
            <w:r w:rsidRPr="005737F1">
              <w:rPr>
                <w:rFonts w:cstheme="minorHAnsi"/>
                <w:szCs w:val="20"/>
              </w:rPr>
              <w:tab/>
              <w:t>How would the policy option affect MMFs’ liquidity management in normal versus stressed times?</w:t>
            </w:r>
          </w:p>
          <w:p w14:paraId="1B94DE36" w14:textId="77777777" w:rsidR="00252293" w:rsidRPr="005737F1" w:rsidRDefault="00252293" w:rsidP="00290E98">
            <w:pPr>
              <w:pStyle w:val="ListParagraph"/>
              <w:numPr>
                <w:ilvl w:val="0"/>
                <w:numId w:val="53"/>
              </w:numPr>
              <w:jc w:val="both"/>
              <w:rPr>
                <w:rFonts w:cstheme="minorHAnsi"/>
                <w:color w:val="000000" w:themeColor="text1"/>
                <w:szCs w:val="20"/>
              </w:rPr>
            </w:pPr>
            <w:r w:rsidRPr="005737F1">
              <w:rPr>
                <w:rFonts w:cstheme="minorHAnsi"/>
                <w:color w:val="000000" w:themeColor="text1"/>
                <w:szCs w:val="20"/>
              </w:rPr>
              <w:t>The lower liquidity thresholds available to VNAV MMFs would be beneficial in allowing more flexibility in stressed conditions, however, the same result could be achieved by delinking the current thresholds from fees and gates which would enable the managers of LVNAV MMFs to temporarily drop below the minimum thresholds.</w:t>
            </w:r>
          </w:p>
          <w:p w14:paraId="391D7331" w14:textId="77777777" w:rsidR="00252293" w:rsidRPr="005737F1" w:rsidRDefault="00252293" w:rsidP="00290E98">
            <w:pPr>
              <w:pStyle w:val="ListParagraph"/>
              <w:numPr>
                <w:ilvl w:val="0"/>
                <w:numId w:val="53"/>
              </w:numPr>
              <w:jc w:val="both"/>
              <w:rPr>
                <w:rFonts w:cstheme="minorHAnsi"/>
                <w:color w:val="000000" w:themeColor="text1"/>
                <w:szCs w:val="20"/>
              </w:rPr>
            </w:pPr>
            <w:r w:rsidRPr="005737F1">
              <w:rPr>
                <w:rFonts w:cstheme="minorHAnsi"/>
                <w:color w:val="000000" w:themeColor="text1"/>
                <w:szCs w:val="20"/>
              </w:rPr>
              <w:t xml:space="preserve">The main consideration is investor demand for the product. Some fund providers already offer the VNAV alternative to LVNAV/PDCNAV investors, but the investors choose LVNAV/PDCNAV funds out of preference for those fund types. </w:t>
            </w:r>
          </w:p>
          <w:p w14:paraId="39D8F3C5" w14:textId="77777777" w:rsidR="00252293" w:rsidRPr="005737F1" w:rsidRDefault="00252293" w:rsidP="00891722">
            <w:pPr>
              <w:ind w:left="447" w:hanging="425"/>
              <w:jc w:val="both"/>
              <w:rPr>
                <w:rFonts w:cstheme="minorHAnsi"/>
                <w:szCs w:val="20"/>
              </w:rPr>
            </w:pPr>
          </w:p>
        </w:tc>
      </w:tr>
      <w:tr w:rsidR="00252293" w:rsidRPr="005737F1" w14:paraId="7EB741B5" w14:textId="77777777" w:rsidTr="00252293">
        <w:tc>
          <w:tcPr>
            <w:tcW w:w="9016" w:type="dxa"/>
          </w:tcPr>
          <w:p w14:paraId="273BF6C0" w14:textId="77777777" w:rsidR="00252293" w:rsidRPr="005737F1" w:rsidRDefault="00252293" w:rsidP="00891722">
            <w:pPr>
              <w:ind w:left="447" w:hanging="447"/>
              <w:jc w:val="both"/>
              <w:rPr>
                <w:rFonts w:cstheme="minorHAnsi"/>
                <w:szCs w:val="20"/>
              </w:rPr>
            </w:pPr>
            <w:r w:rsidRPr="005737F1">
              <w:rPr>
                <w:rFonts w:cstheme="minorHAnsi"/>
                <w:szCs w:val="20"/>
              </w:rPr>
              <w:t>ii</w:t>
            </w:r>
            <w:r w:rsidRPr="005737F1">
              <w:rPr>
                <w:rFonts w:cstheme="minorHAnsi"/>
                <w:szCs w:val="20"/>
              </w:rPr>
              <w:tab/>
              <w:t>How would it impact the ability or willingness of MMFs to invest in short-term funding instruments or use the repo market?</w:t>
            </w:r>
          </w:p>
          <w:p w14:paraId="4275D9A0" w14:textId="77777777" w:rsidR="00252293" w:rsidRPr="005737F1" w:rsidRDefault="00252293" w:rsidP="00290E98">
            <w:pPr>
              <w:pStyle w:val="ListParagraph"/>
              <w:numPr>
                <w:ilvl w:val="0"/>
                <w:numId w:val="54"/>
              </w:numPr>
              <w:jc w:val="both"/>
              <w:rPr>
                <w:rFonts w:cstheme="minorHAnsi"/>
                <w:b/>
                <w:bCs/>
                <w:color w:val="000000" w:themeColor="text1"/>
                <w:szCs w:val="20"/>
              </w:rPr>
            </w:pPr>
            <w:r w:rsidRPr="005737F1">
              <w:rPr>
                <w:rFonts w:cstheme="minorHAnsi"/>
                <w:color w:val="000000" w:themeColor="text1"/>
                <w:szCs w:val="20"/>
              </w:rPr>
              <w:t>In so far as investors were to transition into Short Term Variable NAV funds, those investors currently holding AAA fund rated LVNAV or PDCNAV MMFs are likely to continue to expect the same high levels of liquidity even in a different fund structure, as mentioned above. The fund’s willingness to invest would therefore likely remain the same.</w:t>
            </w:r>
          </w:p>
          <w:p w14:paraId="3E2A999B" w14:textId="77777777" w:rsidR="00252293" w:rsidRPr="005737F1" w:rsidRDefault="00252293" w:rsidP="00290E98">
            <w:pPr>
              <w:pStyle w:val="ListParagraph"/>
              <w:numPr>
                <w:ilvl w:val="0"/>
                <w:numId w:val="54"/>
              </w:numPr>
              <w:jc w:val="both"/>
              <w:rPr>
                <w:rFonts w:cstheme="minorHAnsi"/>
                <w:color w:val="000000" w:themeColor="text1"/>
                <w:szCs w:val="20"/>
              </w:rPr>
            </w:pPr>
            <w:r w:rsidRPr="005737F1">
              <w:rPr>
                <w:rFonts w:cstheme="minorHAnsi"/>
                <w:color w:val="000000" w:themeColor="text1"/>
                <w:szCs w:val="20"/>
              </w:rPr>
              <w:lastRenderedPageBreak/>
              <w:t>In order to maintain a AAA fund rating the fund would likely maintain very similar structural levels of liquidity, even if it became a Short Term VNAV, in which case the same applies. By the same logic, the fund would likely continue to minimise or exclude unrated credit exposures.</w:t>
            </w:r>
          </w:p>
          <w:p w14:paraId="035397EB" w14:textId="77777777" w:rsidR="00252293" w:rsidRPr="005737F1" w:rsidRDefault="00252293" w:rsidP="00290E98">
            <w:pPr>
              <w:pStyle w:val="ListParagraph"/>
              <w:numPr>
                <w:ilvl w:val="0"/>
                <w:numId w:val="54"/>
              </w:numPr>
              <w:jc w:val="both"/>
              <w:rPr>
                <w:rFonts w:cstheme="minorHAnsi"/>
                <w:color w:val="000000" w:themeColor="text1"/>
                <w:szCs w:val="20"/>
              </w:rPr>
            </w:pPr>
            <w:r w:rsidRPr="005737F1">
              <w:rPr>
                <w:rFonts w:cstheme="minorHAnsi"/>
                <w:color w:val="000000" w:themeColor="text1"/>
                <w:szCs w:val="20"/>
              </w:rPr>
              <w:t>Given the subjective definition of WLA for VNAV MMFs, the fund would have the ability to avail itself of the less conservative definition of WLA. MMFR also allows a VNAV portfolio to be less diversified (Article 17).</w:t>
            </w:r>
          </w:p>
          <w:p w14:paraId="38F7C639" w14:textId="77777777" w:rsidR="00252293" w:rsidRPr="005737F1" w:rsidRDefault="00252293" w:rsidP="00290E98">
            <w:pPr>
              <w:pStyle w:val="ListParagraph"/>
              <w:numPr>
                <w:ilvl w:val="0"/>
                <w:numId w:val="54"/>
              </w:numPr>
              <w:jc w:val="both"/>
              <w:rPr>
                <w:rFonts w:cstheme="minorHAnsi"/>
                <w:color w:val="000000" w:themeColor="text1"/>
                <w:szCs w:val="20"/>
              </w:rPr>
            </w:pPr>
            <w:r w:rsidRPr="005737F1">
              <w:rPr>
                <w:rFonts w:cstheme="minorHAnsi"/>
                <w:color w:val="000000" w:themeColor="text1"/>
                <w:szCs w:val="20"/>
              </w:rPr>
              <w:t xml:space="preserve">In so far as some investors would not shift from LVNAV/PDCNAV to VNAV MMFs, either because a variable NAV did not suit their purposes or they were uncomfortable with it, the amounts invested by MMFs would shrink substantially reducing the flow of credit to the short-term funding market. Any flow that continued to the short-term funding markets by investors in MMFs investing more directly into the market would likely become significantly more concentrated in a smaller number of issuers. The reason for this is that a vast majority of investors do not have the credit research resource to invest with the same diversification of a MMF. This would be detrimental to the funding of all but the most systemically important banks.   </w:t>
            </w:r>
          </w:p>
          <w:p w14:paraId="147C46DD" w14:textId="77777777" w:rsidR="00252293" w:rsidRPr="005737F1" w:rsidRDefault="00252293" w:rsidP="00290E98">
            <w:pPr>
              <w:pStyle w:val="ListParagraph"/>
              <w:numPr>
                <w:ilvl w:val="0"/>
                <w:numId w:val="54"/>
              </w:numPr>
              <w:jc w:val="both"/>
              <w:rPr>
                <w:rFonts w:cstheme="minorHAnsi"/>
                <w:szCs w:val="20"/>
              </w:rPr>
            </w:pPr>
            <w:r w:rsidRPr="005737F1">
              <w:rPr>
                <w:rFonts w:cstheme="minorHAnsi"/>
                <w:color w:val="000000" w:themeColor="text1"/>
                <w:szCs w:val="20"/>
              </w:rPr>
              <w:t>If investors currently invested in LVNAV or PDCNAV MMFs moved to Standard VNAV MMFs (which we think is very unlikely), this would result in the sector as a whole taking on increased risk due to the less stringent criteria applied to Standard VNAVs</w:t>
            </w:r>
            <w:r w:rsidRPr="005737F1">
              <w:rPr>
                <w:rFonts w:cstheme="minorHAnsi"/>
                <w:color w:val="4F81BD" w:themeColor="accent1"/>
                <w:szCs w:val="20"/>
              </w:rPr>
              <w:t>.</w:t>
            </w:r>
          </w:p>
        </w:tc>
      </w:tr>
      <w:tr w:rsidR="00252293" w:rsidRPr="005737F1" w14:paraId="6E051B42" w14:textId="77777777" w:rsidTr="00252293">
        <w:tc>
          <w:tcPr>
            <w:tcW w:w="9016" w:type="dxa"/>
          </w:tcPr>
          <w:p w14:paraId="613601FB" w14:textId="77777777" w:rsidR="00252293" w:rsidRPr="005737F1" w:rsidRDefault="00252293" w:rsidP="00891722">
            <w:pPr>
              <w:keepNext/>
              <w:tabs>
                <w:tab w:val="left" w:pos="447"/>
              </w:tabs>
              <w:jc w:val="both"/>
              <w:rPr>
                <w:rFonts w:cstheme="minorHAnsi"/>
                <w:b/>
                <w:bCs/>
                <w:szCs w:val="20"/>
              </w:rPr>
            </w:pPr>
            <w:r w:rsidRPr="005737F1">
              <w:rPr>
                <w:rFonts w:cstheme="minorHAnsi"/>
                <w:b/>
                <w:bCs/>
                <w:szCs w:val="20"/>
              </w:rPr>
              <w:lastRenderedPageBreak/>
              <w:t>IV</w:t>
            </w:r>
            <w:r w:rsidRPr="005737F1">
              <w:rPr>
                <w:rFonts w:cstheme="minorHAnsi"/>
                <w:b/>
                <w:bCs/>
                <w:szCs w:val="20"/>
              </w:rPr>
              <w:tab/>
              <w:t>Broader Impacts on the Stability and Functioning of Short-term Funding Markets</w:t>
            </w:r>
          </w:p>
          <w:p w14:paraId="6FF6E6E7" w14:textId="77777777" w:rsidR="00252293" w:rsidRPr="005737F1" w:rsidRDefault="00252293" w:rsidP="00891722">
            <w:pPr>
              <w:jc w:val="both"/>
              <w:rPr>
                <w:rFonts w:cstheme="minorHAnsi"/>
                <w:szCs w:val="20"/>
              </w:rPr>
            </w:pPr>
          </w:p>
        </w:tc>
      </w:tr>
      <w:tr w:rsidR="00252293" w:rsidRPr="005737F1" w14:paraId="5407095D" w14:textId="77777777" w:rsidTr="00252293">
        <w:tc>
          <w:tcPr>
            <w:tcW w:w="9016" w:type="dxa"/>
          </w:tcPr>
          <w:p w14:paraId="54F3B02E" w14:textId="77777777" w:rsidR="00252293" w:rsidRPr="005737F1" w:rsidRDefault="00252293" w:rsidP="00290E98">
            <w:pPr>
              <w:pStyle w:val="ListParagraph"/>
              <w:numPr>
                <w:ilvl w:val="0"/>
                <w:numId w:val="55"/>
              </w:numPr>
              <w:jc w:val="both"/>
              <w:rPr>
                <w:rFonts w:cstheme="minorHAnsi"/>
                <w:color w:val="000000" w:themeColor="text1"/>
                <w:szCs w:val="20"/>
              </w:rPr>
            </w:pPr>
            <w:r w:rsidRPr="005737F1">
              <w:rPr>
                <w:rFonts w:cstheme="minorHAnsi"/>
                <w:color w:val="000000" w:themeColor="text1"/>
                <w:szCs w:val="20"/>
              </w:rPr>
              <w:t>We do not believe that eliminating CNAV and LVNAV will improve stability.</w:t>
            </w:r>
          </w:p>
          <w:p w14:paraId="23BAC2A2" w14:textId="77777777" w:rsidR="00252293" w:rsidRPr="005737F1" w:rsidRDefault="00252293" w:rsidP="00290E98">
            <w:pPr>
              <w:pStyle w:val="ListParagraph"/>
              <w:numPr>
                <w:ilvl w:val="0"/>
                <w:numId w:val="55"/>
              </w:numPr>
              <w:jc w:val="both"/>
              <w:rPr>
                <w:rFonts w:cstheme="minorHAnsi"/>
                <w:color w:val="000000" w:themeColor="text1"/>
                <w:szCs w:val="20"/>
              </w:rPr>
            </w:pPr>
            <w:r w:rsidRPr="005737F1">
              <w:rPr>
                <w:rFonts w:cstheme="minorHAnsi"/>
                <w:color w:val="000000" w:themeColor="text1"/>
                <w:szCs w:val="20"/>
              </w:rPr>
              <w:t>The evidence does not suggest that VNAVs are inherently more stable.</w:t>
            </w:r>
          </w:p>
          <w:p w14:paraId="4EC9863C" w14:textId="77777777" w:rsidR="00252293" w:rsidRPr="005737F1" w:rsidRDefault="00252293" w:rsidP="00290E98">
            <w:pPr>
              <w:pStyle w:val="ListParagraph"/>
              <w:numPr>
                <w:ilvl w:val="0"/>
                <w:numId w:val="55"/>
              </w:numPr>
              <w:jc w:val="both"/>
              <w:rPr>
                <w:rFonts w:cstheme="minorHAnsi"/>
                <w:color w:val="000000" w:themeColor="text1"/>
                <w:szCs w:val="20"/>
              </w:rPr>
            </w:pPr>
            <w:r w:rsidRPr="005737F1">
              <w:rPr>
                <w:rFonts w:cstheme="minorHAnsi"/>
                <w:color w:val="000000" w:themeColor="text1"/>
                <w:szCs w:val="20"/>
              </w:rPr>
              <w:t>Removing the option of CNAV and LVNAV MMFs would create significantly more demand for deposits as an alternative. Given the lack of appetite on the part of banks for short term deposits, this may also create stress in the system and also force investors into riskier less transparent, less regulated areas, thereby adding to systemic risk.</w:t>
            </w:r>
          </w:p>
          <w:p w14:paraId="242F8D48" w14:textId="77777777" w:rsidR="00252293" w:rsidRPr="005737F1" w:rsidRDefault="00252293" w:rsidP="00290E98">
            <w:pPr>
              <w:pStyle w:val="ListParagraph"/>
              <w:numPr>
                <w:ilvl w:val="0"/>
                <w:numId w:val="55"/>
              </w:numPr>
              <w:jc w:val="both"/>
              <w:rPr>
                <w:rFonts w:cstheme="minorHAnsi"/>
                <w:color w:val="000000" w:themeColor="text1"/>
                <w:szCs w:val="20"/>
              </w:rPr>
            </w:pPr>
            <w:r w:rsidRPr="005737F1">
              <w:rPr>
                <w:rFonts w:cstheme="minorHAnsi"/>
                <w:color w:val="000000" w:themeColor="text1"/>
                <w:szCs w:val="20"/>
              </w:rPr>
              <w:t xml:space="preserve">Suppression of the LVNAV sector would mean a substantial reduction in the flow of credit to issuers using the short-term funding markets, likely resulting in increased funding costs and less certainty of funding for CP and CD. </w:t>
            </w:r>
          </w:p>
          <w:p w14:paraId="4F4BC2B2" w14:textId="77777777" w:rsidR="00252293" w:rsidRPr="005737F1" w:rsidRDefault="00252293" w:rsidP="00290E98">
            <w:pPr>
              <w:pStyle w:val="ListParagraph"/>
              <w:numPr>
                <w:ilvl w:val="0"/>
                <w:numId w:val="55"/>
              </w:numPr>
              <w:jc w:val="both"/>
              <w:rPr>
                <w:rFonts w:cstheme="minorHAnsi"/>
                <w:color w:val="000000" w:themeColor="text1"/>
                <w:szCs w:val="20"/>
              </w:rPr>
            </w:pPr>
            <w:r w:rsidRPr="005737F1">
              <w:rPr>
                <w:rFonts w:cstheme="minorHAnsi"/>
                <w:color w:val="000000" w:themeColor="text1"/>
                <w:szCs w:val="20"/>
              </w:rPr>
              <w:t>There is no apparent alternative to these funding sources which could offer issuers the same benefits of cost efficiency and flexibility. Issuers would have to issue longer term – this increases their costs and significantly reduces flexibility. Non-financials would have to borrow from banks, but bank lending is likely to be limited by both appetite and funding ability. In the case of highly rated names the banks would have to pay a higher interest rate than the issuers themselves, meaning they cannot effectively intermediate.</w:t>
            </w:r>
          </w:p>
          <w:p w14:paraId="287901B4" w14:textId="77777777" w:rsidR="00252293" w:rsidRPr="005737F1" w:rsidRDefault="00252293" w:rsidP="00290E98">
            <w:pPr>
              <w:pStyle w:val="ListParagraph"/>
              <w:numPr>
                <w:ilvl w:val="0"/>
                <w:numId w:val="55"/>
              </w:numPr>
              <w:jc w:val="both"/>
              <w:rPr>
                <w:rFonts w:cstheme="minorHAnsi"/>
                <w:color w:val="000000" w:themeColor="text1"/>
                <w:szCs w:val="20"/>
              </w:rPr>
            </w:pPr>
            <w:r w:rsidRPr="005737F1">
              <w:rPr>
                <w:rFonts w:cstheme="minorHAnsi"/>
                <w:color w:val="000000" w:themeColor="text1"/>
                <w:szCs w:val="20"/>
              </w:rPr>
              <w:t>See comment above on funding concentration issue.</w:t>
            </w:r>
          </w:p>
          <w:p w14:paraId="45432477" w14:textId="77777777" w:rsidR="00252293" w:rsidRPr="005737F1" w:rsidRDefault="00252293" w:rsidP="00290E98">
            <w:pPr>
              <w:pStyle w:val="ListParagraph"/>
              <w:numPr>
                <w:ilvl w:val="0"/>
                <w:numId w:val="55"/>
              </w:numPr>
              <w:jc w:val="both"/>
              <w:rPr>
                <w:rFonts w:cstheme="minorHAnsi"/>
                <w:color w:val="000000" w:themeColor="text1"/>
                <w:szCs w:val="20"/>
              </w:rPr>
            </w:pPr>
            <w:r w:rsidRPr="005737F1">
              <w:rPr>
                <w:rFonts w:cstheme="minorHAnsi"/>
                <w:color w:val="000000" w:themeColor="text1"/>
                <w:szCs w:val="20"/>
              </w:rPr>
              <w:t xml:space="preserve">Creating greater dependence on banks and re-intermediating them in the lending market runs counter to the objectives of Capital Markets Union. </w:t>
            </w:r>
          </w:p>
          <w:p w14:paraId="3BDACD69" w14:textId="77777777" w:rsidR="00252293" w:rsidRPr="005737F1" w:rsidRDefault="00252293" w:rsidP="00891722">
            <w:pPr>
              <w:jc w:val="both"/>
              <w:rPr>
                <w:rFonts w:cstheme="minorHAnsi"/>
                <w:szCs w:val="20"/>
              </w:rPr>
            </w:pPr>
          </w:p>
        </w:tc>
      </w:tr>
      <w:tr w:rsidR="00252293" w:rsidRPr="005737F1" w14:paraId="7239AF7D" w14:textId="77777777" w:rsidTr="00252293">
        <w:tc>
          <w:tcPr>
            <w:tcW w:w="9016" w:type="dxa"/>
          </w:tcPr>
          <w:p w14:paraId="2CFF14EB" w14:textId="77777777" w:rsidR="00252293" w:rsidRPr="005737F1" w:rsidRDefault="00252293" w:rsidP="00891722">
            <w:pPr>
              <w:tabs>
                <w:tab w:val="left" w:pos="164"/>
                <w:tab w:val="left" w:pos="447"/>
              </w:tabs>
              <w:ind w:left="447" w:hanging="447"/>
              <w:jc w:val="both"/>
              <w:rPr>
                <w:rFonts w:cstheme="minorHAnsi"/>
                <w:szCs w:val="20"/>
              </w:rPr>
            </w:pPr>
            <w:r w:rsidRPr="005737F1">
              <w:rPr>
                <w:rFonts w:cstheme="minorHAnsi"/>
                <w:szCs w:val="20"/>
              </w:rPr>
              <w:t>i</w:t>
            </w:r>
            <w:r w:rsidRPr="005737F1">
              <w:rPr>
                <w:rFonts w:cstheme="minorHAnsi"/>
                <w:szCs w:val="20"/>
              </w:rPr>
              <w:tab/>
              <w:t>a)</w:t>
            </w:r>
            <w:r w:rsidRPr="005737F1">
              <w:rPr>
                <w:rFonts w:cstheme="minorHAnsi"/>
                <w:szCs w:val="20"/>
              </w:rPr>
              <w:tab/>
              <w:t>Where are investors likely to move if MMFs become less attractive as a result of the policy option?</w:t>
            </w:r>
          </w:p>
          <w:p w14:paraId="50D256EF" w14:textId="77777777" w:rsidR="00252293" w:rsidRPr="005737F1" w:rsidRDefault="00252293" w:rsidP="00290E98">
            <w:pPr>
              <w:pStyle w:val="ListParagraph"/>
              <w:numPr>
                <w:ilvl w:val="0"/>
                <w:numId w:val="56"/>
              </w:numPr>
              <w:jc w:val="both"/>
              <w:rPr>
                <w:rFonts w:cstheme="minorHAnsi"/>
                <w:color w:val="000000" w:themeColor="text1"/>
                <w:szCs w:val="20"/>
              </w:rPr>
            </w:pPr>
            <w:r w:rsidRPr="005737F1">
              <w:rPr>
                <w:rFonts w:cstheme="minorHAnsi"/>
                <w:color w:val="000000" w:themeColor="text1"/>
                <w:szCs w:val="20"/>
              </w:rPr>
              <w:t>Eliminating CNAV and LVNAV MMFs could significantly alter the cash-like nature of MMFs. This would force some investors into other asset classes which may lead to them assuming more risk as well as creating more systemic risk for regulators.</w:t>
            </w:r>
          </w:p>
          <w:p w14:paraId="305DE751" w14:textId="77777777" w:rsidR="00252293" w:rsidRPr="005737F1" w:rsidRDefault="00252293" w:rsidP="00290E98">
            <w:pPr>
              <w:pStyle w:val="ListParagraph"/>
              <w:numPr>
                <w:ilvl w:val="0"/>
                <w:numId w:val="56"/>
              </w:numPr>
              <w:tabs>
                <w:tab w:val="left" w:pos="164"/>
                <w:tab w:val="left" w:pos="447"/>
              </w:tabs>
              <w:jc w:val="both"/>
              <w:rPr>
                <w:rFonts w:cstheme="minorHAnsi"/>
                <w:color w:val="000000" w:themeColor="text1"/>
                <w:szCs w:val="20"/>
              </w:rPr>
            </w:pPr>
            <w:r w:rsidRPr="005737F1">
              <w:rPr>
                <w:rFonts w:cstheme="minorHAnsi"/>
                <w:color w:val="000000" w:themeColor="text1"/>
                <w:szCs w:val="20"/>
              </w:rPr>
              <w:t>Changes which reduce the availability or attractiveness of LVNAV MMFs would be likely to lead to a shift into government MMFs (PDCNAVs) if these were still available, at least in the case of USD. Some investors may move into Short Term VNAVs, though not all will be able to do so.</w:t>
            </w:r>
          </w:p>
          <w:p w14:paraId="1D7FD5C3" w14:textId="77777777" w:rsidR="00252293" w:rsidRPr="005737F1" w:rsidRDefault="00252293" w:rsidP="00290E98">
            <w:pPr>
              <w:pStyle w:val="ListParagraph"/>
              <w:numPr>
                <w:ilvl w:val="0"/>
                <w:numId w:val="56"/>
              </w:numPr>
              <w:jc w:val="both"/>
              <w:rPr>
                <w:rFonts w:cstheme="minorHAnsi"/>
                <w:color w:val="000000" w:themeColor="text1"/>
                <w:szCs w:val="20"/>
              </w:rPr>
            </w:pPr>
            <w:r w:rsidRPr="005737F1">
              <w:rPr>
                <w:rFonts w:cstheme="minorHAnsi"/>
                <w:color w:val="000000" w:themeColor="text1"/>
                <w:szCs w:val="20"/>
              </w:rPr>
              <w:t>As a result of the 2016 reforms in the US, USD1trn moved from Prime to Government funds, partly due to the change to a floating NAV.  Any such rotation in Europe would reduce the supply of private credit.</w:t>
            </w:r>
          </w:p>
          <w:p w14:paraId="4C384A51" w14:textId="77777777" w:rsidR="00252293" w:rsidRPr="005737F1" w:rsidRDefault="00252293" w:rsidP="00290E98">
            <w:pPr>
              <w:pStyle w:val="ListParagraph"/>
              <w:numPr>
                <w:ilvl w:val="0"/>
                <w:numId w:val="56"/>
              </w:numPr>
              <w:jc w:val="both"/>
              <w:rPr>
                <w:rFonts w:cstheme="minorHAnsi"/>
                <w:color w:val="000000" w:themeColor="text1"/>
                <w:szCs w:val="20"/>
              </w:rPr>
            </w:pPr>
            <w:r w:rsidRPr="005737F1">
              <w:rPr>
                <w:rFonts w:cstheme="minorHAnsi"/>
                <w:color w:val="000000" w:themeColor="text1"/>
                <w:szCs w:val="20"/>
              </w:rPr>
              <w:t>This is highly problematic given the lack of a scalable alternative in Euro and Sterling PDCNAVs. Investors would be reluctant to have a larger proportionate share of a smaller fund as this would reduce overall fund liquidity (i.e., the PDCNAV funds are small, large investors would account for a disproportionate share). Fund providers would also be reluctant for large investors to hold dominant positions.  It would also increase demand for government securities and commensurately reduce demand for private</w:t>
            </w:r>
            <w:r w:rsidRPr="005737F1">
              <w:rPr>
                <w:rStyle w:val="FootnoteReference"/>
                <w:rFonts w:cstheme="minorHAnsi"/>
                <w:color w:val="000000" w:themeColor="text1"/>
                <w:szCs w:val="20"/>
              </w:rPr>
              <w:footnoteReference w:id="5"/>
            </w:r>
            <w:r w:rsidRPr="005737F1">
              <w:rPr>
                <w:rFonts w:cstheme="minorHAnsi"/>
                <w:color w:val="000000" w:themeColor="text1"/>
                <w:szCs w:val="20"/>
              </w:rPr>
              <w:t xml:space="preserve"> credit instruments. This could have significant implications for the supply of private credit to the real economy.</w:t>
            </w:r>
          </w:p>
          <w:p w14:paraId="2687F346" w14:textId="77777777" w:rsidR="00252293" w:rsidRPr="005737F1" w:rsidRDefault="00252293" w:rsidP="00290E98">
            <w:pPr>
              <w:pStyle w:val="ListParagraph"/>
              <w:numPr>
                <w:ilvl w:val="0"/>
                <w:numId w:val="56"/>
              </w:numPr>
              <w:jc w:val="both"/>
              <w:rPr>
                <w:rFonts w:cstheme="minorHAnsi"/>
                <w:color w:val="000000" w:themeColor="text1"/>
                <w:szCs w:val="20"/>
              </w:rPr>
            </w:pPr>
            <w:r w:rsidRPr="005737F1">
              <w:rPr>
                <w:rFonts w:cstheme="minorHAnsi"/>
                <w:color w:val="000000" w:themeColor="text1"/>
                <w:szCs w:val="20"/>
              </w:rPr>
              <w:t xml:space="preserve">The closest alternative for an MMF investor would be to invest in deposits. The ability to shift from funds into deposits will be limited by lack of demand in the </w:t>
            </w:r>
            <w:r w:rsidRPr="005737F1">
              <w:rPr>
                <w:rFonts w:cstheme="minorHAnsi"/>
                <w:color w:val="000000" w:themeColor="text1"/>
                <w:szCs w:val="20"/>
              </w:rPr>
              <w:lastRenderedPageBreak/>
              <w:t>deposit market. Banks will likely only take longer dated deposits which will limit investor flexibility and may also come with breakage fees.</w:t>
            </w:r>
          </w:p>
          <w:p w14:paraId="488C82D8" w14:textId="77777777" w:rsidR="00252293" w:rsidRPr="005737F1" w:rsidRDefault="00252293" w:rsidP="00290E98">
            <w:pPr>
              <w:pStyle w:val="ListParagraph"/>
              <w:numPr>
                <w:ilvl w:val="0"/>
                <w:numId w:val="56"/>
              </w:numPr>
              <w:jc w:val="both"/>
              <w:rPr>
                <w:rFonts w:cstheme="minorHAnsi"/>
                <w:color w:val="000000" w:themeColor="text1"/>
                <w:szCs w:val="20"/>
              </w:rPr>
            </w:pPr>
            <w:r w:rsidRPr="005737F1">
              <w:rPr>
                <w:rFonts w:cstheme="minorHAnsi"/>
                <w:color w:val="000000" w:themeColor="text1"/>
                <w:szCs w:val="20"/>
              </w:rPr>
              <w:t>A move towards reliance on the banking products creates additional dependency on banks which runs counter to the EU objective of creating a strong capital market.</w:t>
            </w:r>
          </w:p>
          <w:p w14:paraId="51847E12" w14:textId="77777777" w:rsidR="00252293" w:rsidRPr="005737F1" w:rsidRDefault="00252293" w:rsidP="00290E98">
            <w:pPr>
              <w:pStyle w:val="ListParagraph"/>
              <w:numPr>
                <w:ilvl w:val="0"/>
                <w:numId w:val="56"/>
              </w:numPr>
              <w:jc w:val="both"/>
              <w:rPr>
                <w:rFonts w:cstheme="minorHAnsi"/>
                <w:color w:val="000000" w:themeColor="text1"/>
                <w:szCs w:val="20"/>
              </w:rPr>
            </w:pPr>
            <w:r w:rsidRPr="005737F1">
              <w:rPr>
                <w:rFonts w:cstheme="minorHAnsi"/>
                <w:color w:val="000000" w:themeColor="text1"/>
                <w:szCs w:val="20"/>
              </w:rPr>
              <w:t>This lack of demand in the deposit market is likely to push investors down the ‘quality tree’ towards accepting lower quality banks as counterparties, or into other more risky and less transparent products.</w:t>
            </w:r>
          </w:p>
          <w:p w14:paraId="62E55E11" w14:textId="77777777" w:rsidR="00252293" w:rsidRPr="005737F1" w:rsidRDefault="00252293" w:rsidP="00290E98">
            <w:pPr>
              <w:pStyle w:val="ListParagraph"/>
              <w:numPr>
                <w:ilvl w:val="0"/>
                <w:numId w:val="56"/>
              </w:numPr>
              <w:jc w:val="both"/>
              <w:rPr>
                <w:rFonts w:cstheme="minorHAnsi"/>
                <w:color w:val="000000" w:themeColor="text1"/>
                <w:szCs w:val="20"/>
              </w:rPr>
            </w:pPr>
            <w:r w:rsidRPr="005737F1">
              <w:rPr>
                <w:rFonts w:cstheme="minorHAnsi"/>
                <w:color w:val="000000" w:themeColor="text1"/>
                <w:szCs w:val="20"/>
              </w:rPr>
              <w:t>For some investors, reverse repurchase agreements (repo) may be an alternative. The risk of investors being forced to take lower quality counterparty exposure also applies to investments in reverse repo where the ability to deal with high quality reverse repo counterparties is constrained by supply. This could force investors to transact either with lower quality counterparties and/or to take lower quality collateral.</w:t>
            </w:r>
          </w:p>
          <w:p w14:paraId="145690BD" w14:textId="77777777" w:rsidR="00252293" w:rsidRPr="005737F1" w:rsidRDefault="00252293" w:rsidP="00290E98">
            <w:pPr>
              <w:pStyle w:val="ListParagraph"/>
              <w:numPr>
                <w:ilvl w:val="0"/>
                <w:numId w:val="56"/>
              </w:numPr>
              <w:jc w:val="both"/>
              <w:rPr>
                <w:rFonts w:cstheme="minorHAnsi"/>
                <w:color w:val="000000" w:themeColor="text1"/>
                <w:szCs w:val="20"/>
              </w:rPr>
            </w:pPr>
            <w:r w:rsidRPr="005737F1">
              <w:rPr>
                <w:rFonts w:cstheme="minorHAnsi"/>
                <w:color w:val="000000" w:themeColor="text1"/>
                <w:szCs w:val="20"/>
              </w:rPr>
              <w:t xml:space="preserve">It is also possible that investors seeking alternatives take on more risk by buying longer dated assets; longer dated securities have more price volatility and entail more credit risk. </w:t>
            </w:r>
          </w:p>
          <w:p w14:paraId="57FB5EFA" w14:textId="77777777" w:rsidR="00252293" w:rsidRPr="005737F1" w:rsidRDefault="00252293" w:rsidP="00290E98">
            <w:pPr>
              <w:pStyle w:val="ListParagraph"/>
              <w:numPr>
                <w:ilvl w:val="0"/>
                <w:numId w:val="56"/>
              </w:numPr>
              <w:tabs>
                <w:tab w:val="left" w:pos="164"/>
                <w:tab w:val="left" w:pos="447"/>
              </w:tabs>
              <w:jc w:val="both"/>
              <w:rPr>
                <w:rFonts w:cstheme="minorHAnsi"/>
                <w:color w:val="000000" w:themeColor="text1"/>
                <w:szCs w:val="20"/>
              </w:rPr>
            </w:pPr>
            <w:r w:rsidRPr="005737F1">
              <w:rPr>
                <w:rFonts w:cstheme="minorHAnsi"/>
                <w:color w:val="000000" w:themeColor="text1"/>
                <w:szCs w:val="20"/>
              </w:rPr>
              <w:t>Very large investors may be able to invest directly which would also be less transparent to regulators.</w:t>
            </w:r>
          </w:p>
          <w:p w14:paraId="61777F20" w14:textId="77777777" w:rsidR="00252293" w:rsidRPr="005737F1" w:rsidRDefault="00252293" w:rsidP="00290E98">
            <w:pPr>
              <w:pStyle w:val="ListParagraph"/>
              <w:numPr>
                <w:ilvl w:val="0"/>
                <w:numId w:val="56"/>
              </w:numPr>
              <w:jc w:val="both"/>
              <w:rPr>
                <w:rFonts w:cstheme="minorHAnsi"/>
                <w:color w:val="000000" w:themeColor="text1"/>
                <w:szCs w:val="20"/>
              </w:rPr>
            </w:pPr>
            <w:r w:rsidRPr="005737F1">
              <w:rPr>
                <w:rFonts w:cstheme="minorHAnsi"/>
                <w:color w:val="000000" w:themeColor="text1"/>
                <w:szCs w:val="20"/>
              </w:rPr>
              <w:t>Investors may move to less regulated products such as segregated accounts which would allow treatment of assets up to 90 days to be treated as cash equivalent and valued at amortised cost.</w:t>
            </w:r>
          </w:p>
          <w:p w14:paraId="4054D474" w14:textId="77777777" w:rsidR="00252293" w:rsidRPr="005737F1" w:rsidRDefault="00252293" w:rsidP="00290E98">
            <w:pPr>
              <w:pStyle w:val="ListParagraph"/>
              <w:numPr>
                <w:ilvl w:val="0"/>
                <w:numId w:val="56"/>
              </w:numPr>
              <w:jc w:val="both"/>
              <w:rPr>
                <w:rFonts w:cstheme="minorHAnsi"/>
                <w:color w:val="000000" w:themeColor="text1"/>
                <w:szCs w:val="20"/>
              </w:rPr>
            </w:pPr>
            <w:r w:rsidRPr="005737F1">
              <w:rPr>
                <w:rFonts w:cstheme="minorHAnsi"/>
                <w:color w:val="000000" w:themeColor="text1"/>
                <w:szCs w:val="20"/>
              </w:rPr>
              <w:t>Alternatively, investors may be forced into short duration bond funds which may not be an appropriate home for their daily cash.</w:t>
            </w:r>
          </w:p>
          <w:p w14:paraId="11673A37" w14:textId="77777777" w:rsidR="00252293" w:rsidRPr="005737F1" w:rsidRDefault="00252293" w:rsidP="00891722">
            <w:pPr>
              <w:tabs>
                <w:tab w:val="left" w:pos="164"/>
                <w:tab w:val="left" w:pos="447"/>
              </w:tabs>
              <w:ind w:firstLine="160"/>
              <w:jc w:val="both"/>
              <w:rPr>
                <w:rFonts w:cstheme="minorHAnsi"/>
                <w:color w:val="4F81BD" w:themeColor="accent1"/>
                <w:szCs w:val="20"/>
              </w:rPr>
            </w:pPr>
          </w:p>
          <w:p w14:paraId="4030FBD0" w14:textId="77777777" w:rsidR="00252293" w:rsidRPr="005737F1" w:rsidRDefault="00252293" w:rsidP="00891722">
            <w:pPr>
              <w:tabs>
                <w:tab w:val="left" w:pos="164"/>
                <w:tab w:val="left" w:pos="447"/>
              </w:tabs>
              <w:ind w:left="447" w:hanging="447"/>
              <w:jc w:val="both"/>
              <w:rPr>
                <w:rFonts w:cstheme="minorHAnsi"/>
                <w:szCs w:val="20"/>
              </w:rPr>
            </w:pPr>
            <w:r w:rsidRPr="005737F1">
              <w:rPr>
                <w:rFonts w:cstheme="minorHAnsi"/>
                <w:szCs w:val="20"/>
              </w:rPr>
              <w:tab/>
              <w:t>b)</w:t>
            </w:r>
            <w:r w:rsidRPr="005737F1">
              <w:rPr>
                <w:rFonts w:cstheme="minorHAnsi"/>
                <w:szCs w:val="20"/>
              </w:rPr>
              <w:tab/>
              <w:t>Do these substitutes have vulnerabilities to runs?</w:t>
            </w:r>
          </w:p>
          <w:p w14:paraId="32393E5E" w14:textId="77777777" w:rsidR="00252293" w:rsidRPr="005737F1" w:rsidRDefault="00252293" w:rsidP="00290E98">
            <w:pPr>
              <w:pStyle w:val="ListParagraph"/>
              <w:numPr>
                <w:ilvl w:val="0"/>
                <w:numId w:val="57"/>
              </w:numPr>
              <w:tabs>
                <w:tab w:val="left" w:pos="164"/>
                <w:tab w:val="left" w:pos="447"/>
              </w:tabs>
              <w:jc w:val="both"/>
              <w:rPr>
                <w:rFonts w:cstheme="minorHAnsi"/>
                <w:color w:val="000000" w:themeColor="text1"/>
                <w:szCs w:val="20"/>
              </w:rPr>
            </w:pPr>
            <w:r w:rsidRPr="005737F1">
              <w:rPr>
                <w:rFonts w:cstheme="minorHAnsi"/>
                <w:color w:val="000000" w:themeColor="text1"/>
                <w:szCs w:val="20"/>
              </w:rPr>
              <w:t>In our view MMF fund structure is not a primary factor in vulnerability to runs.</w:t>
            </w:r>
          </w:p>
          <w:p w14:paraId="591A73E3" w14:textId="77777777" w:rsidR="00252293" w:rsidRPr="005737F1" w:rsidRDefault="00252293" w:rsidP="00290E98">
            <w:pPr>
              <w:pStyle w:val="ListParagraph"/>
              <w:numPr>
                <w:ilvl w:val="0"/>
                <w:numId w:val="57"/>
              </w:numPr>
              <w:tabs>
                <w:tab w:val="left" w:pos="164"/>
                <w:tab w:val="left" w:pos="447"/>
              </w:tabs>
              <w:jc w:val="both"/>
              <w:rPr>
                <w:rFonts w:cstheme="minorHAnsi"/>
                <w:color w:val="000000" w:themeColor="text1"/>
                <w:szCs w:val="20"/>
              </w:rPr>
            </w:pPr>
            <w:r w:rsidRPr="005737F1">
              <w:rPr>
                <w:rFonts w:cstheme="minorHAnsi"/>
                <w:color w:val="000000" w:themeColor="text1"/>
                <w:szCs w:val="20"/>
              </w:rPr>
              <w:t>As evidenced by the experience of US Prime institutional MMFs and Euro Standard VNAVs, floating NAV MMFs are also subject to outflow pressure under stress.</w:t>
            </w:r>
          </w:p>
          <w:p w14:paraId="66DCC033" w14:textId="77777777" w:rsidR="00252293" w:rsidRPr="005737F1" w:rsidRDefault="00252293" w:rsidP="00290E98">
            <w:pPr>
              <w:pStyle w:val="ListParagraph"/>
              <w:numPr>
                <w:ilvl w:val="0"/>
                <w:numId w:val="57"/>
              </w:numPr>
              <w:tabs>
                <w:tab w:val="left" w:pos="164"/>
                <w:tab w:val="left" w:pos="447"/>
              </w:tabs>
              <w:jc w:val="both"/>
              <w:rPr>
                <w:rFonts w:cstheme="minorHAnsi"/>
                <w:color w:val="000000" w:themeColor="text1"/>
                <w:szCs w:val="20"/>
              </w:rPr>
            </w:pPr>
            <w:r w:rsidRPr="005737F1">
              <w:rPr>
                <w:rFonts w:cstheme="minorHAnsi"/>
                <w:color w:val="000000" w:themeColor="text1"/>
                <w:szCs w:val="20"/>
              </w:rPr>
              <w:t>Investors’ need for liquidity will remain. It may be harder to meet this need for liquidity when funds are invested in other disaggregated assets classes given that, unlike MMFs, those asset classes will not be structurally bound to hold high liquidity balances.</w:t>
            </w:r>
          </w:p>
          <w:p w14:paraId="3DC66495" w14:textId="77777777" w:rsidR="00252293" w:rsidRPr="005737F1" w:rsidRDefault="00252293" w:rsidP="00891722">
            <w:pPr>
              <w:tabs>
                <w:tab w:val="left" w:pos="164"/>
                <w:tab w:val="left" w:pos="447"/>
              </w:tabs>
              <w:ind w:left="447" w:hanging="447"/>
              <w:jc w:val="both"/>
              <w:rPr>
                <w:rFonts w:cstheme="minorHAnsi"/>
                <w:szCs w:val="20"/>
              </w:rPr>
            </w:pPr>
          </w:p>
          <w:p w14:paraId="7F0D6BDC" w14:textId="77777777" w:rsidR="00252293" w:rsidRPr="005737F1" w:rsidRDefault="00252293" w:rsidP="00891722">
            <w:pPr>
              <w:tabs>
                <w:tab w:val="left" w:pos="164"/>
                <w:tab w:val="left" w:pos="447"/>
              </w:tabs>
              <w:jc w:val="both"/>
              <w:rPr>
                <w:rFonts w:cstheme="minorHAnsi"/>
                <w:szCs w:val="20"/>
              </w:rPr>
            </w:pPr>
            <w:r w:rsidRPr="005737F1">
              <w:rPr>
                <w:rFonts w:cstheme="minorHAnsi"/>
                <w:szCs w:val="20"/>
              </w:rPr>
              <w:tab/>
              <w:t>c)</w:t>
            </w:r>
            <w:r w:rsidRPr="005737F1">
              <w:rPr>
                <w:rFonts w:cstheme="minorHAnsi"/>
                <w:szCs w:val="20"/>
              </w:rPr>
              <w:tab/>
              <w:t>Are they transparent to investors and regulators?</w:t>
            </w:r>
          </w:p>
          <w:p w14:paraId="40EFDEEB" w14:textId="77777777" w:rsidR="00252293" w:rsidRPr="005737F1" w:rsidRDefault="00252293" w:rsidP="00290E98">
            <w:pPr>
              <w:pStyle w:val="ListParagraph"/>
              <w:numPr>
                <w:ilvl w:val="0"/>
                <w:numId w:val="58"/>
              </w:numPr>
              <w:tabs>
                <w:tab w:val="left" w:pos="164"/>
                <w:tab w:val="left" w:pos="447"/>
              </w:tabs>
              <w:jc w:val="both"/>
              <w:rPr>
                <w:rFonts w:cstheme="minorHAnsi"/>
                <w:color w:val="000000" w:themeColor="text1"/>
                <w:szCs w:val="20"/>
              </w:rPr>
            </w:pPr>
            <w:r w:rsidRPr="005737F1">
              <w:rPr>
                <w:rFonts w:cstheme="minorHAnsi"/>
                <w:color w:val="000000" w:themeColor="text1"/>
                <w:szCs w:val="20"/>
              </w:rPr>
              <w:t>Some USD LVNAV investors are likely to shift into PDCNAV MMFs if these were still available. These are regulated and transparent.</w:t>
            </w:r>
          </w:p>
          <w:p w14:paraId="4D47AAEC" w14:textId="77777777" w:rsidR="00252293" w:rsidRPr="005737F1" w:rsidRDefault="00252293" w:rsidP="00290E98">
            <w:pPr>
              <w:pStyle w:val="ListParagraph"/>
              <w:numPr>
                <w:ilvl w:val="0"/>
                <w:numId w:val="58"/>
              </w:numPr>
              <w:tabs>
                <w:tab w:val="left" w:pos="164"/>
                <w:tab w:val="left" w:pos="447"/>
              </w:tabs>
              <w:jc w:val="both"/>
              <w:rPr>
                <w:rFonts w:cstheme="minorHAnsi"/>
                <w:color w:val="000000" w:themeColor="text1"/>
                <w:szCs w:val="20"/>
              </w:rPr>
            </w:pPr>
            <w:r w:rsidRPr="005737F1">
              <w:rPr>
                <w:rFonts w:cstheme="minorHAnsi"/>
                <w:color w:val="000000" w:themeColor="text1"/>
                <w:szCs w:val="20"/>
              </w:rPr>
              <w:t>A move into segregated accounts would also be less transparent and such accounts would be unlikely to have the in-built liquidity of an MMF, which may also lead to increased systemic risk.</w:t>
            </w:r>
          </w:p>
          <w:p w14:paraId="5174F97F" w14:textId="77777777" w:rsidR="00252293" w:rsidRPr="005737F1" w:rsidRDefault="00252293" w:rsidP="00891722">
            <w:pPr>
              <w:tabs>
                <w:tab w:val="left" w:pos="164"/>
                <w:tab w:val="left" w:pos="447"/>
              </w:tabs>
              <w:jc w:val="both"/>
              <w:rPr>
                <w:rFonts w:cstheme="minorHAnsi"/>
                <w:szCs w:val="20"/>
              </w:rPr>
            </w:pPr>
          </w:p>
          <w:p w14:paraId="0F946E35" w14:textId="77777777" w:rsidR="00252293" w:rsidRPr="005737F1" w:rsidRDefault="00252293" w:rsidP="00891722">
            <w:pPr>
              <w:tabs>
                <w:tab w:val="left" w:pos="164"/>
                <w:tab w:val="left" w:pos="447"/>
              </w:tabs>
              <w:jc w:val="both"/>
              <w:rPr>
                <w:rFonts w:cstheme="minorHAnsi"/>
                <w:szCs w:val="20"/>
              </w:rPr>
            </w:pPr>
            <w:r w:rsidRPr="005737F1">
              <w:rPr>
                <w:rFonts w:cstheme="minorHAnsi"/>
                <w:szCs w:val="20"/>
              </w:rPr>
              <w:tab/>
              <w:t>d)</w:t>
            </w:r>
            <w:r w:rsidRPr="005737F1">
              <w:rPr>
                <w:rFonts w:cstheme="minorHAnsi"/>
                <w:szCs w:val="20"/>
              </w:rPr>
              <w:tab/>
              <w:t>Are they regulated?</w:t>
            </w:r>
          </w:p>
          <w:p w14:paraId="4C549E67" w14:textId="77777777" w:rsidR="00252293" w:rsidRPr="005737F1" w:rsidRDefault="00252293" w:rsidP="00290E98">
            <w:pPr>
              <w:pStyle w:val="ListParagraph"/>
              <w:numPr>
                <w:ilvl w:val="0"/>
                <w:numId w:val="59"/>
              </w:numPr>
              <w:tabs>
                <w:tab w:val="left" w:pos="164"/>
                <w:tab w:val="left" w:pos="447"/>
              </w:tabs>
              <w:jc w:val="both"/>
              <w:rPr>
                <w:rFonts w:cstheme="minorHAnsi"/>
                <w:color w:val="000000" w:themeColor="text1"/>
                <w:szCs w:val="20"/>
              </w:rPr>
            </w:pPr>
            <w:r w:rsidRPr="005737F1">
              <w:rPr>
                <w:rFonts w:cstheme="minorHAnsi"/>
                <w:color w:val="000000" w:themeColor="text1"/>
                <w:szCs w:val="20"/>
              </w:rPr>
              <w:t>In the case of direct investments, this activity would not be regulated.</w:t>
            </w:r>
          </w:p>
          <w:p w14:paraId="654DA344" w14:textId="77777777" w:rsidR="00252293" w:rsidRPr="005737F1" w:rsidRDefault="00252293" w:rsidP="00290E98">
            <w:pPr>
              <w:pStyle w:val="ListParagraph"/>
              <w:numPr>
                <w:ilvl w:val="0"/>
                <w:numId w:val="59"/>
              </w:numPr>
              <w:tabs>
                <w:tab w:val="left" w:pos="164"/>
                <w:tab w:val="left" w:pos="447"/>
              </w:tabs>
              <w:jc w:val="both"/>
              <w:rPr>
                <w:rFonts w:cstheme="minorHAnsi"/>
                <w:color w:val="000000" w:themeColor="text1"/>
                <w:szCs w:val="20"/>
              </w:rPr>
            </w:pPr>
            <w:r w:rsidRPr="005737F1">
              <w:rPr>
                <w:rFonts w:cstheme="minorHAnsi"/>
                <w:color w:val="000000" w:themeColor="text1"/>
                <w:szCs w:val="20"/>
              </w:rPr>
              <w:t>Segregated funds are less highly regulated than MMFs, would be less transparent and unlikely to be as resilient to liquidity stress as MMFs.</w:t>
            </w:r>
          </w:p>
          <w:p w14:paraId="6E7D5D57" w14:textId="77777777" w:rsidR="00252293" w:rsidRPr="005737F1" w:rsidRDefault="00252293" w:rsidP="00290E98">
            <w:pPr>
              <w:pStyle w:val="ListParagraph"/>
              <w:numPr>
                <w:ilvl w:val="0"/>
                <w:numId w:val="59"/>
              </w:numPr>
              <w:tabs>
                <w:tab w:val="left" w:pos="164"/>
                <w:tab w:val="left" w:pos="447"/>
              </w:tabs>
              <w:jc w:val="both"/>
              <w:rPr>
                <w:rFonts w:cstheme="minorHAnsi"/>
                <w:color w:val="000000" w:themeColor="text1"/>
                <w:szCs w:val="20"/>
              </w:rPr>
            </w:pPr>
            <w:r w:rsidRPr="005737F1">
              <w:rPr>
                <w:rFonts w:cstheme="minorHAnsi"/>
                <w:color w:val="000000" w:themeColor="text1"/>
                <w:szCs w:val="20"/>
              </w:rPr>
              <w:t>Due to lack of alternatives in the form of deposits (lack of appetite), PDCNAV funds (not scalable in Euros and Sterling), or direct investment/segregated accounts (require minimum size and resources), investors will likely be forced to take more risk.</w:t>
            </w:r>
          </w:p>
          <w:p w14:paraId="5A72B330" w14:textId="77777777" w:rsidR="00252293" w:rsidRPr="005737F1" w:rsidRDefault="00252293" w:rsidP="00290E98">
            <w:pPr>
              <w:pStyle w:val="ListParagraph"/>
              <w:numPr>
                <w:ilvl w:val="0"/>
                <w:numId w:val="59"/>
              </w:numPr>
              <w:tabs>
                <w:tab w:val="left" w:pos="164"/>
                <w:tab w:val="left" w:pos="447"/>
              </w:tabs>
              <w:jc w:val="both"/>
              <w:rPr>
                <w:rFonts w:cstheme="minorHAnsi"/>
                <w:color w:val="000000" w:themeColor="text1"/>
                <w:szCs w:val="20"/>
              </w:rPr>
            </w:pPr>
            <w:r w:rsidRPr="005737F1">
              <w:rPr>
                <w:rFonts w:cstheme="minorHAnsi"/>
                <w:color w:val="000000" w:themeColor="text1"/>
                <w:szCs w:val="20"/>
              </w:rPr>
              <w:t>Disaggregated risk is likely to be harder for regulators to control.</w:t>
            </w:r>
          </w:p>
          <w:p w14:paraId="7D511785" w14:textId="77777777" w:rsidR="00252293" w:rsidRPr="005737F1" w:rsidRDefault="00252293" w:rsidP="00891722">
            <w:pPr>
              <w:tabs>
                <w:tab w:val="left" w:pos="164"/>
                <w:tab w:val="left" w:pos="447"/>
              </w:tabs>
              <w:jc w:val="both"/>
              <w:rPr>
                <w:rFonts w:cstheme="minorHAnsi"/>
                <w:szCs w:val="20"/>
              </w:rPr>
            </w:pPr>
          </w:p>
          <w:p w14:paraId="2B00366A" w14:textId="77777777" w:rsidR="00252293" w:rsidRPr="005737F1" w:rsidRDefault="00252293" w:rsidP="00891722">
            <w:pPr>
              <w:tabs>
                <w:tab w:val="left" w:pos="164"/>
                <w:tab w:val="left" w:pos="447"/>
              </w:tabs>
              <w:jc w:val="both"/>
              <w:rPr>
                <w:rFonts w:cstheme="minorHAnsi"/>
                <w:szCs w:val="20"/>
              </w:rPr>
            </w:pPr>
            <w:r w:rsidRPr="005737F1">
              <w:rPr>
                <w:rFonts w:cstheme="minorHAnsi"/>
                <w:szCs w:val="20"/>
              </w:rPr>
              <w:tab/>
              <w:t>e)</w:t>
            </w:r>
            <w:r w:rsidRPr="005737F1">
              <w:rPr>
                <w:rFonts w:cstheme="minorHAnsi"/>
                <w:szCs w:val="20"/>
              </w:rPr>
              <w:tab/>
              <w:t>Do they embed more risks for investors (e.g., counterparty risk) or be more costly?</w:t>
            </w:r>
          </w:p>
          <w:p w14:paraId="423445F7" w14:textId="77777777" w:rsidR="00252293" w:rsidRPr="005737F1" w:rsidRDefault="00252293" w:rsidP="00290E98">
            <w:pPr>
              <w:pStyle w:val="ListParagraph"/>
              <w:numPr>
                <w:ilvl w:val="0"/>
                <w:numId w:val="60"/>
              </w:numPr>
              <w:tabs>
                <w:tab w:val="left" w:pos="164"/>
                <w:tab w:val="left" w:pos="390"/>
              </w:tabs>
              <w:jc w:val="both"/>
              <w:rPr>
                <w:rFonts w:cstheme="minorHAnsi"/>
                <w:color w:val="000000" w:themeColor="text1"/>
                <w:szCs w:val="20"/>
              </w:rPr>
            </w:pPr>
            <w:r w:rsidRPr="005737F1">
              <w:rPr>
                <w:rFonts w:cstheme="minorHAnsi"/>
                <w:color w:val="000000" w:themeColor="text1"/>
                <w:szCs w:val="20"/>
              </w:rPr>
              <w:t>Yes, due to the lack of supply in the case of low-risk alternatives investors are likely to be driven to more risky areas and to take more counterparty risk.</w:t>
            </w:r>
          </w:p>
          <w:p w14:paraId="6A6CFD2E" w14:textId="77777777" w:rsidR="00252293" w:rsidRPr="005737F1" w:rsidRDefault="00252293" w:rsidP="00290E98">
            <w:pPr>
              <w:pStyle w:val="ListParagraph"/>
              <w:numPr>
                <w:ilvl w:val="0"/>
                <w:numId w:val="60"/>
              </w:numPr>
              <w:jc w:val="both"/>
              <w:rPr>
                <w:rFonts w:cstheme="minorHAnsi"/>
                <w:szCs w:val="20"/>
              </w:rPr>
            </w:pPr>
            <w:r w:rsidRPr="005737F1">
              <w:rPr>
                <w:rFonts w:cstheme="minorHAnsi"/>
                <w:color w:val="000000" w:themeColor="text1"/>
                <w:szCs w:val="20"/>
              </w:rPr>
              <w:t>Yes, they are likely to be more costly. MMFs are very cost efficient for investors.</w:t>
            </w:r>
          </w:p>
        </w:tc>
      </w:tr>
      <w:tr w:rsidR="00252293" w:rsidRPr="005737F1" w14:paraId="428900ED" w14:textId="77777777" w:rsidTr="00252293">
        <w:tc>
          <w:tcPr>
            <w:tcW w:w="9016" w:type="dxa"/>
          </w:tcPr>
          <w:p w14:paraId="2A0E5030" w14:textId="77777777" w:rsidR="00252293" w:rsidRPr="005737F1" w:rsidRDefault="00252293" w:rsidP="00891722">
            <w:pPr>
              <w:tabs>
                <w:tab w:val="left" w:pos="164"/>
                <w:tab w:val="left" w:pos="447"/>
              </w:tabs>
              <w:ind w:left="447" w:hanging="447"/>
              <w:jc w:val="both"/>
              <w:rPr>
                <w:rFonts w:cstheme="minorHAnsi"/>
                <w:szCs w:val="20"/>
              </w:rPr>
            </w:pPr>
            <w:r w:rsidRPr="005737F1">
              <w:rPr>
                <w:rFonts w:cstheme="minorHAnsi"/>
                <w:szCs w:val="20"/>
              </w:rPr>
              <w:lastRenderedPageBreak/>
              <w:t>ii</w:t>
            </w:r>
            <w:r w:rsidRPr="005737F1">
              <w:rPr>
                <w:rFonts w:cstheme="minorHAnsi"/>
                <w:szCs w:val="20"/>
              </w:rPr>
              <w:tab/>
              <w:t>a)</w:t>
            </w:r>
            <w:r w:rsidRPr="005737F1">
              <w:rPr>
                <w:rFonts w:cstheme="minorHAnsi"/>
                <w:szCs w:val="20"/>
              </w:rPr>
              <w:tab/>
              <w:t>What alternative sources of short-term funding are available for borrowers that currently rely on MMFs for financing?</w:t>
            </w:r>
            <w:r w:rsidRPr="005737F1">
              <w:rPr>
                <w:rFonts w:cstheme="minorHAnsi"/>
                <w:szCs w:val="20"/>
              </w:rPr>
              <w:tab/>
            </w:r>
          </w:p>
          <w:p w14:paraId="02270BFF" w14:textId="77777777" w:rsidR="00252293" w:rsidRPr="005737F1" w:rsidRDefault="00252293" w:rsidP="00891722">
            <w:pPr>
              <w:tabs>
                <w:tab w:val="left" w:pos="164"/>
                <w:tab w:val="left" w:pos="447"/>
              </w:tabs>
              <w:ind w:left="360"/>
              <w:jc w:val="both"/>
              <w:rPr>
                <w:rFonts w:cstheme="minorHAnsi"/>
                <w:szCs w:val="20"/>
              </w:rPr>
            </w:pPr>
            <w:r w:rsidRPr="005737F1">
              <w:rPr>
                <w:rFonts w:cstheme="minorHAnsi"/>
                <w:color w:val="000000" w:themeColor="text1"/>
                <w:szCs w:val="20"/>
              </w:rPr>
              <w:t>See our response to Q4 for this section.</w:t>
            </w:r>
            <w:r w:rsidRPr="005737F1">
              <w:rPr>
                <w:rFonts w:cstheme="minorHAnsi"/>
                <w:color w:val="000000" w:themeColor="text1"/>
                <w:szCs w:val="20"/>
              </w:rPr>
              <w:tab/>
            </w:r>
          </w:p>
          <w:p w14:paraId="2F03DED9" w14:textId="77777777" w:rsidR="00252293" w:rsidRPr="005737F1" w:rsidRDefault="00252293" w:rsidP="00891722">
            <w:pPr>
              <w:tabs>
                <w:tab w:val="left" w:pos="164"/>
                <w:tab w:val="left" w:pos="447"/>
              </w:tabs>
              <w:ind w:left="447" w:hanging="447"/>
              <w:jc w:val="both"/>
              <w:rPr>
                <w:rFonts w:cstheme="minorHAnsi"/>
                <w:szCs w:val="20"/>
              </w:rPr>
            </w:pPr>
            <w:r w:rsidRPr="005737F1">
              <w:rPr>
                <w:rFonts w:cstheme="minorHAnsi"/>
                <w:szCs w:val="20"/>
              </w:rPr>
              <w:tab/>
            </w:r>
          </w:p>
        </w:tc>
      </w:tr>
    </w:tbl>
    <w:p w14:paraId="4DC42D59" w14:textId="2AC62F0B" w:rsidR="00492B3A" w:rsidRDefault="00492B3A" w:rsidP="00492B3A"/>
    <w:permEnd w:id="164587406"/>
    <w:p w14:paraId="7A0C7BD5" w14:textId="465949FF" w:rsidR="00492B3A" w:rsidRDefault="00492B3A" w:rsidP="00492B3A">
      <w:r>
        <w:t>&lt;ESMA_QUESTION_</w:t>
      </w:r>
      <w:r w:rsidR="00DC1B3F">
        <w:t>MMFR</w:t>
      </w:r>
      <w:r>
        <w:t>_6&gt;</w:t>
      </w:r>
    </w:p>
    <w:p w14:paraId="4BF785AD" w14:textId="77777777" w:rsidR="00492B3A" w:rsidRDefault="00492B3A" w:rsidP="00492B3A"/>
    <w:p w14:paraId="71D01BE1" w14:textId="44347052" w:rsidR="00492B3A" w:rsidRDefault="00976448" w:rsidP="00492B3A">
      <w:pPr>
        <w:pStyle w:val="Questionstyle"/>
      </w:pPr>
      <w:r w:rsidRPr="00F43E30">
        <w:rPr>
          <w:bdr w:val="none" w:sz="0" w:space="0" w:color="auto" w:frame="1"/>
          <w:lang w:val="en-IE"/>
        </w:rPr>
        <w:t>What are your views on the extent to which Article 35 of the MMF Regulation should be i) clarified ii) amended? When you answer this question, please also take into account the grid of criteria listed in paragraphs 76 to 80</w:t>
      </w:r>
      <w:r>
        <w:t>.</w:t>
      </w:r>
    </w:p>
    <w:p w14:paraId="57CA855E" w14:textId="2DCC2959" w:rsidR="00492B3A" w:rsidRDefault="00492B3A" w:rsidP="00492B3A">
      <w:r>
        <w:lastRenderedPageBreak/>
        <w:t>&lt;ESMA_QUESTION_</w:t>
      </w:r>
      <w:r w:rsidR="00DC1B3F">
        <w:t>MMFR</w:t>
      </w:r>
      <w:r>
        <w:t>_7&gt;</w:t>
      </w:r>
    </w:p>
    <w:p w14:paraId="7BACB87F" w14:textId="77777777" w:rsidR="00C955DD" w:rsidRDefault="00C955DD" w:rsidP="00290E98">
      <w:pPr>
        <w:spacing w:after="240"/>
        <w:jc w:val="both"/>
      </w:pPr>
      <w:permStart w:id="1191210126" w:edGrp="everyone"/>
    </w:p>
    <w:p w14:paraId="6A728D7E" w14:textId="37DB85E7" w:rsidR="00290E98" w:rsidRPr="005737F1" w:rsidRDefault="00252293" w:rsidP="00290E98">
      <w:pPr>
        <w:spacing w:after="240"/>
        <w:jc w:val="both"/>
        <w:rPr>
          <w:rFonts w:cstheme="minorHAnsi"/>
          <w:szCs w:val="20"/>
        </w:rPr>
      </w:pPr>
      <w:r w:rsidRPr="005737F1">
        <w:rPr>
          <w:szCs w:val="20"/>
        </w:rPr>
        <w:t xml:space="preserve">  </w:t>
      </w:r>
      <w:r w:rsidR="00290E98" w:rsidRPr="005737F1">
        <w:rPr>
          <w:rFonts w:cstheme="minorHAnsi"/>
          <w:szCs w:val="20"/>
        </w:rPr>
        <w:t xml:space="preserve">The prohibition on sponsor support enshrined in Article 35 of the MMF regulation had no impact on the events in March. The ESMA clarification (ESMA34-39-1096) dated 9th July 2020 confirming that affiliated transactions are not prohibited by Article 35 of MMFR was helpful. However, the critical determinant should be that any transaction is conducted on an arm’s length basis alone. Whilst there is some logic in the ESMA clarification that an arm’s length transaction with an affiliate should not be conducted “solely with the MMFs to which they are affiliated.”, there are many examples where this requirement would prevent a genuine arm’s length transaction from taking place that is beneficial to all parties of the transaction and the investors in the MMF. We recommend removing this element from the clarification. If the ESMA clarification is included in future regulation, which we support, then this element should not be included in the regulatory text. We support the reporting of any such transaction to the relevant NCA but would not recommend the requirement for any reporting to be public. </w:t>
      </w:r>
    </w:p>
    <w:p w14:paraId="47AB13DB" w14:textId="77777777" w:rsidR="00290E98" w:rsidRPr="005737F1" w:rsidRDefault="00290E98" w:rsidP="00290E98">
      <w:pPr>
        <w:spacing w:after="240"/>
        <w:jc w:val="both"/>
        <w:rPr>
          <w:rFonts w:cstheme="minorHAnsi"/>
          <w:szCs w:val="20"/>
        </w:rPr>
      </w:pPr>
      <w:r w:rsidRPr="005737F1">
        <w:rPr>
          <w:rFonts w:cstheme="minorHAnsi"/>
          <w:szCs w:val="20"/>
        </w:rPr>
        <w:t>As one of the original proposers of the prohibition on sponsor support, nothing during the events of 2020 leads us to change our continued support for principle of the prohibition of sponsor support in Article 35. We saw no evidence in client behaviour that suggested the lack of availability of sponsor support brought forward any redemption activity. The reasons for our support remain unchanged and are as follows:</w:t>
      </w:r>
    </w:p>
    <w:p w14:paraId="0925A6C8" w14:textId="77777777" w:rsidR="00290E98" w:rsidRPr="005737F1" w:rsidRDefault="00290E98" w:rsidP="00290E98">
      <w:pPr>
        <w:numPr>
          <w:ilvl w:val="0"/>
          <w:numId w:val="61"/>
        </w:numPr>
        <w:spacing w:after="240"/>
        <w:jc w:val="both"/>
        <w:rPr>
          <w:rFonts w:cstheme="minorHAnsi"/>
          <w:szCs w:val="20"/>
          <w:lang w:val="en-US"/>
        </w:rPr>
      </w:pPr>
      <w:r w:rsidRPr="005737F1">
        <w:rPr>
          <w:rFonts w:cstheme="minorHAnsi"/>
          <w:szCs w:val="20"/>
        </w:rPr>
        <w:t xml:space="preserve">MMFs are an investment product where the risks and rewards belong to its investors. The investor’s risks of ownership of a MMF are clearly stated in its prospectus and in its marketing materials. </w:t>
      </w:r>
    </w:p>
    <w:p w14:paraId="047C018E" w14:textId="77777777" w:rsidR="00290E98" w:rsidRPr="005737F1" w:rsidRDefault="00290E98" w:rsidP="00290E98">
      <w:pPr>
        <w:numPr>
          <w:ilvl w:val="0"/>
          <w:numId w:val="61"/>
        </w:numPr>
        <w:spacing w:after="240"/>
        <w:jc w:val="both"/>
        <w:rPr>
          <w:rFonts w:cstheme="minorHAnsi"/>
          <w:szCs w:val="20"/>
          <w:lang w:val="en-US"/>
        </w:rPr>
      </w:pPr>
      <w:r w:rsidRPr="005737F1">
        <w:rPr>
          <w:rFonts w:cstheme="minorHAnsi"/>
          <w:szCs w:val="20"/>
        </w:rPr>
        <w:t xml:space="preserve">A level of ambiguity about who owns the risk when investing in a MMF developed amongst some investors pre the Global Financial Crisis. This ambiguity developed due to the sponsor support of MMFs that took place at times pre the current regulation. The current regulation removes that ambiguity. </w:t>
      </w:r>
    </w:p>
    <w:p w14:paraId="24544F39" w14:textId="77777777" w:rsidR="00290E98" w:rsidRPr="005737F1" w:rsidRDefault="00290E98" w:rsidP="00290E98">
      <w:pPr>
        <w:numPr>
          <w:ilvl w:val="0"/>
          <w:numId w:val="61"/>
        </w:numPr>
        <w:spacing w:after="240"/>
        <w:jc w:val="both"/>
        <w:rPr>
          <w:rFonts w:cstheme="minorHAnsi"/>
          <w:szCs w:val="20"/>
          <w:lang w:val="en-US"/>
        </w:rPr>
      </w:pPr>
      <w:r w:rsidRPr="005737F1">
        <w:rPr>
          <w:rFonts w:cstheme="minorHAnsi"/>
          <w:szCs w:val="20"/>
          <w:lang w:val="en-US"/>
        </w:rPr>
        <w:t>The availability of sponsor support could lead some investors to misunderstand and misprice the risks they are subject to.</w:t>
      </w:r>
    </w:p>
    <w:p w14:paraId="516FFEBE" w14:textId="77777777" w:rsidR="00290E98" w:rsidRPr="005737F1" w:rsidRDefault="00290E98" w:rsidP="00290E98">
      <w:pPr>
        <w:numPr>
          <w:ilvl w:val="0"/>
          <w:numId w:val="61"/>
        </w:numPr>
        <w:spacing w:after="240"/>
        <w:jc w:val="both"/>
        <w:rPr>
          <w:rFonts w:cstheme="minorHAnsi"/>
          <w:szCs w:val="20"/>
          <w:lang w:val="en-US"/>
        </w:rPr>
      </w:pPr>
      <w:r w:rsidRPr="005737F1">
        <w:rPr>
          <w:rFonts w:cstheme="minorHAnsi"/>
          <w:szCs w:val="20"/>
          <w:lang w:val="en-US"/>
        </w:rPr>
        <w:t>There is an incentive for both fund sponsors and, arguably, regulators to maintain a level of ambiguity of risk ownership in a MMF. We believe any ambiguity of risk ownership must continue to be removed so risk is correctly priced.</w:t>
      </w:r>
      <w:r w:rsidRPr="005737F1">
        <w:rPr>
          <w:rFonts w:cstheme="minorHAnsi"/>
          <w:szCs w:val="20"/>
        </w:rPr>
        <w:t xml:space="preserve"> </w:t>
      </w:r>
    </w:p>
    <w:p w14:paraId="508CB256" w14:textId="77777777" w:rsidR="00290E98" w:rsidRPr="005737F1" w:rsidRDefault="00290E98" w:rsidP="00290E98">
      <w:pPr>
        <w:spacing w:after="240"/>
        <w:jc w:val="both"/>
        <w:rPr>
          <w:rFonts w:cstheme="minorHAnsi"/>
          <w:szCs w:val="20"/>
        </w:rPr>
      </w:pPr>
      <w:r w:rsidRPr="005737F1">
        <w:rPr>
          <w:rFonts w:cstheme="minorHAnsi"/>
          <w:szCs w:val="20"/>
        </w:rPr>
        <w:t xml:space="preserve">The availability of sponsor support can also lead to potential competition issues. On the one hand it is suggested that bank owned asset managers have a greater ability to provide support so benefit from this type of regulation. On the other hand the potential consequences of the provision of support on the capital and liquidity ratios of a bank in practice make support punitive to provide for a bank owned asset manager. The opposite is the case for a non-bank owned asset manager.  </w:t>
      </w:r>
    </w:p>
    <w:p w14:paraId="40A27BFD" w14:textId="77777777" w:rsidR="00290E98" w:rsidRPr="005737F1" w:rsidRDefault="00290E98" w:rsidP="00290E98">
      <w:pPr>
        <w:spacing w:after="240"/>
        <w:jc w:val="both"/>
        <w:rPr>
          <w:rFonts w:cstheme="minorHAnsi"/>
          <w:szCs w:val="20"/>
        </w:rPr>
      </w:pPr>
      <w:r w:rsidRPr="005737F1">
        <w:rPr>
          <w:rFonts w:cstheme="minorHAnsi"/>
          <w:szCs w:val="20"/>
        </w:rPr>
        <w:t xml:space="preserve">Our response in the table below is answered from the perspective of the possible removal of the existing prohibition on sponsor support.   </w:t>
      </w:r>
    </w:p>
    <w:p w14:paraId="1C64A10E" w14:textId="77777777" w:rsidR="00290E98" w:rsidRPr="005737F1" w:rsidRDefault="00290E98" w:rsidP="00290E98">
      <w:pPr>
        <w:rPr>
          <w:rFonts w:cstheme="minorHAnsi"/>
          <w:szCs w:val="20"/>
        </w:rPr>
      </w:pPr>
      <w:r w:rsidRPr="005737F1">
        <w:rPr>
          <w:rFonts w:cstheme="minorHAnsi"/>
          <w:szCs w:val="20"/>
        </w:rPr>
        <w:t xml:space="preserve">We support certain clarification of the rules as outlined above which we see as relatively uncontentious so we do not address clarification below. </w:t>
      </w:r>
    </w:p>
    <w:p w14:paraId="72C124CA" w14:textId="77777777" w:rsidR="00290E98" w:rsidRDefault="00290E98" w:rsidP="00290E98">
      <w:pPr>
        <w:rPr>
          <w:rFonts w:cstheme="minorHAnsi"/>
        </w:rPr>
      </w:pPr>
    </w:p>
    <w:tbl>
      <w:tblPr>
        <w:tblStyle w:val="TableGrid"/>
        <w:tblW w:w="0" w:type="auto"/>
        <w:tblLook w:val="04A0" w:firstRow="1" w:lastRow="0" w:firstColumn="1" w:lastColumn="0" w:noHBand="0" w:noVBand="1"/>
      </w:tblPr>
      <w:tblGrid>
        <w:gridCol w:w="9016"/>
      </w:tblGrid>
      <w:tr w:rsidR="00290E98" w:rsidRPr="005737F1" w14:paraId="59480A35" w14:textId="77777777" w:rsidTr="00891722">
        <w:tc>
          <w:tcPr>
            <w:tcW w:w="9016" w:type="dxa"/>
            <w:shd w:val="clear" w:color="auto" w:fill="EEECE1" w:themeFill="background2"/>
          </w:tcPr>
          <w:p w14:paraId="1579F830" w14:textId="77777777" w:rsidR="00290E98" w:rsidRPr="005737F1" w:rsidRDefault="00290E98" w:rsidP="00891722">
            <w:pPr>
              <w:jc w:val="both"/>
              <w:rPr>
                <w:rFonts w:cstheme="minorHAnsi"/>
                <w:b/>
                <w:bCs/>
                <w:szCs w:val="20"/>
              </w:rPr>
            </w:pPr>
            <w:r w:rsidRPr="005737F1">
              <w:rPr>
                <w:rFonts w:cstheme="minorHAnsi"/>
                <w:b/>
                <w:bCs/>
                <w:szCs w:val="20"/>
              </w:rPr>
              <w:t>I    Impact on the Resilience of MMFs</w:t>
            </w:r>
          </w:p>
          <w:p w14:paraId="0333120C" w14:textId="77777777" w:rsidR="00290E98" w:rsidRPr="005737F1" w:rsidRDefault="00290E98" w:rsidP="00891722">
            <w:pPr>
              <w:jc w:val="both"/>
              <w:rPr>
                <w:rFonts w:cstheme="minorHAnsi"/>
                <w:szCs w:val="20"/>
              </w:rPr>
            </w:pPr>
          </w:p>
        </w:tc>
      </w:tr>
      <w:tr w:rsidR="00290E98" w:rsidRPr="005737F1" w14:paraId="156EA1B1" w14:textId="77777777" w:rsidTr="00891722">
        <w:tc>
          <w:tcPr>
            <w:tcW w:w="9016" w:type="dxa"/>
          </w:tcPr>
          <w:p w14:paraId="3BBC87C5" w14:textId="77777777" w:rsidR="00290E98" w:rsidRPr="005737F1" w:rsidRDefault="00290E98" w:rsidP="00891722">
            <w:pPr>
              <w:ind w:left="306" w:hanging="306"/>
              <w:jc w:val="both"/>
              <w:rPr>
                <w:rFonts w:cstheme="minorHAnsi"/>
                <w:i/>
                <w:iCs/>
                <w:szCs w:val="20"/>
              </w:rPr>
            </w:pPr>
            <w:r w:rsidRPr="005737F1">
              <w:rPr>
                <w:rFonts w:cstheme="minorHAnsi"/>
                <w:i/>
                <w:iCs/>
                <w:szCs w:val="20"/>
              </w:rPr>
              <w:t xml:space="preserve">i </w:t>
            </w:r>
            <w:r w:rsidRPr="005737F1">
              <w:rPr>
                <w:rFonts w:cstheme="minorHAnsi"/>
                <w:i/>
                <w:iCs/>
                <w:szCs w:val="20"/>
              </w:rPr>
              <w:tab/>
              <w:t>How would the policy option work in mitigating the structural vulnerabilities of MMFs?</w:t>
            </w:r>
          </w:p>
          <w:p w14:paraId="4AB16C5A" w14:textId="77777777" w:rsidR="00290E98" w:rsidRPr="005737F1" w:rsidRDefault="00290E98" w:rsidP="00891722">
            <w:pPr>
              <w:jc w:val="both"/>
              <w:rPr>
                <w:rFonts w:cstheme="minorHAnsi"/>
                <w:i/>
                <w:iCs/>
                <w:szCs w:val="20"/>
              </w:rPr>
            </w:pPr>
          </w:p>
          <w:p w14:paraId="1396A618" w14:textId="77777777" w:rsidR="00290E98" w:rsidRPr="005737F1" w:rsidRDefault="00290E98" w:rsidP="00290E98">
            <w:pPr>
              <w:pStyle w:val="ListParagraph"/>
              <w:numPr>
                <w:ilvl w:val="0"/>
                <w:numId w:val="63"/>
              </w:numPr>
              <w:spacing w:after="120"/>
              <w:jc w:val="both"/>
              <w:rPr>
                <w:rFonts w:cstheme="minorHAnsi"/>
                <w:szCs w:val="20"/>
              </w:rPr>
            </w:pPr>
            <w:r w:rsidRPr="005737F1">
              <w:rPr>
                <w:rFonts w:cstheme="minorHAnsi"/>
                <w:szCs w:val="20"/>
              </w:rPr>
              <w:t xml:space="preserve">The removal of the existing prohibition on sponsor support would not mitigate any structural vulnerabilities of a MMF. The prohibition clarifies to investors that they own </w:t>
            </w:r>
            <w:r w:rsidRPr="005737F1">
              <w:rPr>
                <w:rFonts w:cstheme="minorHAnsi"/>
                <w:szCs w:val="20"/>
              </w:rPr>
              <w:lastRenderedPageBreak/>
              <w:t>the risk and rewards of investing in an MMF encouraging the investor to understand and accept, or not, those risks. Any ambiguity is unhelpful.</w:t>
            </w:r>
          </w:p>
        </w:tc>
      </w:tr>
      <w:tr w:rsidR="00290E98" w:rsidRPr="005737F1" w14:paraId="35EB8FF0" w14:textId="77777777" w:rsidTr="00891722">
        <w:tc>
          <w:tcPr>
            <w:tcW w:w="9016" w:type="dxa"/>
          </w:tcPr>
          <w:p w14:paraId="503DB4E7" w14:textId="77777777" w:rsidR="00290E98" w:rsidRPr="005737F1" w:rsidRDefault="00290E98" w:rsidP="00891722">
            <w:pPr>
              <w:jc w:val="both"/>
              <w:rPr>
                <w:rFonts w:cstheme="minorHAnsi"/>
                <w:i/>
                <w:iCs/>
                <w:szCs w:val="20"/>
              </w:rPr>
            </w:pPr>
            <w:r w:rsidRPr="005737F1">
              <w:rPr>
                <w:rFonts w:cstheme="minorHAnsi"/>
                <w:i/>
                <w:iCs/>
                <w:szCs w:val="20"/>
              </w:rPr>
              <w:lastRenderedPageBreak/>
              <w:t>ii</w:t>
            </w:r>
            <w:r w:rsidRPr="005737F1">
              <w:rPr>
                <w:rFonts w:cstheme="minorHAnsi"/>
                <w:i/>
                <w:iCs/>
                <w:szCs w:val="20"/>
              </w:rPr>
              <w:tab/>
              <w:t>Would it apply to all MMFs?</w:t>
            </w:r>
          </w:p>
          <w:p w14:paraId="6A51E532" w14:textId="77777777" w:rsidR="00290E98" w:rsidRPr="005737F1" w:rsidRDefault="00290E98" w:rsidP="00290E98">
            <w:pPr>
              <w:pStyle w:val="ListParagraph"/>
              <w:numPr>
                <w:ilvl w:val="0"/>
                <w:numId w:val="63"/>
              </w:numPr>
              <w:jc w:val="both"/>
              <w:rPr>
                <w:rFonts w:cstheme="minorHAnsi"/>
                <w:szCs w:val="20"/>
              </w:rPr>
            </w:pPr>
            <w:r w:rsidRPr="005737F1">
              <w:rPr>
                <w:rFonts w:cstheme="minorHAnsi"/>
                <w:szCs w:val="20"/>
              </w:rPr>
              <w:t>If amended any provisions should apply to all funds equally.</w:t>
            </w:r>
          </w:p>
          <w:p w14:paraId="62D2A2DA" w14:textId="77777777" w:rsidR="00290E98" w:rsidRPr="005737F1" w:rsidRDefault="00290E98" w:rsidP="00891722">
            <w:pPr>
              <w:jc w:val="both"/>
              <w:rPr>
                <w:rFonts w:cstheme="minorHAnsi"/>
                <w:szCs w:val="20"/>
              </w:rPr>
            </w:pPr>
            <w:r w:rsidRPr="005737F1">
              <w:rPr>
                <w:rFonts w:cstheme="minorHAnsi"/>
                <w:szCs w:val="20"/>
              </w:rPr>
              <w:tab/>
            </w:r>
          </w:p>
          <w:p w14:paraId="45BE706B" w14:textId="77777777" w:rsidR="00290E98" w:rsidRPr="005737F1" w:rsidRDefault="00290E98" w:rsidP="00891722">
            <w:pPr>
              <w:ind w:left="306" w:hanging="306"/>
              <w:jc w:val="both"/>
              <w:rPr>
                <w:rFonts w:cstheme="minorHAnsi"/>
                <w:i/>
                <w:iCs/>
                <w:szCs w:val="20"/>
              </w:rPr>
            </w:pPr>
          </w:p>
        </w:tc>
      </w:tr>
      <w:tr w:rsidR="00290E98" w:rsidRPr="005737F1" w14:paraId="22295C43" w14:textId="77777777" w:rsidTr="00891722">
        <w:tc>
          <w:tcPr>
            <w:tcW w:w="9016" w:type="dxa"/>
          </w:tcPr>
          <w:p w14:paraId="28FDC693" w14:textId="77777777" w:rsidR="00290E98" w:rsidRPr="005737F1" w:rsidRDefault="00290E98" w:rsidP="00891722">
            <w:pPr>
              <w:tabs>
                <w:tab w:val="left" w:pos="306"/>
                <w:tab w:val="left" w:pos="690"/>
              </w:tabs>
              <w:ind w:left="447" w:hanging="447"/>
              <w:jc w:val="both"/>
              <w:rPr>
                <w:rFonts w:cstheme="minorHAnsi"/>
                <w:szCs w:val="20"/>
              </w:rPr>
            </w:pPr>
            <w:r w:rsidRPr="005737F1">
              <w:rPr>
                <w:rFonts w:cstheme="minorHAnsi"/>
                <w:i/>
                <w:iCs/>
                <w:szCs w:val="20"/>
              </w:rPr>
              <w:t>ii</w:t>
            </w:r>
            <w:r w:rsidRPr="005737F1">
              <w:rPr>
                <w:rFonts w:cstheme="minorHAnsi"/>
                <w:i/>
                <w:iCs/>
                <w:szCs w:val="20"/>
              </w:rPr>
              <w:tab/>
              <w:t>a)</w:t>
            </w:r>
            <w:r w:rsidRPr="005737F1">
              <w:rPr>
                <w:rFonts w:cstheme="minorHAnsi"/>
                <w:i/>
                <w:iCs/>
                <w:szCs w:val="20"/>
              </w:rPr>
              <w:tab/>
            </w:r>
            <w:r w:rsidRPr="005737F1">
              <w:rPr>
                <w:rFonts w:cstheme="minorHAnsi"/>
                <w:szCs w:val="20"/>
              </w:rPr>
              <w:t>Is the option currently in place in any jurisdiction, and if so, has it been helpful?</w:t>
            </w:r>
          </w:p>
          <w:p w14:paraId="2AB7CDD2" w14:textId="77777777" w:rsidR="00290E98" w:rsidRPr="005737F1" w:rsidRDefault="00290E98" w:rsidP="00290E98">
            <w:pPr>
              <w:pStyle w:val="ListParagraph"/>
              <w:numPr>
                <w:ilvl w:val="0"/>
                <w:numId w:val="62"/>
              </w:numPr>
              <w:tabs>
                <w:tab w:val="left" w:pos="306"/>
                <w:tab w:val="left" w:pos="690"/>
              </w:tabs>
              <w:jc w:val="both"/>
              <w:rPr>
                <w:rFonts w:cstheme="minorHAnsi"/>
                <w:szCs w:val="20"/>
              </w:rPr>
            </w:pPr>
            <w:r w:rsidRPr="005737F1">
              <w:rPr>
                <w:rFonts w:cstheme="minorHAnsi"/>
                <w:szCs w:val="20"/>
              </w:rPr>
              <w:t xml:space="preserve">In the US onshore market, the provision of sponsor support under 2 (a) 7 rules is not prohibited but must be reported to the SEC. We not believe the ability to provide support has been helpful as it risks removing the incentive of the investor to fully understand the risks and rewards of investing in a MMF if they believe there is an implicit back stop to their risk. </w:t>
            </w:r>
          </w:p>
          <w:p w14:paraId="685FB1A6" w14:textId="77777777" w:rsidR="00290E98" w:rsidRPr="005737F1" w:rsidRDefault="00290E98" w:rsidP="00891722">
            <w:pPr>
              <w:jc w:val="both"/>
              <w:rPr>
                <w:rFonts w:cstheme="minorHAnsi"/>
                <w:szCs w:val="20"/>
              </w:rPr>
            </w:pPr>
            <w:r w:rsidRPr="005737F1">
              <w:rPr>
                <w:rFonts w:cstheme="minorHAnsi"/>
                <w:szCs w:val="20"/>
              </w:rPr>
              <w:tab/>
            </w:r>
          </w:p>
          <w:p w14:paraId="3A2F2EA2" w14:textId="77777777" w:rsidR="00290E98" w:rsidRPr="005737F1" w:rsidRDefault="00290E98" w:rsidP="00891722">
            <w:pPr>
              <w:tabs>
                <w:tab w:val="left" w:pos="306"/>
              </w:tabs>
              <w:jc w:val="both"/>
              <w:rPr>
                <w:rFonts w:cstheme="minorHAnsi"/>
                <w:szCs w:val="20"/>
              </w:rPr>
            </w:pPr>
            <w:r w:rsidRPr="005737F1">
              <w:rPr>
                <w:rFonts w:cstheme="minorHAnsi"/>
                <w:i/>
                <w:iCs/>
                <w:szCs w:val="20"/>
              </w:rPr>
              <w:tab/>
              <w:t>b)</w:t>
            </w:r>
            <w:r w:rsidRPr="005737F1">
              <w:rPr>
                <w:rFonts w:cstheme="minorHAnsi"/>
                <w:i/>
                <w:iCs/>
                <w:szCs w:val="20"/>
              </w:rPr>
              <w:tab/>
            </w:r>
            <w:r w:rsidRPr="005737F1">
              <w:rPr>
                <w:rFonts w:cstheme="minorHAnsi"/>
                <w:szCs w:val="20"/>
              </w:rPr>
              <w:t xml:space="preserve">How would it represent a change from current rules or practices in other </w:t>
            </w:r>
            <w:r w:rsidRPr="005737F1">
              <w:rPr>
                <w:rFonts w:cstheme="minorHAnsi"/>
                <w:szCs w:val="20"/>
              </w:rPr>
              <w:tab/>
            </w:r>
            <w:r w:rsidRPr="005737F1">
              <w:rPr>
                <w:rFonts w:cstheme="minorHAnsi"/>
                <w:szCs w:val="20"/>
              </w:rPr>
              <w:tab/>
            </w:r>
            <w:r w:rsidRPr="005737F1">
              <w:rPr>
                <w:rFonts w:cstheme="minorHAnsi"/>
                <w:szCs w:val="20"/>
              </w:rPr>
              <w:tab/>
            </w:r>
            <w:r w:rsidRPr="005737F1">
              <w:rPr>
                <w:rFonts w:cstheme="minorHAnsi"/>
                <w:szCs w:val="20"/>
              </w:rPr>
              <w:tab/>
              <w:t>jurisdictions?</w:t>
            </w:r>
          </w:p>
          <w:p w14:paraId="3F1CC3F5" w14:textId="77777777" w:rsidR="00290E98" w:rsidRPr="005737F1" w:rsidRDefault="00290E98" w:rsidP="00290E98">
            <w:pPr>
              <w:pStyle w:val="ListParagraph"/>
              <w:numPr>
                <w:ilvl w:val="0"/>
                <w:numId w:val="62"/>
              </w:numPr>
              <w:tabs>
                <w:tab w:val="left" w:pos="306"/>
              </w:tabs>
              <w:jc w:val="both"/>
              <w:rPr>
                <w:rFonts w:cstheme="minorHAnsi"/>
                <w:szCs w:val="20"/>
              </w:rPr>
            </w:pPr>
            <w:r w:rsidRPr="005737F1">
              <w:rPr>
                <w:rFonts w:cstheme="minorHAnsi"/>
                <w:szCs w:val="20"/>
              </w:rPr>
              <w:t>N/A</w:t>
            </w:r>
          </w:p>
          <w:p w14:paraId="4D96764E" w14:textId="77777777" w:rsidR="00290E98" w:rsidRPr="005737F1" w:rsidRDefault="00290E98" w:rsidP="00891722">
            <w:pPr>
              <w:tabs>
                <w:tab w:val="left" w:pos="306"/>
              </w:tabs>
              <w:jc w:val="both"/>
              <w:rPr>
                <w:rFonts w:cstheme="minorHAnsi"/>
                <w:szCs w:val="20"/>
              </w:rPr>
            </w:pPr>
          </w:p>
          <w:p w14:paraId="2045622F" w14:textId="77777777" w:rsidR="00290E98" w:rsidRPr="005737F1" w:rsidRDefault="00290E98" w:rsidP="00891722">
            <w:pPr>
              <w:tabs>
                <w:tab w:val="left" w:pos="306"/>
              </w:tabs>
              <w:ind w:left="272" w:hanging="272"/>
              <w:jc w:val="both"/>
              <w:rPr>
                <w:rFonts w:cstheme="minorHAnsi"/>
                <w:szCs w:val="20"/>
              </w:rPr>
            </w:pPr>
            <w:r w:rsidRPr="005737F1">
              <w:rPr>
                <w:rFonts w:cstheme="minorHAnsi"/>
                <w:szCs w:val="20"/>
              </w:rPr>
              <w:tab/>
              <w:t>c)</w:t>
            </w:r>
            <w:r w:rsidRPr="005737F1">
              <w:rPr>
                <w:rFonts w:cstheme="minorHAnsi"/>
                <w:szCs w:val="20"/>
              </w:rPr>
              <w:tab/>
              <w:t xml:space="preserve">Has the option been implemented previously and, if so, what were the main </w:t>
            </w:r>
            <w:r w:rsidRPr="005737F1">
              <w:rPr>
                <w:rFonts w:cstheme="minorHAnsi"/>
                <w:szCs w:val="20"/>
              </w:rPr>
              <w:tab/>
            </w:r>
            <w:r w:rsidRPr="005737F1">
              <w:rPr>
                <w:rFonts w:cstheme="minorHAnsi"/>
                <w:szCs w:val="20"/>
              </w:rPr>
              <w:tab/>
            </w:r>
            <w:r w:rsidRPr="005737F1">
              <w:rPr>
                <w:rFonts w:cstheme="minorHAnsi"/>
                <w:szCs w:val="20"/>
              </w:rPr>
              <w:tab/>
              <w:t>findings?</w:t>
            </w:r>
          </w:p>
          <w:p w14:paraId="20D4625E" w14:textId="77777777" w:rsidR="00290E98" w:rsidRPr="005737F1" w:rsidRDefault="00290E98" w:rsidP="00290E98">
            <w:pPr>
              <w:pStyle w:val="ListParagraph"/>
              <w:numPr>
                <w:ilvl w:val="0"/>
                <w:numId w:val="62"/>
              </w:numPr>
              <w:tabs>
                <w:tab w:val="left" w:pos="306"/>
              </w:tabs>
              <w:jc w:val="both"/>
              <w:rPr>
                <w:rFonts w:cstheme="minorHAnsi"/>
                <w:szCs w:val="20"/>
              </w:rPr>
            </w:pPr>
            <w:r w:rsidRPr="005737F1">
              <w:rPr>
                <w:rFonts w:cstheme="minorHAnsi"/>
                <w:szCs w:val="20"/>
              </w:rPr>
              <w:t>N/A</w:t>
            </w:r>
          </w:p>
          <w:p w14:paraId="0ECE79F5" w14:textId="77777777" w:rsidR="00290E98" w:rsidRPr="005737F1" w:rsidRDefault="00290E98" w:rsidP="00891722">
            <w:pPr>
              <w:tabs>
                <w:tab w:val="left" w:pos="306"/>
              </w:tabs>
              <w:jc w:val="both"/>
              <w:rPr>
                <w:rFonts w:cstheme="minorHAnsi"/>
                <w:i/>
                <w:iCs/>
                <w:szCs w:val="20"/>
              </w:rPr>
            </w:pPr>
          </w:p>
        </w:tc>
      </w:tr>
    </w:tbl>
    <w:p w14:paraId="4E3BD9E6" w14:textId="58A117C7" w:rsidR="00290E98" w:rsidRDefault="00290E98" w:rsidP="00290E98">
      <w:pPr>
        <w:rPr>
          <w:rFonts w:cstheme="minorHAnsi"/>
        </w:rPr>
      </w:pPr>
    </w:p>
    <w:tbl>
      <w:tblPr>
        <w:tblStyle w:val="TableGrid"/>
        <w:tblW w:w="0" w:type="auto"/>
        <w:tblLook w:val="04A0" w:firstRow="1" w:lastRow="0" w:firstColumn="1" w:lastColumn="0" w:noHBand="0" w:noVBand="1"/>
      </w:tblPr>
      <w:tblGrid>
        <w:gridCol w:w="9016"/>
      </w:tblGrid>
      <w:tr w:rsidR="00290E98" w:rsidRPr="005737F1" w14:paraId="19471F9D" w14:textId="77777777" w:rsidTr="00891722">
        <w:tc>
          <w:tcPr>
            <w:tcW w:w="9016" w:type="dxa"/>
            <w:shd w:val="clear" w:color="auto" w:fill="EEECE1" w:themeFill="background2"/>
          </w:tcPr>
          <w:p w14:paraId="3259277D" w14:textId="77777777" w:rsidR="00290E98" w:rsidRPr="005737F1" w:rsidRDefault="00290E98" w:rsidP="00891722">
            <w:pPr>
              <w:jc w:val="both"/>
              <w:rPr>
                <w:rFonts w:cstheme="minorHAnsi"/>
                <w:b/>
                <w:bCs/>
                <w:szCs w:val="20"/>
              </w:rPr>
            </w:pPr>
            <w:r w:rsidRPr="005737F1">
              <w:rPr>
                <w:rFonts w:cstheme="minorHAnsi"/>
                <w:b/>
                <w:bCs/>
                <w:szCs w:val="20"/>
              </w:rPr>
              <w:t>II    Effects on Investor Behaviour</w:t>
            </w:r>
          </w:p>
          <w:p w14:paraId="214CC5A5" w14:textId="77777777" w:rsidR="00290E98" w:rsidRPr="005737F1" w:rsidRDefault="00290E98" w:rsidP="00891722">
            <w:pPr>
              <w:jc w:val="both"/>
              <w:rPr>
                <w:rFonts w:cstheme="minorHAnsi"/>
                <w:szCs w:val="20"/>
              </w:rPr>
            </w:pPr>
            <w:r w:rsidRPr="005737F1">
              <w:rPr>
                <w:rFonts w:cstheme="minorHAnsi"/>
                <w:szCs w:val="20"/>
              </w:rPr>
              <w:tab/>
            </w:r>
          </w:p>
        </w:tc>
      </w:tr>
      <w:tr w:rsidR="00290E98" w:rsidRPr="005737F1" w14:paraId="56DBC184" w14:textId="77777777" w:rsidTr="00891722">
        <w:tc>
          <w:tcPr>
            <w:tcW w:w="9016" w:type="dxa"/>
          </w:tcPr>
          <w:p w14:paraId="58948740" w14:textId="77777777" w:rsidR="00290E98" w:rsidRPr="005737F1" w:rsidRDefault="00290E98" w:rsidP="00891722">
            <w:pPr>
              <w:ind w:left="447" w:hanging="447"/>
              <w:jc w:val="both"/>
              <w:rPr>
                <w:rFonts w:cstheme="minorHAnsi"/>
                <w:szCs w:val="20"/>
              </w:rPr>
            </w:pPr>
            <w:r w:rsidRPr="005737F1">
              <w:rPr>
                <w:rFonts w:cstheme="minorHAnsi"/>
                <w:i/>
                <w:iCs/>
                <w:szCs w:val="20"/>
              </w:rPr>
              <w:t xml:space="preserve">i </w:t>
            </w:r>
            <w:r w:rsidRPr="005737F1">
              <w:rPr>
                <w:rFonts w:cstheme="minorHAnsi"/>
                <w:b/>
                <w:bCs/>
                <w:i/>
                <w:iCs/>
                <w:szCs w:val="20"/>
              </w:rPr>
              <w:tab/>
            </w:r>
            <w:r w:rsidRPr="005737F1">
              <w:rPr>
                <w:rFonts w:cstheme="minorHAnsi"/>
                <w:szCs w:val="20"/>
              </w:rPr>
              <w:t>From a micro perspective (viewing the MMF in isolation), how would the policy option affect investors’ incentives to redeem during stress events?</w:t>
            </w:r>
          </w:p>
          <w:p w14:paraId="55158B73" w14:textId="77777777" w:rsidR="00290E98" w:rsidRPr="005737F1" w:rsidRDefault="00290E98" w:rsidP="00290E98">
            <w:pPr>
              <w:pStyle w:val="ListParagraph"/>
              <w:numPr>
                <w:ilvl w:val="0"/>
                <w:numId w:val="62"/>
              </w:numPr>
              <w:jc w:val="both"/>
              <w:rPr>
                <w:rFonts w:cstheme="minorHAnsi"/>
                <w:szCs w:val="20"/>
              </w:rPr>
            </w:pPr>
            <w:r w:rsidRPr="005737F1">
              <w:rPr>
                <w:rFonts w:cstheme="minorHAnsi"/>
                <w:szCs w:val="20"/>
              </w:rPr>
              <w:t xml:space="preserve">It can be argued that the ability for a sponsor to provide support could reduce the probability of an investor to redeem during a period of market stress if they believe there is an implicit guarantee of support by the sponsor. However, if an investor’s expectation of sponsor support were to reduce due to a change in the sponsors perceived ability or willingness to provide support, this could lead to a more severe stress scenario on a MMF. Investors having clarity that they own the risk and reward of investing in a MMF without ambiguity ultimately puts the industry in a stronger position. </w:t>
            </w:r>
          </w:p>
          <w:p w14:paraId="36939584" w14:textId="77777777" w:rsidR="00290E98" w:rsidRPr="005737F1" w:rsidRDefault="00290E98" w:rsidP="00290E98">
            <w:pPr>
              <w:pStyle w:val="ListParagraph"/>
              <w:numPr>
                <w:ilvl w:val="0"/>
                <w:numId w:val="62"/>
              </w:numPr>
              <w:jc w:val="both"/>
              <w:rPr>
                <w:rFonts w:cstheme="minorHAnsi"/>
                <w:szCs w:val="20"/>
              </w:rPr>
            </w:pPr>
            <w:r w:rsidRPr="005737F1">
              <w:rPr>
                <w:rFonts w:cstheme="minorHAnsi"/>
                <w:szCs w:val="20"/>
              </w:rPr>
              <w:t>It is important that if there were to be an amendment on sponsor support all funds are treated equally otherwise investors may be more likely to redeem from one fund type than another.</w:t>
            </w:r>
          </w:p>
        </w:tc>
      </w:tr>
      <w:tr w:rsidR="00290E98" w:rsidRPr="005737F1" w14:paraId="4B4FB628" w14:textId="77777777" w:rsidTr="00891722">
        <w:tc>
          <w:tcPr>
            <w:tcW w:w="9016" w:type="dxa"/>
          </w:tcPr>
          <w:p w14:paraId="479BD99E" w14:textId="77777777" w:rsidR="00290E98" w:rsidRPr="005737F1" w:rsidRDefault="00290E98" w:rsidP="00891722">
            <w:pPr>
              <w:ind w:left="447" w:hanging="447"/>
              <w:jc w:val="both"/>
              <w:rPr>
                <w:rFonts w:cstheme="minorHAnsi"/>
                <w:szCs w:val="20"/>
              </w:rPr>
            </w:pPr>
            <w:r w:rsidRPr="005737F1">
              <w:rPr>
                <w:rFonts w:cstheme="minorHAnsi"/>
                <w:i/>
                <w:iCs/>
                <w:szCs w:val="20"/>
              </w:rPr>
              <w:t>ii</w:t>
            </w:r>
            <w:r w:rsidRPr="005737F1">
              <w:rPr>
                <w:rFonts w:cstheme="minorHAnsi"/>
                <w:b/>
                <w:bCs/>
                <w:i/>
                <w:iCs/>
                <w:szCs w:val="20"/>
              </w:rPr>
              <w:tab/>
            </w:r>
            <w:r w:rsidRPr="005737F1">
              <w:rPr>
                <w:rFonts w:cstheme="minorHAnsi"/>
                <w:szCs w:val="20"/>
              </w:rPr>
              <w:t>From a macro perspective, how would this option mitigate the effects of a generalised “dash for cash” as seen in March 2020; and/or runs prompted by a credit crisis, as seen in September 2008?</w:t>
            </w:r>
          </w:p>
          <w:p w14:paraId="40F8551F" w14:textId="77777777" w:rsidR="00290E98" w:rsidRPr="005737F1" w:rsidRDefault="00290E98" w:rsidP="00290E98">
            <w:pPr>
              <w:pStyle w:val="ListParagraph"/>
              <w:numPr>
                <w:ilvl w:val="0"/>
                <w:numId w:val="64"/>
              </w:numPr>
              <w:jc w:val="both"/>
              <w:rPr>
                <w:rFonts w:cstheme="minorHAnsi"/>
                <w:szCs w:val="20"/>
              </w:rPr>
            </w:pPr>
            <w:r w:rsidRPr="005737F1">
              <w:rPr>
                <w:rFonts w:cstheme="minorHAnsi"/>
                <w:szCs w:val="20"/>
              </w:rPr>
              <w:t>See above.</w:t>
            </w:r>
          </w:p>
          <w:p w14:paraId="11E64E1F" w14:textId="77777777" w:rsidR="00290E98" w:rsidRPr="005737F1" w:rsidRDefault="00290E98" w:rsidP="00891722">
            <w:pPr>
              <w:ind w:left="447" w:hanging="447"/>
              <w:jc w:val="both"/>
              <w:rPr>
                <w:rFonts w:cstheme="minorHAnsi"/>
                <w:b/>
                <w:bCs/>
                <w:i/>
                <w:iCs/>
                <w:szCs w:val="20"/>
              </w:rPr>
            </w:pPr>
          </w:p>
        </w:tc>
      </w:tr>
      <w:tr w:rsidR="00290E98" w:rsidRPr="005737F1" w14:paraId="5B75712D" w14:textId="77777777" w:rsidTr="00891722">
        <w:tc>
          <w:tcPr>
            <w:tcW w:w="9016" w:type="dxa"/>
          </w:tcPr>
          <w:p w14:paraId="4C0BED87" w14:textId="77777777" w:rsidR="00290E98" w:rsidRPr="005737F1" w:rsidRDefault="00290E98" w:rsidP="00891722">
            <w:pPr>
              <w:ind w:left="447" w:hanging="447"/>
              <w:jc w:val="both"/>
              <w:rPr>
                <w:rFonts w:cstheme="minorHAnsi"/>
                <w:b/>
                <w:bCs/>
                <w:i/>
                <w:iCs/>
                <w:szCs w:val="20"/>
              </w:rPr>
            </w:pPr>
            <w:r w:rsidRPr="005737F1">
              <w:rPr>
                <w:rFonts w:cstheme="minorHAnsi"/>
                <w:i/>
                <w:iCs/>
                <w:szCs w:val="20"/>
              </w:rPr>
              <w:t>iii a)</w:t>
            </w:r>
            <w:r w:rsidRPr="005737F1">
              <w:rPr>
                <w:rFonts w:cstheme="minorHAnsi"/>
                <w:szCs w:val="20"/>
              </w:rPr>
              <w:t xml:space="preserve"> Does the option effectively shift MMF risks to investors?</w:t>
            </w:r>
          </w:p>
          <w:p w14:paraId="00A43B73" w14:textId="77777777" w:rsidR="00290E98" w:rsidRPr="005737F1" w:rsidRDefault="00290E98" w:rsidP="00290E98">
            <w:pPr>
              <w:pStyle w:val="ListParagraph"/>
              <w:numPr>
                <w:ilvl w:val="0"/>
                <w:numId w:val="64"/>
              </w:numPr>
              <w:jc w:val="both"/>
              <w:rPr>
                <w:rFonts w:cstheme="minorHAnsi"/>
                <w:szCs w:val="20"/>
              </w:rPr>
            </w:pPr>
            <w:r w:rsidRPr="005737F1">
              <w:rPr>
                <w:rFonts w:cstheme="minorHAnsi"/>
                <w:szCs w:val="20"/>
              </w:rPr>
              <w:t>No, the option shifts risk onto fund providers and in the case of banks, into the banking sector.</w:t>
            </w:r>
          </w:p>
          <w:p w14:paraId="3789515E" w14:textId="77777777" w:rsidR="00290E98" w:rsidRPr="005737F1" w:rsidRDefault="00290E98" w:rsidP="00891722">
            <w:pPr>
              <w:ind w:left="447" w:hanging="447"/>
              <w:jc w:val="both"/>
              <w:rPr>
                <w:rFonts w:cstheme="minorHAnsi"/>
                <w:szCs w:val="20"/>
              </w:rPr>
            </w:pPr>
            <w:r w:rsidRPr="005737F1">
              <w:rPr>
                <w:rFonts w:cstheme="minorHAnsi"/>
                <w:i/>
                <w:iCs/>
                <w:szCs w:val="20"/>
              </w:rPr>
              <w:t xml:space="preserve">   b)</w:t>
            </w:r>
            <w:r w:rsidRPr="005737F1">
              <w:rPr>
                <w:rFonts w:cstheme="minorHAnsi"/>
                <w:b/>
                <w:bCs/>
                <w:i/>
                <w:iCs/>
                <w:szCs w:val="20"/>
              </w:rPr>
              <w:tab/>
            </w:r>
            <w:r w:rsidRPr="005737F1">
              <w:rPr>
                <w:rFonts w:cstheme="minorHAnsi"/>
                <w:szCs w:val="20"/>
              </w:rPr>
              <w:t>Does it make those risks more salient and transparent for investors? Are investors treated equally?</w:t>
            </w:r>
          </w:p>
          <w:p w14:paraId="2A034B88" w14:textId="77777777" w:rsidR="00290E98" w:rsidRPr="005737F1" w:rsidRDefault="00290E98" w:rsidP="00290E98">
            <w:pPr>
              <w:pStyle w:val="ListParagraph"/>
              <w:numPr>
                <w:ilvl w:val="0"/>
                <w:numId w:val="64"/>
              </w:numPr>
              <w:jc w:val="both"/>
              <w:rPr>
                <w:rFonts w:cstheme="minorHAnsi"/>
                <w:i/>
                <w:iCs/>
                <w:szCs w:val="20"/>
              </w:rPr>
            </w:pPr>
            <w:r w:rsidRPr="005737F1">
              <w:rPr>
                <w:rFonts w:cstheme="minorHAnsi"/>
                <w:szCs w:val="20"/>
              </w:rPr>
              <w:t>No, allowing sponsor support makes the risks of investing in a MMF more ambiguous. Softening or amending the option would result in more ambiguity.</w:t>
            </w:r>
          </w:p>
        </w:tc>
      </w:tr>
    </w:tbl>
    <w:p w14:paraId="371A2448" w14:textId="77777777" w:rsidR="00290E98" w:rsidRDefault="00290E98" w:rsidP="00290E98">
      <w:pPr>
        <w:rPr>
          <w:rFonts w:cstheme="minorHAnsi"/>
        </w:rPr>
      </w:pPr>
    </w:p>
    <w:tbl>
      <w:tblPr>
        <w:tblStyle w:val="TableGrid"/>
        <w:tblW w:w="0" w:type="auto"/>
        <w:tblLook w:val="04A0" w:firstRow="1" w:lastRow="0" w:firstColumn="1" w:lastColumn="0" w:noHBand="0" w:noVBand="1"/>
      </w:tblPr>
      <w:tblGrid>
        <w:gridCol w:w="9016"/>
      </w:tblGrid>
      <w:tr w:rsidR="00290E98" w:rsidRPr="005737F1" w14:paraId="2423A8D3" w14:textId="77777777" w:rsidTr="00891722">
        <w:tc>
          <w:tcPr>
            <w:tcW w:w="9016" w:type="dxa"/>
            <w:shd w:val="clear" w:color="auto" w:fill="EEECE1" w:themeFill="background2"/>
          </w:tcPr>
          <w:p w14:paraId="6256BBE0" w14:textId="77777777" w:rsidR="00290E98" w:rsidRPr="005737F1" w:rsidRDefault="00290E98" w:rsidP="00891722">
            <w:pPr>
              <w:ind w:left="447" w:hanging="447"/>
              <w:jc w:val="both"/>
              <w:rPr>
                <w:rFonts w:cstheme="minorHAnsi"/>
                <w:b/>
                <w:bCs/>
                <w:szCs w:val="20"/>
              </w:rPr>
            </w:pPr>
            <w:r w:rsidRPr="005737F1">
              <w:rPr>
                <w:rFonts w:cstheme="minorHAnsi"/>
                <w:b/>
                <w:bCs/>
                <w:szCs w:val="20"/>
              </w:rPr>
              <w:t>III</w:t>
            </w:r>
            <w:r w:rsidRPr="005737F1">
              <w:rPr>
                <w:rFonts w:cstheme="minorHAnsi"/>
                <w:b/>
                <w:bCs/>
                <w:szCs w:val="20"/>
              </w:rPr>
              <w:tab/>
              <w:t>Effects on Fund Managers</w:t>
            </w:r>
          </w:p>
          <w:p w14:paraId="3472689A" w14:textId="77777777" w:rsidR="00290E98" w:rsidRPr="005737F1" w:rsidRDefault="00290E98" w:rsidP="00891722">
            <w:pPr>
              <w:jc w:val="both"/>
              <w:rPr>
                <w:rFonts w:cstheme="minorHAnsi"/>
                <w:szCs w:val="20"/>
              </w:rPr>
            </w:pPr>
          </w:p>
        </w:tc>
      </w:tr>
      <w:tr w:rsidR="00290E98" w:rsidRPr="005737F1" w14:paraId="7A8E0BF5" w14:textId="77777777" w:rsidTr="00891722">
        <w:tc>
          <w:tcPr>
            <w:tcW w:w="9016" w:type="dxa"/>
          </w:tcPr>
          <w:p w14:paraId="07106812" w14:textId="77777777" w:rsidR="00290E98" w:rsidRPr="005737F1" w:rsidRDefault="00290E98" w:rsidP="00891722">
            <w:pPr>
              <w:ind w:left="447" w:hanging="425"/>
              <w:jc w:val="both"/>
              <w:rPr>
                <w:rFonts w:cstheme="minorHAnsi"/>
                <w:szCs w:val="20"/>
              </w:rPr>
            </w:pPr>
            <w:r w:rsidRPr="005737F1">
              <w:rPr>
                <w:rFonts w:cstheme="minorHAnsi"/>
                <w:szCs w:val="20"/>
              </w:rPr>
              <w:t>i</w:t>
            </w:r>
            <w:r w:rsidRPr="005737F1">
              <w:rPr>
                <w:rFonts w:cstheme="minorHAnsi"/>
                <w:szCs w:val="20"/>
              </w:rPr>
              <w:tab/>
              <w:t>How would the policy option affect MMFs’ liquidity management in normal versus stressed times?</w:t>
            </w:r>
          </w:p>
          <w:p w14:paraId="1B751D9C" w14:textId="77777777" w:rsidR="00290E98" w:rsidRPr="005737F1" w:rsidRDefault="00290E98" w:rsidP="00290E98">
            <w:pPr>
              <w:pStyle w:val="ListParagraph"/>
              <w:numPr>
                <w:ilvl w:val="0"/>
                <w:numId w:val="64"/>
              </w:numPr>
              <w:jc w:val="both"/>
              <w:rPr>
                <w:rFonts w:cstheme="minorHAnsi"/>
                <w:szCs w:val="20"/>
              </w:rPr>
            </w:pPr>
            <w:r w:rsidRPr="005737F1">
              <w:rPr>
                <w:rFonts w:cstheme="minorHAnsi"/>
                <w:szCs w:val="20"/>
              </w:rPr>
              <w:t xml:space="preserve">Allowing sponsor support could reduce the incentive for a manager to employ prudent liquidity risk controls and risk controls more generally. For example, whilst the regulation itself promotes and requires strong risk controls, in some areas managers apply more conservative risk constraints than the regulation requires. The incentive to do this could be removed if sponsor support were to be allowed.  </w:t>
            </w:r>
          </w:p>
          <w:p w14:paraId="76FD9D72" w14:textId="77777777" w:rsidR="00290E98" w:rsidRPr="005737F1" w:rsidRDefault="00290E98" w:rsidP="00891722">
            <w:pPr>
              <w:ind w:left="447" w:hanging="447"/>
              <w:jc w:val="both"/>
              <w:rPr>
                <w:rFonts w:cstheme="minorHAnsi"/>
                <w:szCs w:val="20"/>
              </w:rPr>
            </w:pPr>
          </w:p>
        </w:tc>
      </w:tr>
      <w:tr w:rsidR="00290E98" w:rsidRPr="005737F1" w14:paraId="51DA6F1B" w14:textId="77777777" w:rsidTr="00891722">
        <w:tc>
          <w:tcPr>
            <w:tcW w:w="9016" w:type="dxa"/>
          </w:tcPr>
          <w:p w14:paraId="366DA56C" w14:textId="77777777" w:rsidR="00290E98" w:rsidRPr="005737F1" w:rsidRDefault="00290E98" w:rsidP="00891722">
            <w:pPr>
              <w:ind w:left="447" w:hanging="447"/>
              <w:jc w:val="both"/>
              <w:rPr>
                <w:rFonts w:cstheme="minorHAnsi"/>
                <w:szCs w:val="20"/>
              </w:rPr>
            </w:pPr>
            <w:r w:rsidRPr="005737F1">
              <w:rPr>
                <w:rFonts w:cstheme="minorHAnsi"/>
                <w:szCs w:val="20"/>
              </w:rPr>
              <w:t>ii</w:t>
            </w:r>
            <w:r w:rsidRPr="005737F1">
              <w:rPr>
                <w:rFonts w:cstheme="minorHAnsi"/>
                <w:szCs w:val="20"/>
              </w:rPr>
              <w:tab/>
              <w:t>How would it impact the ability or willingness of MMFs to invest in short-term funding instruments or use the repo market?</w:t>
            </w:r>
          </w:p>
          <w:p w14:paraId="276FFDF9" w14:textId="77777777" w:rsidR="00290E98" w:rsidRPr="005737F1" w:rsidRDefault="00290E98" w:rsidP="00290E98">
            <w:pPr>
              <w:pStyle w:val="ListParagraph"/>
              <w:numPr>
                <w:ilvl w:val="0"/>
                <w:numId w:val="64"/>
              </w:numPr>
              <w:jc w:val="both"/>
              <w:rPr>
                <w:rFonts w:cstheme="minorHAnsi"/>
                <w:szCs w:val="20"/>
              </w:rPr>
            </w:pPr>
            <w:r w:rsidRPr="005737F1">
              <w:rPr>
                <w:rFonts w:cstheme="minorHAnsi"/>
                <w:szCs w:val="20"/>
              </w:rPr>
              <w:t>No impact</w:t>
            </w:r>
          </w:p>
          <w:p w14:paraId="0E6EF5DA" w14:textId="77777777" w:rsidR="00290E98" w:rsidRPr="005737F1" w:rsidRDefault="00290E98" w:rsidP="00891722">
            <w:pPr>
              <w:ind w:left="447" w:hanging="447"/>
              <w:jc w:val="both"/>
              <w:rPr>
                <w:rFonts w:cstheme="minorHAnsi"/>
                <w:szCs w:val="20"/>
              </w:rPr>
            </w:pPr>
          </w:p>
        </w:tc>
      </w:tr>
    </w:tbl>
    <w:p w14:paraId="3506B542" w14:textId="1CA86A12" w:rsidR="00290E98" w:rsidRDefault="00290E98" w:rsidP="00290E98">
      <w:pPr>
        <w:rPr>
          <w:rFonts w:cstheme="minorHAnsi"/>
        </w:rPr>
      </w:pPr>
    </w:p>
    <w:tbl>
      <w:tblPr>
        <w:tblStyle w:val="TableGrid"/>
        <w:tblW w:w="0" w:type="auto"/>
        <w:tblLook w:val="04A0" w:firstRow="1" w:lastRow="0" w:firstColumn="1" w:lastColumn="0" w:noHBand="0" w:noVBand="1"/>
      </w:tblPr>
      <w:tblGrid>
        <w:gridCol w:w="9016"/>
      </w:tblGrid>
      <w:tr w:rsidR="00290E98" w:rsidRPr="005737F1" w14:paraId="13CF0D4E" w14:textId="77777777" w:rsidTr="00891722">
        <w:tc>
          <w:tcPr>
            <w:tcW w:w="9016" w:type="dxa"/>
            <w:shd w:val="clear" w:color="auto" w:fill="EEECE1" w:themeFill="background2"/>
          </w:tcPr>
          <w:p w14:paraId="33789054" w14:textId="77777777" w:rsidR="00290E98" w:rsidRPr="005737F1" w:rsidRDefault="00290E98" w:rsidP="00891722">
            <w:pPr>
              <w:tabs>
                <w:tab w:val="left" w:pos="447"/>
              </w:tabs>
              <w:jc w:val="both"/>
              <w:rPr>
                <w:rFonts w:cstheme="minorHAnsi"/>
                <w:b/>
                <w:bCs/>
                <w:szCs w:val="20"/>
              </w:rPr>
            </w:pPr>
            <w:r w:rsidRPr="005737F1">
              <w:rPr>
                <w:rFonts w:cstheme="minorHAnsi"/>
                <w:b/>
                <w:bCs/>
                <w:szCs w:val="20"/>
              </w:rPr>
              <w:t>IV</w:t>
            </w:r>
            <w:r w:rsidRPr="005737F1">
              <w:rPr>
                <w:rFonts w:cstheme="minorHAnsi"/>
                <w:b/>
                <w:bCs/>
                <w:szCs w:val="20"/>
              </w:rPr>
              <w:tab/>
              <w:t>Broader Impacts on the Stability and Functioning of Short-term Funding Markets</w:t>
            </w:r>
          </w:p>
          <w:p w14:paraId="3345B21F" w14:textId="77777777" w:rsidR="00290E98" w:rsidRPr="005737F1" w:rsidRDefault="00290E98" w:rsidP="00891722">
            <w:pPr>
              <w:tabs>
                <w:tab w:val="left" w:pos="447"/>
              </w:tabs>
              <w:jc w:val="both"/>
              <w:rPr>
                <w:rFonts w:cstheme="minorHAnsi"/>
                <w:b/>
                <w:bCs/>
                <w:szCs w:val="20"/>
              </w:rPr>
            </w:pPr>
          </w:p>
        </w:tc>
      </w:tr>
      <w:tr w:rsidR="00290E98" w:rsidRPr="005737F1" w14:paraId="09C7BFF4" w14:textId="77777777" w:rsidTr="00891722">
        <w:trPr>
          <w:trHeight w:val="1495"/>
        </w:trPr>
        <w:tc>
          <w:tcPr>
            <w:tcW w:w="9016" w:type="dxa"/>
          </w:tcPr>
          <w:p w14:paraId="093E2C1A" w14:textId="77777777" w:rsidR="00290E98" w:rsidRPr="005737F1" w:rsidRDefault="00290E98" w:rsidP="00891722">
            <w:pPr>
              <w:tabs>
                <w:tab w:val="left" w:pos="164"/>
                <w:tab w:val="left" w:pos="447"/>
              </w:tabs>
              <w:ind w:left="447" w:hanging="447"/>
              <w:jc w:val="both"/>
              <w:rPr>
                <w:rFonts w:cstheme="minorHAnsi"/>
                <w:szCs w:val="20"/>
              </w:rPr>
            </w:pPr>
            <w:r w:rsidRPr="005737F1">
              <w:rPr>
                <w:rFonts w:cstheme="minorHAnsi"/>
                <w:szCs w:val="20"/>
              </w:rPr>
              <w:lastRenderedPageBreak/>
              <w:t>i</w:t>
            </w:r>
            <w:r w:rsidRPr="005737F1">
              <w:rPr>
                <w:rFonts w:cstheme="minorHAnsi"/>
                <w:szCs w:val="20"/>
              </w:rPr>
              <w:tab/>
              <w:t>a)</w:t>
            </w:r>
            <w:r w:rsidRPr="005737F1">
              <w:rPr>
                <w:rFonts w:cstheme="minorHAnsi"/>
                <w:szCs w:val="20"/>
              </w:rPr>
              <w:tab/>
              <w:t>Where are investors likely to move if MMFs become less attractive as a result of the policy option?</w:t>
            </w:r>
          </w:p>
          <w:p w14:paraId="312E8EDA" w14:textId="77777777" w:rsidR="00290E98" w:rsidRPr="005737F1" w:rsidRDefault="00290E98" w:rsidP="00290E98">
            <w:pPr>
              <w:pStyle w:val="ListParagraph"/>
              <w:numPr>
                <w:ilvl w:val="0"/>
                <w:numId w:val="64"/>
              </w:numPr>
              <w:tabs>
                <w:tab w:val="left" w:pos="164"/>
                <w:tab w:val="left" w:pos="447"/>
              </w:tabs>
              <w:jc w:val="both"/>
              <w:rPr>
                <w:rFonts w:cstheme="minorHAnsi"/>
                <w:szCs w:val="20"/>
              </w:rPr>
            </w:pPr>
            <w:r w:rsidRPr="005737F1">
              <w:rPr>
                <w:rFonts w:cstheme="minorHAnsi"/>
                <w:szCs w:val="20"/>
              </w:rPr>
              <w:t xml:space="preserve">We do not believe that the ability to provide sponsor support would make MMFs less attractive to investors. However, it would make MMFs more vulnerable and could have knock-on effects to the wider money markets. </w:t>
            </w:r>
            <w:r w:rsidRPr="005737F1">
              <w:rPr>
                <w:rFonts w:cstheme="minorHAnsi"/>
                <w:szCs w:val="20"/>
              </w:rPr>
              <w:tab/>
            </w:r>
          </w:p>
          <w:p w14:paraId="622B1DE1" w14:textId="77777777" w:rsidR="00290E98" w:rsidRPr="005737F1" w:rsidRDefault="00290E98" w:rsidP="00891722">
            <w:pPr>
              <w:tabs>
                <w:tab w:val="left" w:pos="164"/>
                <w:tab w:val="left" w:pos="447"/>
              </w:tabs>
              <w:jc w:val="both"/>
              <w:rPr>
                <w:rFonts w:cstheme="minorHAnsi"/>
                <w:szCs w:val="20"/>
              </w:rPr>
            </w:pPr>
            <w:r w:rsidRPr="005737F1">
              <w:rPr>
                <w:rFonts w:cstheme="minorHAnsi"/>
                <w:szCs w:val="20"/>
              </w:rPr>
              <w:tab/>
            </w:r>
          </w:p>
          <w:p w14:paraId="2B263507" w14:textId="77777777" w:rsidR="00290E98" w:rsidRPr="005737F1" w:rsidRDefault="00290E98" w:rsidP="00891722">
            <w:pPr>
              <w:tabs>
                <w:tab w:val="left" w:pos="164"/>
                <w:tab w:val="left" w:pos="447"/>
              </w:tabs>
              <w:ind w:left="447" w:hanging="447"/>
              <w:jc w:val="both"/>
              <w:rPr>
                <w:rFonts w:cstheme="minorHAnsi"/>
                <w:szCs w:val="20"/>
              </w:rPr>
            </w:pPr>
            <w:r w:rsidRPr="005737F1">
              <w:rPr>
                <w:rFonts w:cstheme="minorHAnsi"/>
                <w:szCs w:val="20"/>
              </w:rPr>
              <w:tab/>
              <w:t>b)</w:t>
            </w:r>
            <w:r w:rsidRPr="005737F1">
              <w:rPr>
                <w:rFonts w:cstheme="minorHAnsi"/>
                <w:szCs w:val="20"/>
              </w:rPr>
              <w:tab/>
              <w:t>Do these substitutes have vulnerabilities to runs?</w:t>
            </w:r>
          </w:p>
          <w:p w14:paraId="73CD23C8" w14:textId="77777777" w:rsidR="00290E98" w:rsidRPr="005737F1" w:rsidRDefault="00290E98" w:rsidP="00891722">
            <w:pPr>
              <w:tabs>
                <w:tab w:val="left" w:pos="164"/>
                <w:tab w:val="left" w:pos="447"/>
              </w:tabs>
              <w:ind w:left="447" w:hanging="447"/>
              <w:jc w:val="both"/>
              <w:rPr>
                <w:rFonts w:cstheme="minorHAnsi"/>
                <w:szCs w:val="20"/>
              </w:rPr>
            </w:pPr>
          </w:p>
          <w:p w14:paraId="1FE2B27C" w14:textId="77777777" w:rsidR="00290E98" w:rsidRPr="005737F1" w:rsidRDefault="00290E98" w:rsidP="00891722">
            <w:pPr>
              <w:tabs>
                <w:tab w:val="left" w:pos="164"/>
                <w:tab w:val="left" w:pos="447"/>
              </w:tabs>
              <w:jc w:val="both"/>
              <w:rPr>
                <w:rFonts w:cstheme="minorHAnsi"/>
                <w:szCs w:val="20"/>
              </w:rPr>
            </w:pPr>
            <w:r w:rsidRPr="005737F1">
              <w:rPr>
                <w:rFonts w:cstheme="minorHAnsi"/>
                <w:szCs w:val="20"/>
              </w:rPr>
              <w:tab/>
              <w:t>c)</w:t>
            </w:r>
            <w:r w:rsidRPr="005737F1">
              <w:rPr>
                <w:rFonts w:cstheme="minorHAnsi"/>
                <w:szCs w:val="20"/>
              </w:rPr>
              <w:tab/>
              <w:t>Are they transparent to investors and regulators?</w:t>
            </w:r>
          </w:p>
          <w:p w14:paraId="56E5F837" w14:textId="77777777" w:rsidR="00290E98" w:rsidRPr="005737F1" w:rsidRDefault="00290E98" w:rsidP="00891722">
            <w:pPr>
              <w:tabs>
                <w:tab w:val="left" w:pos="164"/>
                <w:tab w:val="left" w:pos="447"/>
              </w:tabs>
              <w:jc w:val="both"/>
              <w:rPr>
                <w:rFonts w:cstheme="minorHAnsi"/>
                <w:szCs w:val="20"/>
              </w:rPr>
            </w:pPr>
          </w:p>
          <w:p w14:paraId="4F704686" w14:textId="77777777" w:rsidR="00290E98" w:rsidRPr="005737F1" w:rsidRDefault="00290E98" w:rsidP="00891722">
            <w:pPr>
              <w:tabs>
                <w:tab w:val="left" w:pos="164"/>
                <w:tab w:val="left" w:pos="447"/>
              </w:tabs>
              <w:jc w:val="both"/>
              <w:rPr>
                <w:rFonts w:cstheme="minorHAnsi"/>
                <w:szCs w:val="20"/>
              </w:rPr>
            </w:pPr>
            <w:r w:rsidRPr="005737F1">
              <w:rPr>
                <w:rFonts w:cstheme="minorHAnsi"/>
                <w:szCs w:val="20"/>
              </w:rPr>
              <w:tab/>
              <w:t>d)</w:t>
            </w:r>
            <w:r w:rsidRPr="005737F1">
              <w:rPr>
                <w:rFonts w:cstheme="minorHAnsi"/>
                <w:szCs w:val="20"/>
              </w:rPr>
              <w:tab/>
              <w:t>Are they regulated?</w:t>
            </w:r>
          </w:p>
          <w:p w14:paraId="214E55C7" w14:textId="77777777" w:rsidR="00290E98" w:rsidRPr="005737F1" w:rsidRDefault="00290E98" w:rsidP="00891722">
            <w:pPr>
              <w:tabs>
                <w:tab w:val="left" w:pos="164"/>
                <w:tab w:val="left" w:pos="447"/>
              </w:tabs>
              <w:jc w:val="both"/>
              <w:rPr>
                <w:rFonts w:cstheme="minorHAnsi"/>
                <w:szCs w:val="20"/>
              </w:rPr>
            </w:pPr>
          </w:p>
          <w:p w14:paraId="553D77A0" w14:textId="77777777" w:rsidR="00290E98" w:rsidRPr="005737F1" w:rsidRDefault="00290E98" w:rsidP="00891722">
            <w:pPr>
              <w:tabs>
                <w:tab w:val="left" w:pos="164"/>
                <w:tab w:val="left" w:pos="447"/>
              </w:tabs>
              <w:jc w:val="both"/>
              <w:rPr>
                <w:rFonts w:cstheme="minorHAnsi"/>
                <w:szCs w:val="20"/>
              </w:rPr>
            </w:pPr>
            <w:r w:rsidRPr="005737F1">
              <w:rPr>
                <w:rFonts w:cstheme="minorHAnsi"/>
                <w:szCs w:val="20"/>
              </w:rPr>
              <w:tab/>
              <w:t>e)</w:t>
            </w:r>
            <w:r w:rsidRPr="005737F1">
              <w:rPr>
                <w:rFonts w:cstheme="minorHAnsi"/>
                <w:szCs w:val="20"/>
              </w:rPr>
              <w:tab/>
              <w:t>Do they embed more risks for investors (e.g., counterparty risk) or be more costly?</w:t>
            </w:r>
          </w:p>
          <w:p w14:paraId="32232824" w14:textId="77777777" w:rsidR="00290E98" w:rsidRPr="005737F1" w:rsidRDefault="00290E98" w:rsidP="00891722">
            <w:pPr>
              <w:tabs>
                <w:tab w:val="left" w:pos="164"/>
                <w:tab w:val="left" w:pos="390"/>
              </w:tabs>
              <w:jc w:val="both"/>
              <w:rPr>
                <w:rFonts w:cstheme="minorHAnsi"/>
                <w:szCs w:val="20"/>
              </w:rPr>
            </w:pPr>
          </w:p>
        </w:tc>
      </w:tr>
      <w:tr w:rsidR="00290E98" w:rsidRPr="005737F1" w14:paraId="649C0B8B" w14:textId="77777777" w:rsidTr="00891722">
        <w:trPr>
          <w:trHeight w:val="1495"/>
        </w:trPr>
        <w:tc>
          <w:tcPr>
            <w:tcW w:w="9016" w:type="dxa"/>
          </w:tcPr>
          <w:p w14:paraId="4F1BA312" w14:textId="77777777" w:rsidR="00290E98" w:rsidRPr="005737F1" w:rsidRDefault="00290E98" w:rsidP="00891722">
            <w:pPr>
              <w:tabs>
                <w:tab w:val="left" w:pos="164"/>
                <w:tab w:val="left" w:pos="447"/>
              </w:tabs>
              <w:ind w:left="447" w:hanging="447"/>
              <w:jc w:val="both"/>
              <w:rPr>
                <w:rFonts w:cstheme="minorHAnsi"/>
                <w:szCs w:val="20"/>
              </w:rPr>
            </w:pPr>
            <w:r w:rsidRPr="005737F1">
              <w:rPr>
                <w:rFonts w:cstheme="minorHAnsi"/>
                <w:szCs w:val="20"/>
              </w:rPr>
              <w:t>ii</w:t>
            </w:r>
            <w:r w:rsidRPr="005737F1">
              <w:rPr>
                <w:rFonts w:cstheme="minorHAnsi"/>
                <w:szCs w:val="20"/>
              </w:rPr>
              <w:tab/>
              <w:t>a)</w:t>
            </w:r>
            <w:r w:rsidRPr="005737F1">
              <w:rPr>
                <w:rFonts w:cstheme="minorHAnsi"/>
                <w:szCs w:val="20"/>
              </w:rPr>
              <w:tab/>
              <w:t>What alternative sources of short-term funding are available for borrowers that currently rely on MMFs for financing?</w:t>
            </w:r>
          </w:p>
          <w:p w14:paraId="724BC28D" w14:textId="77777777" w:rsidR="00290E98" w:rsidRPr="005737F1" w:rsidRDefault="00290E98" w:rsidP="00290E98">
            <w:pPr>
              <w:pStyle w:val="ListParagraph"/>
              <w:numPr>
                <w:ilvl w:val="0"/>
                <w:numId w:val="64"/>
              </w:numPr>
              <w:tabs>
                <w:tab w:val="left" w:pos="164"/>
                <w:tab w:val="left" w:pos="447"/>
              </w:tabs>
              <w:jc w:val="both"/>
              <w:rPr>
                <w:rFonts w:cstheme="minorHAnsi"/>
                <w:szCs w:val="20"/>
              </w:rPr>
            </w:pPr>
            <w:r w:rsidRPr="005737F1">
              <w:rPr>
                <w:rFonts w:cstheme="minorHAnsi"/>
                <w:szCs w:val="20"/>
              </w:rPr>
              <w:t>See our response to Q4</w:t>
            </w:r>
            <w:r w:rsidRPr="005737F1">
              <w:rPr>
                <w:rFonts w:cstheme="minorHAnsi"/>
                <w:szCs w:val="20"/>
              </w:rPr>
              <w:tab/>
            </w:r>
          </w:p>
          <w:p w14:paraId="5F739355" w14:textId="77777777" w:rsidR="00290E98" w:rsidRPr="005737F1" w:rsidRDefault="00290E98" w:rsidP="00891722">
            <w:pPr>
              <w:tabs>
                <w:tab w:val="left" w:pos="164"/>
                <w:tab w:val="left" w:pos="447"/>
              </w:tabs>
              <w:jc w:val="both"/>
              <w:rPr>
                <w:rFonts w:cstheme="minorHAnsi"/>
                <w:szCs w:val="20"/>
              </w:rPr>
            </w:pPr>
            <w:r w:rsidRPr="005737F1">
              <w:rPr>
                <w:rFonts w:cstheme="minorHAnsi"/>
                <w:szCs w:val="20"/>
              </w:rPr>
              <w:tab/>
            </w:r>
          </w:p>
          <w:p w14:paraId="6FE8044F" w14:textId="77777777" w:rsidR="00290E98" w:rsidRPr="005737F1" w:rsidRDefault="00290E98" w:rsidP="00891722">
            <w:pPr>
              <w:tabs>
                <w:tab w:val="left" w:pos="164"/>
                <w:tab w:val="left" w:pos="447"/>
              </w:tabs>
              <w:ind w:left="447" w:hanging="447"/>
              <w:jc w:val="both"/>
              <w:rPr>
                <w:rFonts w:cstheme="minorHAnsi"/>
                <w:szCs w:val="20"/>
              </w:rPr>
            </w:pPr>
            <w:r w:rsidRPr="005737F1">
              <w:rPr>
                <w:rFonts w:cstheme="minorHAnsi"/>
                <w:szCs w:val="20"/>
              </w:rPr>
              <w:tab/>
              <w:t>b)</w:t>
            </w:r>
            <w:r w:rsidRPr="005737F1">
              <w:rPr>
                <w:rFonts w:cstheme="minorHAnsi"/>
                <w:szCs w:val="20"/>
              </w:rPr>
              <w:tab/>
              <w:t>Are these alternative sources more stable than MMFs at all times?</w:t>
            </w:r>
          </w:p>
          <w:p w14:paraId="32FA4223" w14:textId="77777777" w:rsidR="00290E98" w:rsidRPr="005737F1" w:rsidRDefault="00290E98" w:rsidP="00891722">
            <w:pPr>
              <w:tabs>
                <w:tab w:val="left" w:pos="164"/>
                <w:tab w:val="left" w:pos="447"/>
              </w:tabs>
              <w:ind w:left="447" w:hanging="447"/>
              <w:jc w:val="both"/>
              <w:rPr>
                <w:rFonts w:cstheme="minorHAnsi"/>
                <w:szCs w:val="20"/>
              </w:rPr>
            </w:pPr>
          </w:p>
          <w:p w14:paraId="45C800DF" w14:textId="77777777" w:rsidR="00290E98" w:rsidRPr="005737F1" w:rsidRDefault="00290E98" w:rsidP="00891722">
            <w:pPr>
              <w:tabs>
                <w:tab w:val="left" w:pos="164"/>
                <w:tab w:val="left" w:pos="447"/>
              </w:tabs>
              <w:ind w:left="447" w:hanging="447"/>
              <w:jc w:val="both"/>
              <w:rPr>
                <w:rFonts w:cstheme="minorHAnsi"/>
                <w:szCs w:val="20"/>
              </w:rPr>
            </w:pPr>
            <w:r w:rsidRPr="005737F1">
              <w:rPr>
                <w:rFonts w:cstheme="minorHAnsi"/>
                <w:szCs w:val="20"/>
              </w:rPr>
              <w:tab/>
              <w:t>c)</w:t>
            </w:r>
            <w:r w:rsidRPr="005737F1">
              <w:rPr>
                <w:rFonts w:cstheme="minorHAnsi"/>
                <w:szCs w:val="20"/>
              </w:rPr>
              <w:tab/>
              <w:t>Can they in effect be scaled to replace MMF economic function?</w:t>
            </w:r>
          </w:p>
          <w:p w14:paraId="24D641C8" w14:textId="77777777" w:rsidR="00290E98" w:rsidRPr="005737F1" w:rsidRDefault="00290E98" w:rsidP="00891722">
            <w:pPr>
              <w:tabs>
                <w:tab w:val="left" w:pos="164"/>
                <w:tab w:val="left" w:pos="447"/>
              </w:tabs>
              <w:ind w:left="447" w:hanging="447"/>
              <w:jc w:val="both"/>
              <w:rPr>
                <w:rFonts w:cstheme="minorHAnsi"/>
                <w:szCs w:val="20"/>
              </w:rPr>
            </w:pPr>
          </w:p>
          <w:p w14:paraId="4AA6562B" w14:textId="77777777" w:rsidR="00290E98" w:rsidRPr="005737F1" w:rsidRDefault="00290E98" w:rsidP="00891722">
            <w:pPr>
              <w:tabs>
                <w:tab w:val="left" w:pos="164"/>
                <w:tab w:val="left" w:pos="447"/>
              </w:tabs>
              <w:ind w:left="447" w:hanging="447"/>
              <w:jc w:val="both"/>
              <w:rPr>
                <w:rFonts w:cstheme="minorHAnsi"/>
                <w:szCs w:val="20"/>
              </w:rPr>
            </w:pPr>
            <w:r w:rsidRPr="005737F1">
              <w:rPr>
                <w:rFonts w:cstheme="minorHAnsi"/>
                <w:szCs w:val="20"/>
              </w:rPr>
              <w:tab/>
              <w:t>d)</w:t>
            </w:r>
            <w:r w:rsidRPr="005737F1">
              <w:rPr>
                <w:rFonts w:cstheme="minorHAnsi"/>
                <w:szCs w:val="20"/>
              </w:rPr>
              <w:tab/>
              <w:t>Would this address the financial stability issues noted or would risks simply be transferred elsewhere in the market without mitigating them effectively?</w:t>
            </w:r>
          </w:p>
          <w:p w14:paraId="6A449885" w14:textId="77777777" w:rsidR="00290E98" w:rsidRPr="005737F1" w:rsidRDefault="00290E98" w:rsidP="00891722">
            <w:pPr>
              <w:tabs>
                <w:tab w:val="left" w:pos="164"/>
                <w:tab w:val="left" w:pos="447"/>
              </w:tabs>
              <w:ind w:left="447" w:hanging="447"/>
              <w:jc w:val="both"/>
              <w:rPr>
                <w:rFonts w:cstheme="minorHAnsi"/>
                <w:szCs w:val="20"/>
              </w:rPr>
            </w:pPr>
          </w:p>
        </w:tc>
      </w:tr>
    </w:tbl>
    <w:p w14:paraId="03FA00BF" w14:textId="77777777" w:rsidR="00290E98" w:rsidRDefault="00290E98" w:rsidP="00290E98">
      <w:pPr>
        <w:rPr>
          <w:rFonts w:cstheme="minorHAnsi"/>
        </w:rPr>
      </w:pPr>
    </w:p>
    <w:p w14:paraId="15817B3A" w14:textId="77777777" w:rsidR="00290E98" w:rsidRDefault="00290E98" w:rsidP="00290E98">
      <w:pPr>
        <w:rPr>
          <w:rFonts w:cstheme="minorHAnsi"/>
        </w:rPr>
      </w:pPr>
    </w:p>
    <w:p w14:paraId="0F6B4017" w14:textId="7C93F056" w:rsidR="00492B3A" w:rsidRDefault="00492B3A" w:rsidP="00290E98"/>
    <w:permEnd w:id="1191210126"/>
    <w:p w14:paraId="20867D23" w14:textId="1CC6B07A" w:rsidR="00492B3A" w:rsidRDefault="00492B3A" w:rsidP="00492B3A">
      <w:r>
        <w:t>&lt;ESMA_QUESTION_</w:t>
      </w:r>
      <w:r w:rsidR="00DC1B3F">
        <w:t>MMFR</w:t>
      </w:r>
      <w:r>
        <w:t>_7&gt;</w:t>
      </w:r>
    </w:p>
    <w:p w14:paraId="627B65D4" w14:textId="77777777" w:rsidR="00492B3A" w:rsidRDefault="00492B3A" w:rsidP="00492B3A"/>
    <w:p w14:paraId="32FE661C" w14:textId="4EE3FDC1" w:rsidR="00492B3A" w:rsidRDefault="00976448" w:rsidP="00492B3A">
      <w:pPr>
        <w:pStyle w:val="Questionstyle"/>
      </w:pPr>
      <w:r w:rsidRPr="00F43E30">
        <w:rPr>
          <w:color w:val="201F1E"/>
          <w:bdr w:val="none" w:sz="0" w:space="0" w:color="auto" w:frame="1"/>
          <w:lang w:val="en-IE"/>
        </w:rPr>
        <w:t xml:space="preserve">i) Do you agree with the above assessment of the potential need to </w:t>
      </w:r>
      <w:r w:rsidRPr="00F43E30">
        <w:rPr>
          <w:lang w:val="en-IE"/>
        </w:rPr>
        <w:t>assess the role of MMF ratings in light of the difficulties faced by MMFs during the March crisis, and the potential need to introduce regulatory requirements for MMF ratings</w:t>
      </w:r>
      <w:r w:rsidRPr="00F43E30">
        <w:rPr>
          <w:color w:val="201F1E"/>
          <w:bdr w:val="none" w:sz="0" w:space="0" w:color="auto" w:frame="1"/>
          <w:lang w:val="en-IE"/>
        </w:rPr>
        <w:t>? ii) In your view, based on your experience, what are the benefits of MMF rating from investors’ perspective, having in mind that rules applying to MMFs are already very stringent? What would be the likely consequence on investors from the downgrade of one or several MMFs? When you answer this question, please also take into account the grid of criteria listed in paragraphs 76 to 80</w:t>
      </w:r>
      <w:r>
        <w:t>.</w:t>
      </w:r>
    </w:p>
    <w:p w14:paraId="64A00FD2" w14:textId="2B58EC56" w:rsidR="00492B3A" w:rsidRDefault="00492B3A" w:rsidP="00492B3A">
      <w:r>
        <w:t>&lt;ESMA_QUESTION_</w:t>
      </w:r>
      <w:r w:rsidR="00DC1B3F">
        <w:t>MMFR</w:t>
      </w:r>
      <w:r>
        <w:t>_8&gt;</w:t>
      </w:r>
    </w:p>
    <w:p w14:paraId="43432DB0" w14:textId="77777777" w:rsidR="00C955DD" w:rsidRDefault="00C955DD" w:rsidP="00290E98">
      <w:pPr>
        <w:ind w:left="360"/>
        <w:jc w:val="both"/>
        <w:rPr>
          <w:rFonts w:cstheme="minorHAnsi"/>
          <w:color w:val="000000" w:themeColor="text1"/>
        </w:rPr>
      </w:pPr>
      <w:permStart w:id="21103909" w:edGrp="everyone"/>
    </w:p>
    <w:p w14:paraId="023F9388" w14:textId="439EEEFD" w:rsidR="00290E98" w:rsidRPr="005737F1" w:rsidRDefault="00290E98" w:rsidP="00290E98">
      <w:pPr>
        <w:ind w:left="360"/>
        <w:jc w:val="both"/>
        <w:rPr>
          <w:rFonts w:cstheme="minorHAnsi"/>
          <w:color w:val="000000" w:themeColor="text1"/>
          <w:szCs w:val="20"/>
        </w:rPr>
      </w:pPr>
      <w:r w:rsidRPr="003B124F">
        <w:rPr>
          <w:rFonts w:cstheme="minorHAnsi"/>
          <w:color w:val="000000" w:themeColor="text1"/>
        </w:rPr>
        <w:t xml:space="preserve">Most funds typically have MMF ratings from Credit Rating Agencies (CRAs). MMF ratings are different </w:t>
      </w:r>
      <w:r w:rsidRPr="005737F1">
        <w:rPr>
          <w:rFonts w:cstheme="minorHAnsi"/>
          <w:color w:val="000000" w:themeColor="text1"/>
          <w:szCs w:val="20"/>
        </w:rPr>
        <w:t>from credit ratings: they assess not credit risk but rather the ability of the MMF to preserve capital and maintain liquidity.</w:t>
      </w:r>
      <w:r w:rsidRPr="005737F1">
        <w:rPr>
          <w:rFonts w:cstheme="minorHAnsi"/>
          <w:szCs w:val="20"/>
        </w:rPr>
        <w:t xml:space="preserve"> </w:t>
      </w:r>
      <w:r w:rsidRPr="005737F1">
        <w:rPr>
          <w:rFonts w:cstheme="minorHAnsi"/>
          <w:color w:val="000000" w:themeColor="text1"/>
          <w:szCs w:val="20"/>
        </w:rPr>
        <w:t>Since MMF ratings do not typically meet the definition of a credit rating as set out under the CRA Regulation, they are not considered credit ratings and therefore do not fall within the scope of the regulatory requirements of the CRA Regulation. To reduce over-reliance on external ratings, the MMFR requires MMFs to perform internal credit quality assessments. External credit ratings of the assets in their portfolio may be considered, but they cannot be mechanically relied upon. Investors in MMFs consider the AAA rating as a key part of their investment decision making. During March 2020, observations demonstrated that ratings did not contribute to the amplification of the crisis and it is unlikely that investors would see any other alternative as viable option and would argue that ratings are an international standard, which confirm the adequacy of the investment objectives to the nature of MMFs</w:t>
      </w:r>
    </w:p>
    <w:p w14:paraId="5C0B6EB1" w14:textId="77777777" w:rsidR="00290E98" w:rsidRPr="005737F1" w:rsidRDefault="00290E98" w:rsidP="00290E98">
      <w:pPr>
        <w:rPr>
          <w:rFonts w:cstheme="minorHAnsi"/>
          <w:color w:val="000000" w:themeColor="text1"/>
          <w:szCs w:val="20"/>
        </w:rPr>
      </w:pPr>
    </w:p>
    <w:p w14:paraId="3DA2758A" w14:textId="77777777" w:rsidR="00290E98" w:rsidRPr="005737F1" w:rsidRDefault="00290E98" w:rsidP="00290E98">
      <w:pPr>
        <w:spacing w:after="160" w:line="259" w:lineRule="auto"/>
        <w:ind w:left="360"/>
        <w:jc w:val="both"/>
        <w:rPr>
          <w:rFonts w:cstheme="minorHAnsi"/>
          <w:color w:val="000000" w:themeColor="text1"/>
          <w:szCs w:val="20"/>
        </w:rPr>
      </w:pPr>
      <w:r w:rsidRPr="005737F1">
        <w:rPr>
          <w:rFonts w:cstheme="minorHAnsi"/>
          <w:color w:val="000000" w:themeColor="text1"/>
          <w:szCs w:val="20"/>
        </w:rPr>
        <w:t xml:space="preserve">We do not agree that MMF ratings were a key factor during the March crisis and are not a vulnerability as described by ESMA (please refer to our answer to Q1(ii)).  MMF ratings are an established part of the market and are valued by investors as a way to ensure </w:t>
      </w:r>
      <w:r w:rsidRPr="005737F1">
        <w:rPr>
          <w:rFonts w:cstheme="minorHAnsi"/>
          <w:color w:val="000000" w:themeColor="text1"/>
          <w:szCs w:val="20"/>
        </w:rPr>
        <w:lastRenderedPageBreak/>
        <w:t xml:space="preserve">their MMF investment is subject to an external assessment which is different but in a number of areas additive to the MMF regulations themselves. We believe this additive nature of some aspects of ratings methodology is valuable and strengthens the resilience of MMFs for the benefit of investors.  </w:t>
      </w:r>
    </w:p>
    <w:p w14:paraId="1C83F591" w14:textId="77777777" w:rsidR="00290E98" w:rsidRPr="005737F1" w:rsidRDefault="00290E98" w:rsidP="00290E98">
      <w:pPr>
        <w:pStyle w:val="ListParagraph"/>
        <w:ind w:left="360"/>
        <w:jc w:val="both"/>
        <w:rPr>
          <w:rFonts w:cstheme="minorHAnsi"/>
          <w:color w:val="000000" w:themeColor="text1"/>
          <w:szCs w:val="20"/>
        </w:rPr>
      </w:pPr>
      <w:r w:rsidRPr="005737F1">
        <w:rPr>
          <w:rFonts w:cstheme="minorHAnsi"/>
          <w:color w:val="000000" w:themeColor="text1"/>
          <w:szCs w:val="20"/>
        </w:rPr>
        <w:t>Whilst we do not agree with wider point of the potential need to introduce regulatory requirements for MMF ratings, we do have some similar concerns to ESMA on rated funds becoming forced sellers of assets purely because they are rated.  The impact of this varies by CRA, because the methodologies of the CRAs vary; some adopt a risk budgeting approach, others apply a more formulaic approach (for example with cure periods).  A strict formulaic approach is a concern which we believe ESMA should review, as this can create unnecessary risk. Becoming a forced seller of assets due to downgrades (or indeed if an asset ceases to be rated by that CRA where no event has taken place or credit opinion changed) can put additional pressure on collars as well as the MMF’s rating. In these cases, cure periods vary (for example, based on the credit rating and aggregate holding size) but the result can be an extremely short time period allowed for resolution or “cure”. This formulaic approach adopted by some CRAs can unnecessarily exasperate the situation, and compares unfavourably to the risk budgeting approach of other CRAs which allows more flexibility with a portfolio level view to scoring (vs a single asset approach, where a single downgrade can create a problem).  In our opinion the prescriptive nature of the language used for cure periods in these cases creates a potential risk.</w:t>
      </w:r>
    </w:p>
    <w:p w14:paraId="23856DCD" w14:textId="77777777" w:rsidR="00290E98" w:rsidRPr="005737F1" w:rsidRDefault="00290E98" w:rsidP="00492B3A">
      <w:pPr>
        <w:rPr>
          <w:szCs w:val="20"/>
        </w:rPr>
      </w:pPr>
    </w:p>
    <w:p w14:paraId="53A7D6D7" w14:textId="77777777" w:rsidR="00290E98" w:rsidRPr="005737F1" w:rsidRDefault="00290E98" w:rsidP="00290E98">
      <w:pPr>
        <w:spacing w:after="160" w:line="259" w:lineRule="auto"/>
        <w:ind w:left="360"/>
        <w:jc w:val="both"/>
        <w:rPr>
          <w:rFonts w:cstheme="minorHAnsi"/>
          <w:color w:val="000000" w:themeColor="text1"/>
          <w:szCs w:val="20"/>
        </w:rPr>
      </w:pPr>
      <w:r w:rsidRPr="005737F1">
        <w:rPr>
          <w:rFonts w:cstheme="minorHAnsi"/>
          <w:b/>
          <w:color w:val="000000" w:themeColor="text1"/>
          <w:szCs w:val="20"/>
        </w:rPr>
        <w:t xml:space="preserve">In your view, based on your experience, what are the benefits of MMF rating from investors’ perspective, having in mind that rules applying to MMFs are already very stringent? </w:t>
      </w:r>
      <w:r w:rsidRPr="005737F1">
        <w:rPr>
          <w:rFonts w:cstheme="minorHAnsi"/>
          <w:color w:val="000000" w:themeColor="text1"/>
          <w:szCs w:val="20"/>
        </w:rPr>
        <w:t xml:space="preserve">Investors typically look at a number of different aspects of a MMF when assessing their appropriateness, which includes their own review of the manager and the investment processes and policies in place (which in turn may in part be informed by MMF regulation).  Whilst the fact a MMF has a rating in itself is not a measure of appropriateness, in addition to an investors own assessment it does allow an investor to identify that the MMF meets a minimum set of requirements that are externally measured and monitored.  Many institutional investors use more than one MMF and set a minimum rating threshold (AAA mmf) often formally in investment policies that require Board acceptance in the same way that other investment strategies require a recognised minimum criteria. </w:t>
      </w:r>
    </w:p>
    <w:p w14:paraId="68E9CDB2" w14:textId="77777777" w:rsidR="00290E98" w:rsidRPr="005737F1" w:rsidRDefault="00290E98" w:rsidP="00290E98">
      <w:pPr>
        <w:ind w:left="360"/>
        <w:jc w:val="both"/>
        <w:rPr>
          <w:rFonts w:cstheme="minorHAnsi"/>
          <w:color w:val="000000" w:themeColor="text1"/>
          <w:szCs w:val="20"/>
        </w:rPr>
      </w:pPr>
      <w:r w:rsidRPr="005737F1">
        <w:rPr>
          <w:rFonts w:cstheme="minorHAnsi"/>
          <w:b/>
          <w:color w:val="000000" w:themeColor="text1"/>
          <w:szCs w:val="20"/>
        </w:rPr>
        <w:t>What would be the likely consequence on investors from the downgrade of one or several MMFs?</w:t>
      </w:r>
      <w:r w:rsidRPr="005737F1">
        <w:rPr>
          <w:rFonts w:cstheme="minorHAnsi"/>
          <w:color w:val="000000" w:themeColor="text1"/>
          <w:szCs w:val="20"/>
        </w:rPr>
        <w:t xml:space="preserve"> We would expect investors to re-assess the MMF(s) they invest in and determine the continued appropriateness of the MMF(s) in meeting their investment objectives.  This would naturally be in the context of the reason for the downgrade provided by the CRA as well as information provided by the MMF manager.  </w:t>
      </w:r>
    </w:p>
    <w:p w14:paraId="6C850C77" w14:textId="77777777" w:rsidR="00290E98" w:rsidRPr="005737F1" w:rsidRDefault="00290E98" w:rsidP="00290E98">
      <w:pPr>
        <w:ind w:left="360"/>
        <w:jc w:val="both"/>
        <w:rPr>
          <w:rFonts w:cstheme="minorHAnsi"/>
          <w:color w:val="000000" w:themeColor="text1"/>
          <w:szCs w:val="20"/>
        </w:rPr>
      </w:pPr>
      <w:r w:rsidRPr="005737F1">
        <w:rPr>
          <w:rFonts w:cstheme="minorHAnsi"/>
          <w:color w:val="000000" w:themeColor="text1"/>
          <w:szCs w:val="20"/>
        </w:rPr>
        <w:t xml:space="preserve">We support a review on how to change the over reliance on a ‘AAA only’ policy to reduce the potential impact of a downgrade of a MMF below AAA. This could include regulators, CRAs, providers of MMFs and investors. </w:t>
      </w:r>
    </w:p>
    <w:tbl>
      <w:tblPr>
        <w:tblStyle w:val="TableGrid"/>
        <w:tblW w:w="0" w:type="auto"/>
        <w:tblLook w:val="04A0" w:firstRow="1" w:lastRow="0" w:firstColumn="1" w:lastColumn="0" w:noHBand="0" w:noVBand="1"/>
      </w:tblPr>
      <w:tblGrid>
        <w:gridCol w:w="9016"/>
      </w:tblGrid>
      <w:tr w:rsidR="00290E98" w:rsidRPr="005737F1" w14:paraId="58FB53D9" w14:textId="77777777" w:rsidTr="00891722">
        <w:tc>
          <w:tcPr>
            <w:tcW w:w="9016" w:type="dxa"/>
            <w:shd w:val="clear" w:color="auto" w:fill="BFBFBF" w:themeFill="background1" w:themeFillShade="BF"/>
          </w:tcPr>
          <w:p w14:paraId="71295052" w14:textId="77777777" w:rsidR="00290E98" w:rsidRPr="005737F1" w:rsidRDefault="00290E98" w:rsidP="00891722">
            <w:pPr>
              <w:jc w:val="both"/>
              <w:rPr>
                <w:rFonts w:cstheme="minorHAnsi"/>
                <w:color w:val="000000" w:themeColor="text1"/>
                <w:szCs w:val="20"/>
              </w:rPr>
            </w:pPr>
            <w:r w:rsidRPr="005737F1">
              <w:rPr>
                <w:rFonts w:cstheme="minorHAnsi"/>
                <w:b/>
                <w:szCs w:val="20"/>
              </w:rPr>
              <w:t>Impact on the resilience of MMFs</w:t>
            </w:r>
          </w:p>
        </w:tc>
      </w:tr>
      <w:tr w:rsidR="00290E98" w:rsidRPr="005737F1" w14:paraId="659326D3" w14:textId="77777777" w:rsidTr="00891722">
        <w:tc>
          <w:tcPr>
            <w:tcW w:w="9016" w:type="dxa"/>
          </w:tcPr>
          <w:p w14:paraId="3CCC81A0" w14:textId="77777777" w:rsidR="00290E98" w:rsidRPr="005737F1" w:rsidRDefault="00290E98" w:rsidP="00290E98">
            <w:pPr>
              <w:pStyle w:val="ListParagraph"/>
              <w:numPr>
                <w:ilvl w:val="1"/>
                <w:numId w:val="65"/>
              </w:numPr>
              <w:jc w:val="both"/>
              <w:rPr>
                <w:rFonts w:cstheme="minorHAnsi"/>
                <w:szCs w:val="20"/>
              </w:rPr>
            </w:pPr>
            <w:r w:rsidRPr="005737F1">
              <w:rPr>
                <w:rFonts w:cstheme="minorHAnsi"/>
                <w:szCs w:val="20"/>
              </w:rPr>
              <w:t>How would the policy option work in mitigating structural vulnerabilities?</w:t>
            </w:r>
          </w:p>
          <w:p w14:paraId="0C95B025" w14:textId="77777777" w:rsidR="00290E98" w:rsidRPr="005737F1" w:rsidRDefault="00290E98" w:rsidP="00891722">
            <w:pPr>
              <w:jc w:val="both"/>
              <w:rPr>
                <w:rFonts w:cstheme="minorHAnsi"/>
                <w:color w:val="000000" w:themeColor="text1"/>
                <w:szCs w:val="20"/>
              </w:rPr>
            </w:pPr>
            <w:r w:rsidRPr="005737F1">
              <w:rPr>
                <w:rFonts w:cstheme="minorHAnsi"/>
                <w:color w:val="000000" w:themeColor="text1"/>
                <w:szCs w:val="20"/>
              </w:rPr>
              <w:t>We do not believe that bringing MMF ratings under the scope of CRAR and/or regulating them more would add to fund resilience.</w:t>
            </w:r>
          </w:p>
        </w:tc>
      </w:tr>
      <w:tr w:rsidR="00290E98" w:rsidRPr="005737F1" w14:paraId="1A33E84B" w14:textId="77777777" w:rsidTr="00891722">
        <w:tc>
          <w:tcPr>
            <w:tcW w:w="9016" w:type="dxa"/>
          </w:tcPr>
          <w:p w14:paraId="59454D02" w14:textId="77777777" w:rsidR="00290E98" w:rsidRPr="005737F1" w:rsidRDefault="00290E98" w:rsidP="00290E98">
            <w:pPr>
              <w:pStyle w:val="ListParagraph"/>
              <w:numPr>
                <w:ilvl w:val="1"/>
                <w:numId w:val="65"/>
              </w:numPr>
              <w:jc w:val="both"/>
              <w:rPr>
                <w:rFonts w:cstheme="minorHAnsi"/>
                <w:color w:val="000000" w:themeColor="text1"/>
                <w:szCs w:val="20"/>
              </w:rPr>
            </w:pPr>
            <w:r w:rsidRPr="005737F1">
              <w:rPr>
                <w:rFonts w:cstheme="minorHAnsi"/>
                <w:szCs w:val="20"/>
              </w:rPr>
              <w:t>Would it apply to all MMFs?</w:t>
            </w:r>
          </w:p>
          <w:p w14:paraId="52A83631" w14:textId="77777777" w:rsidR="00290E98" w:rsidRPr="005737F1" w:rsidRDefault="00290E98" w:rsidP="00891722">
            <w:pPr>
              <w:pStyle w:val="ListParagraph"/>
              <w:ind w:left="0"/>
              <w:jc w:val="both"/>
              <w:rPr>
                <w:rFonts w:cstheme="minorHAnsi"/>
                <w:color w:val="7030A0"/>
                <w:szCs w:val="20"/>
              </w:rPr>
            </w:pPr>
            <w:r w:rsidRPr="005737F1">
              <w:rPr>
                <w:rFonts w:cstheme="minorHAnsi"/>
                <w:color w:val="000000" w:themeColor="text1"/>
                <w:szCs w:val="20"/>
              </w:rPr>
              <w:t>This would only apply to AAA rated MMFs</w:t>
            </w:r>
            <w:r w:rsidRPr="005737F1">
              <w:rPr>
                <w:rFonts w:cstheme="minorHAnsi"/>
                <w:color w:val="7030A0"/>
                <w:szCs w:val="20"/>
              </w:rPr>
              <w:t xml:space="preserve">. </w:t>
            </w:r>
          </w:p>
        </w:tc>
      </w:tr>
      <w:tr w:rsidR="00290E98" w:rsidRPr="005737F1" w14:paraId="64A77C83" w14:textId="77777777" w:rsidTr="00891722">
        <w:tc>
          <w:tcPr>
            <w:tcW w:w="9016" w:type="dxa"/>
          </w:tcPr>
          <w:p w14:paraId="54634DB3" w14:textId="77777777" w:rsidR="00290E98" w:rsidRPr="005737F1" w:rsidRDefault="00290E98" w:rsidP="00290E98">
            <w:pPr>
              <w:pStyle w:val="ListParagraph"/>
              <w:numPr>
                <w:ilvl w:val="1"/>
                <w:numId w:val="65"/>
              </w:numPr>
              <w:jc w:val="both"/>
              <w:rPr>
                <w:rFonts w:cstheme="minorHAnsi"/>
                <w:szCs w:val="20"/>
              </w:rPr>
            </w:pPr>
            <w:r w:rsidRPr="005737F1">
              <w:rPr>
                <w:rFonts w:cstheme="minorHAnsi"/>
                <w:szCs w:val="20"/>
              </w:rPr>
              <w:t>Is the option already in place? Would it represent a change from current rules? Has this option been implemented previously?</w:t>
            </w:r>
          </w:p>
          <w:p w14:paraId="00A8BEAC" w14:textId="359F562F" w:rsidR="00290E98" w:rsidRPr="005737F1" w:rsidRDefault="00290E98" w:rsidP="00891722">
            <w:pPr>
              <w:jc w:val="both"/>
              <w:rPr>
                <w:rFonts w:cstheme="minorHAnsi"/>
                <w:color w:val="7030A0"/>
                <w:szCs w:val="20"/>
              </w:rPr>
            </w:pPr>
            <w:r w:rsidRPr="005737F1">
              <w:rPr>
                <w:rFonts w:cstheme="minorHAnsi"/>
                <w:color w:val="000000" w:themeColor="text1"/>
                <w:szCs w:val="20"/>
              </w:rPr>
              <w:t>Unrated MMFs do exist today, most notably in the domestic French market, which is also a market where Standard MMFs are prevalent. France is generally the exception; investors in international funds (the majority of whom are Institutional investors) typical</w:t>
            </w:r>
            <w:r w:rsidR="005737F1" w:rsidRPr="005737F1">
              <w:rPr>
                <w:rFonts w:cstheme="minorHAnsi"/>
                <w:color w:val="000000" w:themeColor="text1"/>
                <w:szCs w:val="20"/>
              </w:rPr>
              <w:t xml:space="preserve">ly </w:t>
            </w:r>
            <w:r w:rsidRPr="005737F1">
              <w:rPr>
                <w:rFonts w:cstheme="minorHAnsi"/>
                <w:color w:val="000000" w:themeColor="text1"/>
                <w:szCs w:val="20"/>
              </w:rPr>
              <w:t xml:space="preserve">require a MMF to have a AAA fund rating from at least one CRA, and this is often formalised in their own investment policies.  </w:t>
            </w:r>
          </w:p>
        </w:tc>
      </w:tr>
      <w:tr w:rsidR="00290E98" w:rsidRPr="005737F1" w14:paraId="7CB3A783" w14:textId="77777777" w:rsidTr="00891722">
        <w:tc>
          <w:tcPr>
            <w:tcW w:w="9016" w:type="dxa"/>
            <w:shd w:val="clear" w:color="auto" w:fill="BFBFBF" w:themeFill="background1" w:themeFillShade="BF"/>
          </w:tcPr>
          <w:p w14:paraId="086097FE" w14:textId="77777777" w:rsidR="00290E98" w:rsidRPr="005737F1" w:rsidRDefault="00290E98" w:rsidP="00891722">
            <w:pPr>
              <w:jc w:val="both"/>
              <w:rPr>
                <w:rFonts w:cstheme="minorHAnsi"/>
                <w:color w:val="000000" w:themeColor="text1"/>
                <w:szCs w:val="20"/>
              </w:rPr>
            </w:pPr>
            <w:r w:rsidRPr="005737F1">
              <w:rPr>
                <w:rFonts w:cstheme="minorHAnsi"/>
                <w:b/>
                <w:szCs w:val="20"/>
              </w:rPr>
              <w:t>Effects on investor behaviour</w:t>
            </w:r>
          </w:p>
        </w:tc>
      </w:tr>
      <w:tr w:rsidR="00290E98" w:rsidRPr="005737F1" w14:paraId="73D8DCF1" w14:textId="77777777" w:rsidTr="00891722">
        <w:tc>
          <w:tcPr>
            <w:tcW w:w="9016" w:type="dxa"/>
          </w:tcPr>
          <w:p w14:paraId="132E4E4B" w14:textId="77777777" w:rsidR="00290E98" w:rsidRPr="005737F1" w:rsidRDefault="00290E98" w:rsidP="00290E98">
            <w:pPr>
              <w:pStyle w:val="ListParagraph"/>
              <w:numPr>
                <w:ilvl w:val="1"/>
                <w:numId w:val="66"/>
              </w:numPr>
              <w:jc w:val="both"/>
              <w:rPr>
                <w:rFonts w:cstheme="minorHAnsi"/>
                <w:color w:val="000000" w:themeColor="text1"/>
                <w:szCs w:val="20"/>
              </w:rPr>
            </w:pPr>
            <w:r w:rsidRPr="005737F1">
              <w:rPr>
                <w:rFonts w:cstheme="minorHAnsi"/>
                <w:color w:val="000000" w:themeColor="text1"/>
                <w:szCs w:val="20"/>
              </w:rPr>
              <w:lastRenderedPageBreak/>
              <w:t>(Micro) How would the policy option affect investors’ incentives to redeem during stress events?</w:t>
            </w:r>
          </w:p>
          <w:p w14:paraId="727E56E7" w14:textId="77777777" w:rsidR="00290E98" w:rsidRPr="005737F1" w:rsidRDefault="00290E98" w:rsidP="00891722">
            <w:pPr>
              <w:jc w:val="both"/>
              <w:rPr>
                <w:rFonts w:cstheme="minorHAnsi"/>
                <w:color w:val="000000" w:themeColor="text1"/>
                <w:szCs w:val="20"/>
              </w:rPr>
            </w:pPr>
            <w:r w:rsidRPr="005737F1">
              <w:rPr>
                <w:rFonts w:cstheme="minorHAnsi"/>
                <w:color w:val="000000" w:themeColor="text1"/>
                <w:szCs w:val="20"/>
              </w:rPr>
              <w:t xml:space="preserve">We do not believe that the removal of ratings would be in the best interest of investors. </w:t>
            </w:r>
          </w:p>
        </w:tc>
      </w:tr>
      <w:tr w:rsidR="00290E98" w:rsidRPr="005737F1" w14:paraId="67C5E616" w14:textId="77777777" w:rsidTr="00891722">
        <w:tc>
          <w:tcPr>
            <w:tcW w:w="9016" w:type="dxa"/>
          </w:tcPr>
          <w:p w14:paraId="61A101A9" w14:textId="77777777" w:rsidR="00290E98" w:rsidRPr="005737F1" w:rsidRDefault="00290E98" w:rsidP="00290E98">
            <w:pPr>
              <w:pStyle w:val="ListParagraph"/>
              <w:numPr>
                <w:ilvl w:val="1"/>
                <w:numId w:val="66"/>
              </w:numPr>
              <w:jc w:val="both"/>
              <w:rPr>
                <w:rFonts w:cstheme="minorHAnsi"/>
                <w:color w:val="000000" w:themeColor="text1"/>
                <w:szCs w:val="20"/>
              </w:rPr>
            </w:pPr>
            <w:r w:rsidRPr="005737F1">
              <w:rPr>
                <w:rFonts w:cstheme="minorHAnsi"/>
                <w:color w:val="000000" w:themeColor="text1"/>
                <w:szCs w:val="20"/>
              </w:rPr>
              <w:t>(Macro) How would this option mitigate the effects of a generalised “dash for cash” and/or runs prompted by credit crisis?</w:t>
            </w:r>
          </w:p>
          <w:p w14:paraId="78C990D3" w14:textId="77777777" w:rsidR="00290E98" w:rsidRPr="005737F1" w:rsidRDefault="00290E98" w:rsidP="00891722">
            <w:pPr>
              <w:jc w:val="both"/>
              <w:rPr>
                <w:rFonts w:cstheme="minorHAnsi"/>
                <w:color w:val="000000" w:themeColor="text1"/>
                <w:szCs w:val="20"/>
              </w:rPr>
            </w:pPr>
            <w:r w:rsidRPr="005737F1">
              <w:rPr>
                <w:rFonts w:cstheme="minorHAnsi"/>
                <w:color w:val="000000" w:themeColor="text1"/>
                <w:szCs w:val="20"/>
              </w:rPr>
              <w:t xml:space="preserve">We do not believe that additional regulatory requirements for CRAs, or the removal of MMF ratings would be in the best interest of investors and would not mitigate the effects of a “dash for cash”. See proposal above of a review. </w:t>
            </w:r>
          </w:p>
        </w:tc>
      </w:tr>
      <w:tr w:rsidR="00290E98" w:rsidRPr="005737F1" w14:paraId="7CD329EF" w14:textId="77777777" w:rsidTr="00891722">
        <w:tc>
          <w:tcPr>
            <w:tcW w:w="9016" w:type="dxa"/>
          </w:tcPr>
          <w:p w14:paraId="2E18C883" w14:textId="77777777" w:rsidR="00290E98" w:rsidRPr="005737F1" w:rsidRDefault="00290E98" w:rsidP="00290E98">
            <w:pPr>
              <w:pStyle w:val="ListParagraph"/>
              <w:numPr>
                <w:ilvl w:val="2"/>
                <w:numId w:val="66"/>
              </w:numPr>
              <w:jc w:val="both"/>
              <w:rPr>
                <w:rFonts w:cstheme="minorHAnsi"/>
                <w:color w:val="000000" w:themeColor="text1"/>
                <w:szCs w:val="20"/>
              </w:rPr>
            </w:pPr>
            <w:r w:rsidRPr="005737F1">
              <w:rPr>
                <w:rFonts w:cstheme="minorHAnsi"/>
                <w:color w:val="000000" w:themeColor="text1"/>
                <w:szCs w:val="20"/>
              </w:rPr>
              <w:t>Does the option effectively shift MMF risks to investors?</w:t>
            </w:r>
          </w:p>
          <w:p w14:paraId="07D1205C" w14:textId="77777777" w:rsidR="00290E98" w:rsidRPr="005737F1" w:rsidRDefault="00290E98" w:rsidP="00891722">
            <w:pPr>
              <w:jc w:val="both"/>
              <w:rPr>
                <w:rFonts w:cstheme="minorHAnsi"/>
                <w:color w:val="000000" w:themeColor="text1"/>
                <w:szCs w:val="20"/>
              </w:rPr>
            </w:pPr>
            <w:r w:rsidRPr="005737F1">
              <w:rPr>
                <w:rFonts w:cstheme="minorHAnsi"/>
                <w:color w:val="000000" w:themeColor="text1"/>
                <w:szCs w:val="20"/>
              </w:rPr>
              <w:t>We believe the risks remain the same.  MMFs are investment products with inherent risks that all investor should understand, and the MMF rating is a tool that helps an investor undertake their due diligence and monitor the risks of the MMFs they are invested in..</w:t>
            </w:r>
          </w:p>
        </w:tc>
      </w:tr>
      <w:tr w:rsidR="00290E98" w:rsidRPr="005737F1" w14:paraId="0C50FF61" w14:textId="77777777" w:rsidTr="00891722">
        <w:tc>
          <w:tcPr>
            <w:tcW w:w="9016" w:type="dxa"/>
          </w:tcPr>
          <w:p w14:paraId="4BFC9EB9" w14:textId="77777777" w:rsidR="00290E98" w:rsidRPr="005737F1" w:rsidRDefault="00290E98" w:rsidP="00290E98">
            <w:pPr>
              <w:pStyle w:val="ListParagraph"/>
              <w:numPr>
                <w:ilvl w:val="2"/>
                <w:numId w:val="66"/>
              </w:numPr>
              <w:jc w:val="both"/>
              <w:rPr>
                <w:rFonts w:cstheme="minorHAnsi"/>
                <w:color w:val="000000" w:themeColor="text1"/>
                <w:szCs w:val="20"/>
              </w:rPr>
            </w:pPr>
            <w:r w:rsidRPr="005737F1">
              <w:rPr>
                <w:rFonts w:cstheme="minorHAnsi"/>
                <w:color w:val="000000" w:themeColor="text1"/>
                <w:szCs w:val="20"/>
              </w:rPr>
              <w:t>Does it make those risks more salient and transparent for investors? Are investors treated equally?</w:t>
            </w:r>
          </w:p>
          <w:p w14:paraId="35620470" w14:textId="77777777" w:rsidR="00290E98" w:rsidRPr="005737F1" w:rsidRDefault="00290E98" w:rsidP="00891722">
            <w:pPr>
              <w:pStyle w:val="ListParagraph"/>
              <w:ind w:left="0"/>
              <w:jc w:val="both"/>
              <w:rPr>
                <w:rFonts w:cstheme="minorHAnsi"/>
                <w:color w:val="000000" w:themeColor="text1"/>
                <w:szCs w:val="20"/>
              </w:rPr>
            </w:pPr>
            <w:r w:rsidRPr="005737F1">
              <w:rPr>
                <w:rFonts w:cstheme="minorHAnsi"/>
                <w:color w:val="000000" w:themeColor="text1"/>
                <w:szCs w:val="20"/>
              </w:rPr>
              <w:t xml:space="preserve">We believe the risks remain the same.  MMFs are investment products with inherent risks that all investor should understand, and the MMF rating is a tool that helps an investor undertake their due diligence and monitor the risks of the MMFs they are invested in.  </w:t>
            </w:r>
          </w:p>
        </w:tc>
      </w:tr>
      <w:tr w:rsidR="00290E98" w:rsidRPr="005737F1" w14:paraId="35DC17A8" w14:textId="77777777" w:rsidTr="00891722">
        <w:tc>
          <w:tcPr>
            <w:tcW w:w="9016" w:type="dxa"/>
            <w:shd w:val="clear" w:color="auto" w:fill="BFBFBF" w:themeFill="background1" w:themeFillShade="BF"/>
          </w:tcPr>
          <w:p w14:paraId="1A61D2AE" w14:textId="77777777" w:rsidR="00290E98" w:rsidRPr="005737F1" w:rsidRDefault="00290E98" w:rsidP="00891722">
            <w:pPr>
              <w:jc w:val="both"/>
              <w:rPr>
                <w:rFonts w:cstheme="minorHAnsi"/>
                <w:color w:val="000000" w:themeColor="text1"/>
                <w:szCs w:val="20"/>
              </w:rPr>
            </w:pPr>
            <w:r w:rsidRPr="005737F1">
              <w:rPr>
                <w:rFonts w:cstheme="minorHAnsi"/>
                <w:b/>
                <w:szCs w:val="20"/>
              </w:rPr>
              <w:t>Effects on fund managers</w:t>
            </w:r>
          </w:p>
        </w:tc>
      </w:tr>
      <w:tr w:rsidR="00290E98" w:rsidRPr="005737F1" w14:paraId="7A22FBB3" w14:textId="77777777" w:rsidTr="00891722">
        <w:tc>
          <w:tcPr>
            <w:tcW w:w="9016" w:type="dxa"/>
          </w:tcPr>
          <w:p w14:paraId="57845595" w14:textId="77777777" w:rsidR="00290E98" w:rsidRPr="005737F1" w:rsidRDefault="00290E98" w:rsidP="00290E98">
            <w:pPr>
              <w:pStyle w:val="ListParagraph"/>
              <w:numPr>
                <w:ilvl w:val="1"/>
                <w:numId w:val="67"/>
              </w:numPr>
              <w:jc w:val="both"/>
              <w:rPr>
                <w:rFonts w:cstheme="minorHAnsi"/>
                <w:color w:val="000000" w:themeColor="text1"/>
                <w:szCs w:val="20"/>
              </w:rPr>
            </w:pPr>
            <w:r w:rsidRPr="005737F1">
              <w:rPr>
                <w:rFonts w:cstheme="minorHAnsi"/>
                <w:color w:val="000000" w:themeColor="text1"/>
                <w:szCs w:val="20"/>
              </w:rPr>
              <w:t>How would the policy option affect MMFs’ liquidity management in normal versus stressed times?</w:t>
            </w:r>
          </w:p>
          <w:p w14:paraId="0AD40EE6" w14:textId="77777777" w:rsidR="00290E98" w:rsidRPr="005737F1" w:rsidRDefault="00290E98" w:rsidP="00891722">
            <w:pPr>
              <w:pStyle w:val="ListParagraph"/>
              <w:ind w:left="0"/>
              <w:jc w:val="both"/>
              <w:rPr>
                <w:rFonts w:cstheme="minorHAnsi"/>
                <w:color w:val="000000" w:themeColor="text1"/>
                <w:szCs w:val="20"/>
              </w:rPr>
            </w:pPr>
            <w:r w:rsidRPr="005737F1">
              <w:rPr>
                <w:rFonts w:cstheme="minorHAnsi"/>
                <w:color w:val="000000" w:themeColor="text1"/>
                <w:szCs w:val="20"/>
              </w:rPr>
              <w:t xml:space="preserve">The liquidity management of a MMF is influenced by a number of factors, including MMF regulations, fund and investor profile, the manager’s investment guidelines and philosophy, and the ratings criteria.  The ratings criteria are generally aligned to regulatory requirements as opposed to being distinct. </w:t>
            </w:r>
          </w:p>
          <w:p w14:paraId="044C31E6" w14:textId="77777777" w:rsidR="00290E98" w:rsidRPr="005737F1" w:rsidRDefault="00290E98" w:rsidP="00891722">
            <w:pPr>
              <w:pStyle w:val="ListParagraph"/>
              <w:ind w:left="0"/>
              <w:jc w:val="both"/>
              <w:rPr>
                <w:rFonts w:cstheme="minorHAnsi"/>
                <w:color w:val="000000" w:themeColor="text1"/>
                <w:szCs w:val="20"/>
              </w:rPr>
            </w:pPr>
            <w:r w:rsidRPr="005737F1">
              <w:rPr>
                <w:rFonts w:cstheme="minorHAnsi"/>
                <w:color w:val="000000" w:themeColor="text1"/>
                <w:szCs w:val="20"/>
              </w:rPr>
              <w:t xml:space="preserve">If a MMF fails to meet the requirements of the rating, it is at risk of a downgrade which depending on the circumstance may be avoided if liquidity levels are able to be returned to within thresholds.    </w:t>
            </w:r>
          </w:p>
        </w:tc>
      </w:tr>
      <w:tr w:rsidR="00290E98" w:rsidRPr="005737F1" w14:paraId="7AD88D8F" w14:textId="77777777" w:rsidTr="00891722">
        <w:tc>
          <w:tcPr>
            <w:tcW w:w="9016" w:type="dxa"/>
          </w:tcPr>
          <w:p w14:paraId="2B1EF63E" w14:textId="77777777" w:rsidR="00290E98" w:rsidRPr="005737F1" w:rsidRDefault="00290E98" w:rsidP="00290E98">
            <w:pPr>
              <w:pStyle w:val="ListParagraph"/>
              <w:numPr>
                <w:ilvl w:val="1"/>
                <w:numId w:val="67"/>
              </w:numPr>
              <w:jc w:val="both"/>
              <w:rPr>
                <w:rFonts w:cstheme="minorHAnsi"/>
                <w:color w:val="000000" w:themeColor="text1"/>
                <w:szCs w:val="20"/>
              </w:rPr>
            </w:pPr>
            <w:r w:rsidRPr="005737F1">
              <w:rPr>
                <w:rFonts w:cstheme="minorHAnsi"/>
                <w:color w:val="000000" w:themeColor="text1"/>
                <w:szCs w:val="20"/>
              </w:rPr>
              <w:t>How would it impact the ability or willingness of MMFs to invest in short-term funding instruments or use the repo market?</w:t>
            </w:r>
          </w:p>
          <w:p w14:paraId="5DD977DF" w14:textId="77777777" w:rsidR="00290E98" w:rsidRPr="005737F1" w:rsidRDefault="00290E98" w:rsidP="00891722">
            <w:pPr>
              <w:jc w:val="both"/>
              <w:rPr>
                <w:rFonts w:cstheme="minorHAnsi"/>
                <w:color w:val="000000" w:themeColor="text1"/>
                <w:szCs w:val="20"/>
              </w:rPr>
            </w:pPr>
            <w:r w:rsidRPr="005737F1">
              <w:rPr>
                <w:rFonts w:cstheme="minorHAnsi"/>
                <w:color w:val="000000" w:themeColor="text1"/>
                <w:szCs w:val="20"/>
              </w:rPr>
              <w:t xml:space="preserve">If MMF ratings were removed, it is expected that MMFs would continue to invest in the same short-term funding instruments in line with MMF regulations as well as the managers’ internal investment guidelines, and also to meet the requirements of investors. </w:t>
            </w:r>
          </w:p>
        </w:tc>
      </w:tr>
      <w:tr w:rsidR="00290E98" w:rsidRPr="005737F1" w14:paraId="1A30931B" w14:textId="77777777" w:rsidTr="00891722">
        <w:tc>
          <w:tcPr>
            <w:tcW w:w="9016" w:type="dxa"/>
            <w:shd w:val="clear" w:color="auto" w:fill="BFBFBF" w:themeFill="background1" w:themeFillShade="BF"/>
          </w:tcPr>
          <w:p w14:paraId="60BBA833" w14:textId="77777777" w:rsidR="00290E98" w:rsidRPr="005737F1" w:rsidRDefault="00290E98" w:rsidP="00891722">
            <w:pPr>
              <w:jc w:val="both"/>
              <w:rPr>
                <w:rFonts w:cstheme="minorHAnsi"/>
                <w:color w:val="000000" w:themeColor="text1"/>
                <w:szCs w:val="20"/>
              </w:rPr>
            </w:pPr>
            <w:r w:rsidRPr="005737F1">
              <w:rPr>
                <w:rFonts w:cstheme="minorHAnsi"/>
                <w:b/>
                <w:szCs w:val="20"/>
              </w:rPr>
              <w:t>Broader impacts on the stability and functioning of short-term funding markets</w:t>
            </w:r>
          </w:p>
        </w:tc>
      </w:tr>
      <w:tr w:rsidR="00290E98" w:rsidRPr="005737F1" w14:paraId="1A408DE9" w14:textId="77777777" w:rsidTr="00891722">
        <w:tc>
          <w:tcPr>
            <w:tcW w:w="9016" w:type="dxa"/>
          </w:tcPr>
          <w:p w14:paraId="54883FD5" w14:textId="77777777" w:rsidR="00290E98" w:rsidRPr="005737F1" w:rsidRDefault="00290E98" w:rsidP="00290E98">
            <w:pPr>
              <w:pStyle w:val="ListParagraph"/>
              <w:numPr>
                <w:ilvl w:val="1"/>
                <w:numId w:val="68"/>
              </w:numPr>
              <w:jc w:val="both"/>
              <w:rPr>
                <w:rFonts w:cstheme="minorHAnsi"/>
                <w:color w:val="000000" w:themeColor="text1"/>
                <w:szCs w:val="20"/>
              </w:rPr>
            </w:pPr>
            <w:r w:rsidRPr="005737F1">
              <w:rPr>
                <w:rFonts w:cstheme="minorHAnsi"/>
                <w:color w:val="000000" w:themeColor="text1"/>
                <w:szCs w:val="20"/>
              </w:rPr>
              <w:t>Where are investors likely to move if MMFs become less attractive as a result of the policy option?</w:t>
            </w:r>
          </w:p>
          <w:p w14:paraId="0A05C418" w14:textId="77777777" w:rsidR="00290E98" w:rsidRPr="005737F1" w:rsidRDefault="00290E98" w:rsidP="00891722">
            <w:pPr>
              <w:jc w:val="both"/>
              <w:rPr>
                <w:rFonts w:cstheme="minorHAnsi"/>
                <w:color w:val="000000" w:themeColor="text1"/>
                <w:szCs w:val="20"/>
              </w:rPr>
            </w:pPr>
            <w:r w:rsidRPr="005737F1">
              <w:rPr>
                <w:rFonts w:cstheme="minorHAnsi"/>
                <w:color w:val="000000" w:themeColor="text1"/>
                <w:szCs w:val="20"/>
              </w:rPr>
              <w:t xml:space="preserve">Investors typically value MMF ratings and in many cases it is a requirement of their investment policy. We do not believe investors in Short-Term MMFs would migrate to unrated or Standard MMFs as these may not meet their investment policies and risk tolerances for cash management. Investors may look to utilise bank deposits to a greater degree, which presents challenges for the banking industry that is already awash with short-term deposits which in turn would reduce choice (and likely return) for investors. This would also lead to a greater concentration of risk vs MMFs that diversify shareholders’ investments to a far greater degree than a typical investor can achieve on their own.   </w:t>
            </w:r>
          </w:p>
        </w:tc>
      </w:tr>
      <w:tr w:rsidR="00290E98" w:rsidRPr="005737F1" w14:paraId="1A5A21B0" w14:textId="77777777" w:rsidTr="00891722">
        <w:tc>
          <w:tcPr>
            <w:tcW w:w="9016" w:type="dxa"/>
          </w:tcPr>
          <w:p w14:paraId="3990D82C" w14:textId="77777777" w:rsidR="00290E98" w:rsidRPr="005737F1" w:rsidRDefault="00290E98" w:rsidP="00290E98">
            <w:pPr>
              <w:pStyle w:val="ListParagraph"/>
              <w:numPr>
                <w:ilvl w:val="2"/>
                <w:numId w:val="68"/>
              </w:numPr>
              <w:jc w:val="both"/>
              <w:rPr>
                <w:rFonts w:cstheme="minorHAnsi"/>
                <w:szCs w:val="20"/>
              </w:rPr>
            </w:pPr>
            <w:r w:rsidRPr="005737F1">
              <w:rPr>
                <w:rFonts w:cstheme="minorHAnsi"/>
                <w:szCs w:val="20"/>
              </w:rPr>
              <w:t>Do these substitutes have vulnerabilities to runs?</w:t>
            </w:r>
          </w:p>
          <w:p w14:paraId="04C1D020" w14:textId="77777777" w:rsidR="00290E98" w:rsidRPr="005737F1" w:rsidRDefault="00290E98" w:rsidP="00891722">
            <w:pPr>
              <w:jc w:val="both"/>
              <w:rPr>
                <w:rFonts w:cstheme="minorHAnsi"/>
                <w:color w:val="7030A0"/>
                <w:szCs w:val="20"/>
              </w:rPr>
            </w:pPr>
            <w:r w:rsidRPr="005737F1">
              <w:rPr>
                <w:rFonts w:cstheme="minorHAnsi"/>
                <w:color w:val="000000" w:themeColor="text1"/>
                <w:szCs w:val="20"/>
              </w:rPr>
              <w:t>As has been witnessed in previous crises, bank deposits are susceptible to runs.</w:t>
            </w:r>
          </w:p>
        </w:tc>
      </w:tr>
      <w:tr w:rsidR="00290E98" w:rsidRPr="005737F1" w14:paraId="12178966" w14:textId="77777777" w:rsidTr="00891722">
        <w:tc>
          <w:tcPr>
            <w:tcW w:w="9016" w:type="dxa"/>
          </w:tcPr>
          <w:p w14:paraId="0ECB0A0C" w14:textId="77777777" w:rsidR="00290E98" w:rsidRPr="005737F1" w:rsidRDefault="00290E98" w:rsidP="00290E98">
            <w:pPr>
              <w:pStyle w:val="ListParagraph"/>
              <w:numPr>
                <w:ilvl w:val="2"/>
                <w:numId w:val="68"/>
              </w:numPr>
              <w:jc w:val="both"/>
              <w:rPr>
                <w:rFonts w:cstheme="minorHAnsi"/>
                <w:color w:val="000000" w:themeColor="text1"/>
                <w:szCs w:val="20"/>
              </w:rPr>
            </w:pPr>
            <w:r w:rsidRPr="005737F1">
              <w:rPr>
                <w:rFonts w:cstheme="minorHAnsi"/>
                <w:color w:val="000000" w:themeColor="text1"/>
                <w:szCs w:val="20"/>
              </w:rPr>
              <w:t>Are they transparent to investors and regulators?</w:t>
            </w:r>
          </w:p>
          <w:p w14:paraId="1E4D2F2D" w14:textId="77777777" w:rsidR="00290E98" w:rsidRPr="005737F1" w:rsidRDefault="00290E98" w:rsidP="00891722">
            <w:pPr>
              <w:jc w:val="both"/>
              <w:rPr>
                <w:rFonts w:cstheme="minorHAnsi"/>
                <w:color w:val="000000" w:themeColor="text1"/>
                <w:szCs w:val="20"/>
              </w:rPr>
            </w:pPr>
            <w:r w:rsidRPr="005737F1">
              <w:rPr>
                <w:rFonts w:cstheme="minorHAnsi"/>
                <w:color w:val="000000" w:themeColor="text1"/>
                <w:szCs w:val="20"/>
              </w:rPr>
              <w:t xml:space="preserve">MMF ratings provide greater transparency and information that support investors. </w:t>
            </w:r>
          </w:p>
        </w:tc>
      </w:tr>
      <w:tr w:rsidR="00290E98" w:rsidRPr="005737F1" w14:paraId="668FD8DF" w14:textId="77777777" w:rsidTr="00891722">
        <w:tc>
          <w:tcPr>
            <w:tcW w:w="9016" w:type="dxa"/>
          </w:tcPr>
          <w:p w14:paraId="37744612" w14:textId="2730C5B6" w:rsidR="00290E98" w:rsidRPr="005737F1" w:rsidRDefault="00290E98" w:rsidP="00891722">
            <w:pPr>
              <w:jc w:val="both"/>
              <w:rPr>
                <w:rFonts w:cstheme="minorHAnsi"/>
                <w:szCs w:val="20"/>
              </w:rPr>
            </w:pPr>
            <w:r w:rsidRPr="005737F1">
              <w:rPr>
                <w:rFonts w:cstheme="minorHAnsi"/>
                <w:szCs w:val="20"/>
              </w:rPr>
              <w:t>Are they regulated?</w:t>
            </w:r>
          </w:p>
          <w:p w14:paraId="151D916A" w14:textId="1AE3D595" w:rsidR="005737F1" w:rsidRPr="005737F1" w:rsidRDefault="005737F1" w:rsidP="00891722">
            <w:pPr>
              <w:jc w:val="both"/>
              <w:rPr>
                <w:rFonts w:cstheme="minorHAnsi"/>
                <w:szCs w:val="20"/>
              </w:rPr>
            </w:pPr>
            <w:r w:rsidRPr="005737F1">
              <w:rPr>
                <w:szCs w:val="20"/>
              </w:rPr>
              <w:t>Investors may select bank deposits, as well as other higher risk or less regulated options</w:t>
            </w:r>
          </w:p>
          <w:p w14:paraId="2BFEBC70" w14:textId="7BE2661C" w:rsidR="009C52F7" w:rsidRPr="005737F1" w:rsidRDefault="009C52F7" w:rsidP="00891722">
            <w:pPr>
              <w:jc w:val="both"/>
              <w:rPr>
                <w:rFonts w:cstheme="minorHAnsi"/>
                <w:color w:val="000000" w:themeColor="text1"/>
                <w:szCs w:val="20"/>
              </w:rPr>
            </w:pPr>
          </w:p>
        </w:tc>
      </w:tr>
      <w:tr w:rsidR="00290E98" w:rsidRPr="005737F1" w14:paraId="7D74D1A2" w14:textId="77777777" w:rsidTr="00891722">
        <w:tc>
          <w:tcPr>
            <w:tcW w:w="9016" w:type="dxa"/>
          </w:tcPr>
          <w:p w14:paraId="377FC817" w14:textId="77777777" w:rsidR="00290E98" w:rsidRPr="005737F1" w:rsidRDefault="00290E98" w:rsidP="00290E98">
            <w:pPr>
              <w:pStyle w:val="ListParagraph"/>
              <w:numPr>
                <w:ilvl w:val="2"/>
                <w:numId w:val="68"/>
              </w:numPr>
              <w:jc w:val="both"/>
              <w:rPr>
                <w:rFonts w:cstheme="minorHAnsi"/>
                <w:color w:val="000000" w:themeColor="text1"/>
                <w:szCs w:val="20"/>
              </w:rPr>
            </w:pPr>
            <w:r w:rsidRPr="005737F1">
              <w:rPr>
                <w:rFonts w:cstheme="minorHAnsi"/>
                <w:color w:val="000000" w:themeColor="text1"/>
                <w:szCs w:val="20"/>
              </w:rPr>
              <w:t>Do they embed more risks for investors (e.g. counterparty risk) or be more costly?</w:t>
            </w:r>
          </w:p>
          <w:p w14:paraId="3C2BF578" w14:textId="77777777" w:rsidR="00290E98" w:rsidRPr="005737F1" w:rsidRDefault="00290E98" w:rsidP="00891722">
            <w:pPr>
              <w:jc w:val="both"/>
              <w:rPr>
                <w:rFonts w:cstheme="minorHAnsi"/>
                <w:color w:val="000000" w:themeColor="text1"/>
                <w:szCs w:val="20"/>
              </w:rPr>
            </w:pPr>
            <w:r w:rsidRPr="005737F1">
              <w:rPr>
                <w:rFonts w:cstheme="minorHAnsi"/>
                <w:color w:val="000000" w:themeColor="text1"/>
                <w:szCs w:val="20"/>
              </w:rPr>
              <w:t xml:space="preserve">A shift for example to bank deposits could lead to a greater concentration of risk vs MMFs that diversify shareholders’ investments to a far greater degree than a typical investor can achieve on their own. It will also likely reduce returns (increase costs) to investors as banks are already awash with excess deposits. </w:t>
            </w:r>
          </w:p>
        </w:tc>
      </w:tr>
      <w:tr w:rsidR="00290E98" w:rsidRPr="005737F1" w14:paraId="2F6AD689" w14:textId="77777777" w:rsidTr="00891722">
        <w:tc>
          <w:tcPr>
            <w:tcW w:w="9016" w:type="dxa"/>
          </w:tcPr>
          <w:p w14:paraId="059B3A47" w14:textId="77777777" w:rsidR="00290E98" w:rsidRPr="005737F1" w:rsidRDefault="00290E98" w:rsidP="00290E98">
            <w:pPr>
              <w:pStyle w:val="ListParagraph"/>
              <w:numPr>
                <w:ilvl w:val="1"/>
                <w:numId w:val="68"/>
              </w:numPr>
              <w:jc w:val="both"/>
              <w:rPr>
                <w:rFonts w:cstheme="minorHAnsi"/>
                <w:szCs w:val="20"/>
              </w:rPr>
            </w:pPr>
            <w:r w:rsidRPr="005737F1">
              <w:rPr>
                <w:rFonts w:cstheme="minorHAnsi"/>
                <w:szCs w:val="20"/>
              </w:rPr>
              <w:t>What alternative sources of short-term funding are available for borrowers that currently rely on MMFs for financing?</w:t>
            </w:r>
          </w:p>
          <w:p w14:paraId="2F17642D" w14:textId="77777777" w:rsidR="00290E98" w:rsidRPr="005737F1" w:rsidRDefault="00290E98" w:rsidP="00891722">
            <w:pPr>
              <w:jc w:val="both"/>
              <w:rPr>
                <w:rFonts w:cstheme="minorHAnsi"/>
                <w:color w:val="000000" w:themeColor="text1"/>
                <w:szCs w:val="20"/>
              </w:rPr>
            </w:pPr>
            <w:r w:rsidRPr="005737F1">
              <w:rPr>
                <w:rFonts w:cstheme="minorHAnsi"/>
                <w:color w:val="000000" w:themeColor="text1"/>
                <w:szCs w:val="20"/>
              </w:rPr>
              <w:t>Funding by MMFs cannot easily be replaced, and could result in a reduction of the flow of private credit.</w:t>
            </w:r>
          </w:p>
        </w:tc>
      </w:tr>
      <w:tr w:rsidR="00290E98" w:rsidRPr="005737F1" w14:paraId="7E32CDEF" w14:textId="77777777" w:rsidTr="00891722">
        <w:tc>
          <w:tcPr>
            <w:tcW w:w="9016" w:type="dxa"/>
          </w:tcPr>
          <w:p w14:paraId="30B5047C" w14:textId="77777777" w:rsidR="00290E98" w:rsidRPr="005737F1" w:rsidRDefault="00290E98" w:rsidP="00891722">
            <w:pPr>
              <w:jc w:val="both"/>
              <w:rPr>
                <w:rFonts w:cstheme="minorHAnsi"/>
                <w:szCs w:val="20"/>
              </w:rPr>
            </w:pPr>
            <w:r w:rsidRPr="005737F1">
              <w:rPr>
                <w:rFonts w:cstheme="minorHAnsi"/>
                <w:szCs w:val="20"/>
              </w:rPr>
              <w:t>Are these alternative sources more stable than MMFs at all times?</w:t>
            </w:r>
          </w:p>
          <w:p w14:paraId="2B79E429" w14:textId="77777777" w:rsidR="00290E98" w:rsidRPr="005737F1" w:rsidRDefault="00290E98" w:rsidP="00891722">
            <w:pPr>
              <w:jc w:val="both"/>
              <w:rPr>
                <w:rFonts w:cstheme="minorHAnsi"/>
                <w:color w:val="000000" w:themeColor="text1"/>
                <w:szCs w:val="20"/>
              </w:rPr>
            </w:pPr>
            <w:r w:rsidRPr="005737F1">
              <w:rPr>
                <w:rFonts w:cstheme="minorHAnsi"/>
                <w:szCs w:val="20"/>
              </w:rPr>
              <w:t>Committed or long-term funding by definition could be more stable, but also more expensive and there is unlikely to be the same level of supply.</w:t>
            </w:r>
          </w:p>
        </w:tc>
      </w:tr>
      <w:tr w:rsidR="00290E98" w:rsidRPr="005737F1" w14:paraId="2FB3EC1D" w14:textId="77777777" w:rsidTr="00891722">
        <w:tc>
          <w:tcPr>
            <w:tcW w:w="9016" w:type="dxa"/>
          </w:tcPr>
          <w:p w14:paraId="7E13503E" w14:textId="77777777" w:rsidR="00290E98" w:rsidRPr="005737F1" w:rsidRDefault="00290E98" w:rsidP="00891722">
            <w:pPr>
              <w:jc w:val="both"/>
              <w:rPr>
                <w:rFonts w:cstheme="minorHAnsi"/>
                <w:szCs w:val="20"/>
              </w:rPr>
            </w:pPr>
            <w:r w:rsidRPr="005737F1">
              <w:rPr>
                <w:rFonts w:cstheme="minorHAnsi"/>
                <w:szCs w:val="20"/>
              </w:rPr>
              <w:t>Can they in effect be scaled to replace MMF economic function?</w:t>
            </w:r>
          </w:p>
          <w:p w14:paraId="45FA55A1" w14:textId="77777777" w:rsidR="00290E98" w:rsidRPr="005737F1" w:rsidRDefault="00290E98" w:rsidP="00891722">
            <w:pPr>
              <w:jc w:val="both"/>
              <w:rPr>
                <w:rFonts w:cstheme="minorHAnsi"/>
                <w:color w:val="000000" w:themeColor="text1"/>
                <w:szCs w:val="20"/>
              </w:rPr>
            </w:pPr>
            <w:r w:rsidRPr="005737F1">
              <w:rPr>
                <w:rFonts w:cstheme="minorHAnsi"/>
                <w:szCs w:val="20"/>
              </w:rPr>
              <w:t>We do not believe so.</w:t>
            </w:r>
          </w:p>
        </w:tc>
      </w:tr>
      <w:tr w:rsidR="00290E98" w:rsidRPr="005737F1" w14:paraId="610C51A9" w14:textId="77777777" w:rsidTr="00891722">
        <w:tc>
          <w:tcPr>
            <w:tcW w:w="9016" w:type="dxa"/>
          </w:tcPr>
          <w:p w14:paraId="2475DA38" w14:textId="77777777" w:rsidR="00290E98" w:rsidRPr="005737F1" w:rsidRDefault="00290E98" w:rsidP="00891722">
            <w:pPr>
              <w:jc w:val="both"/>
              <w:rPr>
                <w:rFonts w:cstheme="minorHAnsi"/>
                <w:szCs w:val="20"/>
              </w:rPr>
            </w:pPr>
            <w:r w:rsidRPr="005737F1">
              <w:rPr>
                <w:rFonts w:cstheme="minorHAnsi"/>
                <w:szCs w:val="20"/>
              </w:rPr>
              <w:t>Would this address the financial stability issues noted or would risks simply be transferred elsewhere in the market without mitigating them effectively?</w:t>
            </w:r>
          </w:p>
          <w:p w14:paraId="58416D56" w14:textId="77777777" w:rsidR="00290E98" w:rsidRPr="005737F1" w:rsidRDefault="00290E98" w:rsidP="00891722">
            <w:pPr>
              <w:jc w:val="both"/>
              <w:rPr>
                <w:rFonts w:cstheme="minorHAnsi"/>
                <w:color w:val="000000" w:themeColor="text1"/>
                <w:szCs w:val="20"/>
              </w:rPr>
            </w:pPr>
            <w:r w:rsidRPr="005737F1">
              <w:rPr>
                <w:rFonts w:cstheme="minorHAnsi"/>
                <w:color w:val="000000" w:themeColor="text1"/>
                <w:szCs w:val="20"/>
              </w:rPr>
              <w:t>A move from MMFs to alternative sources of funding, if achievable with the same scale, would potentially simply move the risks to elsewhere in the financial system.</w:t>
            </w:r>
          </w:p>
        </w:tc>
      </w:tr>
    </w:tbl>
    <w:p w14:paraId="04831D83" w14:textId="7B2814C6" w:rsidR="00290E98" w:rsidRDefault="00290E98" w:rsidP="00492B3A"/>
    <w:p w14:paraId="4BB1DAED" w14:textId="77777777" w:rsidR="00290E98" w:rsidRDefault="00290E98" w:rsidP="00492B3A"/>
    <w:permEnd w:id="21103909"/>
    <w:p w14:paraId="6C91EF19" w14:textId="07291BF4" w:rsidR="00492B3A" w:rsidRDefault="00492B3A" w:rsidP="00492B3A">
      <w:r>
        <w:t>&lt;ESMA_QUESTION_</w:t>
      </w:r>
      <w:r w:rsidR="00DC1B3F">
        <w:t>MMFR</w:t>
      </w:r>
      <w:r>
        <w:t>_8&gt;</w:t>
      </w:r>
    </w:p>
    <w:p w14:paraId="358E7A29" w14:textId="77777777" w:rsidR="00492B3A" w:rsidRDefault="00492B3A" w:rsidP="00492B3A"/>
    <w:p w14:paraId="35F135E9" w14:textId="5FE90A3C" w:rsidR="00492B3A" w:rsidRDefault="00976448" w:rsidP="00492B3A">
      <w:pPr>
        <w:pStyle w:val="Questionstyle"/>
      </w:pPr>
      <w:r w:rsidRPr="00F43E30">
        <w:rPr>
          <w:bdr w:val="none" w:sz="0" w:space="0" w:color="auto" w:frame="1"/>
          <w:lang w:val="en-IE"/>
        </w:rPr>
        <w:t xml:space="preserve">Do you agree with the above assessment of the potential need to </w:t>
      </w:r>
      <w:r w:rsidRPr="00F43E30">
        <w:rPr>
          <w:lang w:val="en-IE"/>
        </w:rPr>
        <w:t xml:space="preserve">amend the requirements on stress tests included in the article 28 of the MMF Regulation? </w:t>
      </w:r>
      <w:r w:rsidRPr="00F43E30">
        <w:rPr>
          <w:bdr w:val="none" w:sz="0" w:space="0" w:color="auto" w:frame="1"/>
          <w:lang w:val="en-IE"/>
        </w:rPr>
        <w:t>When you answer this question, please also take into account the grid of criteria listed in paragraphs 76 to 80</w:t>
      </w:r>
      <w:r>
        <w:t>.</w:t>
      </w:r>
    </w:p>
    <w:p w14:paraId="01ADFC46" w14:textId="69301879" w:rsidR="00492B3A" w:rsidRDefault="00492B3A" w:rsidP="00492B3A">
      <w:r>
        <w:t>&lt;ESMA_QUESTION_</w:t>
      </w:r>
      <w:r w:rsidR="00DC1B3F">
        <w:t>MMFR</w:t>
      </w:r>
      <w:r>
        <w:t>_9&gt;</w:t>
      </w:r>
    </w:p>
    <w:p w14:paraId="47BAF7E6" w14:textId="77777777" w:rsidR="00C955DD" w:rsidRDefault="00C955DD" w:rsidP="00290E98">
      <w:pPr>
        <w:pStyle w:val="xmsonormal0"/>
        <w:spacing w:before="0" w:beforeAutospacing="0" w:after="0" w:afterAutospacing="0"/>
        <w:jc w:val="both"/>
        <w:rPr>
          <w:rFonts w:asciiTheme="minorHAnsi" w:hAnsiTheme="minorHAnsi" w:cstheme="minorHAnsi"/>
          <w:sz w:val="22"/>
          <w:szCs w:val="22"/>
        </w:rPr>
      </w:pPr>
      <w:permStart w:id="70807355" w:edGrp="everyone"/>
    </w:p>
    <w:p w14:paraId="0280E5F7" w14:textId="2ED54B6A" w:rsidR="00290E98" w:rsidRPr="005737F1" w:rsidRDefault="00290E98" w:rsidP="00290E98">
      <w:pPr>
        <w:pStyle w:val="xmsonormal0"/>
        <w:spacing w:before="0" w:beforeAutospacing="0" w:after="0" w:afterAutospacing="0"/>
        <w:jc w:val="both"/>
        <w:rPr>
          <w:rFonts w:ascii="Arial" w:hAnsi="Arial" w:cs="Arial"/>
          <w:sz w:val="20"/>
          <w:szCs w:val="20"/>
        </w:rPr>
      </w:pPr>
      <w:r w:rsidRPr="005737F1">
        <w:rPr>
          <w:rFonts w:ascii="Arial" w:hAnsi="Arial" w:cs="Arial"/>
          <w:sz w:val="20"/>
          <w:szCs w:val="20"/>
        </w:rPr>
        <w:t xml:space="preserve">Enhanced stress testing would not address the underlying issue that impacted the markets in March 2020.  Managers needed to reposition the portfolios in light of market constraints but were unable to do so because the markets were not functioning.  Setting more prescriptive measures under the stress test regime to address particular scenarios could prove to act as an unintended constraint and ultimately would not have addressed the challenge in March.  Also, the stress tests can become out of date in a stressed market event.  It is also important to recognise the resilience that MMFs demonstrated during the March 2020 crisis despite severe and unprecedented shock created by the pandemic and the outflows that accompanied them.  </w:t>
      </w:r>
    </w:p>
    <w:p w14:paraId="2602D51A" w14:textId="77777777" w:rsidR="00290E98" w:rsidRPr="005737F1" w:rsidRDefault="00290E98" w:rsidP="00290E98">
      <w:pPr>
        <w:pStyle w:val="xmsonormal0"/>
        <w:spacing w:before="0" w:beforeAutospacing="0" w:after="0" w:afterAutospacing="0"/>
        <w:jc w:val="both"/>
        <w:rPr>
          <w:rFonts w:ascii="Arial" w:hAnsi="Arial" w:cs="Arial"/>
          <w:sz w:val="20"/>
          <w:szCs w:val="20"/>
        </w:rPr>
      </w:pPr>
    </w:p>
    <w:p w14:paraId="55B60BE8" w14:textId="77777777" w:rsidR="00290E98" w:rsidRPr="005737F1" w:rsidRDefault="00290E98" w:rsidP="00290E98">
      <w:pPr>
        <w:pStyle w:val="xmsonormal0"/>
        <w:spacing w:before="0" w:beforeAutospacing="0" w:after="0" w:afterAutospacing="0"/>
        <w:jc w:val="both"/>
        <w:rPr>
          <w:rFonts w:ascii="Arial" w:hAnsi="Arial" w:cs="Arial"/>
          <w:sz w:val="20"/>
          <w:szCs w:val="20"/>
        </w:rPr>
      </w:pPr>
      <w:r w:rsidRPr="005737F1">
        <w:rPr>
          <w:rFonts w:ascii="Arial" w:hAnsi="Arial" w:cs="Arial"/>
          <w:sz w:val="20"/>
          <w:szCs w:val="20"/>
        </w:rPr>
        <w:t xml:space="preserve">With regard to the submission of stress tests, we believe it is most appropriate to maintain the submission process through the NCA and continue the current model of engagement between the manager and the NCA.  It is important to have streamlined communication when managing through a dynamic market event and communicating to two regulatory bodies at the same time risks misalignment and potential time delays which may prove critical in managing an event. </w:t>
      </w:r>
    </w:p>
    <w:p w14:paraId="43F39C5F" w14:textId="77777777" w:rsidR="00290E98" w:rsidRPr="005737F1" w:rsidRDefault="00290E98" w:rsidP="00290E98">
      <w:pPr>
        <w:pStyle w:val="xmsonormal0"/>
        <w:spacing w:before="0" w:beforeAutospacing="0" w:after="0" w:afterAutospacing="0"/>
        <w:jc w:val="both"/>
        <w:rPr>
          <w:rFonts w:ascii="Arial" w:hAnsi="Arial" w:cs="Arial"/>
          <w:sz w:val="20"/>
          <w:szCs w:val="20"/>
        </w:rPr>
      </w:pPr>
    </w:p>
    <w:p w14:paraId="73C2C139" w14:textId="77777777" w:rsidR="00290E98" w:rsidRPr="005737F1" w:rsidRDefault="00290E98" w:rsidP="00290E98">
      <w:pPr>
        <w:pStyle w:val="xmsonormal0"/>
        <w:spacing w:before="0" w:beforeAutospacing="0" w:after="0" w:afterAutospacing="0"/>
        <w:jc w:val="both"/>
        <w:rPr>
          <w:rFonts w:ascii="Arial" w:hAnsi="Arial" w:cs="Arial"/>
          <w:sz w:val="20"/>
          <w:szCs w:val="20"/>
        </w:rPr>
      </w:pPr>
      <w:r w:rsidRPr="005737F1">
        <w:rPr>
          <w:rFonts w:ascii="Arial" w:hAnsi="Arial" w:cs="Arial"/>
          <w:sz w:val="20"/>
          <w:szCs w:val="20"/>
        </w:rPr>
        <w:t>We note that ESMA has already updated the guidelines for stress tests in December 2020 to take into account the experience of the Covid crisis. The recalibration of stress tests issued are significantly more stringent than the previous iteration of stress tests and will support enhancing the robustness of MMFs and therefore reducing the need to amend requirements.</w:t>
      </w:r>
    </w:p>
    <w:p w14:paraId="117BAA4F" w14:textId="77777777" w:rsidR="00290E98" w:rsidRPr="005737F1" w:rsidRDefault="00290E98" w:rsidP="00290E98">
      <w:pPr>
        <w:pStyle w:val="xmsonormal0"/>
        <w:spacing w:before="0" w:beforeAutospacing="0" w:after="0" w:afterAutospacing="0"/>
        <w:jc w:val="both"/>
        <w:rPr>
          <w:rFonts w:asciiTheme="minorHAnsi" w:hAnsiTheme="minorHAnsi" w:cstheme="minorHAnsi"/>
          <w:sz w:val="20"/>
          <w:szCs w:val="20"/>
        </w:rPr>
      </w:pPr>
    </w:p>
    <w:p w14:paraId="50416341" w14:textId="77777777" w:rsidR="00290E98" w:rsidRPr="005737F1" w:rsidRDefault="00290E98" w:rsidP="00290E98">
      <w:pPr>
        <w:spacing w:after="120"/>
        <w:jc w:val="both"/>
        <w:rPr>
          <w:rFonts w:cstheme="minorHAnsi"/>
          <w:szCs w:val="20"/>
        </w:rPr>
      </w:pPr>
      <w:r w:rsidRPr="005737F1">
        <w:rPr>
          <w:rFonts w:cstheme="minorHAnsi"/>
          <w:szCs w:val="20"/>
          <w:lang w:val="en-IE" w:eastAsia="en-GB"/>
        </w:rPr>
        <w:t xml:space="preserve">Any clarifications or further guidance in how to manage the outcome of stress tests should </w:t>
      </w:r>
      <w:r w:rsidRPr="005737F1">
        <w:rPr>
          <w:rFonts w:cstheme="minorHAnsi"/>
          <w:szCs w:val="20"/>
        </w:rPr>
        <w:t xml:space="preserve">avoid overly prescriptive requirements that may constrain a manager from acting in the best interests of the fund and its investors. </w:t>
      </w:r>
    </w:p>
    <w:p w14:paraId="7789842F" w14:textId="77777777" w:rsidR="00290E98" w:rsidRPr="005737F1" w:rsidRDefault="00290E98" w:rsidP="00290E98">
      <w:pPr>
        <w:spacing w:after="120"/>
        <w:jc w:val="both"/>
        <w:rPr>
          <w:rFonts w:cstheme="minorHAnsi"/>
          <w:szCs w:val="20"/>
        </w:rPr>
      </w:pPr>
      <w:r w:rsidRPr="005737F1">
        <w:rPr>
          <w:rFonts w:cstheme="minorHAnsi"/>
          <w:szCs w:val="20"/>
          <w:lang w:val="en-US" w:eastAsia="en-GB"/>
        </w:rPr>
        <w:t>It is also important to note that, as also observed during March, stress tests were not the tool which enabled the asset manager to identify and manage risks in the fund. The models being used within the stress testing processes have only partially been able to reflect the real liquidity situation in the market.  Amongst other reasons, this is due to the fact that the models have to be used within the stress testing procedures. On this basis, we would not recommend establishing fixed triggers or criteria directly relating to specific stress test levels, but to leave further remediating actions to the discretion of the manager of the fund. </w:t>
      </w:r>
    </w:p>
    <w:tbl>
      <w:tblPr>
        <w:tblStyle w:val="TableGrid"/>
        <w:tblW w:w="0" w:type="auto"/>
        <w:tblLook w:val="04A0" w:firstRow="1" w:lastRow="0" w:firstColumn="1" w:lastColumn="0" w:noHBand="0" w:noVBand="1"/>
      </w:tblPr>
      <w:tblGrid>
        <w:gridCol w:w="9016"/>
      </w:tblGrid>
      <w:tr w:rsidR="00290E98" w:rsidRPr="005737F1" w14:paraId="59E02D66" w14:textId="77777777" w:rsidTr="00891722">
        <w:tc>
          <w:tcPr>
            <w:tcW w:w="9016" w:type="dxa"/>
            <w:shd w:val="clear" w:color="auto" w:fill="EEECE1" w:themeFill="background2"/>
          </w:tcPr>
          <w:p w14:paraId="592376EC" w14:textId="77777777" w:rsidR="00290E98" w:rsidRPr="005737F1" w:rsidRDefault="00290E98" w:rsidP="00891722">
            <w:pPr>
              <w:jc w:val="both"/>
              <w:rPr>
                <w:rFonts w:cstheme="minorHAnsi"/>
                <w:b/>
                <w:bCs/>
                <w:szCs w:val="20"/>
              </w:rPr>
            </w:pPr>
            <w:r w:rsidRPr="005737F1">
              <w:rPr>
                <w:rFonts w:cstheme="minorHAnsi"/>
                <w:b/>
                <w:bCs/>
                <w:szCs w:val="20"/>
              </w:rPr>
              <w:t>I    Impact on the Resilience of MMFs</w:t>
            </w:r>
          </w:p>
          <w:p w14:paraId="40961CEB" w14:textId="77777777" w:rsidR="00290E98" w:rsidRPr="005737F1" w:rsidRDefault="00290E98" w:rsidP="00891722">
            <w:pPr>
              <w:jc w:val="both"/>
              <w:rPr>
                <w:rFonts w:cstheme="minorHAnsi"/>
                <w:szCs w:val="20"/>
              </w:rPr>
            </w:pPr>
          </w:p>
        </w:tc>
      </w:tr>
      <w:tr w:rsidR="00290E98" w:rsidRPr="005737F1" w14:paraId="14357EEE" w14:textId="77777777" w:rsidTr="00891722">
        <w:tc>
          <w:tcPr>
            <w:tcW w:w="9016" w:type="dxa"/>
          </w:tcPr>
          <w:p w14:paraId="083A8D95" w14:textId="77777777" w:rsidR="00290E98" w:rsidRPr="005737F1" w:rsidRDefault="00290E98" w:rsidP="00891722">
            <w:pPr>
              <w:ind w:left="306" w:hanging="306"/>
              <w:jc w:val="both"/>
              <w:rPr>
                <w:rFonts w:cstheme="minorHAnsi"/>
                <w:i/>
                <w:iCs/>
                <w:szCs w:val="20"/>
              </w:rPr>
            </w:pPr>
            <w:r w:rsidRPr="005737F1">
              <w:rPr>
                <w:rFonts w:cstheme="minorHAnsi"/>
                <w:i/>
                <w:iCs/>
                <w:szCs w:val="20"/>
              </w:rPr>
              <w:t xml:space="preserve">i </w:t>
            </w:r>
            <w:r w:rsidRPr="005737F1">
              <w:rPr>
                <w:rFonts w:cstheme="minorHAnsi"/>
                <w:i/>
                <w:iCs/>
                <w:szCs w:val="20"/>
              </w:rPr>
              <w:tab/>
              <w:t>How would the policy option work in mitigating the structural vulnerabilities of MMFs?</w:t>
            </w:r>
          </w:p>
          <w:p w14:paraId="49563358" w14:textId="77777777" w:rsidR="00290E98" w:rsidRPr="005737F1" w:rsidRDefault="00290E98" w:rsidP="00290E98">
            <w:pPr>
              <w:pStyle w:val="ListParagraph"/>
              <w:numPr>
                <w:ilvl w:val="0"/>
                <w:numId w:val="62"/>
              </w:numPr>
              <w:spacing w:after="120"/>
              <w:jc w:val="both"/>
              <w:rPr>
                <w:rFonts w:cstheme="minorHAnsi"/>
                <w:color w:val="000000" w:themeColor="text1"/>
                <w:szCs w:val="20"/>
              </w:rPr>
            </w:pPr>
            <w:r w:rsidRPr="005737F1">
              <w:rPr>
                <w:rFonts w:cstheme="minorHAnsi"/>
                <w:color w:val="000000" w:themeColor="text1"/>
                <w:szCs w:val="20"/>
              </w:rPr>
              <w:t>Additional stress testing is not the best way to mitigate structural vulnerabilities.</w:t>
            </w:r>
          </w:p>
          <w:p w14:paraId="0AFC82E0" w14:textId="77777777" w:rsidR="00290E98" w:rsidRPr="005737F1" w:rsidRDefault="00290E98" w:rsidP="00290E98">
            <w:pPr>
              <w:pStyle w:val="ListParagraph"/>
              <w:numPr>
                <w:ilvl w:val="0"/>
                <w:numId w:val="62"/>
              </w:numPr>
              <w:spacing w:after="120"/>
              <w:jc w:val="both"/>
              <w:rPr>
                <w:rFonts w:cstheme="minorHAnsi"/>
                <w:szCs w:val="20"/>
              </w:rPr>
            </w:pPr>
            <w:r w:rsidRPr="005737F1">
              <w:rPr>
                <w:rFonts w:cstheme="minorHAnsi"/>
                <w:color w:val="000000" w:themeColor="text1"/>
                <w:szCs w:val="20"/>
                <w:lang w:val="en-IE" w:eastAsia="en-GB"/>
              </w:rPr>
              <w:t xml:space="preserve">Any actions taken to strengthen the robustness of the MMF, including liquidity and quality of assets would likely be portfolio repositioning i.e. the sale of longer dated, lower credit quality assets to be replaced by more liquid, higher quality credit assets. Any such portfolio repositioning relies on the functioning of the short term markets i.e. the ability of the MMF to sell assets and replace with more appropriate alternatives. In trying to increase liquidity during March, MMFs were aiming to achieve such </w:t>
            </w:r>
            <w:r w:rsidRPr="005737F1">
              <w:rPr>
                <w:rFonts w:cstheme="minorHAnsi"/>
                <w:color w:val="000000" w:themeColor="text1"/>
                <w:szCs w:val="20"/>
                <w:lang w:val="en-IE" w:eastAsia="en-GB"/>
              </w:rPr>
              <w:lastRenderedPageBreak/>
              <w:t xml:space="preserve">a repositioning. The challenge was the lack of a functional short term market and the ability to reposition without significant cost. </w:t>
            </w:r>
            <w:r w:rsidRPr="005737F1">
              <w:rPr>
                <w:rFonts w:cstheme="minorHAnsi"/>
                <w:color w:val="000000" w:themeColor="text1"/>
                <w:szCs w:val="20"/>
              </w:rPr>
              <w:t>While the actions of managers in March 2020 were not as a direct result of outcomes from stress tests, the behaviour was consistent across managers given the market environment and investor activity. As stress tests are backwards looking it is likely that fund managers will already have taken or attempted to take corrective action by repositioning their portfolios</w:t>
            </w:r>
            <w:r w:rsidRPr="005737F1">
              <w:rPr>
                <w:rFonts w:cstheme="minorHAnsi"/>
                <w:color w:val="000000" w:themeColor="text1"/>
                <w:szCs w:val="20"/>
                <w:highlight w:val="lightGray"/>
              </w:rPr>
              <w:t>.</w:t>
            </w:r>
          </w:p>
        </w:tc>
      </w:tr>
      <w:tr w:rsidR="00290E98" w:rsidRPr="005737F1" w14:paraId="64EB6C0B" w14:textId="77777777" w:rsidTr="00891722">
        <w:tc>
          <w:tcPr>
            <w:tcW w:w="9016" w:type="dxa"/>
          </w:tcPr>
          <w:p w14:paraId="635322BC" w14:textId="77777777" w:rsidR="00290E98" w:rsidRPr="005737F1" w:rsidRDefault="00290E98" w:rsidP="00891722">
            <w:pPr>
              <w:jc w:val="both"/>
              <w:rPr>
                <w:rFonts w:cstheme="minorHAnsi"/>
                <w:i/>
                <w:iCs/>
                <w:szCs w:val="20"/>
              </w:rPr>
            </w:pPr>
            <w:r w:rsidRPr="005737F1">
              <w:rPr>
                <w:rFonts w:cstheme="minorHAnsi"/>
                <w:i/>
                <w:iCs/>
                <w:szCs w:val="20"/>
              </w:rPr>
              <w:lastRenderedPageBreak/>
              <w:t>ii</w:t>
            </w:r>
            <w:r w:rsidRPr="005737F1">
              <w:rPr>
                <w:rFonts w:cstheme="minorHAnsi"/>
                <w:i/>
                <w:iCs/>
                <w:szCs w:val="20"/>
              </w:rPr>
              <w:tab/>
              <w:t xml:space="preserve">Would it apply to all MMFs? </w:t>
            </w:r>
          </w:p>
          <w:p w14:paraId="076881EF" w14:textId="77777777" w:rsidR="00290E98" w:rsidRPr="005737F1" w:rsidRDefault="00290E98" w:rsidP="00891722">
            <w:pPr>
              <w:ind w:left="360"/>
              <w:jc w:val="both"/>
              <w:rPr>
                <w:rFonts w:cstheme="minorHAnsi"/>
                <w:color w:val="000000" w:themeColor="text1"/>
                <w:szCs w:val="20"/>
              </w:rPr>
            </w:pPr>
            <w:r w:rsidRPr="005737F1">
              <w:rPr>
                <w:rFonts w:cstheme="minorHAnsi"/>
                <w:color w:val="000000" w:themeColor="text1"/>
                <w:szCs w:val="20"/>
              </w:rPr>
              <w:t>Yes</w:t>
            </w:r>
          </w:p>
          <w:p w14:paraId="4F4D560F" w14:textId="77777777" w:rsidR="00290E98" w:rsidRPr="005737F1" w:rsidRDefault="00290E98" w:rsidP="00891722">
            <w:pPr>
              <w:ind w:left="306" w:hanging="306"/>
              <w:jc w:val="both"/>
              <w:rPr>
                <w:rFonts w:cstheme="minorHAnsi"/>
                <w:i/>
                <w:iCs/>
                <w:szCs w:val="20"/>
              </w:rPr>
            </w:pPr>
          </w:p>
        </w:tc>
      </w:tr>
      <w:tr w:rsidR="00290E98" w:rsidRPr="005737F1" w14:paraId="36744BB1" w14:textId="77777777" w:rsidTr="00891722">
        <w:tc>
          <w:tcPr>
            <w:tcW w:w="9016" w:type="dxa"/>
          </w:tcPr>
          <w:p w14:paraId="369CBFBB" w14:textId="77777777" w:rsidR="00290E98" w:rsidRPr="005737F1" w:rsidRDefault="00290E98" w:rsidP="00891722">
            <w:pPr>
              <w:ind w:left="731" w:hanging="731"/>
              <w:jc w:val="both"/>
              <w:rPr>
                <w:rFonts w:cstheme="minorHAnsi"/>
                <w:i/>
                <w:iCs/>
                <w:color w:val="4F81BD" w:themeColor="accent1"/>
                <w:szCs w:val="20"/>
              </w:rPr>
            </w:pPr>
          </w:p>
        </w:tc>
      </w:tr>
      <w:tr w:rsidR="00290E98" w:rsidRPr="005737F1" w14:paraId="7C7CC4E9" w14:textId="77777777" w:rsidTr="00290E98">
        <w:tc>
          <w:tcPr>
            <w:tcW w:w="9016" w:type="dxa"/>
          </w:tcPr>
          <w:p w14:paraId="3DAFC942" w14:textId="77777777" w:rsidR="00290E98" w:rsidRPr="005737F1" w:rsidRDefault="00290E98" w:rsidP="00891722">
            <w:pPr>
              <w:jc w:val="both"/>
              <w:rPr>
                <w:rFonts w:cstheme="minorHAnsi"/>
                <w:b/>
                <w:bCs/>
                <w:szCs w:val="20"/>
              </w:rPr>
            </w:pPr>
            <w:r w:rsidRPr="005737F1">
              <w:rPr>
                <w:rFonts w:cstheme="minorHAnsi"/>
                <w:b/>
                <w:bCs/>
                <w:szCs w:val="20"/>
              </w:rPr>
              <w:t>II    Effects on Investor Behaviour</w:t>
            </w:r>
          </w:p>
          <w:p w14:paraId="1BC8AC0A" w14:textId="77777777" w:rsidR="00290E98" w:rsidRPr="005737F1" w:rsidRDefault="00290E98" w:rsidP="00891722">
            <w:pPr>
              <w:jc w:val="both"/>
              <w:rPr>
                <w:rFonts w:cstheme="minorHAnsi"/>
                <w:szCs w:val="20"/>
              </w:rPr>
            </w:pPr>
            <w:r w:rsidRPr="005737F1">
              <w:rPr>
                <w:rFonts w:cstheme="minorHAnsi"/>
                <w:szCs w:val="20"/>
              </w:rPr>
              <w:tab/>
            </w:r>
          </w:p>
        </w:tc>
      </w:tr>
      <w:tr w:rsidR="00290E98" w:rsidRPr="005737F1" w14:paraId="752EC2D3" w14:textId="77777777" w:rsidTr="00290E98">
        <w:tc>
          <w:tcPr>
            <w:tcW w:w="9016" w:type="dxa"/>
          </w:tcPr>
          <w:p w14:paraId="599B1135" w14:textId="77777777" w:rsidR="00290E98" w:rsidRPr="005737F1" w:rsidRDefault="00290E98" w:rsidP="00891722">
            <w:pPr>
              <w:ind w:left="447" w:hanging="447"/>
              <w:jc w:val="both"/>
              <w:rPr>
                <w:rFonts w:cstheme="minorHAnsi"/>
                <w:szCs w:val="20"/>
              </w:rPr>
            </w:pPr>
            <w:r w:rsidRPr="005737F1">
              <w:rPr>
                <w:rFonts w:cstheme="minorHAnsi"/>
                <w:i/>
                <w:iCs/>
                <w:szCs w:val="20"/>
              </w:rPr>
              <w:t xml:space="preserve">i </w:t>
            </w:r>
            <w:r w:rsidRPr="005737F1">
              <w:rPr>
                <w:rFonts w:cstheme="minorHAnsi"/>
                <w:b/>
                <w:bCs/>
                <w:i/>
                <w:iCs/>
                <w:szCs w:val="20"/>
              </w:rPr>
              <w:tab/>
            </w:r>
            <w:r w:rsidRPr="005737F1">
              <w:rPr>
                <w:rFonts w:cstheme="minorHAnsi"/>
                <w:szCs w:val="20"/>
              </w:rPr>
              <w:t>From a micro perspective (viewing the MMF in isolation), how would the policy option affect investors’ incentives to redeem during stress events?</w:t>
            </w:r>
          </w:p>
          <w:p w14:paraId="2CF0141E" w14:textId="77777777" w:rsidR="00290E98" w:rsidRPr="005737F1" w:rsidRDefault="00290E98" w:rsidP="00891722">
            <w:pPr>
              <w:ind w:left="447"/>
              <w:jc w:val="both"/>
              <w:rPr>
                <w:rFonts w:cstheme="minorHAnsi"/>
                <w:i/>
                <w:iCs/>
                <w:color w:val="000000" w:themeColor="text1"/>
                <w:szCs w:val="20"/>
              </w:rPr>
            </w:pPr>
            <w:r w:rsidRPr="005737F1">
              <w:rPr>
                <w:rFonts w:cstheme="minorHAnsi"/>
                <w:color w:val="000000" w:themeColor="text1"/>
                <w:szCs w:val="20"/>
              </w:rPr>
              <w:t>Stress testing has no impact investor behaviour</w:t>
            </w:r>
          </w:p>
          <w:p w14:paraId="11409207" w14:textId="77777777" w:rsidR="00290E98" w:rsidRPr="005737F1" w:rsidRDefault="00290E98" w:rsidP="00891722">
            <w:pPr>
              <w:pStyle w:val="ListParagraph"/>
              <w:ind w:left="731"/>
              <w:jc w:val="both"/>
              <w:rPr>
                <w:rFonts w:cstheme="minorHAnsi"/>
                <w:i/>
                <w:iCs/>
                <w:szCs w:val="20"/>
              </w:rPr>
            </w:pPr>
          </w:p>
        </w:tc>
      </w:tr>
      <w:tr w:rsidR="00290E98" w:rsidRPr="005737F1" w14:paraId="2AAE3106" w14:textId="77777777" w:rsidTr="00290E98">
        <w:tc>
          <w:tcPr>
            <w:tcW w:w="9016" w:type="dxa"/>
          </w:tcPr>
          <w:p w14:paraId="1DF4FFE8" w14:textId="77777777" w:rsidR="00290E98" w:rsidRPr="005737F1" w:rsidRDefault="00290E98" w:rsidP="00891722">
            <w:pPr>
              <w:ind w:left="447" w:hanging="447"/>
              <w:jc w:val="both"/>
              <w:rPr>
                <w:rFonts w:cstheme="minorHAnsi"/>
                <w:szCs w:val="20"/>
              </w:rPr>
            </w:pPr>
            <w:r w:rsidRPr="005737F1">
              <w:rPr>
                <w:rFonts w:cstheme="minorHAnsi"/>
                <w:i/>
                <w:iCs/>
                <w:szCs w:val="20"/>
              </w:rPr>
              <w:t>ii</w:t>
            </w:r>
            <w:r w:rsidRPr="005737F1">
              <w:rPr>
                <w:rFonts w:cstheme="minorHAnsi"/>
                <w:b/>
                <w:bCs/>
                <w:i/>
                <w:iCs/>
                <w:szCs w:val="20"/>
              </w:rPr>
              <w:tab/>
            </w:r>
            <w:r w:rsidRPr="005737F1">
              <w:rPr>
                <w:rFonts w:cstheme="minorHAnsi"/>
                <w:szCs w:val="20"/>
              </w:rPr>
              <w:t>From a macro perspective, how would this option mitigate the effects of a generalised “dash for cash” as seen in March 2020; and/or runs prompted by a credit crisis, as seen in September 2008?</w:t>
            </w:r>
          </w:p>
          <w:p w14:paraId="5B0A2672" w14:textId="77777777" w:rsidR="00290E98" w:rsidRPr="005737F1" w:rsidRDefault="00290E98" w:rsidP="00891722">
            <w:pPr>
              <w:spacing w:after="120"/>
              <w:ind w:left="447"/>
              <w:jc w:val="both"/>
              <w:rPr>
                <w:rFonts w:cstheme="minorHAnsi"/>
                <w:color w:val="000000" w:themeColor="text1"/>
                <w:szCs w:val="20"/>
              </w:rPr>
            </w:pPr>
            <w:r w:rsidRPr="005737F1">
              <w:rPr>
                <w:rFonts w:cstheme="minorHAnsi"/>
                <w:color w:val="000000" w:themeColor="text1"/>
                <w:szCs w:val="20"/>
              </w:rPr>
              <w:t>In certain scenarios, stress testing could create more herd mentality e.g., if managers all send their results to ESMA and ESMA tell managers reduce risk then you would see again consistent behaviour from managers all at the same time – this was in part the issue faced during March 2020, albeit not on the back of ESMA/Stress testing instruction. See above our response to I (i) of this section.</w:t>
            </w:r>
          </w:p>
          <w:p w14:paraId="2F71C1FA" w14:textId="77777777" w:rsidR="00290E98" w:rsidRPr="005737F1" w:rsidRDefault="00290E98" w:rsidP="00891722">
            <w:pPr>
              <w:pStyle w:val="ListParagraph"/>
              <w:jc w:val="both"/>
              <w:rPr>
                <w:rFonts w:cstheme="minorHAnsi"/>
                <w:szCs w:val="20"/>
              </w:rPr>
            </w:pPr>
          </w:p>
          <w:p w14:paraId="3A2B5023" w14:textId="77777777" w:rsidR="00290E98" w:rsidRPr="005737F1" w:rsidRDefault="00290E98" w:rsidP="00891722">
            <w:pPr>
              <w:ind w:left="447" w:hanging="447"/>
              <w:jc w:val="both"/>
              <w:rPr>
                <w:rFonts w:cstheme="minorHAnsi"/>
                <w:b/>
                <w:bCs/>
                <w:i/>
                <w:iCs/>
                <w:szCs w:val="20"/>
              </w:rPr>
            </w:pPr>
          </w:p>
        </w:tc>
      </w:tr>
      <w:tr w:rsidR="00290E98" w:rsidRPr="005737F1" w14:paraId="6C4FCFF8" w14:textId="77777777" w:rsidTr="00290E98">
        <w:tc>
          <w:tcPr>
            <w:tcW w:w="9016" w:type="dxa"/>
          </w:tcPr>
          <w:p w14:paraId="779B72A4" w14:textId="77777777" w:rsidR="00290E98" w:rsidRPr="005737F1" w:rsidRDefault="00290E98" w:rsidP="00891722">
            <w:pPr>
              <w:jc w:val="both"/>
              <w:rPr>
                <w:rFonts w:cstheme="minorHAnsi"/>
                <w:i/>
                <w:iCs/>
                <w:color w:val="000000" w:themeColor="text1"/>
                <w:szCs w:val="20"/>
              </w:rPr>
            </w:pPr>
          </w:p>
          <w:p w14:paraId="2189F803" w14:textId="77777777" w:rsidR="00290E98" w:rsidRPr="005737F1" w:rsidRDefault="00290E98" w:rsidP="00891722">
            <w:pPr>
              <w:ind w:left="447" w:hanging="447"/>
              <w:jc w:val="both"/>
              <w:rPr>
                <w:rFonts w:cstheme="minorHAnsi"/>
                <w:color w:val="000000" w:themeColor="text1"/>
                <w:szCs w:val="20"/>
              </w:rPr>
            </w:pPr>
            <w:r w:rsidRPr="005737F1">
              <w:rPr>
                <w:rFonts w:cstheme="minorHAnsi"/>
                <w:i/>
                <w:iCs/>
                <w:color w:val="000000" w:themeColor="text1"/>
                <w:szCs w:val="20"/>
              </w:rPr>
              <w:t>iii a)</w:t>
            </w:r>
            <w:r w:rsidRPr="005737F1">
              <w:rPr>
                <w:rFonts w:cstheme="minorHAnsi"/>
                <w:color w:val="000000" w:themeColor="text1"/>
                <w:szCs w:val="20"/>
              </w:rPr>
              <w:t xml:space="preserve"> Does the option effectively shift MMF risks to investors?</w:t>
            </w:r>
          </w:p>
          <w:p w14:paraId="44FC5D70" w14:textId="77777777" w:rsidR="00290E98" w:rsidRPr="005737F1" w:rsidRDefault="00290E98" w:rsidP="00891722">
            <w:pPr>
              <w:ind w:left="447"/>
              <w:jc w:val="both"/>
              <w:rPr>
                <w:rFonts w:cstheme="minorHAnsi"/>
                <w:b/>
                <w:bCs/>
                <w:color w:val="000000" w:themeColor="text1"/>
                <w:szCs w:val="20"/>
              </w:rPr>
            </w:pPr>
            <w:r w:rsidRPr="005737F1">
              <w:rPr>
                <w:rFonts w:cstheme="minorHAnsi"/>
                <w:color w:val="000000" w:themeColor="text1"/>
                <w:szCs w:val="20"/>
              </w:rPr>
              <w:t xml:space="preserve">No </w:t>
            </w:r>
          </w:p>
          <w:p w14:paraId="20995D11" w14:textId="77777777" w:rsidR="00290E98" w:rsidRPr="005737F1" w:rsidRDefault="00290E98" w:rsidP="00891722">
            <w:pPr>
              <w:ind w:left="447" w:hanging="447"/>
              <w:jc w:val="both"/>
              <w:rPr>
                <w:rFonts w:cstheme="minorHAnsi"/>
                <w:color w:val="000000" w:themeColor="text1"/>
                <w:szCs w:val="20"/>
              </w:rPr>
            </w:pPr>
            <w:r w:rsidRPr="005737F1">
              <w:rPr>
                <w:rFonts w:cstheme="minorHAnsi"/>
                <w:i/>
                <w:iCs/>
                <w:color w:val="000000" w:themeColor="text1"/>
                <w:szCs w:val="20"/>
              </w:rPr>
              <w:t xml:space="preserve">   b)</w:t>
            </w:r>
            <w:r w:rsidRPr="005737F1">
              <w:rPr>
                <w:rFonts w:cstheme="minorHAnsi"/>
                <w:b/>
                <w:bCs/>
                <w:i/>
                <w:iCs/>
                <w:color w:val="000000" w:themeColor="text1"/>
                <w:szCs w:val="20"/>
              </w:rPr>
              <w:tab/>
            </w:r>
            <w:r w:rsidRPr="005737F1">
              <w:rPr>
                <w:rFonts w:cstheme="minorHAnsi"/>
                <w:color w:val="000000" w:themeColor="text1"/>
                <w:szCs w:val="20"/>
              </w:rPr>
              <w:t>Does it make those risks more salient and transparent for investors? Are investors treated equally?</w:t>
            </w:r>
          </w:p>
          <w:p w14:paraId="369424AD" w14:textId="77777777" w:rsidR="00290E98" w:rsidRPr="005737F1" w:rsidRDefault="00290E98" w:rsidP="00891722">
            <w:pPr>
              <w:jc w:val="both"/>
              <w:rPr>
                <w:rFonts w:cstheme="minorHAnsi"/>
                <w:i/>
                <w:iCs/>
                <w:color w:val="000000" w:themeColor="text1"/>
                <w:szCs w:val="20"/>
              </w:rPr>
            </w:pPr>
            <w:r w:rsidRPr="005737F1">
              <w:rPr>
                <w:rFonts w:cstheme="minorHAnsi"/>
                <w:color w:val="000000" w:themeColor="text1"/>
                <w:szCs w:val="20"/>
              </w:rPr>
              <w:t xml:space="preserve">          No. </w:t>
            </w:r>
          </w:p>
        </w:tc>
      </w:tr>
      <w:tr w:rsidR="00290E98" w:rsidRPr="005737F1" w14:paraId="6D7E3517" w14:textId="77777777" w:rsidTr="00290E98">
        <w:tc>
          <w:tcPr>
            <w:tcW w:w="9016" w:type="dxa"/>
          </w:tcPr>
          <w:p w14:paraId="471E78BC" w14:textId="77777777" w:rsidR="00290E98" w:rsidRPr="005737F1" w:rsidRDefault="00290E98" w:rsidP="00891722">
            <w:pPr>
              <w:ind w:left="447" w:hanging="447"/>
              <w:jc w:val="both"/>
              <w:rPr>
                <w:rFonts w:cstheme="minorHAnsi"/>
                <w:b/>
                <w:bCs/>
                <w:szCs w:val="20"/>
              </w:rPr>
            </w:pPr>
            <w:r w:rsidRPr="005737F1">
              <w:rPr>
                <w:rFonts w:cstheme="minorHAnsi"/>
                <w:b/>
                <w:bCs/>
                <w:szCs w:val="20"/>
              </w:rPr>
              <w:t>III</w:t>
            </w:r>
            <w:r w:rsidRPr="005737F1">
              <w:rPr>
                <w:rFonts w:cstheme="minorHAnsi"/>
                <w:b/>
                <w:bCs/>
                <w:szCs w:val="20"/>
              </w:rPr>
              <w:tab/>
              <w:t>Effects on Fund Managers</w:t>
            </w:r>
          </w:p>
          <w:p w14:paraId="770A9EE2" w14:textId="77777777" w:rsidR="00290E98" w:rsidRPr="005737F1" w:rsidRDefault="00290E98" w:rsidP="00891722">
            <w:pPr>
              <w:jc w:val="both"/>
              <w:rPr>
                <w:rFonts w:cstheme="minorHAnsi"/>
                <w:szCs w:val="20"/>
              </w:rPr>
            </w:pPr>
          </w:p>
        </w:tc>
      </w:tr>
      <w:tr w:rsidR="00290E98" w:rsidRPr="005737F1" w14:paraId="75CAC7D4" w14:textId="77777777" w:rsidTr="00290E98">
        <w:tc>
          <w:tcPr>
            <w:tcW w:w="9016" w:type="dxa"/>
          </w:tcPr>
          <w:p w14:paraId="1DC7B043" w14:textId="77777777" w:rsidR="00290E98" w:rsidRPr="005737F1" w:rsidRDefault="00290E98" w:rsidP="00891722">
            <w:pPr>
              <w:spacing w:after="120"/>
              <w:ind w:left="447" w:hanging="425"/>
              <w:jc w:val="both"/>
              <w:rPr>
                <w:rFonts w:cstheme="minorHAnsi"/>
                <w:color w:val="000000" w:themeColor="text1"/>
                <w:szCs w:val="20"/>
              </w:rPr>
            </w:pPr>
            <w:r w:rsidRPr="005737F1">
              <w:rPr>
                <w:rFonts w:cstheme="minorHAnsi"/>
                <w:color w:val="000000" w:themeColor="text1"/>
                <w:szCs w:val="20"/>
              </w:rPr>
              <w:t>i</w:t>
            </w:r>
            <w:r w:rsidRPr="005737F1">
              <w:rPr>
                <w:rFonts w:cstheme="minorHAnsi"/>
                <w:color w:val="000000" w:themeColor="text1"/>
                <w:szCs w:val="20"/>
              </w:rPr>
              <w:tab/>
              <w:t xml:space="preserve">How would the policy option affect MMFs’ liquidity management in normal versus stressed times? </w:t>
            </w:r>
          </w:p>
          <w:p w14:paraId="10C1CC64" w14:textId="77777777" w:rsidR="00290E98" w:rsidRPr="005737F1" w:rsidRDefault="00290E98" w:rsidP="00891722">
            <w:pPr>
              <w:spacing w:after="120"/>
              <w:ind w:left="447"/>
              <w:jc w:val="both"/>
              <w:rPr>
                <w:rFonts w:cstheme="minorHAnsi"/>
                <w:color w:val="000000" w:themeColor="text1"/>
                <w:szCs w:val="20"/>
              </w:rPr>
            </w:pPr>
            <w:r w:rsidRPr="005737F1">
              <w:rPr>
                <w:rFonts w:cstheme="minorHAnsi"/>
                <w:color w:val="000000" w:themeColor="text1"/>
                <w:szCs w:val="20"/>
              </w:rPr>
              <w:t>More stringent stress tests would impact the managers’ behaviour and would likely lead to more conservative portfolios. However, we believe the existing regulations already provide a suitable framework and more stringent tests are not warranted.</w:t>
            </w:r>
          </w:p>
        </w:tc>
      </w:tr>
      <w:tr w:rsidR="00290E98" w:rsidRPr="005737F1" w14:paraId="065C6BD4" w14:textId="77777777" w:rsidTr="00290E98">
        <w:tc>
          <w:tcPr>
            <w:tcW w:w="9016" w:type="dxa"/>
          </w:tcPr>
          <w:p w14:paraId="7F61165C" w14:textId="77777777" w:rsidR="00290E98" w:rsidRPr="005737F1" w:rsidRDefault="00290E98" w:rsidP="00891722">
            <w:pPr>
              <w:ind w:left="447" w:hanging="447"/>
              <w:jc w:val="both"/>
              <w:rPr>
                <w:rFonts w:cstheme="minorHAnsi"/>
                <w:szCs w:val="20"/>
              </w:rPr>
            </w:pPr>
            <w:r w:rsidRPr="005737F1">
              <w:rPr>
                <w:rFonts w:cstheme="minorHAnsi"/>
                <w:szCs w:val="20"/>
              </w:rPr>
              <w:t>ii</w:t>
            </w:r>
            <w:r w:rsidRPr="005737F1">
              <w:rPr>
                <w:rFonts w:cstheme="minorHAnsi"/>
                <w:szCs w:val="20"/>
              </w:rPr>
              <w:tab/>
              <w:t>How would it impact the ability or willingness of MMFs to invest in short-term funding instruments or use the repo market?</w:t>
            </w:r>
          </w:p>
          <w:p w14:paraId="4AA3BB7C" w14:textId="77777777" w:rsidR="00290E98" w:rsidRPr="005737F1" w:rsidRDefault="00290E98" w:rsidP="00891722">
            <w:pPr>
              <w:ind w:left="360"/>
              <w:jc w:val="both"/>
              <w:rPr>
                <w:rFonts w:cstheme="minorHAnsi"/>
                <w:color w:val="4F81BD" w:themeColor="accent1"/>
                <w:szCs w:val="20"/>
              </w:rPr>
            </w:pPr>
            <w:r w:rsidRPr="005737F1">
              <w:rPr>
                <w:rFonts w:cstheme="minorHAnsi"/>
                <w:color w:val="000000" w:themeColor="text1"/>
                <w:szCs w:val="20"/>
              </w:rPr>
              <w:t>See above answer to III (i)</w:t>
            </w:r>
          </w:p>
        </w:tc>
      </w:tr>
      <w:tr w:rsidR="00290E98" w:rsidRPr="005737F1" w14:paraId="35A9E2D8" w14:textId="77777777" w:rsidTr="00290E98">
        <w:trPr>
          <w:trHeight w:val="561"/>
        </w:trPr>
        <w:tc>
          <w:tcPr>
            <w:tcW w:w="9016" w:type="dxa"/>
          </w:tcPr>
          <w:p w14:paraId="6B70E271" w14:textId="77777777" w:rsidR="00290E98" w:rsidRPr="005737F1" w:rsidRDefault="00290E98" w:rsidP="00891722">
            <w:pPr>
              <w:tabs>
                <w:tab w:val="left" w:pos="447"/>
              </w:tabs>
              <w:jc w:val="both"/>
              <w:rPr>
                <w:rFonts w:cstheme="minorHAnsi"/>
                <w:b/>
                <w:bCs/>
                <w:szCs w:val="20"/>
              </w:rPr>
            </w:pPr>
            <w:r w:rsidRPr="005737F1">
              <w:rPr>
                <w:rFonts w:cstheme="minorHAnsi"/>
                <w:b/>
                <w:bCs/>
                <w:szCs w:val="20"/>
              </w:rPr>
              <w:t>IV</w:t>
            </w:r>
            <w:r w:rsidRPr="005737F1">
              <w:rPr>
                <w:rFonts w:cstheme="minorHAnsi"/>
                <w:b/>
                <w:bCs/>
                <w:szCs w:val="20"/>
              </w:rPr>
              <w:tab/>
              <w:t>Broader Impacts on the Stability and Functioning of Short-term Funding Markets</w:t>
            </w:r>
          </w:p>
          <w:p w14:paraId="64AC00DC" w14:textId="77777777" w:rsidR="00290E98" w:rsidRPr="005737F1" w:rsidRDefault="00290E98" w:rsidP="00891722">
            <w:pPr>
              <w:tabs>
                <w:tab w:val="left" w:pos="447"/>
              </w:tabs>
              <w:jc w:val="both"/>
              <w:rPr>
                <w:rFonts w:cstheme="minorHAnsi"/>
                <w:b/>
                <w:bCs/>
                <w:szCs w:val="20"/>
              </w:rPr>
            </w:pPr>
          </w:p>
        </w:tc>
      </w:tr>
      <w:tr w:rsidR="00290E98" w:rsidRPr="005737F1" w14:paraId="060F1AA5" w14:textId="77777777" w:rsidTr="00290E98">
        <w:trPr>
          <w:trHeight w:val="1453"/>
        </w:trPr>
        <w:tc>
          <w:tcPr>
            <w:tcW w:w="9016" w:type="dxa"/>
          </w:tcPr>
          <w:p w14:paraId="51705A06" w14:textId="77777777" w:rsidR="00290E98" w:rsidRPr="005737F1" w:rsidRDefault="00290E98" w:rsidP="00891722">
            <w:pPr>
              <w:tabs>
                <w:tab w:val="left" w:pos="164"/>
                <w:tab w:val="left" w:pos="447"/>
              </w:tabs>
              <w:ind w:left="447" w:hanging="447"/>
              <w:jc w:val="both"/>
              <w:rPr>
                <w:rFonts w:cstheme="minorHAnsi"/>
                <w:szCs w:val="20"/>
              </w:rPr>
            </w:pPr>
            <w:r w:rsidRPr="005737F1">
              <w:rPr>
                <w:rFonts w:cstheme="minorHAnsi"/>
                <w:szCs w:val="20"/>
              </w:rPr>
              <w:t>i</w:t>
            </w:r>
            <w:r w:rsidRPr="005737F1">
              <w:rPr>
                <w:rFonts w:cstheme="minorHAnsi"/>
                <w:szCs w:val="20"/>
              </w:rPr>
              <w:tab/>
              <w:t>a)</w:t>
            </w:r>
            <w:r w:rsidRPr="005737F1">
              <w:rPr>
                <w:rFonts w:cstheme="minorHAnsi"/>
                <w:szCs w:val="20"/>
              </w:rPr>
              <w:tab/>
              <w:t>Where are investors likely to move if MMFs become less attractive as a result of the policy option?</w:t>
            </w:r>
            <w:r w:rsidRPr="005737F1">
              <w:rPr>
                <w:rFonts w:cstheme="minorHAnsi"/>
                <w:szCs w:val="20"/>
              </w:rPr>
              <w:tab/>
            </w:r>
          </w:p>
          <w:p w14:paraId="5E3A850D" w14:textId="77777777" w:rsidR="00290E98" w:rsidRPr="005737F1" w:rsidRDefault="00290E98" w:rsidP="00891722">
            <w:pPr>
              <w:tabs>
                <w:tab w:val="left" w:pos="164"/>
                <w:tab w:val="left" w:pos="447"/>
              </w:tabs>
              <w:ind w:left="360"/>
              <w:jc w:val="both"/>
              <w:rPr>
                <w:rFonts w:cstheme="minorHAnsi"/>
                <w:szCs w:val="20"/>
              </w:rPr>
            </w:pPr>
            <w:r w:rsidRPr="005737F1">
              <w:rPr>
                <w:rFonts w:cstheme="minorHAnsi"/>
                <w:color w:val="000000" w:themeColor="text1"/>
                <w:szCs w:val="20"/>
              </w:rPr>
              <w:t xml:space="preserve">N/A </w:t>
            </w:r>
          </w:p>
        </w:tc>
      </w:tr>
    </w:tbl>
    <w:p w14:paraId="58EC3C68" w14:textId="77777777" w:rsidR="00290E98" w:rsidRDefault="00290E98" w:rsidP="00492B3A"/>
    <w:p w14:paraId="0AB3A7A1" w14:textId="6869802A" w:rsidR="00492B3A" w:rsidRDefault="00492B3A" w:rsidP="00492B3A"/>
    <w:permEnd w:id="70807355"/>
    <w:p w14:paraId="293286B0" w14:textId="136AD9C5" w:rsidR="00492B3A" w:rsidRDefault="00492B3A" w:rsidP="00492B3A">
      <w:r>
        <w:t>&lt;ESMA_QUESTION_</w:t>
      </w:r>
      <w:r w:rsidR="00DC1B3F">
        <w:t>MMFR</w:t>
      </w:r>
      <w:r>
        <w:t>_9&gt;</w:t>
      </w:r>
    </w:p>
    <w:p w14:paraId="1265C514" w14:textId="77777777" w:rsidR="00492B3A" w:rsidRDefault="00492B3A" w:rsidP="00492B3A"/>
    <w:p w14:paraId="65464EDE" w14:textId="2A297D67" w:rsidR="00492B3A" w:rsidRDefault="00976448" w:rsidP="00492B3A">
      <w:pPr>
        <w:pStyle w:val="Questionstyle"/>
      </w:pPr>
      <w:r w:rsidRPr="00F43E30">
        <w:rPr>
          <w:bdr w:val="none" w:sz="0" w:space="0" w:color="auto" w:frame="1"/>
          <w:lang w:val="en-IE"/>
        </w:rPr>
        <w:t>Do you agree with the above assessment on the potential need to review the reporting requirements under the MMF Regulation? When you answer this question, please also take into account the grid of criteria listed in paragraphs 76 to 80</w:t>
      </w:r>
      <w:r>
        <w:t>.</w:t>
      </w:r>
    </w:p>
    <w:p w14:paraId="554C7E7D" w14:textId="478CBB4E" w:rsidR="00492B3A" w:rsidRDefault="00492B3A" w:rsidP="00492B3A">
      <w:r>
        <w:t>&lt;ESMA_QUESTION_</w:t>
      </w:r>
      <w:r w:rsidR="00DC1B3F">
        <w:t>MMFR</w:t>
      </w:r>
      <w:r>
        <w:t>_10&gt;</w:t>
      </w:r>
    </w:p>
    <w:p w14:paraId="663410CE" w14:textId="77777777" w:rsidR="00290E98" w:rsidRDefault="00290E98" w:rsidP="00492B3A">
      <w:permStart w:id="1969951227" w:edGrp="everyone"/>
    </w:p>
    <w:p w14:paraId="7DCB6FD7" w14:textId="77777777" w:rsidR="00290E98" w:rsidRPr="005737F1" w:rsidRDefault="00290E98" w:rsidP="00290E98">
      <w:pPr>
        <w:jc w:val="both"/>
        <w:rPr>
          <w:rFonts w:cstheme="minorHAnsi"/>
          <w:color w:val="000000" w:themeColor="text1"/>
          <w:szCs w:val="20"/>
        </w:rPr>
      </w:pPr>
    </w:p>
    <w:p w14:paraId="008E87B7" w14:textId="77777777" w:rsidR="00290E98" w:rsidRPr="005737F1" w:rsidRDefault="00290E98" w:rsidP="00290E98">
      <w:pPr>
        <w:jc w:val="both"/>
        <w:rPr>
          <w:rFonts w:cstheme="minorHAnsi"/>
          <w:color w:val="000000" w:themeColor="text1"/>
          <w:szCs w:val="20"/>
        </w:rPr>
      </w:pPr>
      <w:r w:rsidRPr="005737F1">
        <w:rPr>
          <w:rFonts w:cstheme="minorHAnsi"/>
          <w:color w:val="000000" w:themeColor="text1"/>
          <w:szCs w:val="20"/>
        </w:rPr>
        <w:t xml:space="preserve">We believe the current reporting is already very detailed and frequent and therefore should not be increased further. The existing reporting requirements are already a significant undertaking involving custodians, administrators and transfer agents. All our MMFs are over the </w:t>
      </w:r>
      <w:r w:rsidRPr="005737F1">
        <w:rPr>
          <w:rFonts w:cstheme="minorHAnsi"/>
          <w:color w:val="000000" w:themeColor="text1"/>
          <w:szCs w:val="20"/>
        </w:rPr>
        <w:lastRenderedPageBreak/>
        <w:t>minimum EUR 100 million and therefore report quarterly. It would be challenging to speed up the production of the existing reporting given the amount of data and sources from which it is compiled.</w:t>
      </w:r>
    </w:p>
    <w:p w14:paraId="76F92DA7" w14:textId="77777777" w:rsidR="00290E98" w:rsidRPr="005737F1" w:rsidRDefault="00290E98" w:rsidP="00290E98">
      <w:pPr>
        <w:jc w:val="both"/>
        <w:rPr>
          <w:rFonts w:cstheme="minorHAnsi"/>
          <w:color w:val="000000" w:themeColor="text1"/>
          <w:szCs w:val="20"/>
        </w:rPr>
      </w:pPr>
    </w:p>
    <w:p w14:paraId="50594605" w14:textId="77777777" w:rsidR="00290E98" w:rsidRPr="005737F1" w:rsidRDefault="00290E98" w:rsidP="00290E98">
      <w:pPr>
        <w:jc w:val="both"/>
        <w:rPr>
          <w:rFonts w:cstheme="minorHAnsi"/>
          <w:color w:val="000000" w:themeColor="text1"/>
          <w:szCs w:val="20"/>
        </w:rPr>
      </w:pPr>
      <w:r w:rsidRPr="005737F1">
        <w:rPr>
          <w:rFonts w:cstheme="minorHAnsi"/>
          <w:color w:val="000000" w:themeColor="text1"/>
          <w:szCs w:val="20"/>
        </w:rPr>
        <w:t>Whilst there could be some benefit in greater transparency provided to regulators, reporting is, by its nature, backward looking and lagged.  The regulatory reporting put in place for MMFs is particularly onerous when compared to other fund types.  However, it is already a month out of date before it makes it way to regulators and given the short nature of MMF investments, a ‘live’ view of the fund could look very different compared with the regulatory filing.</w:t>
      </w:r>
    </w:p>
    <w:p w14:paraId="0BE017D8" w14:textId="77777777" w:rsidR="00290E98" w:rsidRPr="005737F1" w:rsidRDefault="00290E98" w:rsidP="00290E98">
      <w:pPr>
        <w:jc w:val="both"/>
        <w:rPr>
          <w:rFonts w:cstheme="minorHAnsi"/>
          <w:color w:val="000000" w:themeColor="text1"/>
          <w:szCs w:val="20"/>
          <w:highlight w:val="cyan"/>
        </w:rPr>
      </w:pPr>
    </w:p>
    <w:p w14:paraId="2EFF6DC5" w14:textId="77777777" w:rsidR="00290E98" w:rsidRPr="005737F1" w:rsidRDefault="00290E98" w:rsidP="00290E98">
      <w:pPr>
        <w:jc w:val="both"/>
        <w:rPr>
          <w:rFonts w:cstheme="minorHAnsi"/>
          <w:color w:val="000000" w:themeColor="text1"/>
          <w:szCs w:val="20"/>
        </w:rPr>
      </w:pPr>
      <w:r w:rsidRPr="005737F1">
        <w:rPr>
          <w:rFonts w:cstheme="minorHAnsi"/>
          <w:color w:val="000000" w:themeColor="text1"/>
          <w:szCs w:val="20"/>
        </w:rPr>
        <w:t>Providing additional or more frequent reporting only during a crisis event would also be problematic. During a crisis fund managers and service providers (fund administrators and transfer agents) experience significantly higher volumes of work due to increased investor activity, increased market trading activity, valuation checks/challenges, tolerance breaches to be investigated, etc.  Demanding additional reporting during the busiest time would create more operational stress on the system and risk that the core role of ensuring the smooth running of MMFs could be jeopardised.</w:t>
      </w:r>
    </w:p>
    <w:p w14:paraId="1822F02B" w14:textId="77777777" w:rsidR="00290E98" w:rsidRPr="005737F1" w:rsidRDefault="00290E98" w:rsidP="00290E98">
      <w:pPr>
        <w:jc w:val="both"/>
        <w:rPr>
          <w:rFonts w:cstheme="minorHAnsi"/>
          <w:color w:val="000000" w:themeColor="text1"/>
          <w:szCs w:val="20"/>
          <w:highlight w:val="yellow"/>
        </w:rPr>
      </w:pPr>
    </w:p>
    <w:p w14:paraId="776AED6C" w14:textId="0F644DAF" w:rsidR="00290E98" w:rsidRPr="005737F1" w:rsidRDefault="00290E98" w:rsidP="00290E98">
      <w:pPr>
        <w:rPr>
          <w:szCs w:val="20"/>
        </w:rPr>
      </w:pPr>
      <w:r w:rsidRPr="005737F1">
        <w:rPr>
          <w:rFonts w:cstheme="minorHAnsi"/>
          <w:color w:val="000000" w:themeColor="text1"/>
          <w:szCs w:val="20"/>
        </w:rPr>
        <w:t>Some funds already provided additional reporting at the request of their local NCAs (CBI/CSSF</w:t>
      </w:r>
    </w:p>
    <w:tbl>
      <w:tblPr>
        <w:tblStyle w:val="TableGrid"/>
        <w:tblW w:w="0" w:type="auto"/>
        <w:tblLook w:val="04A0" w:firstRow="1" w:lastRow="0" w:firstColumn="1" w:lastColumn="0" w:noHBand="0" w:noVBand="1"/>
      </w:tblPr>
      <w:tblGrid>
        <w:gridCol w:w="9016"/>
      </w:tblGrid>
      <w:tr w:rsidR="00290E98" w:rsidRPr="005737F1" w14:paraId="654A7EAD" w14:textId="77777777" w:rsidTr="00891722">
        <w:tc>
          <w:tcPr>
            <w:tcW w:w="9016" w:type="dxa"/>
            <w:shd w:val="clear" w:color="auto" w:fill="EEECE1" w:themeFill="background2"/>
          </w:tcPr>
          <w:p w14:paraId="396AF779" w14:textId="77777777" w:rsidR="00290E98" w:rsidRPr="005737F1" w:rsidRDefault="00290E98" w:rsidP="00891722">
            <w:pPr>
              <w:jc w:val="both"/>
              <w:rPr>
                <w:rFonts w:cstheme="minorHAnsi"/>
                <w:b/>
                <w:bCs/>
                <w:color w:val="000000" w:themeColor="text1"/>
                <w:szCs w:val="20"/>
              </w:rPr>
            </w:pPr>
            <w:r w:rsidRPr="005737F1">
              <w:rPr>
                <w:rFonts w:cstheme="minorHAnsi"/>
                <w:b/>
                <w:bCs/>
                <w:color w:val="000000" w:themeColor="text1"/>
                <w:szCs w:val="20"/>
              </w:rPr>
              <w:t>I    Impact on the Resilience of MMFs</w:t>
            </w:r>
          </w:p>
          <w:p w14:paraId="57A4B898" w14:textId="77777777" w:rsidR="00290E98" w:rsidRPr="005737F1" w:rsidRDefault="00290E98" w:rsidP="00891722">
            <w:pPr>
              <w:jc w:val="both"/>
              <w:rPr>
                <w:rFonts w:cstheme="minorHAnsi"/>
                <w:color w:val="000000" w:themeColor="text1"/>
                <w:szCs w:val="20"/>
              </w:rPr>
            </w:pPr>
          </w:p>
        </w:tc>
      </w:tr>
      <w:tr w:rsidR="00290E98" w:rsidRPr="005737F1" w14:paraId="71EDD019" w14:textId="77777777" w:rsidTr="00891722">
        <w:tc>
          <w:tcPr>
            <w:tcW w:w="9016" w:type="dxa"/>
          </w:tcPr>
          <w:p w14:paraId="75EA9C6B" w14:textId="77777777" w:rsidR="00290E98" w:rsidRPr="005737F1" w:rsidRDefault="00290E98" w:rsidP="00891722">
            <w:pPr>
              <w:ind w:left="306" w:hanging="306"/>
              <w:jc w:val="both"/>
              <w:rPr>
                <w:rFonts w:cstheme="minorHAnsi"/>
                <w:i/>
                <w:iCs/>
                <w:color w:val="000000" w:themeColor="text1"/>
                <w:szCs w:val="20"/>
              </w:rPr>
            </w:pPr>
            <w:r w:rsidRPr="005737F1">
              <w:rPr>
                <w:rFonts w:cstheme="minorHAnsi"/>
                <w:i/>
                <w:iCs/>
                <w:color w:val="000000" w:themeColor="text1"/>
                <w:szCs w:val="20"/>
              </w:rPr>
              <w:t xml:space="preserve">i </w:t>
            </w:r>
            <w:r w:rsidRPr="005737F1">
              <w:rPr>
                <w:rFonts w:cstheme="minorHAnsi"/>
                <w:i/>
                <w:iCs/>
                <w:color w:val="000000" w:themeColor="text1"/>
                <w:szCs w:val="20"/>
              </w:rPr>
              <w:tab/>
              <w:t>How would the policy option work in mitigating the structural vulnerabilities of MMFs?</w:t>
            </w:r>
          </w:p>
          <w:p w14:paraId="447FB273" w14:textId="77777777" w:rsidR="00290E98" w:rsidRPr="005737F1" w:rsidRDefault="00290E98" w:rsidP="00891722">
            <w:pPr>
              <w:spacing w:after="120"/>
              <w:ind w:left="360"/>
              <w:jc w:val="both"/>
              <w:rPr>
                <w:rFonts w:cstheme="minorHAnsi"/>
                <w:color w:val="000000" w:themeColor="text1"/>
                <w:szCs w:val="20"/>
              </w:rPr>
            </w:pPr>
            <w:r w:rsidRPr="005737F1">
              <w:rPr>
                <w:rFonts w:cstheme="minorHAnsi"/>
                <w:color w:val="000000" w:themeColor="text1"/>
                <w:szCs w:val="20"/>
              </w:rPr>
              <w:t>Increased reporting will not bring greater stability to MMFs.</w:t>
            </w:r>
          </w:p>
        </w:tc>
      </w:tr>
      <w:tr w:rsidR="00290E98" w:rsidRPr="005737F1" w14:paraId="6D0C39A6" w14:textId="77777777" w:rsidTr="00891722">
        <w:tc>
          <w:tcPr>
            <w:tcW w:w="9016" w:type="dxa"/>
          </w:tcPr>
          <w:p w14:paraId="4B55459E" w14:textId="77777777" w:rsidR="00290E98" w:rsidRPr="005737F1" w:rsidRDefault="00290E98" w:rsidP="00891722">
            <w:pPr>
              <w:ind w:left="306" w:hanging="284"/>
              <w:jc w:val="both"/>
              <w:rPr>
                <w:rFonts w:cstheme="minorHAnsi"/>
                <w:i/>
                <w:iCs/>
                <w:color w:val="000000" w:themeColor="text1"/>
                <w:szCs w:val="20"/>
              </w:rPr>
            </w:pPr>
            <w:r w:rsidRPr="005737F1">
              <w:rPr>
                <w:rFonts w:cstheme="minorHAnsi"/>
                <w:i/>
                <w:iCs/>
                <w:color w:val="000000" w:themeColor="text1"/>
                <w:szCs w:val="20"/>
              </w:rPr>
              <w:t>ii</w:t>
            </w:r>
            <w:r w:rsidRPr="005737F1">
              <w:rPr>
                <w:rFonts w:cstheme="minorHAnsi"/>
                <w:i/>
                <w:iCs/>
                <w:color w:val="000000" w:themeColor="text1"/>
                <w:szCs w:val="20"/>
              </w:rPr>
              <w:tab/>
              <w:t>Would it apply to all MMFs?</w:t>
            </w:r>
          </w:p>
          <w:p w14:paraId="215CA607" w14:textId="77777777" w:rsidR="00290E98" w:rsidRPr="005737F1" w:rsidRDefault="00290E98" w:rsidP="00891722">
            <w:pPr>
              <w:ind w:left="306"/>
              <w:jc w:val="both"/>
              <w:rPr>
                <w:rFonts w:cstheme="minorHAnsi"/>
                <w:color w:val="000000" w:themeColor="text1"/>
                <w:szCs w:val="20"/>
              </w:rPr>
            </w:pPr>
            <w:r w:rsidRPr="005737F1">
              <w:rPr>
                <w:rFonts w:cstheme="minorHAnsi"/>
                <w:color w:val="000000" w:themeColor="text1"/>
                <w:szCs w:val="20"/>
              </w:rPr>
              <w:t>Any additional reporting should apply to all MMFs</w:t>
            </w:r>
          </w:p>
          <w:p w14:paraId="7A5A1608" w14:textId="77777777" w:rsidR="00290E98" w:rsidRPr="005737F1" w:rsidRDefault="00290E98" w:rsidP="00891722">
            <w:pPr>
              <w:jc w:val="both"/>
              <w:rPr>
                <w:rFonts w:cstheme="minorHAnsi"/>
                <w:color w:val="000000" w:themeColor="text1"/>
                <w:szCs w:val="20"/>
              </w:rPr>
            </w:pPr>
            <w:r w:rsidRPr="005737F1">
              <w:rPr>
                <w:rFonts w:cstheme="minorHAnsi"/>
                <w:color w:val="000000" w:themeColor="text1"/>
                <w:szCs w:val="20"/>
              </w:rPr>
              <w:tab/>
            </w:r>
          </w:p>
        </w:tc>
      </w:tr>
      <w:tr w:rsidR="00290E98" w:rsidRPr="005737F1" w14:paraId="0A34EED6" w14:textId="77777777" w:rsidTr="00891722">
        <w:tc>
          <w:tcPr>
            <w:tcW w:w="9016" w:type="dxa"/>
          </w:tcPr>
          <w:p w14:paraId="090C822E" w14:textId="77777777" w:rsidR="00290E98" w:rsidRPr="005737F1" w:rsidRDefault="00290E98" w:rsidP="00891722">
            <w:pPr>
              <w:tabs>
                <w:tab w:val="left" w:pos="306"/>
                <w:tab w:val="left" w:pos="690"/>
              </w:tabs>
              <w:ind w:left="447" w:hanging="447"/>
              <w:jc w:val="both"/>
              <w:rPr>
                <w:rFonts w:cstheme="minorHAnsi"/>
                <w:color w:val="000000" w:themeColor="text1"/>
                <w:szCs w:val="20"/>
              </w:rPr>
            </w:pPr>
            <w:r w:rsidRPr="005737F1">
              <w:rPr>
                <w:rFonts w:cstheme="minorHAnsi"/>
                <w:i/>
                <w:iCs/>
                <w:color w:val="000000" w:themeColor="text1"/>
                <w:szCs w:val="20"/>
              </w:rPr>
              <w:t>ii</w:t>
            </w:r>
            <w:r w:rsidRPr="005737F1">
              <w:rPr>
                <w:rFonts w:cstheme="minorHAnsi"/>
                <w:i/>
                <w:iCs/>
                <w:color w:val="000000" w:themeColor="text1"/>
                <w:szCs w:val="20"/>
              </w:rPr>
              <w:tab/>
              <w:t>a)</w:t>
            </w:r>
            <w:r w:rsidRPr="005737F1">
              <w:rPr>
                <w:rFonts w:cstheme="minorHAnsi"/>
                <w:i/>
                <w:iCs/>
                <w:color w:val="000000" w:themeColor="text1"/>
                <w:szCs w:val="20"/>
              </w:rPr>
              <w:tab/>
            </w:r>
            <w:r w:rsidRPr="005737F1">
              <w:rPr>
                <w:rFonts w:cstheme="minorHAnsi"/>
                <w:color w:val="000000" w:themeColor="text1"/>
                <w:szCs w:val="20"/>
              </w:rPr>
              <w:tab/>
            </w:r>
          </w:p>
          <w:p w14:paraId="3FEACF57" w14:textId="77777777" w:rsidR="00290E98" w:rsidRPr="005737F1" w:rsidRDefault="00290E98" w:rsidP="00891722">
            <w:pPr>
              <w:tabs>
                <w:tab w:val="left" w:pos="306"/>
              </w:tabs>
              <w:jc w:val="both"/>
              <w:rPr>
                <w:rFonts w:cstheme="minorHAnsi"/>
                <w:color w:val="000000" w:themeColor="text1"/>
                <w:szCs w:val="20"/>
              </w:rPr>
            </w:pPr>
            <w:r w:rsidRPr="005737F1">
              <w:rPr>
                <w:rFonts w:cstheme="minorHAnsi"/>
                <w:i/>
                <w:iCs/>
                <w:color w:val="000000" w:themeColor="text1"/>
                <w:szCs w:val="20"/>
              </w:rPr>
              <w:tab/>
              <w:t>b)</w:t>
            </w:r>
            <w:r w:rsidRPr="005737F1">
              <w:rPr>
                <w:rFonts w:cstheme="minorHAnsi"/>
                <w:i/>
                <w:iCs/>
                <w:color w:val="000000" w:themeColor="text1"/>
                <w:szCs w:val="20"/>
              </w:rPr>
              <w:tab/>
            </w:r>
            <w:r w:rsidRPr="005737F1">
              <w:rPr>
                <w:rFonts w:cstheme="minorHAnsi"/>
                <w:color w:val="000000" w:themeColor="text1"/>
                <w:szCs w:val="20"/>
              </w:rPr>
              <w:t xml:space="preserve">How would it represent a change from current rules or practices in other </w:t>
            </w:r>
            <w:r w:rsidRPr="005737F1">
              <w:rPr>
                <w:rFonts w:cstheme="minorHAnsi"/>
                <w:color w:val="000000" w:themeColor="text1"/>
                <w:szCs w:val="20"/>
              </w:rPr>
              <w:tab/>
            </w:r>
            <w:r w:rsidRPr="005737F1">
              <w:rPr>
                <w:rFonts w:cstheme="minorHAnsi"/>
                <w:color w:val="000000" w:themeColor="text1"/>
                <w:szCs w:val="20"/>
              </w:rPr>
              <w:tab/>
            </w:r>
            <w:r w:rsidRPr="005737F1">
              <w:rPr>
                <w:rFonts w:cstheme="minorHAnsi"/>
                <w:color w:val="000000" w:themeColor="text1"/>
                <w:szCs w:val="20"/>
              </w:rPr>
              <w:tab/>
            </w:r>
            <w:r w:rsidRPr="005737F1">
              <w:rPr>
                <w:rFonts w:cstheme="minorHAnsi"/>
                <w:color w:val="000000" w:themeColor="text1"/>
                <w:szCs w:val="20"/>
              </w:rPr>
              <w:tab/>
              <w:t>jurisdictions?</w:t>
            </w:r>
          </w:p>
          <w:p w14:paraId="2E211206" w14:textId="77777777" w:rsidR="00290E98" w:rsidRPr="005737F1" w:rsidRDefault="00290E98" w:rsidP="00891722">
            <w:pPr>
              <w:tabs>
                <w:tab w:val="left" w:pos="306"/>
              </w:tabs>
              <w:ind w:left="360"/>
              <w:jc w:val="both"/>
              <w:rPr>
                <w:rFonts w:cstheme="minorHAnsi"/>
                <w:color w:val="000000" w:themeColor="text1"/>
                <w:szCs w:val="20"/>
              </w:rPr>
            </w:pPr>
            <w:r w:rsidRPr="005737F1">
              <w:rPr>
                <w:rFonts w:cstheme="minorHAnsi"/>
                <w:color w:val="000000" w:themeColor="text1"/>
                <w:szCs w:val="20"/>
              </w:rPr>
              <w:t>Reporting requirements for MMFs are already onerous compared to other types of funds.</w:t>
            </w:r>
          </w:p>
          <w:p w14:paraId="45BD4CB7" w14:textId="77777777" w:rsidR="00290E98" w:rsidRPr="005737F1" w:rsidRDefault="00290E98" w:rsidP="00891722">
            <w:pPr>
              <w:tabs>
                <w:tab w:val="left" w:pos="306"/>
              </w:tabs>
              <w:jc w:val="both"/>
              <w:rPr>
                <w:rFonts w:cstheme="minorHAnsi"/>
                <w:i/>
                <w:iCs/>
                <w:color w:val="000000" w:themeColor="text1"/>
                <w:szCs w:val="20"/>
              </w:rPr>
            </w:pPr>
          </w:p>
        </w:tc>
      </w:tr>
      <w:tr w:rsidR="00290E98" w:rsidRPr="005737F1" w14:paraId="287A16BC" w14:textId="77777777" w:rsidTr="00290E98">
        <w:tc>
          <w:tcPr>
            <w:tcW w:w="9016" w:type="dxa"/>
          </w:tcPr>
          <w:p w14:paraId="48108672" w14:textId="77777777" w:rsidR="00290E98" w:rsidRPr="005737F1" w:rsidRDefault="00290E98" w:rsidP="00891722">
            <w:pPr>
              <w:jc w:val="both"/>
              <w:rPr>
                <w:rFonts w:cstheme="minorHAnsi"/>
                <w:b/>
                <w:bCs/>
                <w:color w:val="000000" w:themeColor="text1"/>
                <w:szCs w:val="20"/>
              </w:rPr>
            </w:pPr>
            <w:r w:rsidRPr="005737F1">
              <w:rPr>
                <w:rFonts w:cstheme="minorHAnsi"/>
                <w:b/>
                <w:bCs/>
                <w:color w:val="000000" w:themeColor="text1"/>
                <w:szCs w:val="20"/>
              </w:rPr>
              <w:t>II    Effects on Investor Behaviour</w:t>
            </w:r>
          </w:p>
          <w:p w14:paraId="3D029E27" w14:textId="77777777" w:rsidR="00290E98" w:rsidRPr="005737F1" w:rsidRDefault="00290E98" w:rsidP="00891722">
            <w:pPr>
              <w:jc w:val="both"/>
              <w:rPr>
                <w:rFonts w:cstheme="minorHAnsi"/>
                <w:color w:val="000000" w:themeColor="text1"/>
                <w:szCs w:val="20"/>
              </w:rPr>
            </w:pPr>
            <w:r w:rsidRPr="005737F1">
              <w:rPr>
                <w:rFonts w:cstheme="minorHAnsi"/>
                <w:color w:val="000000" w:themeColor="text1"/>
                <w:szCs w:val="20"/>
              </w:rPr>
              <w:tab/>
            </w:r>
          </w:p>
        </w:tc>
      </w:tr>
      <w:tr w:rsidR="00290E98" w:rsidRPr="005737F1" w14:paraId="0C3C6910" w14:textId="77777777" w:rsidTr="00290E98">
        <w:tc>
          <w:tcPr>
            <w:tcW w:w="9016" w:type="dxa"/>
          </w:tcPr>
          <w:p w14:paraId="6EC6F898" w14:textId="77777777" w:rsidR="00290E98" w:rsidRPr="005737F1" w:rsidRDefault="00290E98" w:rsidP="00891722">
            <w:pPr>
              <w:ind w:left="447" w:hanging="447"/>
              <w:jc w:val="both"/>
              <w:rPr>
                <w:rFonts w:cstheme="minorHAnsi"/>
                <w:color w:val="000000" w:themeColor="text1"/>
                <w:szCs w:val="20"/>
              </w:rPr>
            </w:pPr>
            <w:r w:rsidRPr="005737F1">
              <w:rPr>
                <w:rFonts w:cstheme="minorHAnsi"/>
                <w:i/>
                <w:iCs/>
                <w:color w:val="000000" w:themeColor="text1"/>
                <w:szCs w:val="20"/>
              </w:rPr>
              <w:t xml:space="preserve">i </w:t>
            </w:r>
            <w:r w:rsidRPr="005737F1">
              <w:rPr>
                <w:rFonts w:cstheme="minorHAnsi"/>
                <w:b/>
                <w:bCs/>
                <w:i/>
                <w:iCs/>
                <w:color w:val="000000" w:themeColor="text1"/>
                <w:szCs w:val="20"/>
              </w:rPr>
              <w:tab/>
            </w:r>
            <w:r w:rsidRPr="005737F1">
              <w:rPr>
                <w:rFonts w:cstheme="minorHAnsi"/>
                <w:color w:val="000000" w:themeColor="text1"/>
                <w:szCs w:val="20"/>
              </w:rPr>
              <w:t>From a micro perspective (viewing the MMF in isolation), how would the policy option affect investors’ incentives to redeem during stress events?</w:t>
            </w:r>
          </w:p>
          <w:p w14:paraId="623BD84D" w14:textId="77777777" w:rsidR="00290E98" w:rsidRPr="005737F1" w:rsidRDefault="00290E98" w:rsidP="00891722">
            <w:pPr>
              <w:ind w:left="447" w:hanging="447"/>
              <w:jc w:val="both"/>
              <w:rPr>
                <w:rFonts w:cstheme="minorHAnsi"/>
                <w:color w:val="000000" w:themeColor="text1"/>
                <w:szCs w:val="20"/>
              </w:rPr>
            </w:pPr>
          </w:p>
          <w:p w14:paraId="2CE5F032" w14:textId="77777777" w:rsidR="00290E98" w:rsidRPr="005737F1" w:rsidRDefault="00290E98" w:rsidP="00891722">
            <w:pPr>
              <w:ind w:left="447"/>
              <w:jc w:val="both"/>
              <w:rPr>
                <w:rFonts w:cstheme="minorHAnsi"/>
                <w:b/>
                <w:bCs/>
                <w:i/>
                <w:iCs/>
                <w:color w:val="000000" w:themeColor="text1"/>
                <w:szCs w:val="20"/>
              </w:rPr>
            </w:pPr>
            <w:r w:rsidRPr="005737F1">
              <w:rPr>
                <w:rFonts w:cstheme="minorHAnsi"/>
                <w:color w:val="000000" w:themeColor="text1"/>
                <w:szCs w:val="20"/>
              </w:rPr>
              <w:t>Additional reporting to regulators would not affect investor behaviour</w:t>
            </w:r>
          </w:p>
        </w:tc>
      </w:tr>
      <w:tr w:rsidR="00290E98" w:rsidRPr="005737F1" w14:paraId="5F9C4B1E" w14:textId="77777777" w:rsidTr="00290E98">
        <w:tc>
          <w:tcPr>
            <w:tcW w:w="9016" w:type="dxa"/>
          </w:tcPr>
          <w:p w14:paraId="04973573" w14:textId="77777777" w:rsidR="00290E98" w:rsidRPr="005737F1" w:rsidRDefault="00290E98" w:rsidP="00891722">
            <w:pPr>
              <w:ind w:left="447" w:hanging="447"/>
              <w:jc w:val="both"/>
              <w:rPr>
                <w:rFonts w:cstheme="minorHAnsi"/>
                <w:color w:val="000000" w:themeColor="text1"/>
                <w:szCs w:val="20"/>
              </w:rPr>
            </w:pPr>
            <w:r w:rsidRPr="005737F1">
              <w:rPr>
                <w:rFonts w:cstheme="minorHAnsi"/>
                <w:i/>
                <w:iCs/>
                <w:color w:val="000000" w:themeColor="text1"/>
                <w:szCs w:val="20"/>
              </w:rPr>
              <w:t>ii</w:t>
            </w:r>
            <w:r w:rsidRPr="005737F1">
              <w:rPr>
                <w:rFonts w:cstheme="minorHAnsi"/>
                <w:b/>
                <w:bCs/>
                <w:i/>
                <w:iCs/>
                <w:color w:val="000000" w:themeColor="text1"/>
                <w:szCs w:val="20"/>
              </w:rPr>
              <w:tab/>
            </w:r>
            <w:r w:rsidRPr="005737F1">
              <w:rPr>
                <w:rFonts w:cstheme="minorHAnsi"/>
                <w:color w:val="000000" w:themeColor="text1"/>
                <w:szCs w:val="20"/>
              </w:rPr>
              <w:t>From a macro perspective, how would this option mitigate the effects of a generalised “dash for cash” as seen in March 2020; and/or runs prompted by a credit crisis, as seen in September 2008?</w:t>
            </w:r>
          </w:p>
          <w:p w14:paraId="37EA3DD1" w14:textId="77777777" w:rsidR="00290E98" w:rsidRPr="005737F1" w:rsidRDefault="00290E98" w:rsidP="00891722">
            <w:pPr>
              <w:ind w:left="447"/>
              <w:jc w:val="both"/>
              <w:rPr>
                <w:rFonts w:cstheme="minorHAnsi"/>
                <w:color w:val="000000" w:themeColor="text1"/>
                <w:szCs w:val="20"/>
              </w:rPr>
            </w:pPr>
            <w:r w:rsidRPr="005737F1">
              <w:rPr>
                <w:rFonts w:cstheme="minorHAnsi"/>
                <w:color w:val="000000" w:themeColor="text1"/>
                <w:szCs w:val="20"/>
              </w:rPr>
              <w:t>The principle of additional reporting would be to provide regulators with advance warning of stress in the system. Given the operational constraints on reporting which is already very detailed it is unlikely in our view that data could be sufficiently ‘real-time’ to make this objective likely.</w:t>
            </w:r>
          </w:p>
          <w:p w14:paraId="305247E1" w14:textId="77777777" w:rsidR="00290E98" w:rsidRPr="005737F1" w:rsidRDefault="00290E98" w:rsidP="00891722">
            <w:pPr>
              <w:ind w:left="447" w:hanging="447"/>
              <w:jc w:val="both"/>
              <w:rPr>
                <w:rFonts w:cstheme="minorHAnsi"/>
                <w:b/>
                <w:bCs/>
                <w:i/>
                <w:iCs/>
                <w:color w:val="000000" w:themeColor="text1"/>
                <w:szCs w:val="20"/>
              </w:rPr>
            </w:pPr>
          </w:p>
        </w:tc>
      </w:tr>
      <w:tr w:rsidR="00290E98" w:rsidRPr="005737F1" w14:paraId="50A254B1" w14:textId="77777777" w:rsidTr="00290E98">
        <w:tc>
          <w:tcPr>
            <w:tcW w:w="9016" w:type="dxa"/>
          </w:tcPr>
          <w:p w14:paraId="09FAA993" w14:textId="77777777" w:rsidR="00290E98" w:rsidRPr="005737F1" w:rsidRDefault="00290E98" w:rsidP="00891722">
            <w:pPr>
              <w:ind w:left="447" w:hanging="447"/>
              <w:jc w:val="both"/>
              <w:rPr>
                <w:rFonts w:cstheme="minorHAnsi"/>
                <w:color w:val="000000" w:themeColor="text1"/>
                <w:szCs w:val="20"/>
              </w:rPr>
            </w:pPr>
            <w:r w:rsidRPr="005737F1">
              <w:rPr>
                <w:rFonts w:cstheme="minorHAnsi"/>
                <w:i/>
                <w:iCs/>
                <w:color w:val="000000" w:themeColor="text1"/>
                <w:szCs w:val="20"/>
              </w:rPr>
              <w:t>iii a)</w:t>
            </w:r>
            <w:r w:rsidRPr="005737F1">
              <w:rPr>
                <w:rFonts w:cstheme="minorHAnsi"/>
                <w:color w:val="000000" w:themeColor="text1"/>
                <w:szCs w:val="20"/>
              </w:rPr>
              <w:t xml:space="preserve"> Does the option effectively shift MMF risks to investors?</w:t>
            </w:r>
          </w:p>
          <w:p w14:paraId="7048208D" w14:textId="77777777" w:rsidR="00290E98" w:rsidRPr="005737F1" w:rsidRDefault="00290E98" w:rsidP="00891722">
            <w:pPr>
              <w:ind w:left="447"/>
              <w:jc w:val="both"/>
              <w:rPr>
                <w:rFonts w:cstheme="minorHAnsi"/>
                <w:b/>
                <w:bCs/>
                <w:color w:val="000000" w:themeColor="text1"/>
                <w:szCs w:val="20"/>
              </w:rPr>
            </w:pPr>
            <w:r w:rsidRPr="005737F1">
              <w:rPr>
                <w:rFonts w:cstheme="minorHAnsi"/>
                <w:color w:val="000000" w:themeColor="text1"/>
                <w:szCs w:val="20"/>
              </w:rPr>
              <w:t xml:space="preserve">No </w:t>
            </w:r>
          </w:p>
          <w:p w14:paraId="1A15AB40" w14:textId="77777777" w:rsidR="00290E98" w:rsidRPr="005737F1" w:rsidRDefault="00290E98" w:rsidP="00891722">
            <w:pPr>
              <w:ind w:left="447" w:hanging="447"/>
              <w:jc w:val="both"/>
              <w:rPr>
                <w:rFonts w:cstheme="minorHAnsi"/>
                <w:color w:val="000000" w:themeColor="text1"/>
                <w:szCs w:val="20"/>
              </w:rPr>
            </w:pPr>
            <w:r w:rsidRPr="005737F1">
              <w:rPr>
                <w:rFonts w:cstheme="minorHAnsi"/>
                <w:i/>
                <w:iCs/>
                <w:color w:val="000000" w:themeColor="text1"/>
                <w:szCs w:val="20"/>
              </w:rPr>
              <w:t xml:space="preserve">   b)</w:t>
            </w:r>
            <w:r w:rsidRPr="005737F1">
              <w:rPr>
                <w:rFonts w:cstheme="minorHAnsi"/>
                <w:b/>
                <w:bCs/>
                <w:i/>
                <w:iCs/>
                <w:color w:val="000000" w:themeColor="text1"/>
                <w:szCs w:val="20"/>
              </w:rPr>
              <w:tab/>
            </w:r>
            <w:r w:rsidRPr="005737F1">
              <w:rPr>
                <w:rFonts w:cstheme="minorHAnsi"/>
                <w:color w:val="000000" w:themeColor="text1"/>
                <w:szCs w:val="20"/>
              </w:rPr>
              <w:t>Does it make those risks more salient and transparent for investors? Are investors treated equally?</w:t>
            </w:r>
          </w:p>
          <w:p w14:paraId="4C576AA0" w14:textId="77777777" w:rsidR="00290E98" w:rsidRPr="005737F1" w:rsidRDefault="00290E98" w:rsidP="00891722">
            <w:pPr>
              <w:ind w:left="447"/>
              <w:jc w:val="both"/>
              <w:rPr>
                <w:rFonts w:cstheme="minorHAnsi"/>
                <w:color w:val="000000" w:themeColor="text1"/>
                <w:szCs w:val="20"/>
              </w:rPr>
            </w:pPr>
            <w:r w:rsidRPr="005737F1">
              <w:rPr>
                <w:rFonts w:cstheme="minorHAnsi"/>
                <w:color w:val="000000" w:themeColor="text1"/>
                <w:szCs w:val="20"/>
              </w:rPr>
              <w:t>No. Additional reporting provides more transparency to regulators not investors.</w:t>
            </w:r>
          </w:p>
        </w:tc>
      </w:tr>
      <w:tr w:rsidR="00290E98" w:rsidRPr="005737F1" w14:paraId="1C684B1D" w14:textId="77777777" w:rsidTr="00290E98">
        <w:tc>
          <w:tcPr>
            <w:tcW w:w="9016" w:type="dxa"/>
          </w:tcPr>
          <w:p w14:paraId="5B68619F" w14:textId="77777777" w:rsidR="00290E98" w:rsidRPr="005737F1" w:rsidRDefault="00290E98" w:rsidP="00891722">
            <w:pPr>
              <w:ind w:left="447" w:hanging="447"/>
              <w:jc w:val="both"/>
              <w:rPr>
                <w:rFonts w:cstheme="minorHAnsi"/>
                <w:b/>
                <w:bCs/>
                <w:color w:val="000000" w:themeColor="text1"/>
                <w:szCs w:val="20"/>
              </w:rPr>
            </w:pPr>
            <w:r w:rsidRPr="005737F1">
              <w:rPr>
                <w:rFonts w:cstheme="minorHAnsi"/>
                <w:b/>
                <w:bCs/>
                <w:color w:val="000000" w:themeColor="text1"/>
                <w:szCs w:val="20"/>
              </w:rPr>
              <w:t>III</w:t>
            </w:r>
            <w:r w:rsidRPr="005737F1">
              <w:rPr>
                <w:rFonts w:cstheme="minorHAnsi"/>
                <w:b/>
                <w:bCs/>
                <w:color w:val="000000" w:themeColor="text1"/>
                <w:szCs w:val="20"/>
              </w:rPr>
              <w:tab/>
              <w:t>Effects on Fund Managers</w:t>
            </w:r>
          </w:p>
          <w:p w14:paraId="4E75E894" w14:textId="77777777" w:rsidR="00290E98" w:rsidRPr="005737F1" w:rsidRDefault="00290E98" w:rsidP="00891722">
            <w:pPr>
              <w:jc w:val="both"/>
              <w:rPr>
                <w:rFonts w:cstheme="minorHAnsi"/>
                <w:color w:val="000000" w:themeColor="text1"/>
                <w:szCs w:val="20"/>
              </w:rPr>
            </w:pPr>
          </w:p>
        </w:tc>
      </w:tr>
      <w:tr w:rsidR="00290E98" w:rsidRPr="005737F1" w14:paraId="7D461575" w14:textId="77777777" w:rsidTr="00290E98">
        <w:tc>
          <w:tcPr>
            <w:tcW w:w="9016" w:type="dxa"/>
          </w:tcPr>
          <w:p w14:paraId="681646BD" w14:textId="77777777" w:rsidR="00290E98" w:rsidRPr="005737F1" w:rsidRDefault="00290E98" w:rsidP="00891722">
            <w:pPr>
              <w:ind w:left="447" w:hanging="447"/>
              <w:jc w:val="both"/>
              <w:rPr>
                <w:rFonts w:cstheme="minorHAnsi"/>
                <w:color w:val="000000" w:themeColor="text1"/>
                <w:szCs w:val="20"/>
              </w:rPr>
            </w:pPr>
            <w:r w:rsidRPr="005737F1">
              <w:rPr>
                <w:rFonts w:cstheme="minorHAnsi"/>
                <w:color w:val="000000" w:themeColor="text1"/>
                <w:szCs w:val="20"/>
              </w:rPr>
              <w:t>i</w:t>
            </w:r>
            <w:r w:rsidRPr="005737F1">
              <w:rPr>
                <w:rFonts w:cstheme="minorHAnsi"/>
                <w:color w:val="000000" w:themeColor="text1"/>
                <w:szCs w:val="20"/>
              </w:rPr>
              <w:tab/>
              <w:t>How would the policy option affect MMFs’ liquidity management in normal versus stressed times?</w:t>
            </w:r>
          </w:p>
          <w:p w14:paraId="39A4AB22" w14:textId="77777777" w:rsidR="00290E98" w:rsidRPr="005737F1" w:rsidRDefault="00290E98" w:rsidP="00891722">
            <w:pPr>
              <w:jc w:val="both"/>
              <w:rPr>
                <w:rFonts w:cstheme="minorHAnsi"/>
                <w:color w:val="000000" w:themeColor="text1"/>
                <w:szCs w:val="20"/>
              </w:rPr>
            </w:pPr>
            <w:r w:rsidRPr="005737F1">
              <w:rPr>
                <w:rFonts w:cstheme="minorHAnsi"/>
                <w:color w:val="000000" w:themeColor="text1"/>
                <w:szCs w:val="20"/>
              </w:rPr>
              <w:t>Additional reporting would not impact fund manager behaviour as the fund manager is concerned with running the fund in the best interests of investors, the reporting is only providing transparency into what has already happened in the fund.</w:t>
            </w:r>
          </w:p>
        </w:tc>
      </w:tr>
      <w:tr w:rsidR="00290E98" w:rsidRPr="005737F1" w14:paraId="395D94FC" w14:textId="77777777" w:rsidTr="00290E98">
        <w:tc>
          <w:tcPr>
            <w:tcW w:w="9016" w:type="dxa"/>
          </w:tcPr>
          <w:p w14:paraId="04B22F1B" w14:textId="77777777" w:rsidR="00290E98" w:rsidRPr="005737F1" w:rsidRDefault="00290E98" w:rsidP="00891722">
            <w:pPr>
              <w:ind w:left="447" w:hanging="447"/>
              <w:jc w:val="both"/>
              <w:rPr>
                <w:rFonts w:cstheme="minorHAnsi"/>
                <w:color w:val="000000" w:themeColor="text1"/>
                <w:szCs w:val="20"/>
              </w:rPr>
            </w:pPr>
            <w:r w:rsidRPr="005737F1">
              <w:rPr>
                <w:rFonts w:cstheme="minorHAnsi"/>
                <w:color w:val="000000" w:themeColor="text1"/>
                <w:szCs w:val="20"/>
              </w:rPr>
              <w:t>ii</w:t>
            </w:r>
            <w:r w:rsidRPr="005737F1">
              <w:rPr>
                <w:rFonts w:cstheme="minorHAnsi"/>
                <w:color w:val="000000" w:themeColor="text1"/>
                <w:szCs w:val="20"/>
              </w:rPr>
              <w:tab/>
              <w:t>How would it impact the ability or willingness of MMFs to invest in short-term funding instruments or use the repo market?</w:t>
            </w:r>
          </w:p>
          <w:p w14:paraId="42C5CD30" w14:textId="77777777" w:rsidR="00290E98" w:rsidRPr="005737F1" w:rsidRDefault="00290E98" w:rsidP="00891722">
            <w:pPr>
              <w:ind w:left="447"/>
              <w:jc w:val="both"/>
              <w:rPr>
                <w:rFonts w:cstheme="minorHAnsi"/>
                <w:color w:val="000000" w:themeColor="text1"/>
                <w:szCs w:val="20"/>
              </w:rPr>
            </w:pPr>
            <w:r w:rsidRPr="005737F1">
              <w:rPr>
                <w:rFonts w:cstheme="minorHAnsi"/>
                <w:color w:val="000000" w:themeColor="text1"/>
                <w:szCs w:val="20"/>
              </w:rPr>
              <w:t>No impact</w:t>
            </w:r>
          </w:p>
        </w:tc>
      </w:tr>
      <w:tr w:rsidR="00290E98" w:rsidRPr="005737F1" w14:paraId="705CC781" w14:textId="77777777" w:rsidTr="00290E98">
        <w:tc>
          <w:tcPr>
            <w:tcW w:w="9016" w:type="dxa"/>
          </w:tcPr>
          <w:p w14:paraId="723C496C" w14:textId="77777777" w:rsidR="00290E98" w:rsidRPr="005737F1" w:rsidRDefault="00290E98" w:rsidP="00891722">
            <w:pPr>
              <w:tabs>
                <w:tab w:val="left" w:pos="447"/>
              </w:tabs>
              <w:jc w:val="both"/>
              <w:rPr>
                <w:rFonts w:cstheme="minorHAnsi"/>
                <w:b/>
                <w:bCs/>
                <w:color w:val="000000" w:themeColor="text1"/>
                <w:szCs w:val="20"/>
              </w:rPr>
            </w:pPr>
            <w:r w:rsidRPr="005737F1">
              <w:rPr>
                <w:rFonts w:cstheme="minorHAnsi"/>
                <w:b/>
                <w:bCs/>
                <w:color w:val="000000" w:themeColor="text1"/>
                <w:szCs w:val="20"/>
              </w:rPr>
              <w:t>IV</w:t>
            </w:r>
            <w:r w:rsidRPr="005737F1">
              <w:rPr>
                <w:rFonts w:cstheme="minorHAnsi"/>
                <w:b/>
                <w:bCs/>
                <w:color w:val="000000" w:themeColor="text1"/>
                <w:szCs w:val="20"/>
              </w:rPr>
              <w:tab/>
              <w:t>Broader Impacts on the Stability and Functioning of Short-term Funding Markets</w:t>
            </w:r>
          </w:p>
          <w:p w14:paraId="0DD99CB0" w14:textId="77777777" w:rsidR="00290E98" w:rsidRPr="005737F1" w:rsidRDefault="00290E98" w:rsidP="00891722">
            <w:pPr>
              <w:tabs>
                <w:tab w:val="left" w:pos="447"/>
              </w:tabs>
              <w:jc w:val="both"/>
              <w:rPr>
                <w:rFonts w:cstheme="minorHAnsi"/>
                <w:b/>
                <w:bCs/>
                <w:color w:val="000000" w:themeColor="text1"/>
                <w:szCs w:val="20"/>
              </w:rPr>
            </w:pPr>
          </w:p>
        </w:tc>
      </w:tr>
      <w:tr w:rsidR="00290E98" w:rsidRPr="005737F1" w14:paraId="67B7EA04" w14:textId="77777777" w:rsidTr="00290E98">
        <w:trPr>
          <w:trHeight w:val="1495"/>
        </w:trPr>
        <w:tc>
          <w:tcPr>
            <w:tcW w:w="9016" w:type="dxa"/>
          </w:tcPr>
          <w:p w14:paraId="325E8937" w14:textId="77777777" w:rsidR="00290E98" w:rsidRPr="005737F1" w:rsidRDefault="00290E98" w:rsidP="00891722">
            <w:pPr>
              <w:tabs>
                <w:tab w:val="left" w:pos="164"/>
                <w:tab w:val="left" w:pos="447"/>
              </w:tabs>
              <w:ind w:left="447" w:hanging="447"/>
              <w:jc w:val="both"/>
              <w:rPr>
                <w:rFonts w:cstheme="minorHAnsi"/>
                <w:color w:val="000000" w:themeColor="text1"/>
                <w:szCs w:val="20"/>
              </w:rPr>
            </w:pPr>
            <w:r w:rsidRPr="005737F1">
              <w:rPr>
                <w:rFonts w:cstheme="minorHAnsi"/>
                <w:color w:val="000000" w:themeColor="text1"/>
                <w:szCs w:val="20"/>
              </w:rPr>
              <w:lastRenderedPageBreak/>
              <w:t>i</w:t>
            </w:r>
            <w:r w:rsidRPr="005737F1">
              <w:rPr>
                <w:rFonts w:cstheme="minorHAnsi"/>
                <w:color w:val="000000" w:themeColor="text1"/>
                <w:szCs w:val="20"/>
              </w:rPr>
              <w:tab/>
              <w:t>a)</w:t>
            </w:r>
            <w:r w:rsidRPr="005737F1">
              <w:rPr>
                <w:rFonts w:cstheme="minorHAnsi"/>
                <w:color w:val="000000" w:themeColor="text1"/>
                <w:szCs w:val="20"/>
              </w:rPr>
              <w:tab/>
              <w:t>Where are investors likely to move if MMFs become less attractive as a result of the policy option?</w:t>
            </w:r>
          </w:p>
          <w:p w14:paraId="6FC2C570" w14:textId="77777777" w:rsidR="00290E98" w:rsidRPr="005737F1" w:rsidRDefault="00290E98" w:rsidP="00891722">
            <w:pPr>
              <w:ind w:left="447"/>
              <w:jc w:val="both"/>
              <w:rPr>
                <w:rFonts w:cstheme="minorHAnsi"/>
                <w:color w:val="000000" w:themeColor="text1"/>
                <w:szCs w:val="20"/>
              </w:rPr>
            </w:pPr>
            <w:r w:rsidRPr="005737F1">
              <w:rPr>
                <w:rFonts w:cstheme="minorHAnsi"/>
                <w:color w:val="000000" w:themeColor="text1"/>
                <w:szCs w:val="20"/>
              </w:rPr>
              <w:t>See above Q4 above for our answer to all parts of this section</w:t>
            </w:r>
            <w:r w:rsidRPr="005737F1">
              <w:rPr>
                <w:rFonts w:cstheme="minorHAnsi"/>
                <w:color w:val="000000" w:themeColor="text1"/>
                <w:szCs w:val="20"/>
              </w:rPr>
              <w:tab/>
            </w:r>
          </w:p>
          <w:p w14:paraId="1E1D5E50" w14:textId="77777777" w:rsidR="00290E98" w:rsidRPr="005737F1" w:rsidRDefault="00290E98" w:rsidP="00891722">
            <w:pPr>
              <w:tabs>
                <w:tab w:val="left" w:pos="164"/>
                <w:tab w:val="left" w:pos="447"/>
              </w:tabs>
              <w:jc w:val="both"/>
              <w:rPr>
                <w:rFonts w:cstheme="minorHAnsi"/>
                <w:color w:val="000000" w:themeColor="text1"/>
                <w:szCs w:val="20"/>
              </w:rPr>
            </w:pPr>
          </w:p>
        </w:tc>
      </w:tr>
    </w:tbl>
    <w:p w14:paraId="5EB8115C" w14:textId="77777777" w:rsidR="00290E98" w:rsidRDefault="00290E98" w:rsidP="00492B3A"/>
    <w:p w14:paraId="729D6FDA" w14:textId="378B4E43" w:rsidR="00492B3A" w:rsidRDefault="00492B3A" w:rsidP="00492B3A"/>
    <w:permEnd w:id="1969951227"/>
    <w:p w14:paraId="1CD8F45C" w14:textId="2E80969C" w:rsidR="00492B3A" w:rsidRDefault="00492B3A" w:rsidP="00492B3A">
      <w:r>
        <w:t>&lt;ESMA_QUESTION_</w:t>
      </w:r>
      <w:r w:rsidR="00DC1B3F">
        <w:t>MMFR</w:t>
      </w:r>
      <w:r>
        <w:t>_10&gt;</w:t>
      </w:r>
    </w:p>
    <w:p w14:paraId="4A233221" w14:textId="77777777" w:rsidR="00492B3A" w:rsidRDefault="00492B3A" w:rsidP="00492B3A"/>
    <w:p w14:paraId="43470B7B" w14:textId="47E8C883" w:rsidR="00492B3A" w:rsidRDefault="00976448" w:rsidP="00492B3A">
      <w:pPr>
        <w:pStyle w:val="Questionstyle"/>
      </w:pPr>
      <w:r w:rsidRPr="00F43E30">
        <w:rPr>
          <w:bdr w:val="none" w:sz="0" w:space="0" w:color="auto" w:frame="1"/>
          <w:lang w:val="en-IE"/>
        </w:rPr>
        <w:t xml:space="preserve">Do you agree with the above assessment of the potential need to include additional requirements in the MMF Regulation, and/or potentially in other types of EU piece of legislation on the </w:t>
      </w:r>
      <w:r w:rsidRPr="00F43E30">
        <w:rPr>
          <w:lang w:val="en-IE"/>
        </w:rPr>
        <w:t xml:space="preserve">disclosure of </w:t>
      </w:r>
      <w:r w:rsidRPr="00F43E30">
        <w:rPr>
          <w:lang w:val="en-US"/>
        </w:rPr>
        <w:t xml:space="preserve">money market instruments (MMIs) and main categories of investors to regulatory authorities (e.g. detailed information on liabilities)? </w:t>
      </w:r>
      <w:r w:rsidRPr="00F43E30">
        <w:rPr>
          <w:bdr w:val="none" w:sz="0" w:space="0" w:color="auto" w:frame="1"/>
          <w:lang w:val="en-IE"/>
        </w:rPr>
        <w:t>When you answer this question, please also take into account the grid of criteria listed in paragraphs 76 to 80</w:t>
      </w:r>
      <w:r w:rsidR="00A014B6" w:rsidRPr="00A014B6">
        <w:t>.</w:t>
      </w:r>
    </w:p>
    <w:p w14:paraId="17905251" w14:textId="5C1644CB" w:rsidR="00492B3A" w:rsidRDefault="00492B3A" w:rsidP="00492B3A">
      <w:r>
        <w:t>&lt;ESMA_QUESTION_</w:t>
      </w:r>
      <w:r w:rsidR="00DC1B3F">
        <w:t>MMFR</w:t>
      </w:r>
      <w:r>
        <w:t>_11&gt;</w:t>
      </w:r>
    </w:p>
    <w:p w14:paraId="5D9BE616" w14:textId="77777777" w:rsidR="00C955DD" w:rsidRDefault="00C955DD" w:rsidP="00290E98">
      <w:pPr>
        <w:spacing w:after="120"/>
        <w:jc w:val="both"/>
        <w:rPr>
          <w:rFonts w:cstheme="minorHAnsi"/>
          <w:bCs/>
          <w:color w:val="000000" w:themeColor="text1"/>
        </w:rPr>
      </w:pPr>
      <w:permStart w:id="947678092" w:edGrp="everyone"/>
    </w:p>
    <w:p w14:paraId="66CE25A8" w14:textId="76CE2630" w:rsidR="00290E98" w:rsidRPr="005737F1" w:rsidRDefault="00290E98" w:rsidP="00290E98">
      <w:pPr>
        <w:spacing w:after="120"/>
        <w:jc w:val="both"/>
        <w:rPr>
          <w:rFonts w:cstheme="minorHAnsi"/>
          <w:bCs/>
          <w:color w:val="000000" w:themeColor="text1"/>
          <w:szCs w:val="20"/>
        </w:rPr>
      </w:pPr>
      <w:r w:rsidRPr="005737F1">
        <w:rPr>
          <w:rFonts w:cstheme="minorHAnsi"/>
          <w:bCs/>
          <w:color w:val="000000" w:themeColor="text1"/>
          <w:szCs w:val="20"/>
        </w:rPr>
        <w:t xml:space="preserve">We welcome any tools that better enable management through market challenges such as March 2020.  MMFs already make very detailed reporting submissions on a quarterly basis, any increase to the frequency of that reporting cycle does not necessarily support management through a crisis given that the data is historical, the reporting takes time to verify and submit meaning that the picture may have changed by the time it has been submitted or reviewed.  The existing reporting cycle is lengthy and requires appropriate resourcing, it is not feasible to alter the quarterly schedule at short notice and for that reason it is not feasible to increase reporting frequency during a crisis. </w:t>
      </w:r>
    </w:p>
    <w:p w14:paraId="0D8782F7" w14:textId="77777777" w:rsidR="00290E98" w:rsidRPr="005737F1" w:rsidRDefault="00290E98" w:rsidP="00290E98">
      <w:pPr>
        <w:spacing w:after="120"/>
        <w:jc w:val="both"/>
        <w:rPr>
          <w:rFonts w:cstheme="minorHAnsi"/>
          <w:bCs/>
          <w:color w:val="000000" w:themeColor="text1"/>
          <w:szCs w:val="20"/>
        </w:rPr>
      </w:pPr>
      <w:r w:rsidRPr="005737F1">
        <w:rPr>
          <w:rFonts w:cstheme="minorHAnsi"/>
          <w:bCs/>
          <w:color w:val="000000" w:themeColor="text1"/>
          <w:szCs w:val="20"/>
        </w:rPr>
        <w:t xml:space="preserve">NCAs engaged with managers during the crisis and reporting was put in place around the indicators that were relevant to manage through that particular market dislocation. Management by the relevant NCA during a market dislocation will be quicker to implement, more robust and informative as the information requested can be adjusted to the particular circumstance.  </w:t>
      </w:r>
    </w:p>
    <w:p w14:paraId="22B7E48C" w14:textId="77777777" w:rsidR="00290E98" w:rsidRPr="005737F1" w:rsidRDefault="00290E98" w:rsidP="00290E98">
      <w:pPr>
        <w:spacing w:after="120"/>
        <w:jc w:val="both"/>
        <w:rPr>
          <w:rFonts w:cstheme="minorHAnsi"/>
          <w:bCs/>
          <w:color w:val="000000" w:themeColor="text1"/>
          <w:szCs w:val="20"/>
        </w:rPr>
      </w:pPr>
      <w:r w:rsidRPr="005737F1">
        <w:rPr>
          <w:rFonts w:cstheme="minorHAnsi"/>
          <w:bCs/>
          <w:color w:val="000000" w:themeColor="text1"/>
          <w:szCs w:val="20"/>
        </w:rPr>
        <w:t xml:space="preserve">We welcome the suggestion in paragraph 168 around enhanced reporting in the money markets which will need to be sourced from issuers, brokers etc.  Anything that increases transparency for market participants such as MMFs is a welcome development but we note that MMFs themselves cannot fulfil this reporting requirement.  MMFs already submit detailed information around holdings to NCAs which is not sufficient to give this transparency, this will need to come from issuers, brokers etc as noted above.     </w:t>
      </w:r>
    </w:p>
    <w:p w14:paraId="648DF4EA" w14:textId="77777777" w:rsidR="00290E98" w:rsidRPr="005737F1" w:rsidRDefault="00290E98" w:rsidP="00290E98">
      <w:pPr>
        <w:rPr>
          <w:rFonts w:cstheme="minorHAnsi"/>
          <w:bCs/>
          <w:color w:val="000000" w:themeColor="text1"/>
          <w:szCs w:val="20"/>
        </w:rPr>
      </w:pPr>
      <w:r w:rsidRPr="005737F1">
        <w:rPr>
          <w:rFonts w:cstheme="minorHAnsi"/>
          <w:bCs/>
          <w:color w:val="000000" w:themeColor="text1"/>
          <w:szCs w:val="20"/>
        </w:rPr>
        <w:t xml:space="preserve">We support the general principle of greater oversight of the ‘liabilities’ of a MMF and the adoption of policies and procedures to monitor and control individual client concentration and client type concentration as noted in Q5 above. However, the oversight is better performed by the manager and the Board than a regulator. Involving the latter would create significant resource constraints </w:t>
      </w:r>
    </w:p>
    <w:p w14:paraId="1835C3BB" w14:textId="77777777" w:rsidR="00290E98" w:rsidRPr="005737F1" w:rsidRDefault="00290E98" w:rsidP="00290E98">
      <w:pPr>
        <w:rPr>
          <w:rFonts w:cstheme="minorHAnsi"/>
          <w:bCs/>
          <w:color w:val="000000" w:themeColor="text1"/>
          <w:szCs w:val="20"/>
        </w:rPr>
      </w:pPr>
    </w:p>
    <w:tbl>
      <w:tblPr>
        <w:tblStyle w:val="TableGrid"/>
        <w:tblW w:w="0" w:type="auto"/>
        <w:tblLook w:val="04A0" w:firstRow="1" w:lastRow="0" w:firstColumn="1" w:lastColumn="0" w:noHBand="0" w:noVBand="1"/>
      </w:tblPr>
      <w:tblGrid>
        <w:gridCol w:w="9016"/>
      </w:tblGrid>
      <w:tr w:rsidR="00290E98" w:rsidRPr="005737F1" w14:paraId="6A35084C" w14:textId="77777777" w:rsidTr="00891722">
        <w:tc>
          <w:tcPr>
            <w:tcW w:w="9016" w:type="dxa"/>
            <w:shd w:val="clear" w:color="auto" w:fill="EEECE1" w:themeFill="background2"/>
          </w:tcPr>
          <w:p w14:paraId="03828659" w14:textId="77777777" w:rsidR="00290E98" w:rsidRPr="005737F1" w:rsidRDefault="00290E98" w:rsidP="00891722">
            <w:pPr>
              <w:jc w:val="both"/>
              <w:rPr>
                <w:rFonts w:cstheme="minorHAnsi"/>
                <w:b/>
                <w:bCs/>
                <w:color w:val="000000" w:themeColor="text1"/>
                <w:szCs w:val="20"/>
              </w:rPr>
            </w:pPr>
            <w:r w:rsidRPr="005737F1">
              <w:rPr>
                <w:rFonts w:cstheme="minorHAnsi"/>
                <w:b/>
                <w:bCs/>
                <w:color w:val="000000" w:themeColor="text1"/>
                <w:szCs w:val="20"/>
                <w:highlight w:val="lightGray"/>
              </w:rPr>
              <w:t>I    Impact on the Resilience of MMFs</w:t>
            </w:r>
          </w:p>
          <w:p w14:paraId="4168BD5A" w14:textId="77777777" w:rsidR="00290E98" w:rsidRPr="005737F1" w:rsidRDefault="00290E98" w:rsidP="00891722">
            <w:pPr>
              <w:jc w:val="both"/>
              <w:rPr>
                <w:rFonts w:cstheme="minorHAnsi"/>
                <w:color w:val="000000" w:themeColor="text1"/>
                <w:szCs w:val="20"/>
              </w:rPr>
            </w:pPr>
          </w:p>
        </w:tc>
      </w:tr>
      <w:tr w:rsidR="00290E98" w:rsidRPr="005737F1" w14:paraId="5CA4E900" w14:textId="77777777" w:rsidTr="00891722">
        <w:tc>
          <w:tcPr>
            <w:tcW w:w="9016" w:type="dxa"/>
          </w:tcPr>
          <w:p w14:paraId="0F8C4D50" w14:textId="77777777" w:rsidR="00290E98" w:rsidRPr="005737F1" w:rsidRDefault="00290E98" w:rsidP="00891722">
            <w:pPr>
              <w:ind w:left="306" w:hanging="306"/>
              <w:jc w:val="both"/>
              <w:rPr>
                <w:rFonts w:cstheme="minorHAnsi"/>
                <w:i/>
                <w:iCs/>
                <w:color w:val="000000" w:themeColor="text1"/>
                <w:szCs w:val="20"/>
              </w:rPr>
            </w:pPr>
            <w:r w:rsidRPr="005737F1">
              <w:rPr>
                <w:rFonts w:cstheme="minorHAnsi"/>
                <w:i/>
                <w:iCs/>
                <w:color w:val="000000" w:themeColor="text1"/>
                <w:szCs w:val="20"/>
              </w:rPr>
              <w:t xml:space="preserve">i </w:t>
            </w:r>
            <w:r w:rsidRPr="005737F1">
              <w:rPr>
                <w:rFonts w:cstheme="minorHAnsi"/>
                <w:i/>
                <w:iCs/>
                <w:color w:val="000000" w:themeColor="text1"/>
                <w:szCs w:val="20"/>
              </w:rPr>
              <w:tab/>
              <w:t>How would the policy option work in mitigating the structural vulnerabilities of MMFs?</w:t>
            </w:r>
          </w:p>
          <w:p w14:paraId="147EB9A7" w14:textId="77777777" w:rsidR="00290E98" w:rsidRPr="005737F1" w:rsidRDefault="00290E98" w:rsidP="00891722">
            <w:pPr>
              <w:spacing w:after="120"/>
              <w:ind w:left="360"/>
              <w:jc w:val="both"/>
              <w:rPr>
                <w:rFonts w:cstheme="minorHAnsi"/>
                <w:color w:val="000000" w:themeColor="text1"/>
                <w:szCs w:val="20"/>
              </w:rPr>
            </w:pPr>
            <w:r w:rsidRPr="005737F1">
              <w:rPr>
                <w:rFonts w:cstheme="minorHAnsi"/>
                <w:color w:val="000000" w:themeColor="text1"/>
                <w:szCs w:val="20"/>
              </w:rPr>
              <w:t>Greater transparency could support management through the crisis.</w:t>
            </w:r>
          </w:p>
        </w:tc>
      </w:tr>
      <w:tr w:rsidR="00290E98" w:rsidRPr="005737F1" w14:paraId="6ECE72A5" w14:textId="77777777" w:rsidTr="00891722">
        <w:tc>
          <w:tcPr>
            <w:tcW w:w="9016" w:type="dxa"/>
          </w:tcPr>
          <w:p w14:paraId="3D8B7AB8" w14:textId="77777777" w:rsidR="00290E98" w:rsidRPr="005737F1" w:rsidRDefault="00290E98" w:rsidP="00891722">
            <w:pPr>
              <w:jc w:val="both"/>
              <w:rPr>
                <w:rFonts w:cstheme="minorHAnsi"/>
                <w:i/>
                <w:iCs/>
                <w:color w:val="000000" w:themeColor="text1"/>
                <w:szCs w:val="20"/>
              </w:rPr>
            </w:pPr>
            <w:r w:rsidRPr="005737F1">
              <w:rPr>
                <w:rFonts w:cstheme="minorHAnsi"/>
                <w:i/>
                <w:iCs/>
                <w:color w:val="000000" w:themeColor="text1"/>
                <w:szCs w:val="20"/>
              </w:rPr>
              <w:t>ii</w:t>
            </w:r>
            <w:r w:rsidRPr="005737F1">
              <w:rPr>
                <w:rFonts w:cstheme="minorHAnsi"/>
                <w:i/>
                <w:iCs/>
                <w:color w:val="000000" w:themeColor="text1"/>
                <w:szCs w:val="20"/>
              </w:rPr>
              <w:tab/>
              <w:t>Would it apply to all MMFs?</w:t>
            </w:r>
          </w:p>
          <w:p w14:paraId="2AEFB6E4" w14:textId="77777777" w:rsidR="00290E98" w:rsidRPr="005737F1" w:rsidRDefault="00290E98" w:rsidP="00891722">
            <w:pPr>
              <w:ind w:left="360"/>
              <w:jc w:val="both"/>
              <w:rPr>
                <w:rFonts w:cstheme="minorHAnsi"/>
                <w:color w:val="000000" w:themeColor="text1"/>
                <w:szCs w:val="20"/>
              </w:rPr>
            </w:pPr>
            <w:r w:rsidRPr="005737F1">
              <w:rPr>
                <w:rFonts w:cstheme="minorHAnsi"/>
                <w:color w:val="000000" w:themeColor="text1"/>
                <w:szCs w:val="20"/>
              </w:rPr>
              <w:t>Any additional measures should apply to all MMFs.</w:t>
            </w:r>
            <w:r w:rsidRPr="005737F1">
              <w:rPr>
                <w:rFonts w:cstheme="minorHAnsi"/>
                <w:color w:val="000000" w:themeColor="text1"/>
                <w:szCs w:val="20"/>
              </w:rPr>
              <w:tab/>
            </w:r>
          </w:p>
          <w:p w14:paraId="49481EB2" w14:textId="77777777" w:rsidR="00290E98" w:rsidRPr="005737F1" w:rsidRDefault="00290E98" w:rsidP="00891722">
            <w:pPr>
              <w:ind w:left="306" w:hanging="306"/>
              <w:jc w:val="both"/>
              <w:rPr>
                <w:rFonts w:cstheme="minorHAnsi"/>
                <w:i/>
                <w:iCs/>
                <w:color w:val="000000" w:themeColor="text1"/>
                <w:szCs w:val="20"/>
              </w:rPr>
            </w:pPr>
          </w:p>
        </w:tc>
      </w:tr>
      <w:tr w:rsidR="00290E98" w:rsidRPr="005737F1" w14:paraId="2CA7D2C6" w14:textId="77777777" w:rsidTr="00891722">
        <w:tc>
          <w:tcPr>
            <w:tcW w:w="9016" w:type="dxa"/>
          </w:tcPr>
          <w:p w14:paraId="011117EF" w14:textId="77777777" w:rsidR="00290E98" w:rsidRPr="005737F1" w:rsidRDefault="00290E98" w:rsidP="00891722">
            <w:pPr>
              <w:tabs>
                <w:tab w:val="left" w:pos="306"/>
                <w:tab w:val="left" w:pos="690"/>
              </w:tabs>
              <w:ind w:left="447" w:hanging="447"/>
              <w:jc w:val="both"/>
              <w:rPr>
                <w:rFonts w:cstheme="minorHAnsi"/>
                <w:color w:val="000000" w:themeColor="text1"/>
                <w:szCs w:val="20"/>
              </w:rPr>
            </w:pPr>
            <w:r w:rsidRPr="005737F1">
              <w:rPr>
                <w:rFonts w:cstheme="minorHAnsi"/>
                <w:i/>
                <w:iCs/>
                <w:color w:val="000000" w:themeColor="text1"/>
                <w:szCs w:val="20"/>
              </w:rPr>
              <w:t>ii</w:t>
            </w:r>
            <w:r w:rsidRPr="005737F1">
              <w:rPr>
                <w:rFonts w:cstheme="minorHAnsi"/>
                <w:i/>
                <w:iCs/>
                <w:color w:val="000000" w:themeColor="text1"/>
                <w:szCs w:val="20"/>
              </w:rPr>
              <w:tab/>
              <w:t>a)</w:t>
            </w:r>
            <w:r w:rsidRPr="005737F1">
              <w:rPr>
                <w:rFonts w:cstheme="minorHAnsi"/>
                <w:i/>
                <w:iCs/>
                <w:color w:val="000000" w:themeColor="text1"/>
                <w:szCs w:val="20"/>
              </w:rPr>
              <w:tab/>
            </w:r>
            <w:r w:rsidRPr="005737F1">
              <w:rPr>
                <w:rFonts w:cstheme="minorHAnsi"/>
                <w:color w:val="000000" w:themeColor="text1"/>
                <w:szCs w:val="20"/>
              </w:rPr>
              <w:t>Is the option currently in place in any jurisdiction, and if so, has it been helpful?</w:t>
            </w:r>
          </w:p>
          <w:p w14:paraId="07CFE632" w14:textId="77777777" w:rsidR="00290E98" w:rsidRPr="005737F1" w:rsidRDefault="00290E98" w:rsidP="00891722">
            <w:pPr>
              <w:ind w:left="731" w:hanging="731"/>
              <w:jc w:val="both"/>
              <w:rPr>
                <w:rFonts w:cstheme="minorHAnsi"/>
                <w:color w:val="000000" w:themeColor="text1"/>
                <w:szCs w:val="20"/>
              </w:rPr>
            </w:pPr>
            <w:r w:rsidRPr="005737F1">
              <w:rPr>
                <w:rFonts w:cstheme="minorHAnsi"/>
                <w:i/>
                <w:iCs/>
                <w:color w:val="000000" w:themeColor="text1"/>
                <w:szCs w:val="20"/>
              </w:rPr>
              <w:tab/>
              <w:t>b)</w:t>
            </w:r>
            <w:r w:rsidRPr="005737F1">
              <w:rPr>
                <w:rFonts w:cstheme="minorHAnsi"/>
                <w:i/>
                <w:iCs/>
                <w:color w:val="000000" w:themeColor="text1"/>
                <w:szCs w:val="20"/>
              </w:rPr>
              <w:tab/>
            </w:r>
            <w:r w:rsidRPr="005737F1">
              <w:rPr>
                <w:rFonts w:cstheme="minorHAnsi"/>
                <w:color w:val="000000" w:themeColor="text1"/>
                <w:szCs w:val="20"/>
              </w:rPr>
              <w:t xml:space="preserve">How would it represent a change from current rules or practices in other </w:t>
            </w:r>
            <w:r w:rsidRPr="005737F1">
              <w:rPr>
                <w:rFonts w:cstheme="minorHAnsi"/>
                <w:color w:val="000000" w:themeColor="text1"/>
                <w:szCs w:val="20"/>
              </w:rPr>
              <w:tab/>
            </w:r>
            <w:r w:rsidRPr="005737F1">
              <w:rPr>
                <w:rFonts w:cstheme="minorHAnsi"/>
                <w:color w:val="000000" w:themeColor="text1"/>
                <w:szCs w:val="20"/>
              </w:rPr>
              <w:tab/>
            </w:r>
            <w:r w:rsidRPr="005737F1">
              <w:rPr>
                <w:rFonts w:cstheme="minorHAnsi"/>
                <w:color w:val="000000" w:themeColor="text1"/>
                <w:szCs w:val="20"/>
              </w:rPr>
              <w:tab/>
            </w:r>
            <w:r w:rsidRPr="005737F1">
              <w:rPr>
                <w:rFonts w:cstheme="minorHAnsi"/>
                <w:color w:val="000000" w:themeColor="text1"/>
                <w:szCs w:val="20"/>
              </w:rPr>
              <w:tab/>
              <w:t>jurisdictions?</w:t>
            </w:r>
          </w:p>
          <w:p w14:paraId="4DBED2BF" w14:textId="77777777" w:rsidR="00290E98" w:rsidRPr="005737F1" w:rsidRDefault="00290E98" w:rsidP="00891722">
            <w:pPr>
              <w:ind w:left="731" w:hanging="731"/>
              <w:jc w:val="both"/>
              <w:rPr>
                <w:rFonts w:cstheme="minorHAnsi"/>
                <w:color w:val="000000" w:themeColor="text1"/>
                <w:szCs w:val="20"/>
              </w:rPr>
            </w:pPr>
            <w:r w:rsidRPr="005737F1">
              <w:rPr>
                <w:rFonts w:cstheme="minorHAnsi"/>
                <w:color w:val="000000" w:themeColor="text1"/>
                <w:szCs w:val="20"/>
              </w:rPr>
              <w:t>c)</w:t>
            </w:r>
            <w:r w:rsidRPr="005737F1">
              <w:rPr>
                <w:rFonts w:cstheme="minorHAnsi"/>
                <w:color w:val="000000" w:themeColor="text1"/>
                <w:szCs w:val="20"/>
              </w:rPr>
              <w:tab/>
              <w:t xml:space="preserve">Has the option been implemented previously and, if so, what were the main </w:t>
            </w:r>
            <w:r w:rsidRPr="005737F1">
              <w:rPr>
                <w:rFonts w:cstheme="minorHAnsi"/>
                <w:color w:val="000000" w:themeColor="text1"/>
                <w:szCs w:val="20"/>
              </w:rPr>
              <w:tab/>
            </w:r>
            <w:r w:rsidRPr="005737F1">
              <w:rPr>
                <w:rFonts w:cstheme="minorHAnsi"/>
                <w:color w:val="000000" w:themeColor="text1"/>
                <w:szCs w:val="20"/>
              </w:rPr>
              <w:tab/>
            </w:r>
            <w:r w:rsidRPr="005737F1">
              <w:rPr>
                <w:rFonts w:cstheme="minorHAnsi"/>
                <w:color w:val="000000" w:themeColor="text1"/>
                <w:szCs w:val="20"/>
              </w:rPr>
              <w:tab/>
              <w:t>findings?</w:t>
            </w:r>
          </w:p>
        </w:tc>
      </w:tr>
      <w:tr w:rsidR="00290E98" w:rsidRPr="005737F1" w14:paraId="6F679B50" w14:textId="77777777" w:rsidTr="00290E98">
        <w:tc>
          <w:tcPr>
            <w:tcW w:w="9016" w:type="dxa"/>
          </w:tcPr>
          <w:p w14:paraId="6FFFE7C2" w14:textId="77777777" w:rsidR="00290E98" w:rsidRPr="005737F1" w:rsidRDefault="00290E98" w:rsidP="00891722">
            <w:pPr>
              <w:jc w:val="both"/>
              <w:rPr>
                <w:rFonts w:cstheme="minorHAnsi"/>
                <w:b/>
                <w:bCs/>
                <w:color w:val="000000" w:themeColor="text1"/>
                <w:szCs w:val="20"/>
              </w:rPr>
            </w:pPr>
            <w:r w:rsidRPr="005737F1">
              <w:rPr>
                <w:rFonts w:cstheme="minorHAnsi"/>
                <w:b/>
                <w:bCs/>
                <w:color w:val="000000" w:themeColor="text1"/>
                <w:szCs w:val="20"/>
              </w:rPr>
              <w:lastRenderedPageBreak/>
              <w:t>II    Effects on Investor Behaviour</w:t>
            </w:r>
          </w:p>
          <w:p w14:paraId="476B033A" w14:textId="77777777" w:rsidR="00290E98" w:rsidRPr="005737F1" w:rsidRDefault="00290E98" w:rsidP="00891722">
            <w:pPr>
              <w:jc w:val="both"/>
              <w:rPr>
                <w:rFonts w:cstheme="minorHAnsi"/>
                <w:color w:val="000000" w:themeColor="text1"/>
                <w:szCs w:val="20"/>
              </w:rPr>
            </w:pPr>
            <w:r w:rsidRPr="005737F1">
              <w:rPr>
                <w:rFonts w:cstheme="minorHAnsi"/>
                <w:color w:val="000000" w:themeColor="text1"/>
                <w:szCs w:val="20"/>
              </w:rPr>
              <w:tab/>
            </w:r>
          </w:p>
        </w:tc>
      </w:tr>
      <w:tr w:rsidR="00290E98" w:rsidRPr="005737F1" w14:paraId="36869B20" w14:textId="77777777" w:rsidTr="00290E98">
        <w:tc>
          <w:tcPr>
            <w:tcW w:w="9016" w:type="dxa"/>
          </w:tcPr>
          <w:p w14:paraId="74BE44B2" w14:textId="77777777" w:rsidR="00290E98" w:rsidRPr="005737F1" w:rsidRDefault="00290E98" w:rsidP="00891722">
            <w:pPr>
              <w:ind w:left="447" w:hanging="447"/>
              <w:jc w:val="both"/>
              <w:rPr>
                <w:rFonts w:cstheme="minorHAnsi"/>
                <w:color w:val="000000" w:themeColor="text1"/>
                <w:szCs w:val="20"/>
              </w:rPr>
            </w:pPr>
            <w:r w:rsidRPr="005737F1">
              <w:rPr>
                <w:rFonts w:cstheme="minorHAnsi"/>
                <w:i/>
                <w:iCs/>
                <w:color w:val="000000" w:themeColor="text1"/>
                <w:szCs w:val="20"/>
              </w:rPr>
              <w:t xml:space="preserve">i </w:t>
            </w:r>
            <w:r w:rsidRPr="005737F1">
              <w:rPr>
                <w:rFonts w:cstheme="minorHAnsi"/>
                <w:b/>
                <w:bCs/>
                <w:i/>
                <w:iCs/>
                <w:color w:val="000000" w:themeColor="text1"/>
                <w:szCs w:val="20"/>
              </w:rPr>
              <w:tab/>
            </w:r>
            <w:r w:rsidRPr="005737F1">
              <w:rPr>
                <w:rFonts w:cstheme="minorHAnsi"/>
                <w:color w:val="000000" w:themeColor="text1"/>
                <w:szCs w:val="20"/>
              </w:rPr>
              <w:t>From a micro perspective (viewing the MMF in isolation), how would the policy option affect investors’ incentives to redeem during stress events?</w:t>
            </w:r>
          </w:p>
          <w:p w14:paraId="425E4B96" w14:textId="77777777" w:rsidR="00290E98" w:rsidRPr="005737F1" w:rsidRDefault="00290E98" w:rsidP="00891722">
            <w:pPr>
              <w:ind w:left="360"/>
              <w:jc w:val="both"/>
              <w:rPr>
                <w:rFonts w:cstheme="minorHAnsi"/>
                <w:color w:val="000000" w:themeColor="text1"/>
                <w:szCs w:val="20"/>
              </w:rPr>
            </w:pPr>
            <w:r w:rsidRPr="005737F1">
              <w:rPr>
                <w:rFonts w:cstheme="minorHAnsi"/>
                <w:color w:val="000000" w:themeColor="text1"/>
                <w:szCs w:val="20"/>
              </w:rPr>
              <w:t xml:space="preserve"> It does not have a direct impact on an investors incentive to redeem.  </w:t>
            </w:r>
          </w:p>
        </w:tc>
      </w:tr>
      <w:tr w:rsidR="00290E98" w:rsidRPr="005737F1" w14:paraId="2D69E800" w14:textId="77777777" w:rsidTr="00290E98">
        <w:tc>
          <w:tcPr>
            <w:tcW w:w="9016" w:type="dxa"/>
          </w:tcPr>
          <w:p w14:paraId="3175C03B" w14:textId="77777777" w:rsidR="00290E98" w:rsidRPr="005737F1" w:rsidRDefault="00290E98" w:rsidP="00891722">
            <w:pPr>
              <w:ind w:left="447" w:hanging="447"/>
              <w:jc w:val="both"/>
              <w:rPr>
                <w:rFonts w:cstheme="minorHAnsi"/>
                <w:b/>
                <w:bCs/>
                <w:color w:val="000000" w:themeColor="text1"/>
                <w:szCs w:val="20"/>
              </w:rPr>
            </w:pPr>
            <w:r w:rsidRPr="005737F1">
              <w:rPr>
                <w:rFonts w:cstheme="minorHAnsi"/>
                <w:b/>
                <w:bCs/>
                <w:color w:val="000000" w:themeColor="text1"/>
                <w:szCs w:val="20"/>
              </w:rPr>
              <w:t>III</w:t>
            </w:r>
            <w:r w:rsidRPr="005737F1">
              <w:rPr>
                <w:rFonts w:cstheme="minorHAnsi"/>
                <w:b/>
                <w:bCs/>
                <w:color w:val="000000" w:themeColor="text1"/>
                <w:szCs w:val="20"/>
              </w:rPr>
              <w:tab/>
              <w:t>Effects on Fund Managers</w:t>
            </w:r>
          </w:p>
          <w:p w14:paraId="0D5C6A62" w14:textId="77777777" w:rsidR="00290E98" w:rsidRPr="005737F1" w:rsidRDefault="00290E98" w:rsidP="00891722">
            <w:pPr>
              <w:jc w:val="both"/>
              <w:rPr>
                <w:rFonts w:cstheme="minorHAnsi"/>
                <w:color w:val="000000" w:themeColor="text1"/>
                <w:szCs w:val="20"/>
              </w:rPr>
            </w:pPr>
          </w:p>
        </w:tc>
      </w:tr>
      <w:tr w:rsidR="00290E98" w:rsidRPr="005737F1" w14:paraId="7BCBE9DE" w14:textId="77777777" w:rsidTr="00290E98">
        <w:tc>
          <w:tcPr>
            <w:tcW w:w="9016" w:type="dxa"/>
          </w:tcPr>
          <w:p w14:paraId="52F61CE5" w14:textId="77777777" w:rsidR="00290E98" w:rsidRPr="005737F1" w:rsidRDefault="00290E98" w:rsidP="00891722">
            <w:pPr>
              <w:ind w:left="447" w:hanging="425"/>
              <w:jc w:val="both"/>
              <w:rPr>
                <w:rFonts w:cstheme="minorHAnsi"/>
                <w:color w:val="000000" w:themeColor="text1"/>
                <w:szCs w:val="20"/>
              </w:rPr>
            </w:pPr>
            <w:r w:rsidRPr="005737F1">
              <w:rPr>
                <w:rFonts w:cstheme="minorHAnsi"/>
                <w:color w:val="000000" w:themeColor="text1"/>
                <w:szCs w:val="20"/>
              </w:rPr>
              <w:t>i</w:t>
            </w:r>
            <w:r w:rsidRPr="005737F1">
              <w:rPr>
                <w:rFonts w:cstheme="minorHAnsi"/>
                <w:color w:val="000000" w:themeColor="text1"/>
                <w:szCs w:val="20"/>
              </w:rPr>
              <w:tab/>
              <w:t>How would the policy option affect MMFs’ liquidity management in normal versus stressed times?</w:t>
            </w:r>
          </w:p>
          <w:p w14:paraId="46BF4F50" w14:textId="77777777" w:rsidR="00290E98" w:rsidRPr="005737F1" w:rsidRDefault="00290E98" w:rsidP="00290E98">
            <w:pPr>
              <w:pStyle w:val="ListParagraph"/>
              <w:numPr>
                <w:ilvl w:val="0"/>
                <w:numId w:val="69"/>
              </w:numPr>
              <w:spacing w:after="240"/>
              <w:jc w:val="both"/>
              <w:rPr>
                <w:rFonts w:cstheme="minorHAnsi"/>
                <w:color w:val="000000" w:themeColor="text1"/>
                <w:szCs w:val="20"/>
              </w:rPr>
            </w:pPr>
            <w:r w:rsidRPr="005737F1">
              <w:rPr>
                <w:rFonts w:cstheme="minorHAnsi"/>
                <w:color w:val="000000" w:themeColor="text1"/>
                <w:szCs w:val="20"/>
              </w:rPr>
              <w:t xml:space="preserve">The act of disclosure itself of more granular data on investor type does not directly impact a fund’s liquidity management practices.  Of course managing concentration of client and client types is a critical part of liquidity risk management for a MMF in our opinion. Managers are already required to know their clients and consider anticipated behaviour under Article 27 of the regulation.  Disclosures on quarterly reporting do not have an impact on liquidity management. </w:t>
            </w:r>
          </w:p>
          <w:p w14:paraId="34528CE6" w14:textId="77777777" w:rsidR="00290E98" w:rsidRPr="005737F1" w:rsidRDefault="00290E98" w:rsidP="00290E98">
            <w:pPr>
              <w:pStyle w:val="ListParagraph"/>
              <w:numPr>
                <w:ilvl w:val="0"/>
                <w:numId w:val="69"/>
              </w:numPr>
              <w:spacing w:after="240"/>
              <w:jc w:val="both"/>
              <w:rPr>
                <w:rFonts w:cstheme="minorHAnsi"/>
                <w:color w:val="000000" w:themeColor="text1"/>
                <w:szCs w:val="20"/>
              </w:rPr>
            </w:pPr>
            <w:r w:rsidRPr="005737F1">
              <w:rPr>
                <w:rFonts w:cstheme="minorHAnsi"/>
                <w:color w:val="000000" w:themeColor="text1"/>
                <w:szCs w:val="20"/>
              </w:rPr>
              <w:t xml:space="preserve">More transparency </w:t>
            </w:r>
            <w:r w:rsidRPr="005737F1">
              <w:rPr>
                <w:rFonts w:cstheme="minorHAnsi"/>
                <w:bCs/>
                <w:color w:val="000000" w:themeColor="text1"/>
                <w:szCs w:val="20"/>
              </w:rPr>
              <w:t>on market data</w:t>
            </w:r>
            <w:r w:rsidRPr="005737F1">
              <w:rPr>
                <w:rFonts w:cstheme="minorHAnsi"/>
                <w:color w:val="000000" w:themeColor="text1"/>
                <w:szCs w:val="20"/>
              </w:rPr>
              <w:t xml:space="preserve"> (for instance on outstandings and issuance) would undoubtedly aim a manager’s ability to work through a stressed market scenario.  </w:t>
            </w:r>
          </w:p>
          <w:p w14:paraId="5DF42F6A" w14:textId="77777777" w:rsidR="00290E98" w:rsidRPr="005737F1" w:rsidRDefault="00290E98" w:rsidP="00891722">
            <w:pPr>
              <w:pStyle w:val="ListParagraph"/>
              <w:spacing w:after="240"/>
              <w:jc w:val="both"/>
              <w:rPr>
                <w:rFonts w:cstheme="minorHAnsi"/>
                <w:color w:val="000000" w:themeColor="text1"/>
                <w:szCs w:val="20"/>
              </w:rPr>
            </w:pPr>
          </w:p>
        </w:tc>
      </w:tr>
      <w:tr w:rsidR="00290E98" w:rsidRPr="005737F1" w14:paraId="6EB47C0C" w14:textId="77777777" w:rsidTr="00290E98">
        <w:tc>
          <w:tcPr>
            <w:tcW w:w="9016" w:type="dxa"/>
          </w:tcPr>
          <w:tbl>
            <w:tblPr>
              <w:tblStyle w:val="TableGrid"/>
              <w:tblW w:w="0" w:type="auto"/>
              <w:tblLook w:val="04A0" w:firstRow="1" w:lastRow="0" w:firstColumn="1" w:lastColumn="0" w:noHBand="0" w:noVBand="1"/>
            </w:tblPr>
            <w:tblGrid>
              <w:gridCol w:w="8790"/>
            </w:tblGrid>
            <w:tr w:rsidR="00290E98" w:rsidRPr="005737F1" w14:paraId="08719ED7" w14:textId="77777777" w:rsidTr="00891722">
              <w:tc>
                <w:tcPr>
                  <w:tcW w:w="9016" w:type="dxa"/>
                  <w:shd w:val="clear" w:color="auto" w:fill="EEECE1" w:themeFill="background2"/>
                </w:tcPr>
                <w:p w14:paraId="400F3DFB" w14:textId="77777777" w:rsidR="00290E98" w:rsidRPr="005737F1" w:rsidRDefault="00290E98" w:rsidP="00290E98">
                  <w:pPr>
                    <w:tabs>
                      <w:tab w:val="left" w:pos="447"/>
                    </w:tabs>
                    <w:jc w:val="both"/>
                    <w:rPr>
                      <w:rFonts w:cstheme="minorHAnsi"/>
                      <w:b/>
                      <w:bCs/>
                      <w:color w:val="000000" w:themeColor="text1"/>
                      <w:szCs w:val="20"/>
                    </w:rPr>
                  </w:pPr>
                  <w:r w:rsidRPr="005737F1">
                    <w:rPr>
                      <w:rFonts w:cstheme="minorHAnsi"/>
                      <w:b/>
                      <w:bCs/>
                      <w:color w:val="000000" w:themeColor="text1"/>
                      <w:szCs w:val="20"/>
                    </w:rPr>
                    <w:t>IV</w:t>
                  </w:r>
                  <w:r w:rsidRPr="005737F1">
                    <w:rPr>
                      <w:rFonts w:cstheme="minorHAnsi"/>
                      <w:b/>
                      <w:bCs/>
                      <w:color w:val="000000" w:themeColor="text1"/>
                      <w:szCs w:val="20"/>
                    </w:rPr>
                    <w:tab/>
                    <w:t>Broader Impacts on the Stability and Functioning of Short-term Funding Markets</w:t>
                  </w:r>
                </w:p>
                <w:p w14:paraId="23C99BFB" w14:textId="77777777" w:rsidR="00290E98" w:rsidRPr="005737F1" w:rsidRDefault="00290E98" w:rsidP="00290E98">
                  <w:pPr>
                    <w:tabs>
                      <w:tab w:val="left" w:pos="447"/>
                    </w:tabs>
                    <w:jc w:val="both"/>
                    <w:rPr>
                      <w:rFonts w:cstheme="minorHAnsi"/>
                      <w:b/>
                      <w:bCs/>
                      <w:color w:val="000000" w:themeColor="text1"/>
                      <w:szCs w:val="20"/>
                    </w:rPr>
                  </w:pPr>
                </w:p>
              </w:tc>
            </w:tr>
            <w:tr w:rsidR="00290E98" w:rsidRPr="005737F1" w14:paraId="2524EFAC" w14:textId="77777777" w:rsidTr="00891722">
              <w:trPr>
                <w:trHeight w:val="970"/>
              </w:trPr>
              <w:tc>
                <w:tcPr>
                  <w:tcW w:w="9016" w:type="dxa"/>
                </w:tcPr>
                <w:p w14:paraId="09E7497E" w14:textId="77777777" w:rsidR="00290E98" w:rsidRPr="005737F1" w:rsidRDefault="00290E98" w:rsidP="00290E98">
                  <w:pPr>
                    <w:tabs>
                      <w:tab w:val="left" w:pos="164"/>
                      <w:tab w:val="left" w:pos="447"/>
                    </w:tabs>
                    <w:ind w:left="447" w:hanging="447"/>
                    <w:jc w:val="both"/>
                    <w:rPr>
                      <w:rFonts w:cstheme="minorHAnsi"/>
                      <w:color w:val="000000" w:themeColor="text1"/>
                      <w:szCs w:val="20"/>
                    </w:rPr>
                  </w:pPr>
                  <w:r w:rsidRPr="005737F1">
                    <w:rPr>
                      <w:rFonts w:cstheme="minorHAnsi"/>
                      <w:color w:val="000000" w:themeColor="text1"/>
                      <w:szCs w:val="20"/>
                    </w:rPr>
                    <w:t>i</w:t>
                  </w:r>
                  <w:r w:rsidRPr="005737F1">
                    <w:rPr>
                      <w:rFonts w:cstheme="minorHAnsi"/>
                      <w:color w:val="000000" w:themeColor="text1"/>
                      <w:szCs w:val="20"/>
                    </w:rPr>
                    <w:tab/>
                    <w:t>a)</w:t>
                  </w:r>
                  <w:r w:rsidRPr="005737F1">
                    <w:rPr>
                      <w:rFonts w:cstheme="minorHAnsi"/>
                      <w:color w:val="000000" w:themeColor="text1"/>
                      <w:szCs w:val="20"/>
                    </w:rPr>
                    <w:tab/>
                    <w:t>Where are investors likely to move if MMFs become less attractive as a result of the policy option?</w:t>
                  </w:r>
                  <w:r w:rsidRPr="005737F1">
                    <w:rPr>
                      <w:rFonts w:cstheme="minorHAnsi"/>
                      <w:color w:val="000000" w:themeColor="text1"/>
                      <w:szCs w:val="20"/>
                    </w:rPr>
                    <w:tab/>
                  </w:r>
                </w:p>
                <w:p w14:paraId="08FB20C6" w14:textId="77777777" w:rsidR="00290E98" w:rsidRPr="005737F1" w:rsidRDefault="00290E98" w:rsidP="00290E98">
                  <w:pPr>
                    <w:tabs>
                      <w:tab w:val="left" w:pos="164"/>
                      <w:tab w:val="left" w:pos="447"/>
                    </w:tabs>
                    <w:ind w:left="360"/>
                    <w:jc w:val="both"/>
                    <w:rPr>
                      <w:rFonts w:cstheme="minorHAnsi"/>
                      <w:color w:val="000000" w:themeColor="text1"/>
                      <w:szCs w:val="20"/>
                    </w:rPr>
                  </w:pPr>
                  <w:r w:rsidRPr="005737F1">
                    <w:rPr>
                      <w:rFonts w:cstheme="minorHAnsi"/>
                      <w:color w:val="000000" w:themeColor="text1"/>
                      <w:szCs w:val="20"/>
                    </w:rPr>
                    <w:t>Please see our response to Q4 above for answers to all of this section.</w:t>
                  </w:r>
                </w:p>
              </w:tc>
            </w:tr>
            <w:tr w:rsidR="00290E98" w:rsidRPr="005737F1" w14:paraId="7146007D" w14:textId="77777777" w:rsidTr="00891722">
              <w:trPr>
                <w:trHeight w:val="262"/>
              </w:trPr>
              <w:tc>
                <w:tcPr>
                  <w:tcW w:w="9016" w:type="dxa"/>
                </w:tcPr>
                <w:p w14:paraId="150B659D" w14:textId="77777777" w:rsidR="00290E98" w:rsidRPr="005737F1" w:rsidRDefault="00290E98" w:rsidP="00290E98">
                  <w:pPr>
                    <w:tabs>
                      <w:tab w:val="left" w:pos="164"/>
                      <w:tab w:val="left" w:pos="447"/>
                    </w:tabs>
                    <w:jc w:val="both"/>
                    <w:rPr>
                      <w:rFonts w:cstheme="minorHAnsi"/>
                      <w:color w:val="000000" w:themeColor="text1"/>
                      <w:szCs w:val="20"/>
                    </w:rPr>
                  </w:pPr>
                </w:p>
              </w:tc>
            </w:tr>
          </w:tbl>
          <w:p w14:paraId="58D7ED39" w14:textId="77777777" w:rsidR="00290E98" w:rsidRPr="005737F1" w:rsidRDefault="00290E98" w:rsidP="00891722">
            <w:pPr>
              <w:jc w:val="both"/>
              <w:rPr>
                <w:rFonts w:cstheme="minorHAnsi"/>
                <w:color w:val="000000" w:themeColor="text1"/>
                <w:szCs w:val="20"/>
              </w:rPr>
            </w:pPr>
          </w:p>
        </w:tc>
      </w:tr>
    </w:tbl>
    <w:p w14:paraId="0AB4AD07" w14:textId="77777777" w:rsidR="00290E98" w:rsidRPr="005737F1" w:rsidRDefault="00290E98" w:rsidP="00290E98">
      <w:pPr>
        <w:rPr>
          <w:rFonts w:cstheme="minorHAnsi"/>
          <w:bCs/>
          <w:color w:val="000000" w:themeColor="text1"/>
          <w:szCs w:val="20"/>
        </w:rPr>
      </w:pPr>
    </w:p>
    <w:p w14:paraId="63F52FB3" w14:textId="77777777" w:rsidR="00290E98" w:rsidRPr="005737F1" w:rsidRDefault="00290E98" w:rsidP="00290E98">
      <w:pPr>
        <w:rPr>
          <w:rFonts w:cstheme="minorHAnsi"/>
          <w:bCs/>
          <w:color w:val="000000" w:themeColor="text1"/>
          <w:szCs w:val="20"/>
        </w:rPr>
      </w:pPr>
    </w:p>
    <w:p w14:paraId="2270511B" w14:textId="77777777" w:rsidR="00290E98" w:rsidRDefault="00290E98" w:rsidP="00290E98">
      <w:pPr>
        <w:rPr>
          <w:rFonts w:cstheme="minorHAnsi"/>
          <w:bCs/>
          <w:color w:val="000000" w:themeColor="text1"/>
        </w:rPr>
      </w:pPr>
    </w:p>
    <w:p w14:paraId="16B29EBB" w14:textId="30A1A41E" w:rsidR="00492B3A" w:rsidRDefault="00492B3A" w:rsidP="00290E98"/>
    <w:permEnd w:id="947678092"/>
    <w:p w14:paraId="5D803357" w14:textId="61D9A95E" w:rsidR="00492B3A" w:rsidRDefault="00492B3A" w:rsidP="00492B3A">
      <w:r>
        <w:t>&lt;ESMA_QUESTION_</w:t>
      </w:r>
      <w:r w:rsidR="00DC1B3F">
        <w:t>MMFR</w:t>
      </w:r>
      <w:r>
        <w:t>_11&gt;</w:t>
      </w:r>
    </w:p>
    <w:p w14:paraId="1A3E6E6B" w14:textId="77777777" w:rsidR="00492B3A" w:rsidRDefault="00492B3A" w:rsidP="00492B3A"/>
    <w:p w14:paraId="346F2512" w14:textId="77777777" w:rsidR="00976448" w:rsidRPr="00C2636B" w:rsidRDefault="00976448" w:rsidP="00976448">
      <w:pPr>
        <w:pStyle w:val="Questionstyle"/>
        <w:rPr>
          <w:bCs/>
          <w:color w:val="201F1E"/>
          <w:bdr w:val="none" w:sz="0" w:space="0" w:color="auto" w:frame="1"/>
          <w:lang w:val="en-IE"/>
        </w:rPr>
      </w:pPr>
      <w:r w:rsidRPr="00F43E30">
        <w:rPr>
          <w:bCs/>
          <w:color w:val="201F1E"/>
          <w:bdr w:val="none" w:sz="0" w:space="0" w:color="auto" w:frame="1"/>
          <w:lang w:val="en-IE"/>
        </w:rPr>
        <w:t xml:space="preserve">i) Do you agree with the above assessment on the potential creation of a LEF? When you answer this question, please also take into account the grid </w:t>
      </w:r>
      <w:r w:rsidRPr="00F43E30">
        <w:rPr>
          <w:color w:val="201F1E"/>
          <w:bdr w:val="none" w:sz="0" w:space="0" w:color="auto" w:frame="1"/>
          <w:lang w:val="en-IE"/>
        </w:rPr>
        <w:t>of</w:t>
      </w:r>
      <w:r w:rsidRPr="00F43E30">
        <w:rPr>
          <w:bCs/>
          <w:color w:val="201F1E"/>
          <w:bdr w:val="none" w:sz="0" w:space="0" w:color="auto" w:frame="1"/>
          <w:lang w:val="en-IE"/>
        </w:rPr>
        <w:t xml:space="preserve"> criteria listed in paragraphs 76 to 80. ii) Several open questions related to the creation of the LEF, on which ESMA would specifically welcome feedback from stakeholders, include:</w:t>
      </w:r>
    </w:p>
    <w:p w14:paraId="26EDE601" w14:textId="77777777" w:rsidR="00976448" w:rsidRPr="000C1BA7" w:rsidRDefault="00976448" w:rsidP="00976448">
      <w:pPr>
        <w:pStyle w:val="xmsonormal"/>
        <w:numPr>
          <w:ilvl w:val="0"/>
          <w:numId w:val="50"/>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What should be the appropriate size of such a pooling vehicle as the LEF?</w:t>
      </w:r>
    </w:p>
    <w:p w14:paraId="0F9D6C43" w14:textId="77777777" w:rsidR="00976448" w:rsidRPr="000C1BA7" w:rsidRDefault="00976448" w:rsidP="00976448">
      <w:pPr>
        <w:pStyle w:val="xmsonormal"/>
        <w:numPr>
          <w:ilvl w:val="0"/>
          <w:numId w:val="50"/>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In terms of funding, how much MMF would have to pay each year to participate in the pool? How much of the funding would/should be provided by other sources?</w:t>
      </w:r>
    </w:p>
    <w:p w14:paraId="254F0D26" w14:textId="77777777" w:rsidR="00976448" w:rsidRPr="000C1BA7" w:rsidRDefault="00976448" w:rsidP="00976448">
      <w:pPr>
        <w:pStyle w:val="xmsonormal"/>
        <w:numPr>
          <w:ilvl w:val="0"/>
          <w:numId w:val="50"/>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How long would it take to establish such a LEF?</w:t>
      </w:r>
    </w:p>
    <w:p w14:paraId="40E4121F" w14:textId="77777777" w:rsidR="000C1BA7" w:rsidRPr="000C1BA7" w:rsidRDefault="00976448" w:rsidP="000C1BA7">
      <w:pPr>
        <w:pStyle w:val="xmsonormal"/>
        <w:numPr>
          <w:ilvl w:val="0"/>
          <w:numId w:val="50"/>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Under which conditions would the LEF be activated?</w:t>
      </w:r>
    </w:p>
    <w:p w14:paraId="681EC23B" w14:textId="08980129" w:rsidR="00492B3A" w:rsidRPr="000C1BA7" w:rsidRDefault="00976448" w:rsidP="000C1BA7">
      <w:pPr>
        <w:pStyle w:val="xmsonormal"/>
        <w:numPr>
          <w:ilvl w:val="0"/>
          <w:numId w:val="50"/>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color w:val="201F1E"/>
          <w:sz w:val="22"/>
          <w:szCs w:val="22"/>
          <w:bdr w:val="none" w:sz="0" w:space="0" w:color="auto" w:frame="1"/>
          <w:lang w:val="en-IE"/>
        </w:rPr>
        <w:t>Who would be responsible for activating the LEF</w:t>
      </w:r>
      <w:r w:rsidR="00A014B6" w:rsidRPr="000C1BA7">
        <w:rPr>
          <w:rFonts w:asciiTheme="minorHAnsi" w:hAnsiTheme="minorHAnsi" w:cstheme="minorHAnsi"/>
          <w:sz w:val="22"/>
          <w:szCs w:val="22"/>
        </w:rPr>
        <w:t>.</w:t>
      </w:r>
    </w:p>
    <w:p w14:paraId="4A7149D3" w14:textId="77777777" w:rsidR="000C1BA7" w:rsidRPr="000C1BA7" w:rsidRDefault="000C1BA7" w:rsidP="000C1BA7">
      <w:pPr>
        <w:pStyle w:val="xmsonormal"/>
        <w:shd w:val="clear" w:color="auto" w:fill="FFFFFF"/>
        <w:spacing w:before="0" w:beforeAutospacing="0" w:after="0" w:afterAutospacing="0"/>
        <w:jc w:val="both"/>
        <w:rPr>
          <w:rFonts w:ascii="Arial" w:hAnsi="Arial" w:cs="Arial"/>
          <w:b/>
          <w:bCs/>
          <w:color w:val="201F1E"/>
          <w:sz w:val="22"/>
          <w:szCs w:val="22"/>
          <w:bdr w:val="none" w:sz="0" w:space="0" w:color="auto" w:frame="1"/>
          <w:lang w:val="en-IE"/>
        </w:rPr>
      </w:pPr>
    </w:p>
    <w:p w14:paraId="7F0E3695" w14:textId="1167F0D8" w:rsidR="00492B3A" w:rsidRDefault="00492B3A" w:rsidP="00492B3A">
      <w:r>
        <w:t>&lt;ESMA_QUESTION_</w:t>
      </w:r>
      <w:r w:rsidR="00DC1B3F">
        <w:t>MMFR</w:t>
      </w:r>
      <w:r>
        <w:t>_12&gt;</w:t>
      </w:r>
    </w:p>
    <w:p w14:paraId="769B2A73" w14:textId="77777777" w:rsidR="00C955DD" w:rsidRDefault="00C955DD" w:rsidP="006B103E">
      <w:pPr>
        <w:pStyle w:val="ListParagraph"/>
        <w:spacing w:after="120"/>
        <w:ind w:left="714"/>
        <w:contextualSpacing w:val="0"/>
        <w:jc w:val="both"/>
        <w:rPr>
          <w:rFonts w:cstheme="minorHAnsi"/>
          <w:color w:val="000000" w:themeColor="text1"/>
        </w:rPr>
      </w:pPr>
      <w:permStart w:id="575285207" w:edGrp="everyone"/>
    </w:p>
    <w:p w14:paraId="36CFF20B" w14:textId="662D657C" w:rsidR="006B103E" w:rsidRPr="005737F1" w:rsidRDefault="006B103E" w:rsidP="006B103E">
      <w:pPr>
        <w:pStyle w:val="ListParagraph"/>
        <w:spacing w:after="120"/>
        <w:ind w:left="714"/>
        <w:contextualSpacing w:val="0"/>
        <w:jc w:val="both"/>
        <w:rPr>
          <w:rFonts w:cstheme="minorHAnsi"/>
          <w:color w:val="000000" w:themeColor="text1"/>
          <w:szCs w:val="20"/>
        </w:rPr>
      </w:pPr>
      <w:r w:rsidRPr="005737F1">
        <w:rPr>
          <w:rFonts w:cstheme="minorHAnsi"/>
          <w:color w:val="000000" w:themeColor="text1"/>
          <w:szCs w:val="20"/>
        </w:rPr>
        <w:t xml:space="preserve">The establishment of an LEF is likely to be logistically complex, lengthy, costly and impractical.  It is uncertain whether it would mitigate the liquidity requirements we saw during the March 2020 crisis.  The facility would need to cover all currencies in all jurisdictions in order to be effective which is challenging from a legal &amp; regulatory perspective.  </w:t>
      </w:r>
    </w:p>
    <w:p w14:paraId="62855B72" w14:textId="77777777" w:rsidR="006B103E" w:rsidRPr="005737F1" w:rsidRDefault="006B103E" w:rsidP="006B103E">
      <w:pPr>
        <w:pStyle w:val="ListParagraph"/>
        <w:spacing w:after="120"/>
        <w:ind w:left="714"/>
        <w:contextualSpacing w:val="0"/>
        <w:jc w:val="both"/>
        <w:rPr>
          <w:rFonts w:cstheme="minorHAnsi"/>
          <w:color w:val="000000" w:themeColor="text1"/>
          <w:szCs w:val="20"/>
        </w:rPr>
      </w:pPr>
      <w:r w:rsidRPr="005737F1">
        <w:rPr>
          <w:rFonts w:cstheme="minorHAnsi"/>
          <w:color w:val="000000" w:themeColor="text1"/>
          <w:szCs w:val="20"/>
        </w:rPr>
        <w:t xml:space="preserve">The size and scale of such a facility is challenging to get right, the facility would need to be substantial enough in size to cover extreme deterioration of liquidity in a stressed market scenario. We reference IOSCO’s comment where they noted that, </w:t>
      </w:r>
      <w:r w:rsidRPr="005737F1">
        <w:rPr>
          <w:rFonts w:cstheme="minorHAnsi"/>
          <w:color w:val="000000" w:themeColor="text1"/>
          <w:szCs w:val="20"/>
        </w:rPr>
        <w:lastRenderedPageBreak/>
        <w:t>for a LEF to be effective, “its structure and operations would have to be carefully designed to ensure that the facility has sufficient capacity during a crisis and that the facility itself is not vulnerable to runs. A depleted facility could trigger or amplify a run on MMFs.”</w:t>
      </w:r>
      <w:r w:rsidRPr="005737F1">
        <w:rPr>
          <w:rFonts w:cstheme="minorHAnsi"/>
          <w:color w:val="000000" w:themeColor="text1"/>
          <w:szCs w:val="20"/>
        </w:rPr>
        <w:footnoteReference w:id="6"/>
      </w:r>
      <w:r w:rsidRPr="005737F1">
        <w:rPr>
          <w:rFonts w:cstheme="minorHAnsi"/>
          <w:color w:val="000000" w:themeColor="text1"/>
          <w:szCs w:val="20"/>
        </w:rPr>
        <w:t xml:space="preserve">.  </w:t>
      </w:r>
    </w:p>
    <w:p w14:paraId="3112213F" w14:textId="77777777" w:rsidR="006B103E" w:rsidRPr="005737F1" w:rsidRDefault="006B103E" w:rsidP="006B103E">
      <w:pPr>
        <w:pStyle w:val="ListParagraph"/>
        <w:spacing w:after="120"/>
        <w:ind w:left="714"/>
        <w:contextualSpacing w:val="0"/>
        <w:jc w:val="both"/>
        <w:rPr>
          <w:rFonts w:cstheme="minorHAnsi"/>
          <w:color w:val="000000" w:themeColor="text1"/>
          <w:szCs w:val="20"/>
        </w:rPr>
      </w:pPr>
      <w:r w:rsidRPr="005737F1">
        <w:rPr>
          <w:rFonts w:cstheme="minorHAnsi"/>
          <w:color w:val="000000" w:themeColor="text1"/>
          <w:szCs w:val="20"/>
        </w:rPr>
        <w:t xml:space="preserve">The cost of the facility would be borne by MMFs increasing costs which will inevitably be passed on to investors.  This will make the product less attractive particularly in the low rate environment of today.  This could drive AUM elsewhere in the financial system giving rise to the risks we have highlighted elsewhere in this response.  It could drive manager consolidation as managers may be unwilling to bear the funding cost of such a facility in normalised market conditions &amp; therefore reduced competition in the industry.  That cost may drive increased risk taking in the sector where managers seek to balance the cost of funding such a facility. </w:t>
      </w:r>
    </w:p>
    <w:p w14:paraId="1F9238E4" w14:textId="77777777" w:rsidR="006B103E" w:rsidRPr="005737F1" w:rsidRDefault="006B103E" w:rsidP="006B103E">
      <w:pPr>
        <w:pStyle w:val="ListParagraph"/>
        <w:spacing w:after="120"/>
        <w:ind w:left="714"/>
        <w:contextualSpacing w:val="0"/>
        <w:jc w:val="both"/>
        <w:rPr>
          <w:rFonts w:cstheme="minorHAnsi"/>
          <w:color w:val="000000" w:themeColor="text1"/>
          <w:szCs w:val="20"/>
        </w:rPr>
      </w:pPr>
      <w:r w:rsidRPr="005737F1">
        <w:rPr>
          <w:rFonts w:cstheme="minorHAnsi"/>
          <w:color w:val="000000" w:themeColor="text1"/>
          <w:szCs w:val="20"/>
        </w:rPr>
        <w:t xml:space="preserve">It could be argued that it will increase moral hazard in the system where MMFs are inadvertently encouraged to take excessive risk, that may have the effect of syndicated risk across the industry.   </w:t>
      </w:r>
    </w:p>
    <w:p w14:paraId="479D55D9" w14:textId="77777777" w:rsidR="006B103E" w:rsidRPr="005737F1" w:rsidRDefault="006B103E" w:rsidP="006B103E">
      <w:pPr>
        <w:pStyle w:val="ListParagraph"/>
        <w:jc w:val="both"/>
        <w:rPr>
          <w:rFonts w:cstheme="minorHAnsi"/>
          <w:bCs/>
          <w:color w:val="000000" w:themeColor="text1"/>
          <w:szCs w:val="20"/>
        </w:rPr>
      </w:pPr>
      <w:r w:rsidRPr="005737F1">
        <w:rPr>
          <w:rFonts w:cstheme="minorHAnsi"/>
          <w:color w:val="000000" w:themeColor="text1"/>
          <w:szCs w:val="20"/>
        </w:rPr>
        <w:t xml:space="preserve">Given that the facility would need to cover all currencies, it would be complex to establish from a regulatory perspective. </w:t>
      </w:r>
      <w:r w:rsidRPr="005737F1">
        <w:rPr>
          <w:rFonts w:cstheme="minorHAnsi"/>
          <w:bCs/>
          <w:color w:val="000000" w:themeColor="text1"/>
          <w:szCs w:val="20"/>
        </w:rPr>
        <w:t>We agree with IMMFAs viewpoint that in order to have a meaningful impact any such facility would arguably need the ability to borrow from the Central Bank, somewhat negating the intention to make any such need for intervention necessary.</w:t>
      </w:r>
    </w:p>
    <w:p w14:paraId="79F3498F" w14:textId="77777777" w:rsidR="006B103E" w:rsidRPr="005737F1" w:rsidRDefault="006B103E" w:rsidP="006B103E">
      <w:pPr>
        <w:spacing w:after="120"/>
        <w:jc w:val="both"/>
        <w:rPr>
          <w:rFonts w:cstheme="minorHAnsi"/>
          <w:color w:val="000000" w:themeColor="text1"/>
          <w:szCs w:val="20"/>
        </w:rPr>
      </w:pPr>
    </w:p>
    <w:p w14:paraId="0559EA17" w14:textId="77777777" w:rsidR="006B103E" w:rsidRPr="005737F1" w:rsidRDefault="006B103E" w:rsidP="006B103E">
      <w:pPr>
        <w:pStyle w:val="ListParagraph"/>
        <w:numPr>
          <w:ilvl w:val="0"/>
          <w:numId w:val="70"/>
        </w:numPr>
        <w:ind w:left="567" w:hanging="567"/>
        <w:jc w:val="both"/>
        <w:rPr>
          <w:rFonts w:cstheme="minorHAnsi"/>
          <w:b/>
          <w:bCs/>
          <w:color w:val="000000" w:themeColor="text1"/>
          <w:szCs w:val="20"/>
        </w:rPr>
      </w:pPr>
      <w:r w:rsidRPr="005737F1">
        <w:rPr>
          <w:rFonts w:cstheme="minorHAnsi"/>
          <w:b/>
          <w:bCs/>
          <w:color w:val="000000" w:themeColor="text1"/>
          <w:szCs w:val="20"/>
        </w:rPr>
        <w:t>Specifics on how big/conditions etc</w:t>
      </w:r>
    </w:p>
    <w:p w14:paraId="657620A3" w14:textId="77777777" w:rsidR="006B103E" w:rsidRPr="005737F1" w:rsidRDefault="006B103E" w:rsidP="006B103E">
      <w:pPr>
        <w:pStyle w:val="ListParagraph"/>
        <w:jc w:val="both"/>
        <w:rPr>
          <w:rFonts w:cstheme="minorHAnsi"/>
          <w:bCs/>
          <w:color w:val="000000" w:themeColor="text1"/>
          <w:szCs w:val="20"/>
        </w:rPr>
      </w:pPr>
      <w:r w:rsidRPr="005737F1">
        <w:rPr>
          <w:rFonts w:cstheme="minorHAnsi"/>
          <w:bCs/>
          <w:color w:val="000000" w:themeColor="text1"/>
          <w:szCs w:val="20"/>
        </w:rPr>
        <w:t xml:space="preserve">As noted above, the sizing of the facility will be a challenge.   It will need to have sufficient scale to cover extreme stress events across the industry and in order to be effective we believe, as noted above, that it will need to have the ability to borrow from the central bank. </w:t>
      </w:r>
    </w:p>
    <w:p w14:paraId="7FCEF476" w14:textId="77777777" w:rsidR="006B103E" w:rsidRPr="005737F1" w:rsidRDefault="006B103E" w:rsidP="006B103E">
      <w:pPr>
        <w:ind w:left="720"/>
        <w:jc w:val="both"/>
        <w:rPr>
          <w:rFonts w:cstheme="minorHAnsi"/>
          <w:bCs/>
          <w:color w:val="000000" w:themeColor="text1"/>
          <w:szCs w:val="20"/>
        </w:rPr>
      </w:pPr>
      <w:r w:rsidRPr="005737F1">
        <w:rPr>
          <w:rFonts w:cstheme="minorHAnsi"/>
          <w:bCs/>
          <w:color w:val="000000" w:themeColor="text1"/>
          <w:szCs w:val="20"/>
        </w:rPr>
        <w:t xml:space="preserve">The scope of the facility is important to consider as this may in &amp; of itself create a cliff edge if one currency was afforded the support of the LEF and not another. </w:t>
      </w:r>
    </w:p>
    <w:p w14:paraId="2A1DD1DD" w14:textId="2618C4E0" w:rsidR="006B103E" w:rsidRPr="005737F1" w:rsidRDefault="006B103E" w:rsidP="00492B3A">
      <w:pPr>
        <w:rPr>
          <w:szCs w:val="20"/>
        </w:rPr>
      </w:pPr>
    </w:p>
    <w:tbl>
      <w:tblPr>
        <w:tblStyle w:val="TableGrid"/>
        <w:tblW w:w="0" w:type="auto"/>
        <w:tblLook w:val="04A0" w:firstRow="1" w:lastRow="0" w:firstColumn="1" w:lastColumn="0" w:noHBand="0" w:noVBand="1"/>
      </w:tblPr>
      <w:tblGrid>
        <w:gridCol w:w="9016"/>
      </w:tblGrid>
      <w:tr w:rsidR="006B103E" w:rsidRPr="005737F1" w14:paraId="3541F11B" w14:textId="77777777" w:rsidTr="00891722">
        <w:tc>
          <w:tcPr>
            <w:tcW w:w="9016" w:type="dxa"/>
            <w:shd w:val="clear" w:color="auto" w:fill="EEECE1" w:themeFill="background2"/>
          </w:tcPr>
          <w:p w14:paraId="0A8A72AB" w14:textId="77777777" w:rsidR="006B103E" w:rsidRPr="005737F1" w:rsidRDefault="006B103E" w:rsidP="00891722">
            <w:pPr>
              <w:jc w:val="both"/>
              <w:rPr>
                <w:rFonts w:cstheme="minorHAnsi"/>
                <w:b/>
                <w:bCs/>
                <w:color w:val="000000" w:themeColor="text1"/>
                <w:szCs w:val="20"/>
              </w:rPr>
            </w:pPr>
            <w:r w:rsidRPr="005737F1">
              <w:rPr>
                <w:rFonts w:cstheme="minorHAnsi"/>
                <w:b/>
                <w:bCs/>
                <w:color w:val="000000" w:themeColor="text1"/>
                <w:szCs w:val="20"/>
              </w:rPr>
              <w:t>I    Impact on the Resilience of MMFs</w:t>
            </w:r>
          </w:p>
          <w:p w14:paraId="7C5DCB01" w14:textId="77777777" w:rsidR="006B103E" w:rsidRPr="005737F1" w:rsidRDefault="006B103E" w:rsidP="00891722">
            <w:pPr>
              <w:jc w:val="both"/>
              <w:rPr>
                <w:rFonts w:cstheme="minorHAnsi"/>
                <w:color w:val="000000" w:themeColor="text1"/>
                <w:szCs w:val="20"/>
              </w:rPr>
            </w:pPr>
          </w:p>
        </w:tc>
      </w:tr>
      <w:tr w:rsidR="006B103E" w:rsidRPr="005737F1" w14:paraId="4881A88C" w14:textId="77777777" w:rsidTr="00891722">
        <w:tc>
          <w:tcPr>
            <w:tcW w:w="9016" w:type="dxa"/>
          </w:tcPr>
          <w:p w14:paraId="3DCB6982" w14:textId="77777777" w:rsidR="006B103E" w:rsidRPr="005737F1" w:rsidRDefault="006B103E" w:rsidP="00891722">
            <w:pPr>
              <w:ind w:left="306" w:hanging="306"/>
              <w:jc w:val="both"/>
              <w:rPr>
                <w:rFonts w:cstheme="minorHAnsi"/>
                <w:i/>
                <w:iCs/>
                <w:color w:val="000000" w:themeColor="text1"/>
                <w:szCs w:val="20"/>
              </w:rPr>
            </w:pPr>
            <w:r w:rsidRPr="005737F1">
              <w:rPr>
                <w:rFonts w:cstheme="minorHAnsi"/>
                <w:i/>
                <w:iCs/>
                <w:color w:val="000000" w:themeColor="text1"/>
                <w:szCs w:val="20"/>
              </w:rPr>
              <w:t xml:space="preserve">i </w:t>
            </w:r>
            <w:r w:rsidRPr="005737F1">
              <w:rPr>
                <w:rFonts w:cstheme="minorHAnsi"/>
                <w:i/>
                <w:iCs/>
                <w:color w:val="000000" w:themeColor="text1"/>
                <w:szCs w:val="20"/>
              </w:rPr>
              <w:tab/>
              <w:t>How would the policy option work in mitigating the structural vulnerabilities of MMFs?</w:t>
            </w:r>
          </w:p>
          <w:p w14:paraId="3F9B6BC1" w14:textId="77777777" w:rsidR="006B103E" w:rsidRPr="005737F1" w:rsidRDefault="006B103E" w:rsidP="00891722">
            <w:pPr>
              <w:pStyle w:val="ListParagraph"/>
              <w:jc w:val="both"/>
              <w:rPr>
                <w:rFonts w:cstheme="minorHAnsi"/>
                <w:color w:val="000000" w:themeColor="text1"/>
                <w:szCs w:val="20"/>
              </w:rPr>
            </w:pPr>
            <w:r w:rsidRPr="005737F1">
              <w:rPr>
                <w:rFonts w:cstheme="minorHAnsi"/>
                <w:color w:val="000000" w:themeColor="text1"/>
                <w:szCs w:val="20"/>
              </w:rPr>
              <w:t xml:space="preserve">We do not feel an LEF is the appropriate solution. </w:t>
            </w:r>
          </w:p>
        </w:tc>
      </w:tr>
      <w:tr w:rsidR="006B103E" w:rsidRPr="005737F1" w14:paraId="0CFF1E1A" w14:textId="77777777" w:rsidTr="00891722">
        <w:tc>
          <w:tcPr>
            <w:tcW w:w="9016" w:type="dxa"/>
          </w:tcPr>
          <w:p w14:paraId="312BF01B" w14:textId="77777777" w:rsidR="006B103E" w:rsidRPr="005737F1" w:rsidRDefault="006B103E" w:rsidP="00891722">
            <w:pPr>
              <w:jc w:val="both"/>
              <w:rPr>
                <w:rFonts w:cstheme="minorHAnsi"/>
                <w:i/>
                <w:iCs/>
                <w:color w:val="000000" w:themeColor="text1"/>
                <w:szCs w:val="20"/>
              </w:rPr>
            </w:pPr>
            <w:r w:rsidRPr="005737F1">
              <w:rPr>
                <w:rFonts w:cstheme="minorHAnsi"/>
                <w:i/>
                <w:iCs/>
                <w:color w:val="000000" w:themeColor="text1"/>
                <w:szCs w:val="20"/>
              </w:rPr>
              <w:t>ii</w:t>
            </w:r>
            <w:r w:rsidRPr="005737F1">
              <w:rPr>
                <w:rFonts w:cstheme="minorHAnsi"/>
                <w:i/>
                <w:iCs/>
                <w:color w:val="000000" w:themeColor="text1"/>
                <w:szCs w:val="20"/>
              </w:rPr>
              <w:tab/>
              <w:t>Would it apply to all MMFs?</w:t>
            </w:r>
          </w:p>
          <w:p w14:paraId="7DA70F33" w14:textId="77777777" w:rsidR="006B103E" w:rsidRPr="005737F1" w:rsidRDefault="006B103E" w:rsidP="00891722">
            <w:pPr>
              <w:ind w:left="720"/>
              <w:jc w:val="both"/>
              <w:rPr>
                <w:rFonts w:cstheme="minorHAnsi"/>
                <w:color w:val="000000" w:themeColor="text1"/>
                <w:szCs w:val="20"/>
              </w:rPr>
            </w:pPr>
            <w:r w:rsidRPr="005737F1">
              <w:rPr>
                <w:rFonts w:cstheme="minorHAnsi"/>
                <w:color w:val="000000" w:themeColor="text1"/>
                <w:szCs w:val="20"/>
              </w:rPr>
              <w:t xml:space="preserve">Yes, it should apply to all fund types and currencies. </w:t>
            </w:r>
          </w:p>
        </w:tc>
      </w:tr>
      <w:tr w:rsidR="006B103E" w:rsidRPr="005737F1" w14:paraId="5FE71F14" w14:textId="77777777" w:rsidTr="00891722">
        <w:trPr>
          <w:trHeight w:val="3245"/>
        </w:trPr>
        <w:tc>
          <w:tcPr>
            <w:tcW w:w="9016" w:type="dxa"/>
          </w:tcPr>
          <w:p w14:paraId="3232879D" w14:textId="77777777" w:rsidR="006B103E" w:rsidRPr="005737F1" w:rsidRDefault="006B103E" w:rsidP="00891722">
            <w:pPr>
              <w:tabs>
                <w:tab w:val="left" w:pos="306"/>
                <w:tab w:val="left" w:pos="690"/>
              </w:tabs>
              <w:ind w:left="447" w:hanging="447"/>
              <w:jc w:val="both"/>
              <w:rPr>
                <w:rFonts w:cstheme="minorHAnsi"/>
                <w:color w:val="000000" w:themeColor="text1"/>
                <w:szCs w:val="20"/>
              </w:rPr>
            </w:pPr>
            <w:r w:rsidRPr="005737F1">
              <w:rPr>
                <w:rFonts w:cstheme="minorHAnsi"/>
                <w:i/>
                <w:iCs/>
                <w:color w:val="000000" w:themeColor="text1"/>
                <w:szCs w:val="20"/>
              </w:rPr>
              <w:t>ii</w:t>
            </w:r>
            <w:r w:rsidRPr="005737F1">
              <w:rPr>
                <w:rFonts w:cstheme="minorHAnsi"/>
                <w:i/>
                <w:iCs/>
                <w:color w:val="000000" w:themeColor="text1"/>
                <w:szCs w:val="20"/>
              </w:rPr>
              <w:tab/>
              <w:t>a)</w:t>
            </w:r>
            <w:r w:rsidRPr="005737F1">
              <w:rPr>
                <w:rFonts w:cstheme="minorHAnsi"/>
                <w:i/>
                <w:iCs/>
                <w:color w:val="000000" w:themeColor="text1"/>
                <w:szCs w:val="20"/>
              </w:rPr>
              <w:tab/>
            </w:r>
            <w:r w:rsidRPr="005737F1">
              <w:rPr>
                <w:rFonts w:cstheme="minorHAnsi"/>
                <w:color w:val="000000" w:themeColor="text1"/>
                <w:szCs w:val="20"/>
              </w:rPr>
              <w:t>Is the option currently in place in any jurisdiction, and if so, has it been helpful?</w:t>
            </w:r>
          </w:p>
          <w:p w14:paraId="57896667" w14:textId="77777777" w:rsidR="006B103E" w:rsidRPr="005737F1" w:rsidRDefault="006B103E" w:rsidP="00891722">
            <w:pPr>
              <w:tabs>
                <w:tab w:val="left" w:pos="306"/>
                <w:tab w:val="left" w:pos="690"/>
              </w:tabs>
              <w:ind w:left="720"/>
              <w:jc w:val="both"/>
              <w:rPr>
                <w:rFonts w:cstheme="minorHAnsi"/>
                <w:color w:val="000000" w:themeColor="text1"/>
                <w:szCs w:val="20"/>
              </w:rPr>
            </w:pPr>
            <w:r w:rsidRPr="005737F1">
              <w:rPr>
                <w:rFonts w:cstheme="minorHAnsi"/>
                <w:color w:val="000000" w:themeColor="text1"/>
                <w:szCs w:val="20"/>
              </w:rPr>
              <w:t>No</w:t>
            </w:r>
            <w:r w:rsidRPr="005737F1">
              <w:rPr>
                <w:rFonts w:cstheme="minorHAnsi"/>
                <w:color w:val="000000" w:themeColor="text1"/>
                <w:szCs w:val="20"/>
              </w:rPr>
              <w:tab/>
            </w:r>
          </w:p>
          <w:p w14:paraId="4D2A6B7D" w14:textId="77777777" w:rsidR="006B103E" w:rsidRPr="005737F1" w:rsidRDefault="006B103E" w:rsidP="00891722">
            <w:pPr>
              <w:tabs>
                <w:tab w:val="left" w:pos="306"/>
              </w:tabs>
              <w:jc w:val="both"/>
              <w:rPr>
                <w:rFonts w:cstheme="minorHAnsi"/>
                <w:color w:val="000000" w:themeColor="text1"/>
                <w:szCs w:val="20"/>
              </w:rPr>
            </w:pPr>
            <w:r w:rsidRPr="005737F1">
              <w:rPr>
                <w:rFonts w:cstheme="minorHAnsi"/>
                <w:i/>
                <w:iCs/>
                <w:color w:val="000000" w:themeColor="text1"/>
                <w:szCs w:val="20"/>
              </w:rPr>
              <w:tab/>
              <w:t>b)</w:t>
            </w:r>
            <w:r w:rsidRPr="005737F1">
              <w:rPr>
                <w:rFonts w:cstheme="minorHAnsi"/>
                <w:i/>
                <w:iCs/>
                <w:color w:val="000000" w:themeColor="text1"/>
                <w:szCs w:val="20"/>
              </w:rPr>
              <w:tab/>
            </w:r>
            <w:r w:rsidRPr="005737F1">
              <w:rPr>
                <w:rFonts w:cstheme="minorHAnsi"/>
                <w:color w:val="000000" w:themeColor="text1"/>
                <w:szCs w:val="20"/>
              </w:rPr>
              <w:t xml:space="preserve">How would it represent a change from current rules or practices in other </w:t>
            </w:r>
            <w:r w:rsidRPr="005737F1">
              <w:rPr>
                <w:rFonts w:cstheme="minorHAnsi"/>
                <w:color w:val="000000" w:themeColor="text1"/>
                <w:szCs w:val="20"/>
              </w:rPr>
              <w:tab/>
            </w:r>
            <w:r w:rsidRPr="005737F1">
              <w:rPr>
                <w:rFonts w:cstheme="minorHAnsi"/>
                <w:color w:val="000000" w:themeColor="text1"/>
                <w:szCs w:val="20"/>
              </w:rPr>
              <w:tab/>
            </w:r>
            <w:r w:rsidRPr="005737F1">
              <w:rPr>
                <w:rFonts w:cstheme="minorHAnsi"/>
                <w:color w:val="000000" w:themeColor="text1"/>
                <w:szCs w:val="20"/>
              </w:rPr>
              <w:tab/>
            </w:r>
            <w:r w:rsidRPr="005737F1">
              <w:rPr>
                <w:rFonts w:cstheme="minorHAnsi"/>
                <w:color w:val="000000" w:themeColor="text1"/>
                <w:szCs w:val="20"/>
              </w:rPr>
              <w:tab/>
              <w:t>jurisdictions?</w:t>
            </w:r>
          </w:p>
          <w:p w14:paraId="6F6A6DBA" w14:textId="77777777" w:rsidR="006B103E" w:rsidRPr="005737F1" w:rsidRDefault="006B103E" w:rsidP="00891722">
            <w:pPr>
              <w:tabs>
                <w:tab w:val="left" w:pos="306"/>
              </w:tabs>
              <w:ind w:left="720"/>
              <w:jc w:val="both"/>
              <w:rPr>
                <w:rFonts w:cstheme="minorHAnsi"/>
                <w:color w:val="000000" w:themeColor="text1"/>
                <w:szCs w:val="20"/>
              </w:rPr>
            </w:pPr>
            <w:r w:rsidRPr="005737F1">
              <w:rPr>
                <w:rFonts w:cstheme="minorHAnsi"/>
                <w:color w:val="000000" w:themeColor="text1"/>
                <w:szCs w:val="20"/>
              </w:rPr>
              <w:t>New concept to all jurisdictions.</w:t>
            </w:r>
          </w:p>
          <w:p w14:paraId="6100782C" w14:textId="77777777" w:rsidR="006B103E" w:rsidRPr="005737F1" w:rsidRDefault="006B103E" w:rsidP="00891722">
            <w:pPr>
              <w:tabs>
                <w:tab w:val="left" w:pos="306"/>
              </w:tabs>
              <w:ind w:left="272" w:hanging="272"/>
              <w:jc w:val="both"/>
              <w:rPr>
                <w:rFonts w:cstheme="minorHAnsi"/>
                <w:color w:val="000000" w:themeColor="text1"/>
                <w:szCs w:val="20"/>
              </w:rPr>
            </w:pPr>
            <w:r w:rsidRPr="005737F1">
              <w:rPr>
                <w:rFonts w:cstheme="minorHAnsi"/>
                <w:color w:val="000000" w:themeColor="text1"/>
                <w:szCs w:val="20"/>
              </w:rPr>
              <w:tab/>
              <w:t>c)</w:t>
            </w:r>
            <w:r w:rsidRPr="005737F1">
              <w:rPr>
                <w:rFonts w:cstheme="minorHAnsi"/>
                <w:color w:val="000000" w:themeColor="text1"/>
                <w:szCs w:val="20"/>
              </w:rPr>
              <w:tab/>
              <w:t xml:space="preserve">Has the option been implemented previously and, if so, what were the main </w:t>
            </w:r>
            <w:r w:rsidRPr="005737F1">
              <w:rPr>
                <w:rFonts w:cstheme="minorHAnsi"/>
                <w:color w:val="000000" w:themeColor="text1"/>
                <w:szCs w:val="20"/>
              </w:rPr>
              <w:tab/>
            </w:r>
            <w:r w:rsidRPr="005737F1">
              <w:rPr>
                <w:rFonts w:cstheme="minorHAnsi"/>
                <w:color w:val="000000" w:themeColor="text1"/>
                <w:szCs w:val="20"/>
              </w:rPr>
              <w:tab/>
            </w:r>
            <w:r w:rsidRPr="005737F1">
              <w:rPr>
                <w:rFonts w:cstheme="minorHAnsi"/>
                <w:color w:val="000000" w:themeColor="text1"/>
                <w:szCs w:val="20"/>
              </w:rPr>
              <w:tab/>
              <w:t>findings?</w:t>
            </w:r>
          </w:p>
          <w:p w14:paraId="6A0F16B5" w14:textId="77777777" w:rsidR="006B103E" w:rsidRPr="005737F1" w:rsidRDefault="006B103E" w:rsidP="00891722">
            <w:pPr>
              <w:spacing w:after="120"/>
              <w:ind w:left="720"/>
              <w:jc w:val="both"/>
              <w:rPr>
                <w:rFonts w:cstheme="minorHAnsi"/>
                <w:i/>
                <w:iCs/>
                <w:color w:val="000000" w:themeColor="text1"/>
                <w:szCs w:val="20"/>
              </w:rPr>
            </w:pPr>
            <w:r w:rsidRPr="005737F1">
              <w:rPr>
                <w:rFonts w:cstheme="minorHAnsi"/>
                <w:color w:val="000000" w:themeColor="text1"/>
                <w:szCs w:val="20"/>
              </w:rPr>
              <w:t xml:space="preserve">It was not implemented but it was reviewed in the US in 2009 and the SEC chose not to implement it. </w:t>
            </w:r>
          </w:p>
        </w:tc>
      </w:tr>
      <w:tr w:rsidR="006B103E" w:rsidRPr="005737F1" w14:paraId="1F247B6E" w14:textId="77777777" w:rsidTr="006B103E">
        <w:tc>
          <w:tcPr>
            <w:tcW w:w="9016" w:type="dxa"/>
          </w:tcPr>
          <w:p w14:paraId="2F57D2A0" w14:textId="77777777" w:rsidR="006B103E" w:rsidRPr="005737F1" w:rsidRDefault="006B103E" w:rsidP="00891722">
            <w:pPr>
              <w:jc w:val="both"/>
              <w:rPr>
                <w:rFonts w:cstheme="minorHAnsi"/>
                <w:b/>
                <w:bCs/>
                <w:color w:val="000000" w:themeColor="text1"/>
                <w:szCs w:val="20"/>
              </w:rPr>
            </w:pPr>
            <w:r w:rsidRPr="005737F1">
              <w:rPr>
                <w:rFonts w:cstheme="minorHAnsi"/>
                <w:b/>
                <w:bCs/>
                <w:color w:val="000000" w:themeColor="text1"/>
                <w:szCs w:val="20"/>
              </w:rPr>
              <w:t>II    Effects on Investor Behaviour</w:t>
            </w:r>
          </w:p>
          <w:p w14:paraId="57381FB0" w14:textId="77777777" w:rsidR="006B103E" w:rsidRPr="005737F1" w:rsidRDefault="006B103E" w:rsidP="00891722">
            <w:pPr>
              <w:jc w:val="both"/>
              <w:rPr>
                <w:rFonts w:cstheme="minorHAnsi"/>
                <w:color w:val="000000" w:themeColor="text1"/>
                <w:szCs w:val="20"/>
              </w:rPr>
            </w:pPr>
            <w:r w:rsidRPr="005737F1">
              <w:rPr>
                <w:rFonts w:cstheme="minorHAnsi"/>
                <w:color w:val="000000" w:themeColor="text1"/>
                <w:szCs w:val="20"/>
              </w:rPr>
              <w:tab/>
            </w:r>
          </w:p>
        </w:tc>
      </w:tr>
      <w:tr w:rsidR="006B103E" w:rsidRPr="005737F1" w14:paraId="64067FD6" w14:textId="77777777" w:rsidTr="006B103E">
        <w:tc>
          <w:tcPr>
            <w:tcW w:w="9016" w:type="dxa"/>
          </w:tcPr>
          <w:p w14:paraId="559FF24B" w14:textId="77777777" w:rsidR="006B103E" w:rsidRPr="005737F1" w:rsidRDefault="006B103E" w:rsidP="00891722">
            <w:pPr>
              <w:ind w:left="447" w:hanging="447"/>
              <w:jc w:val="both"/>
              <w:rPr>
                <w:rFonts w:cstheme="minorHAnsi"/>
                <w:color w:val="000000" w:themeColor="text1"/>
                <w:szCs w:val="20"/>
              </w:rPr>
            </w:pPr>
            <w:r w:rsidRPr="005737F1">
              <w:rPr>
                <w:rFonts w:cstheme="minorHAnsi"/>
                <w:i/>
                <w:iCs/>
                <w:color w:val="000000" w:themeColor="text1"/>
                <w:szCs w:val="20"/>
              </w:rPr>
              <w:t xml:space="preserve">i </w:t>
            </w:r>
            <w:r w:rsidRPr="005737F1">
              <w:rPr>
                <w:rFonts w:cstheme="minorHAnsi"/>
                <w:b/>
                <w:bCs/>
                <w:i/>
                <w:iCs/>
                <w:color w:val="000000" w:themeColor="text1"/>
                <w:szCs w:val="20"/>
              </w:rPr>
              <w:tab/>
            </w:r>
            <w:r w:rsidRPr="005737F1">
              <w:rPr>
                <w:rFonts w:cstheme="minorHAnsi"/>
                <w:color w:val="000000" w:themeColor="text1"/>
                <w:szCs w:val="20"/>
              </w:rPr>
              <w:t>From a micro perspective (viewing the MMF in isolation), how would the policy option affect investors’ incentives to redeem during stress events?</w:t>
            </w:r>
          </w:p>
          <w:p w14:paraId="741EFE16" w14:textId="77777777" w:rsidR="006B103E" w:rsidRPr="005737F1" w:rsidRDefault="006B103E" w:rsidP="00891722">
            <w:pPr>
              <w:ind w:left="447"/>
              <w:jc w:val="both"/>
              <w:rPr>
                <w:rFonts w:cstheme="minorHAnsi"/>
                <w:i/>
                <w:iCs/>
                <w:color w:val="000000" w:themeColor="text1"/>
                <w:szCs w:val="20"/>
              </w:rPr>
            </w:pPr>
            <w:r w:rsidRPr="005737F1">
              <w:rPr>
                <w:rFonts w:cstheme="minorHAnsi"/>
                <w:color w:val="000000" w:themeColor="text1"/>
                <w:szCs w:val="20"/>
              </w:rPr>
              <w:t xml:space="preserve">Investors may still redeem if there is an uncertainty as to how or when this mechanism might work. </w:t>
            </w:r>
          </w:p>
        </w:tc>
      </w:tr>
      <w:tr w:rsidR="006B103E" w:rsidRPr="005737F1" w14:paraId="3CDCA8A9" w14:textId="77777777" w:rsidTr="006B103E">
        <w:tc>
          <w:tcPr>
            <w:tcW w:w="9016" w:type="dxa"/>
          </w:tcPr>
          <w:p w14:paraId="686319AB" w14:textId="77777777" w:rsidR="006B103E" w:rsidRPr="005737F1" w:rsidRDefault="006B103E" w:rsidP="00891722">
            <w:pPr>
              <w:ind w:left="447" w:hanging="447"/>
              <w:jc w:val="both"/>
              <w:rPr>
                <w:rFonts w:cstheme="minorHAnsi"/>
                <w:color w:val="000000" w:themeColor="text1"/>
                <w:szCs w:val="20"/>
              </w:rPr>
            </w:pPr>
            <w:r w:rsidRPr="005737F1">
              <w:rPr>
                <w:rFonts w:cstheme="minorHAnsi"/>
                <w:i/>
                <w:iCs/>
                <w:color w:val="000000" w:themeColor="text1"/>
                <w:szCs w:val="20"/>
              </w:rPr>
              <w:t>ii</w:t>
            </w:r>
            <w:r w:rsidRPr="005737F1">
              <w:rPr>
                <w:rFonts w:cstheme="minorHAnsi"/>
                <w:b/>
                <w:bCs/>
                <w:i/>
                <w:iCs/>
                <w:color w:val="000000" w:themeColor="text1"/>
                <w:szCs w:val="20"/>
              </w:rPr>
              <w:tab/>
            </w:r>
          </w:p>
        </w:tc>
      </w:tr>
      <w:tr w:rsidR="006B103E" w:rsidRPr="005737F1" w14:paraId="5B268235" w14:textId="77777777" w:rsidTr="006B103E">
        <w:tc>
          <w:tcPr>
            <w:tcW w:w="9016" w:type="dxa"/>
          </w:tcPr>
          <w:p w14:paraId="783F38AD" w14:textId="77777777" w:rsidR="006B103E" w:rsidRPr="005737F1" w:rsidRDefault="006B103E" w:rsidP="00891722">
            <w:pPr>
              <w:ind w:left="447" w:hanging="447"/>
              <w:jc w:val="both"/>
              <w:rPr>
                <w:rFonts w:cstheme="minorHAnsi"/>
                <w:color w:val="000000" w:themeColor="text1"/>
                <w:szCs w:val="20"/>
              </w:rPr>
            </w:pPr>
            <w:r w:rsidRPr="005737F1">
              <w:rPr>
                <w:rFonts w:cstheme="minorHAnsi"/>
                <w:i/>
                <w:iCs/>
                <w:color w:val="000000" w:themeColor="text1"/>
                <w:szCs w:val="20"/>
              </w:rPr>
              <w:t>iii a)</w:t>
            </w:r>
            <w:r w:rsidRPr="005737F1">
              <w:rPr>
                <w:rFonts w:cstheme="minorHAnsi"/>
                <w:color w:val="000000" w:themeColor="text1"/>
                <w:szCs w:val="20"/>
              </w:rPr>
              <w:t xml:space="preserve"> Does the option effectively shift MMF risks to investors?</w:t>
            </w:r>
          </w:p>
          <w:p w14:paraId="2C6E4A85" w14:textId="77777777" w:rsidR="006B103E" w:rsidRPr="005737F1" w:rsidRDefault="006B103E" w:rsidP="006B103E">
            <w:pPr>
              <w:pStyle w:val="ListParagraph"/>
              <w:numPr>
                <w:ilvl w:val="0"/>
                <w:numId w:val="71"/>
              </w:numPr>
              <w:jc w:val="both"/>
              <w:rPr>
                <w:rFonts w:cstheme="minorHAnsi"/>
                <w:i/>
                <w:iCs/>
                <w:color w:val="000000" w:themeColor="text1"/>
                <w:szCs w:val="20"/>
              </w:rPr>
            </w:pPr>
            <w:r w:rsidRPr="005737F1">
              <w:rPr>
                <w:rFonts w:cstheme="minorHAnsi"/>
                <w:color w:val="000000" w:themeColor="text1"/>
                <w:szCs w:val="20"/>
              </w:rPr>
              <w:t>No. Arguably the existence of an LEF shifts further risks onto fund providers and by socialising those risks, may have adverse consequences.</w:t>
            </w:r>
          </w:p>
          <w:p w14:paraId="1E2DABF5" w14:textId="77777777" w:rsidR="006B103E" w:rsidRPr="005737F1" w:rsidRDefault="006B103E" w:rsidP="006B103E">
            <w:pPr>
              <w:pStyle w:val="ListParagraph"/>
              <w:numPr>
                <w:ilvl w:val="0"/>
                <w:numId w:val="71"/>
              </w:numPr>
              <w:jc w:val="both"/>
              <w:rPr>
                <w:rFonts w:cstheme="minorHAnsi"/>
                <w:i/>
                <w:iCs/>
                <w:color w:val="000000" w:themeColor="text1"/>
                <w:szCs w:val="20"/>
              </w:rPr>
            </w:pPr>
            <w:r w:rsidRPr="005737F1">
              <w:rPr>
                <w:rFonts w:cstheme="minorHAnsi"/>
                <w:color w:val="000000" w:themeColor="text1"/>
                <w:szCs w:val="20"/>
              </w:rPr>
              <w:lastRenderedPageBreak/>
              <w:t>Concentrating more risk in the banking sector would go counter to previous reforms.</w:t>
            </w:r>
          </w:p>
          <w:p w14:paraId="592A8F19" w14:textId="77777777" w:rsidR="006B103E" w:rsidRPr="005737F1" w:rsidRDefault="006B103E" w:rsidP="00891722">
            <w:pPr>
              <w:ind w:left="447" w:hanging="447"/>
              <w:jc w:val="both"/>
              <w:rPr>
                <w:rFonts w:cstheme="minorHAnsi"/>
                <w:b/>
                <w:bCs/>
                <w:i/>
                <w:iCs/>
                <w:color w:val="000000" w:themeColor="text1"/>
                <w:szCs w:val="20"/>
              </w:rPr>
            </w:pPr>
          </w:p>
          <w:p w14:paraId="50C09BA8" w14:textId="77777777" w:rsidR="006B103E" w:rsidRPr="005737F1" w:rsidRDefault="006B103E" w:rsidP="00891722">
            <w:pPr>
              <w:ind w:left="447" w:hanging="447"/>
              <w:jc w:val="both"/>
              <w:rPr>
                <w:rFonts w:cstheme="minorHAnsi"/>
                <w:color w:val="000000" w:themeColor="text1"/>
                <w:szCs w:val="20"/>
              </w:rPr>
            </w:pPr>
            <w:r w:rsidRPr="005737F1">
              <w:rPr>
                <w:rFonts w:cstheme="minorHAnsi"/>
                <w:i/>
                <w:iCs/>
                <w:color w:val="000000" w:themeColor="text1"/>
                <w:szCs w:val="20"/>
              </w:rPr>
              <w:t xml:space="preserve">   b)</w:t>
            </w:r>
            <w:r w:rsidRPr="005737F1">
              <w:rPr>
                <w:rFonts w:cstheme="minorHAnsi"/>
                <w:b/>
                <w:bCs/>
                <w:i/>
                <w:iCs/>
                <w:color w:val="000000" w:themeColor="text1"/>
                <w:szCs w:val="20"/>
              </w:rPr>
              <w:tab/>
            </w:r>
            <w:r w:rsidRPr="005737F1">
              <w:rPr>
                <w:rFonts w:cstheme="minorHAnsi"/>
                <w:color w:val="000000" w:themeColor="text1"/>
                <w:szCs w:val="20"/>
              </w:rPr>
              <w:t>Does it make those risks more salient and transparent for investors? Are investors treated equally?</w:t>
            </w:r>
          </w:p>
          <w:p w14:paraId="08205340" w14:textId="77777777" w:rsidR="006B103E" w:rsidRPr="005737F1" w:rsidRDefault="006B103E" w:rsidP="006B103E">
            <w:pPr>
              <w:pStyle w:val="ListParagraph"/>
              <w:numPr>
                <w:ilvl w:val="0"/>
                <w:numId w:val="72"/>
              </w:numPr>
              <w:jc w:val="both"/>
              <w:rPr>
                <w:rFonts w:cstheme="minorHAnsi"/>
                <w:i/>
                <w:iCs/>
                <w:color w:val="000000" w:themeColor="text1"/>
                <w:szCs w:val="20"/>
              </w:rPr>
            </w:pPr>
            <w:r w:rsidRPr="005737F1">
              <w:rPr>
                <w:rFonts w:cstheme="minorHAnsi"/>
                <w:color w:val="000000" w:themeColor="text1"/>
                <w:szCs w:val="20"/>
              </w:rPr>
              <w:t>Socialising risk outside the fund itself to an LEF may make risks less transparent and encourage investors to rely on external support.</w:t>
            </w:r>
          </w:p>
        </w:tc>
      </w:tr>
    </w:tbl>
    <w:p w14:paraId="353E3C7A" w14:textId="77777777" w:rsidR="006B103E" w:rsidRDefault="006B103E" w:rsidP="00492B3A"/>
    <w:p w14:paraId="5F50FA92" w14:textId="53B2AFA2" w:rsidR="00492B3A" w:rsidRDefault="00492B3A" w:rsidP="00492B3A"/>
    <w:permEnd w:id="575285207"/>
    <w:p w14:paraId="40A9AA66" w14:textId="206643A9" w:rsidR="00492B3A" w:rsidRDefault="00492B3A" w:rsidP="00492B3A">
      <w:r>
        <w:t>&lt;ESMA_QUESTION_</w:t>
      </w:r>
      <w:r w:rsidR="00DC1B3F">
        <w:t>MMFR</w:t>
      </w:r>
      <w:r>
        <w:t>_12&gt;</w:t>
      </w:r>
    </w:p>
    <w:p w14:paraId="47FAF275" w14:textId="77777777" w:rsidR="00492B3A" w:rsidRDefault="00492B3A" w:rsidP="00492B3A"/>
    <w:p w14:paraId="01343F76" w14:textId="67793062" w:rsidR="00492B3A" w:rsidRDefault="000C1BA7" w:rsidP="00492B3A">
      <w:pPr>
        <w:pStyle w:val="Questionstyle"/>
      </w:pPr>
      <w:r w:rsidRPr="00F43E30">
        <w:rPr>
          <w:bdr w:val="none" w:sz="0" w:space="0" w:color="auto" w:frame="1"/>
          <w:lang w:val="en-IE"/>
        </w:rPr>
        <w:t>Do you agree with the above assessment on the potential need of further clarification of the requirements of articles 1 and 6 of the MMF Regulation? When you answer this question, please also take into account the grid of criteria listed in paragraphs 76 to 80</w:t>
      </w:r>
      <w:r w:rsidR="00A014B6" w:rsidRPr="00A014B6">
        <w:t>.</w:t>
      </w:r>
    </w:p>
    <w:p w14:paraId="4C7333E2" w14:textId="452B3A65" w:rsidR="00492B3A" w:rsidRDefault="00492B3A" w:rsidP="00492B3A">
      <w:r>
        <w:t>&lt;ESMA_QUESTION_</w:t>
      </w:r>
      <w:r w:rsidR="00DC1B3F">
        <w:t>MMFR</w:t>
      </w:r>
      <w:r>
        <w:t>_13&gt;</w:t>
      </w:r>
    </w:p>
    <w:p w14:paraId="7A9A50C5" w14:textId="23D655E9" w:rsidR="00492B3A" w:rsidRPr="005737F1" w:rsidRDefault="006B103E" w:rsidP="00492B3A">
      <w:pPr>
        <w:rPr>
          <w:szCs w:val="20"/>
        </w:rPr>
      </w:pPr>
      <w:permStart w:id="384379543" w:edGrp="everyone"/>
      <w:r w:rsidRPr="005737F1">
        <w:rPr>
          <w:rFonts w:cstheme="minorHAnsi"/>
          <w:color w:val="000000" w:themeColor="text1"/>
          <w:szCs w:val="20"/>
        </w:rPr>
        <w:t>No clarifications are required for articles 1 and 6</w:t>
      </w:r>
    </w:p>
    <w:permEnd w:id="384379543"/>
    <w:p w14:paraId="0D19A1E9" w14:textId="18F528CC" w:rsidR="00492B3A" w:rsidRDefault="00492B3A" w:rsidP="00492B3A">
      <w:r>
        <w:t>&lt;ESMA_QUESTION_</w:t>
      </w:r>
      <w:r w:rsidR="00DC1B3F">
        <w:t>MMFR</w:t>
      </w:r>
      <w:r>
        <w:t>_13&gt;</w:t>
      </w:r>
    </w:p>
    <w:p w14:paraId="2B65235D" w14:textId="77777777" w:rsidR="00492B3A" w:rsidRDefault="00492B3A" w:rsidP="00492B3A"/>
    <w:p w14:paraId="5B79D316" w14:textId="77777777" w:rsidR="00014A67" w:rsidRPr="00014A67" w:rsidRDefault="00014A67" w:rsidP="00014A67">
      <w:pPr>
        <w:rPr>
          <w:lang w:eastAsia="en-US"/>
        </w:rPr>
      </w:pPr>
    </w:p>
    <w:sectPr w:rsidR="00014A67" w:rsidRPr="00014A67" w:rsidSect="00A8728B">
      <w:headerReference w:type="even" r:id="rId25"/>
      <w:headerReference w:type="first" r:id="rId26"/>
      <w:footerReference w:type="first" r:id="rId2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125A1" w14:textId="77777777" w:rsidR="0088346A" w:rsidRDefault="0088346A">
      <w:r>
        <w:separator/>
      </w:r>
    </w:p>
    <w:p w14:paraId="1FED7359" w14:textId="77777777" w:rsidR="0088346A" w:rsidRDefault="0088346A"/>
  </w:endnote>
  <w:endnote w:type="continuationSeparator" w:id="0">
    <w:p w14:paraId="7E9AD7DE" w14:textId="77777777" w:rsidR="0088346A" w:rsidRDefault="0088346A">
      <w:r>
        <w:continuationSeparator/>
      </w:r>
    </w:p>
    <w:p w14:paraId="15584DDF" w14:textId="77777777" w:rsidR="0088346A" w:rsidRDefault="0088346A"/>
  </w:endnote>
  <w:endnote w:type="continuationNotice" w:id="1">
    <w:p w14:paraId="3AA15B26" w14:textId="77777777" w:rsidR="0088346A" w:rsidRDefault="00883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91F33" w14:textId="77777777" w:rsidR="005737F1" w:rsidRDefault="00573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8346A" w:rsidRPr="00616B9B" w14:paraId="5517B000" w14:textId="77777777" w:rsidTr="00315E96">
      <w:trPr>
        <w:trHeight w:val="284"/>
      </w:trPr>
      <w:tc>
        <w:tcPr>
          <w:tcW w:w="8460" w:type="dxa"/>
        </w:tcPr>
        <w:p w14:paraId="4C959F65" w14:textId="77777777" w:rsidR="0088346A" w:rsidRPr="00315E96" w:rsidRDefault="0088346A" w:rsidP="00315E96">
          <w:pPr>
            <w:pStyle w:val="00Footer"/>
            <w:rPr>
              <w:lang w:val="fr-FR"/>
            </w:rPr>
          </w:pPr>
        </w:p>
      </w:tc>
      <w:tc>
        <w:tcPr>
          <w:tcW w:w="952" w:type="dxa"/>
        </w:tcPr>
        <w:p w14:paraId="2310C30E" w14:textId="4C7DB99C" w:rsidR="0088346A" w:rsidRPr="00616B9B" w:rsidRDefault="0088346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B97E0F">
            <w:rPr>
              <w:rFonts w:cs="Arial"/>
              <w:noProof/>
              <w:sz w:val="22"/>
              <w:szCs w:val="22"/>
            </w:rPr>
            <w:t>6</w:t>
          </w:r>
          <w:r w:rsidRPr="00616B9B">
            <w:rPr>
              <w:rFonts w:cs="Arial"/>
              <w:noProof/>
              <w:sz w:val="22"/>
              <w:szCs w:val="22"/>
            </w:rPr>
            <w:fldChar w:fldCharType="end"/>
          </w:r>
        </w:p>
      </w:tc>
    </w:tr>
  </w:tbl>
  <w:p w14:paraId="08C7C785" w14:textId="77777777" w:rsidR="0088346A" w:rsidRDefault="008834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16622" w14:textId="77777777" w:rsidR="005737F1" w:rsidRDefault="005737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F6AEC" w14:textId="77777777" w:rsidR="0088346A" w:rsidRDefault="00883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883D2" w14:textId="77777777" w:rsidR="0088346A" w:rsidRDefault="0088346A">
      <w:r>
        <w:separator/>
      </w:r>
    </w:p>
    <w:p w14:paraId="51560108" w14:textId="77777777" w:rsidR="0088346A" w:rsidRDefault="0088346A"/>
  </w:footnote>
  <w:footnote w:type="continuationSeparator" w:id="0">
    <w:p w14:paraId="1DC8A7A6" w14:textId="77777777" w:rsidR="0088346A" w:rsidRDefault="0088346A">
      <w:r>
        <w:continuationSeparator/>
      </w:r>
    </w:p>
    <w:p w14:paraId="35D455DC" w14:textId="77777777" w:rsidR="0088346A" w:rsidRDefault="0088346A"/>
  </w:footnote>
  <w:footnote w:type="continuationNotice" w:id="1">
    <w:p w14:paraId="37C2E63B" w14:textId="77777777" w:rsidR="0088346A" w:rsidRDefault="0088346A"/>
  </w:footnote>
  <w:footnote w:id="2">
    <w:p w14:paraId="1CB6EA67" w14:textId="77777777" w:rsidR="0088346A" w:rsidRDefault="0088346A" w:rsidP="00252293">
      <w:pPr>
        <w:pStyle w:val="FootnoteText"/>
      </w:pPr>
      <w:r>
        <w:rPr>
          <w:rStyle w:val="FootnoteReference"/>
        </w:rPr>
        <w:footnoteRef/>
      </w:r>
      <w:r>
        <w:t xml:space="preserve"> </w:t>
      </w:r>
      <w:hyperlink r:id="rId1" w:history="1">
        <w:r w:rsidRPr="00C471B1">
          <w:rPr>
            <w:rStyle w:val="Hyperlink"/>
          </w:rPr>
          <w:t>https://www.centralbank.ie/docs/default-source/publications/economic-letters/vol-2020-no-9-the-persisting-effect-of-the-pandemic-on-money-market-funds-and-money-markets-(golden).pdf?sfvrsn=19</w:t>
        </w:r>
      </w:hyperlink>
      <w:r>
        <w:t xml:space="preserve">  p.6</w:t>
      </w:r>
    </w:p>
  </w:footnote>
  <w:footnote w:id="3">
    <w:p w14:paraId="304B3C46" w14:textId="77777777" w:rsidR="0088346A" w:rsidRDefault="0088346A" w:rsidP="00252293">
      <w:pPr>
        <w:pStyle w:val="FootnoteText"/>
      </w:pPr>
      <w:r>
        <w:rPr>
          <w:rStyle w:val="FootnoteReference"/>
        </w:rPr>
        <w:footnoteRef/>
      </w:r>
      <w:r>
        <w:t xml:space="preserve"> Retail Prime MMFs also continue to be CNAV.</w:t>
      </w:r>
    </w:p>
  </w:footnote>
  <w:footnote w:id="4">
    <w:p w14:paraId="51540E83" w14:textId="77777777" w:rsidR="0088346A" w:rsidRDefault="0088346A" w:rsidP="00252293">
      <w:pPr>
        <w:pStyle w:val="FootnoteText"/>
      </w:pPr>
      <w:r>
        <w:rPr>
          <w:rStyle w:val="FootnoteReference"/>
        </w:rPr>
        <w:footnoteRef/>
      </w:r>
      <w:r>
        <w:t xml:space="preserve"> The dollar amount was less because the funds are now significantly smaller. Non-public funds had only 6% outflows.</w:t>
      </w:r>
    </w:p>
  </w:footnote>
  <w:footnote w:id="5">
    <w:p w14:paraId="1CF569A1" w14:textId="77777777" w:rsidR="0088346A" w:rsidRDefault="0088346A" w:rsidP="00252293">
      <w:pPr>
        <w:pStyle w:val="FootnoteText"/>
      </w:pPr>
      <w:r>
        <w:rPr>
          <w:rStyle w:val="FootnoteReference"/>
        </w:rPr>
        <w:footnoteRef/>
      </w:r>
      <w:r>
        <w:t xml:space="preserve"> In the sense of non-government, not a reference to a private offering mechanism.</w:t>
      </w:r>
    </w:p>
  </w:footnote>
  <w:footnote w:id="6">
    <w:p w14:paraId="41855E9C" w14:textId="77777777" w:rsidR="0088346A" w:rsidRPr="00A310C7" w:rsidRDefault="0088346A" w:rsidP="006B103E">
      <w:pPr>
        <w:pStyle w:val="FootnoteText"/>
        <w:rPr>
          <w:rFonts w:cs="Arial"/>
          <w:lang w:eastAsia="ja-JP"/>
        </w:rPr>
      </w:pPr>
      <w:r w:rsidRPr="00A310C7">
        <w:rPr>
          <w:rStyle w:val="FootnoteReference"/>
          <w:rFonts w:cs="Arial"/>
        </w:rPr>
        <w:footnoteRef/>
      </w:r>
      <w:r w:rsidRPr="00A310C7">
        <w:rPr>
          <w:rFonts w:cs="Arial"/>
        </w:rPr>
        <w:t xml:space="preserve"> </w:t>
      </w:r>
      <w:hyperlink r:id="rId2" w:history="1">
        <w:r w:rsidRPr="00A310C7">
          <w:rPr>
            <w:rStyle w:val="Hyperlink"/>
            <w:rFonts w:cs="Arial"/>
          </w:rPr>
          <w:t>https://www.iosco.org/library/pubdocs/pdf/IOSCOPD379.pdf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04594" w14:textId="77777777" w:rsidR="005737F1" w:rsidRDefault="005737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3FC29" w14:textId="77777777" w:rsidR="0088346A" w:rsidRDefault="0088346A">
    <w:pPr>
      <w:pStyle w:val="Header"/>
    </w:pPr>
    <w:r>
      <w:rPr>
        <w:noProof/>
        <w:lang w:eastAsia="en-GB"/>
      </w:rPr>
      <w:drawing>
        <wp:anchor distT="0" distB="0" distL="114300" distR="114300" simplePos="0" relativeHeight="251658240" behindDoc="0" locked="0" layoutInCell="1" allowOverlap="1" wp14:anchorId="58007497" wp14:editId="2485B028">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37C3A634" wp14:editId="67CBF127">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2BFA7D6"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7EF13" w14:textId="77777777" w:rsidR="0088346A" w:rsidRDefault="0088346A" w:rsidP="00013CCE">
    <w:pPr>
      <w:pStyle w:val="Header"/>
      <w:jc w:val="right"/>
    </w:pPr>
    <w:r>
      <w:rPr>
        <w:noProof/>
        <w:lang w:eastAsia="en-GB"/>
      </w:rPr>
      <w:drawing>
        <wp:anchor distT="0" distB="0" distL="114300" distR="114300" simplePos="0" relativeHeight="251657216" behindDoc="0" locked="0" layoutInCell="1" allowOverlap="1" wp14:anchorId="15EF6453" wp14:editId="1BE880FF">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41A97CFF" wp14:editId="1E2D0B9F">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14387" w14:textId="77777777" w:rsidR="0088346A" w:rsidRDefault="0088346A"/>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8346A" w:rsidRPr="002F4496" w14:paraId="5849CEB8" w14:textId="77777777" w:rsidTr="000C06C9">
      <w:trPr>
        <w:trHeight w:val="284"/>
      </w:trPr>
      <w:tc>
        <w:tcPr>
          <w:tcW w:w="8460" w:type="dxa"/>
        </w:tcPr>
        <w:p w14:paraId="2B1CC9DC" w14:textId="77777777" w:rsidR="0088346A" w:rsidRPr="000C3B6D" w:rsidRDefault="0088346A" w:rsidP="000C06C9">
          <w:pPr>
            <w:pStyle w:val="00Footer"/>
            <w:rPr>
              <w:lang w:val="fr-FR"/>
            </w:rPr>
          </w:pPr>
        </w:p>
      </w:tc>
      <w:tc>
        <w:tcPr>
          <w:tcW w:w="952" w:type="dxa"/>
        </w:tcPr>
        <w:p w14:paraId="0A78D32B" w14:textId="77777777" w:rsidR="0088346A" w:rsidRPr="00146B34" w:rsidRDefault="0088346A" w:rsidP="000C06C9">
          <w:pPr>
            <w:pStyle w:val="00aPagenumber"/>
            <w:rPr>
              <w:lang w:val="fr-FR"/>
            </w:rPr>
          </w:pPr>
        </w:p>
      </w:tc>
    </w:tr>
  </w:tbl>
  <w:p w14:paraId="228C483B" w14:textId="77777777" w:rsidR="0088346A" w:rsidRPr="00DB46C3" w:rsidRDefault="0088346A">
    <w:pPr>
      <w:rPr>
        <w:lang w:val="fr-FR"/>
      </w:rPr>
    </w:pPr>
  </w:p>
  <w:p w14:paraId="7ABBBBAC" w14:textId="77777777" w:rsidR="0088346A" w:rsidRPr="002F4496" w:rsidRDefault="0088346A">
    <w:pPr>
      <w:pStyle w:val="Header"/>
      <w:rPr>
        <w:lang w:val="fr-FR"/>
      </w:rPr>
    </w:pPr>
  </w:p>
  <w:p w14:paraId="0F1BB730" w14:textId="77777777" w:rsidR="0088346A" w:rsidRPr="002F4496" w:rsidRDefault="0088346A" w:rsidP="000C06C9">
    <w:pPr>
      <w:pStyle w:val="Header"/>
      <w:tabs>
        <w:tab w:val="clear" w:pos="4536"/>
        <w:tab w:val="clear" w:pos="9072"/>
        <w:tab w:val="left" w:pos="8227"/>
      </w:tabs>
      <w:rPr>
        <w:lang w:val="fr-FR"/>
      </w:rPr>
    </w:pPr>
  </w:p>
  <w:p w14:paraId="354F7019" w14:textId="77777777" w:rsidR="0088346A" w:rsidRPr="002F4496" w:rsidRDefault="0088346A" w:rsidP="000C06C9">
    <w:pPr>
      <w:pStyle w:val="Header"/>
      <w:tabs>
        <w:tab w:val="clear" w:pos="4536"/>
        <w:tab w:val="clear" w:pos="9072"/>
        <w:tab w:val="left" w:pos="8227"/>
      </w:tabs>
      <w:rPr>
        <w:lang w:val="fr-FR"/>
      </w:rPr>
    </w:pPr>
  </w:p>
  <w:p w14:paraId="438C49BF" w14:textId="77777777" w:rsidR="0088346A" w:rsidRPr="002F4496" w:rsidRDefault="0088346A">
    <w:pPr>
      <w:pStyle w:val="Header"/>
      <w:rPr>
        <w:lang w:val="fr-FR"/>
      </w:rPr>
    </w:pPr>
  </w:p>
  <w:p w14:paraId="77F5F5FB" w14:textId="77777777" w:rsidR="0088346A" w:rsidRPr="002F4496" w:rsidRDefault="0088346A">
    <w:pPr>
      <w:pStyle w:val="Header"/>
      <w:rPr>
        <w:lang w:val="fr-FR"/>
      </w:rPr>
    </w:pPr>
  </w:p>
  <w:p w14:paraId="31EA96F8" w14:textId="77777777" w:rsidR="0088346A" w:rsidRPr="002F4496" w:rsidRDefault="0088346A">
    <w:pPr>
      <w:pStyle w:val="Header"/>
      <w:rPr>
        <w:lang w:val="fr-FR"/>
      </w:rPr>
    </w:pPr>
  </w:p>
  <w:p w14:paraId="0FAE7A71" w14:textId="77777777" w:rsidR="0088346A" w:rsidRPr="002F4496" w:rsidRDefault="0088346A">
    <w:pPr>
      <w:pStyle w:val="Header"/>
      <w:rPr>
        <w:lang w:val="fr-FR"/>
      </w:rPr>
    </w:pPr>
  </w:p>
  <w:p w14:paraId="339C0C6E" w14:textId="77777777" w:rsidR="0088346A" w:rsidRPr="002F4496" w:rsidRDefault="0088346A">
    <w:pPr>
      <w:pStyle w:val="Header"/>
      <w:rPr>
        <w:highlight w:val="yellow"/>
        <w:lang w:val="fr-FR"/>
      </w:rPr>
    </w:pPr>
  </w:p>
  <w:p w14:paraId="0495A777" w14:textId="77777777" w:rsidR="0088346A" w:rsidRDefault="0088346A">
    <w:pPr>
      <w:pStyle w:val="Header"/>
    </w:pPr>
    <w:r>
      <w:rPr>
        <w:noProof/>
        <w:lang w:eastAsia="en-GB"/>
      </w:rPr>
      <mc:AlternateContent>
        <mc:Choice Requires="wps">
          <w:drawing>
            <wp:anchor distT="0" distB="0" distL="114299" distR="114299" simplePos="0" relativeHeight="251660288" behindDoc="0" locked="0" layoutInCell="1" allowOverlap="1" wp14:anchorId="41238317" wp14:editId="0A68E944">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0902F5C"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75C99C5C" wp14:editId="52805A4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2D11F1"/>
    <w:multiLevelType w:val="hybridMultilevel"/>
    <w:tmpl w:val="086EAC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3F75B95"/>
    <w:multiLevelType w:val="hybridMultilevel"/>
    <w:tmpl w:val="6C64C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96523"/>
    <w:multiLevelType w:val="hybridMultilevel"/>
    <w:tmpl w:val="98BA85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855308"/>
    <w:multiLevelType w:val="hybridMultilevel"/>
    <w:tmpl w:val="4EF8D14C"/>
    <w:lvl w:ilvl="0" w:tplc="08090001">
      <w:start w:val="1"/>
      <w:numFmt w:val="bullet"/>
      <w:lvlText w:val=""/>
      <w:lvlJc w:val="left"/>
      <w:pPr>
        <w:ind w:left="807" w:hanging="360"/>
      </w:pPr>
      <w:rPr>
        <w:rFonts w:ascii="Symbol" w:hAnsi="Symbol"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7" w15:restartNumberingAfterBreak="0">
    <w:nsid w:val="178C798B"/>
    <w:multiLevelType w:val="hybridMultilevel"/>
    <w:tmpl w:val="2F60FE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8BF1EDE"/>
    <w:multiLevelType w:val="hybridMultilevel"/>
    <w:tmpl w:val="C8642C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B815E37"/>
    <w:multiLevelType w:val="hybridMultilevel"/>
    <w:tmpl w:val="46DE01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11"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1725C2E"/>
    <w:multiLevelType w:val="hybridMultilevel"/>
    <w:tmpl w:val="1A3E13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3604841"/>
    <w:multiLevelType w:val="multilevel"/>
    <w:tmpl w:val="C5C0F0FE"/>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4F50F78"/>
    <w:multiLevelType w:val="hybridMultilevel"/>
    <w:tmpl w:val="2794D438"/>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6BA60E8"/>
    <w:multiLevelType w:val="hybridMultilevel"/>
    <w:tmpl w:val="CDC6D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9F3ED4"/>
    <w:multiLevelType w:val="hybridMultilevel"/>
    <w:tmpl w:val="394EF1C2"/>
    <w:lvl w:ilvl="0" w:tplc="08090001">
      <w:start w:val="1"/>
      <w:numFmt w:val="bullet"/>
      <w:lvlText w:val=""/>
      <w:lvlJc w:val="left"/>
      <w:pPr>
        <w:ind w:left="807" w:hanging="360"/>
      </w:pPr>
      <w:rPr>
        <w:rFonts w:ascii="Symbol" w:hAnsi="Symbol"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2B255C30"/>
    <w:multiLevelType w:val="hybridMultilevel"/>
    <w:tmpl w:val="143E06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2" w15:restartNumberingAfterBreak="0">
    <w:nsid w:val="2C224C69"/>
    <w:multiLevelType w:val="hybridMultilevel"/>
    <w:tmpl w:val="4BD6A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23238B"/>
    <w:multiLevelType w:val="hybridMultilevel"/>
    <w:tmpl w:val="A2505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52232B"/>
    <w:multiLevelType w:val="hybridMultilevel"/>
    <w:tmpl w:val="BF362E2A"/>
    <w:lvl w:ilvl="0" w:tplc="5FB40A98">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28"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30" w15:restartNumberingAfterBreak="0">
    <w:nsid w:val="3BF67E3E"/>
    <w:multiLevelType w:val="multilevel"/>
    <w:tmpl w:val="C5C0F0FE"/>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33" w15:restartNumberingAfterBreak="0">
    <w:nsid w:val="3FC94ED0"/>
    <w:multiLevelType w:val="hybridMultilevel"/>
    <w:tmpl w:val="E1004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35" w15:restartNumberingAfterBreak="0">
    <w:nsid w:val="44861AB4"/>
    <w:multiLevelType w:val="multilevel"/>
    <w:tmpl w:val="C5C0F0FE"/>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7"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9"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4CC61140"/>
    <w:multiLevelType w:val="hybridMultilevel"/>
    <w:tmpl w:val="CF569E90"/>
    <w:lvl w:ilvl="0" w:tplc="08090001">
      <w:start w:val="1"/>
      <w:numFmt w:val="bullet"/>
      <w:lvlText w:val=""/>
      <w:lvlJc w:val="left"/>
      <w:pPr>
        <w:ind w:left="1167" w:hanging="360"/>
      </w:pPr>
      <w:rPr>
        <w:rFonts w:ascii="Symbol" w:hAnsi="Symbol" w:hint="default"/>
      </w:rPr>
    </w:lvl>
    <w:lvl w:ilvl="1" w:tplc="08090003" w:tentative="1">
      <w:start w:val="1"/>
      <w:numFmt w:val="bullet"/>
      <w:lvlText w:val="o"/>
      <w:lvlJc w:val="left"/>
      <w:pPr>
        <w:ind w:left="1887" w:hanging="360"/>
      </w:pPr>
      <w:rPr>
        <w:rFonts w:ascii="Courier New" w:hAnsi="Courier New" w:cs="Courier New" w:hint="default"/>
      </w:rPr>
    </w:lvl>
    <w:lvl w:ilvl="2" w:tplc="08090005" w:tentative="1">
      <w:start w:val="1"/>
      <w:numFmt w:val="bullet"/>
      <w:lvlText w:val=""/>
      <w:lvlJc w:val="left"/>
      <w:pPr>
        <w:ind w:left="2607" w:hanging="360"/>
      </w:pPr>
      <w:rPr>
        <w:rFonts w:ascii="Wingdings" w:hAnsi="Wingdings" w:hint="default"/>
      </w:rPr>
    </w:lvl>
    <w:lvl w:ilvl="3" w:tplc="08090001" w:tentative="1">
      <w:start w:val="1"/>
      <w:numFmt w:val="bullet"/>
      <w:lvlText w:val=""/>
      <w:lvlJc w:val="left"/>
      <w:pPr>
        <w:ind w:left="3327" w:hanging="360"/>
      </w:pPr>
      <w:rPr>
        <w:rFonts w:ascii="Symbol" w:hAnsi="Symbol" w:hint="default"/>
      </w:rPr>
    </w:lvl>
    <w:lvl w:ilvl="4" w:tplc="08090003" w:tentative="1">
      <w:start w:val="1"/>
      <w:numFmt w:val="bullet"/>
      <w:lvlText w:val="o"/>
      <w:lvlJc w:val="left"/>
      <w:pPr>
        <w:ind w:left="4047" w:hanging="360"/>
      </w:pPr>
      <w:rPr>
        <w:rFonts w:ascii="Courier New" w:hAnsi="Courier New" w:cs="Courier New" w:hint="default"/>
      </w:rPr>
    </w:lvl>
    <w:lvl w:ilvl="5" w:tplc="08090005" w:tentative="1">
      <w:start w:val="1"/>
      <w:numFmt w:val="bullet"/>
      <w:lvlText w:val=""/>
      <w:lvlJc w:val="left"/>
      <w:pPr>
        <w:ind w:left="4767" w:hanging="360"/>
      </w:pPr>
      <w:rPr>
        <w:rFonts w:ascii="Wingdings" w:hAnsi="Wingdings" w:hint="default"/>
      </w:rPr>
    </w:lvl>
    <w:lvl w:ilvl="6" w:tplc="08090001" w:tentative="1">
      <w:start w:val="1"/>
      <w:numFmt w:val="bullet"/>
      <w:lvlText w:val=""/>
      <w:lvlJc w:val="left"/>
      <w:pPr>
        <w:ind w:left="5487" w:hanging="360"/>
      </w:pPr>
      <w:rPr>
        <w:rFonts w:ascii="Symbol" w:hAnsi="Symbol" w:hint="default"/>
      </w:rPr>
    </w:lvl>
    <w:lvl w:ilvl="7" w:tplc="08090003" w:tentative="1">
      <w:start w:val="1"/>
      <w:numFmt w:val="bullet"/>
      <w:lvlText w:val="o"/>
      <w:lvlJc w:val="left"/>
      <w:pPr>
        <w:ind w:left="6207" w:hanging="360"/>
      </w:pPr>
      <w:rPr>
        <w:rFonts w:ascii="Courier New" w:hAnsi="Courier New" w:cs="Courier New" w:hint="default"/>
      </w:rPr>
    </w:lvl>
    <w:lvl w:ilvl="8" w:tplc="08090005" w:tentative="1">
      <w:start w:val="1"/>
      <w:numFmt w:val="bullet"/>
      <w:lvlText w:val=""/>
      <w:lvlJc w:val="left"/>
      <w:pPr>
        <w:ind w:left="6927" w:hanging="360"/>
      </w:pPr>
      <w:rPr>
        <w:rFonts w:ascii="Wingdings" w:hAnsi="Wingdings" w:hint="default"/>
      </w:rPr>
    </w:lvl>
  </w:abstractNum>
  <w:abstractNum w:abstractNumId="41" w15:restartNumberingAfterBreak="0">
    <w:nsid w:val="4D590910"/>
    <w:multiLevelType w:val="hybridMultilevel"/>
    <w:tmpl w:val="9F2841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4E3A4FAD"/>
    <w:multiLevelType w:val="hybridMultilevel"/>
    <w:tmpl w:val="933C08C2"/>
    <w:lvl w:ilvl="0" w:tplc="58D2DC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27D3C41"/>
    <w:multiLevelType w:val="hybridMultilevel"/>
    <w:tmpl w:val="9AD2F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6" w15:restartNumberingAfterBreak="0">
    <w:nsid w:val="559153C1"/>
    <w:multiLevelType w:val="hybridMultilevel"/>
    <w:tmpl w:val="D18EC9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62F03AB"/>
    <w:multiLevelType w:val="hybridMultilevel"/>
    <w:tmpl w:val="EA347AFA"/>
    <w:lvl w:ilvl="0" w:tplc="3418FC5C">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63F7D56"/>
    <w:multiLevelType w:val="hybridMultilevel"/>
    <w:tmpl w:val="1FE85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51" w15:restartNumberingAfterBreak="0">
    <w:nsid w:val="592C2DBC"/>
    <w:multiLevelType w:val="hybridMultilevel"/>
    <w:tmpl w:val="A1D4D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59AE42CC"/>
    <w:multiLevelType w:val="hybridMultilevel"/>
    <w:tmpl w:val="BC5474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4" w15:restartNumberingAfterBreak="0">
    <w:nsid w:val="5C225CA1"/>
    <w:multiLevelType w:val="multilevel"/>
    <w:tmpl w:val="C5C0F0FE"/>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56"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57"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203584B"/>
    <w:multiLevelType w:val="hybridMultilevel"/>
    <w:tmpl w:val="076276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60" w15:restartNumberingAfterBreak="0">
    <w:nsid w:val="6440430B"/>
    <w:multiLevelType w:val="hybridMultilevel"/>
    <w:tmpl w:val="73F0230C"/>
    <w:lvl w:ilvl="0" w:tplc="D794E6AE">
      <w:start w:val="1"/>
      <w:numFmt w:val="bullet"/>
      <w:lvlText w:val="–"/>
      <w:lvlJc w:val="left"/>
      <w:pPr>
        <w:tabs>
          <w:tab w:val="num" w:pos="360"/>
        </w:tabs>
        <w:ind w:left="360" w:hanging="360"/>
      </w:pPr>
      <w:rPr>
        <w:rFonts w:ascii="Times New Roman" w:hAnsi="Times New Roman" w:hint="default"/>
      </w:rPr>
    </w:lvl>
    <w:lvl w:ilvl="1" w:tplc="5900D1AC">
      <w:start w:val="1"/>
      <w:numFmt w:val="bullet"/>
      <w:lvlText w:val="–"/>
      <w:lvlJc w:val="left"/>
      <w:pPr>
        <w:tabs>
          <w:tab w:val="num" w:pos="1080"/>
        </w:tabs>
        <w:ind w:left="1080" w:hanging="360"/>
      </w:pPr>
      <w:rPr>
        <w:rFonts w:ascii="Times New Roman" w:hAnsi="Times New Roman" w:hint="default"/>
      </w:rPr>
    </w:lvl>
    <w:lvl w:ilvl="2" w:tplc="49BC2390" w:tentative="1">
      <w:start w:val="1"/>
      <w:numFmt w:val="bullet"/>
      <w:lvlText w:val="–"/>
      <w:lvlJc w:val="left"/>
      <w:pPr>
        <w:tabs>
          <w:tab w:val="num" w:pos="1800"/>
        </w:tabs>
        <w:ind w:left="1800" w:hanging="360"/>
      </w:pPr>
      <w:rPr>
        <w:rFonts w:ascii="Times New Roman" w:hAnsi="Times New Roman" w:hint="default"/>
      </w:rPr>
    </w:lvl>
    <w:lvl w:ilvl="3" w:tplc="9932A464" w:tentative="1">
      <w:start w:val="1"/>
      <w:numFmt w:val="bullet"/>
      <w:lvlText w:val="–"/>
      <w:lvlJc w:val="left"/>
      <w:pPr>
        <w:tabs>
          <w:tab w:val="num" w:pos="2520"/>
        </w:tabs>
        <w:ind w:left="2520" w:hanging="360"/>
      </w:pPr>
      <w:rPr>
        <w:rFonts w:ascii="Times New Roman" w:hAnsi="Times New Roman" w:hint="default"/>
      </w:rPr>
    </w:lvl>
    <w:lvl w:ilvl="4" w:tplc="26F4A2B6" w:tentative="1">
      <w:start w:val="1"/>
      <w:numFmt w:val="bullet"/>
      <w:lvlText w:val="–"/>
      <w:lvlJc w:val="left"/>
      <w:pPr>
        <w:tabs>
          <w:tab w:val="num" w:pos="3240"/>
        </w:tabs>
        <w:ind w:left="3240" w:hanging="360"/>
      </w:pPr>
      <w:rPr>
        <w:rFonts w:ascii="Times New Roman" w:hAnsi="Times New Roman" w:hint="default"/>
      </w:rPr>
    </w:lvl>
    <w:lvl w:ilvl="5" w:tplc="A30A50DA" w:tentative="1">
      <w:start w:val="1"/>
      <w:numFmt w:val="bullet"/>
      <w:lvlText w:val="–"/>
      <w:lvlJc w:val="left"/>
      <w:pPr>
        <w:tabs>
          <w:tab w:val="num" w:pos="3960"/>
        </w:tabs>
        <w:ind w:left="3960" w:hanging="360"/>
      </w:pPr>
      <w:rPr>
        <w:rFonts w:ascii="Times New Roman" w:hAnsi="Times New Roman" w:hint="default"/>
      </w:rPr>
    </w:lvl>
    <w:lvl w:ilvl="6" w:tplc="2CA65746" w:tentative="1">
      <w:start w:val="1"/>
      <w:numFmt w:val="bullet"/>
      <w:lvlText w:val="–"/>
      <w:lvlJc w:val="left"/>
      <w:pPr>
        <w:tabs>
          <w:tab w:val="num" w:pos="4680"/>
        </w:tabs>
        <w:ind w:left="4680" w:hanging="360"/>
      </w:pPr>
      <w:rPr>
        <w:rFonts w:ascii="Times New Roman" w:hAnsi="Times New Roman" w:hint="default"/>
      </w:rPr>
    </w:lvl>
    <w:lvl w:ilvl="7" w:tplc="78E44680" w:tentative="1">
      <w:start w:val="1"/>
      <w:numFmt w:val="bullet"/>
      <w:lvlText w:val="–"/>
      <w:lvlJc w:val="left"/>
      <w:pPr>
        <w:tabs>
          <w:tab w:val="num" w:pos="5400"/>
        </w:tabs>
        <w:ind w:left="5400" w:hanging="360"/>
      </w:pPr>
      <w:rPr>
        <w:rFonts w:ascii="Times New Roman" w:hAnsi="Times New Roman" w:hint="default"/>
      </w:rPr>
    </w:lvl>
    <w:lvl w:ilvl="8" w:tplc="2A88247C" w:tentative="1">
      <w:start w:val="1"/>
      <w:numFmt w:val="bullet"/>
      <w:lvlText w:val="–"/>
      <w:lvlJc w:val="left"/>
      <w:pPr>
        <w:tabs>
          <w:tab w:val="num" w:pos="6120"/>
        </w:tabs>
        <w:ind w:left="6120" w:hanging="360"/>
      </w:pPr>
      <w:rPr>
        <w:rFonts w:ascii="Times New Roman" w:hAnsi="Times New Roman" w:hint="default"/>
      </w:rPr>
    </w:lvl>
  </w:abstractNum>
  <w:abstractNum w:abstractNumId="61" w15:restartNumberingAfterBreak="0">
    <w:nsid w:val="64932A1B"/>
    <w:multiLevelType w:val="hybridMultilevel"/>
    <w:tmpl w:val="0AB29A90"/>
    <w:lvl w:ilvl="0" w:tplc="08090001">
      <w:start w:val="1"/>
      <w:numFmt w:val="bullet"/>
      <w:lvlText w:val=""/>
      <w:lvlJc w:val="left"/>
      <w:pPr>
        <w:ind w:left="666" w:hanging="360"/>
      </w:pPr>
      <w:rPr>
        <w:rFonts w:ascii="Symbol" w:hAnsi="Symbol" w:hint="default"/>
      </w:rPr>
    </w:lvl>
    <w:lvl w:ilvl="1" w:tplc="08090003" w:tentative="1">
      <w:start w:val="1"/>
      <w:numFmt w:val="bullet"/>
      <w:lvlText w:val="o"/>
      <w:lvlJc w:val="left"/>
      <w:pPr>
        <w:ind w:left="1386" w:hanging="360"/>
      </w:pPr>
      <w:rPr>
        <w:rFonts w:ascii="Courier New" w:hAnsi="Courier New" w:cs="Courier New" w:hint="default"/>
      </w:rPr>
    </w:lvl>
    <w:lvl w:ilvl="2" w:tplc="08090005" w:tentative="1">
      <w:start w:val="1"/>
      <w:numFmt w:val="bullet"/>
      <w:lvlText w:val=""/>
      <w:lvlJc w:val="left"/>
      <w:pPr>
        <w:ind w:left="2106" w:hanging="360"/>
      </w:pPr>
      <w:rPr>
        <w:rFonts w:ascii="Wingdings" w:hAnsi="Wingdings" w:hint="default"/>
      </w:rPr>
    </w:lvl>
    <w:lvl w:ilvl="3" w:tplc="08090001" w:tentative="1">
      <w:start w:val="1"/>
      <w:numFmt w:val="bullet"/>
      <w:lvlText w:val=""/>
      <w:lvlJc w:val="left"/>
      <w:pPr>
        <w:ind w:left="2826" w:hanging="360"/>
      </w:pPr>
      <w:rPr>
        <w:rFonts w:ascii="Symbol" w:hAnsi="Symbol" w:hint="default"/>
      </w:rPr>
    </w:lvl>
    <w:lvl w:ilvl="4" w:tplc="08090003" w:tentative="1">
      <w:start w:val="1"/>
      <w:numFmt w:val="bullet"/>
      <w:lvlText w:val="o"/>
      <w:lvlJc w:val="left"/>
      <w:pPr>
        <w:ind w:left="3546" w:hanging="360"/>
      </w:pPr>
      <w:rPr>
        <w:rFonts w:ascii="Courier New" w:hAnsi="Courier New" w:cs="Courier New" w:hint="default"/>
      </w:rPr>
    </w:lvl>
    <w:lvl w:ilvl="5" w:tplc="08090005" w:tentative="1">
      <w:start w:val="1"/>
      <w:numFmt w:val="bullet"/>
      <w:lvlText w:val=""/>
      <w:lvlJc w:val="left"/>
      <w:pPr>
        <w:ind w:left="4266" w:hanging="360"/>
      </w:pPr>
      <w:rPr>
        <w:rFonts w:ascii="Wingdings" w:hAnsi="Wingdings" w:hint="default"/>
      </w:rPr>
    </w:lvl>
    <w:lvl w:ilvl="6" w:tplc="08090001" w:tentative="1">
      <w:start w:val="1"/>
      <w:numFmt w:val="bullet"/>
      <w:lvlText w:val=""/>
      <w:lvlJc w:val="left"/>
      <w:pPr>
        <w:ind w:left="4986" w:hanging="360"/>
      </w:pPr>
      <w:rPr>
        <w:rFonts w:ascii="Symbol" w:hAnsi="Symbol" w:hint="default"/>
      </w:rPr>
    </w:lvl>
    <w:lvl w:ilvl="7" w:tplc="08090003" w:tentative="1">
      <w:start w:val="1"/>
      <w:numFmt w:val="bullet"/>
      <w:lvlText w:val="o"/>
      <w:lvlJc w:val="left"/>
      <w:pPr>
        <w:ind w:left="5706" w:hanging="360"/>
      </w:pPr>
      <w:rPr>
        <w:rFonts w:ascii="Courier New" w:hAnsi="Courier New" w:cs="Courier New" w:hint="default"/>
      </w:rPr>
    </w:lvl>
    <w:lvl w:ilvl="8" w:tplc="08090005" w:tentative="1">
      <w:start w:val="1"/>
      <w:numFmt w:val="bullet"/>
      <w:lvlText w:val=""/>
      <w:lvlJc w:val="left"/>
      <w:pPr>
        <w:ind w:left="6426" w:hanging="360"/>
      </w:pPr>
      <w:rPr>
        <w:rFonts w:ascii="Wingdings" w:hAnsi="Wingdings" w:hint="default"/>
      </w:rPr>
    </w:lvl>
  </w:abstractNum>
  <w:abstractNum w:abstractNumId="62" w15:restartNumberingAfterBreak="0">
    <w:nsid w:val="64B77AA9"/>
    <w:multiLevelType w:val="hybridMultilevel"/>
    <w:tmpl w:val="BBE82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68B26BB"/>
    <w:multiLevelType w:val="hybridMultilevel"/>
    <w:tmpl w:val="360CBA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15:restartNumberingAfterBreak="0">
    <w:nsid w:val="69FD4E16"/>
    <w:multiLevelType w:val="hybridMultilevel"/>
    <w:tmpl w:val="DA3A8B94"/>
    <w:lvl w:ilvl="0" w:tplc="102232E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67"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EEC1F04"/>
    <w:multiLevelType w:val="hybridMultilevel"/>
    <w:tmpl w:val="2258F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0" w15:restartNumberingAfterBreak="0">
    <w:nsid w:val="725037B4"/>
    <w:multiLevelType w:val="hybridMultilevel"/>
    <w:tmpl w:val="8A08BCB2"/>
    <w:lvl w:ilvl="0" w:tplc="08090001">
      <w:start w:val="1"/>
      <w:numFmt w:val="bullet"/>
      <w:lvlText w:val=""/>
      <w:lvlJc w:val="left"/>
      <w:pPr>
        <w:ind w:left="807" w:hanging="360"/>
      </w:pPr>
      <w:rPr>
        <w:rFonts w:ascii="Symbol" w:hAnsi="Symbol"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71"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72"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31"/>
  </w:num>
  <w:num w:numId="2">
    <w:abstractNumId w:val="34"/>
  </w:num>
  <w:num w:numId="3">
    <w:abstractNumId w:val="25"/>
  </w:num>
  <w:num w:numId="4">
    <w:abstractNumId w:val="44"/>
  </w:num>
  <w:num w:numId="5">
    <w:abstractNumId w:val="47"/>
  </w:num>
  <w:num w:numId="6">
    <w:abstractNumId w:val="0"/>
  </w:num>
  <w:num w:numId="7">
    <w:abstractNumId w:val="1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9"/>
  </w:num>
  <w:num w:numId="1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3"/>
  </w:num>
  <w:num w:numId="13">
    <w:abstractNumId w:val="57"/>
  </w:num>
  <w:num w:numId="14">
    <w:abstractNumId w:val="39"/>
  </w:num>
  <w:num w:numId="15">
    <w:abstractNumId w:val="21"/>
  </w:num>
  <w:num w:numId="16">
    <w:abstractNumId w:val="1"/>
  </w:num>
  <w:num w:numId="17">
    <w:abstractNumId w:val="28"/>
  </w:num>
  <w:num w:numId="18">
    <w:abstractNumId w:val="29"/>
  </w:num>
  <w:num w:numId="19">
    <w:abstractNumId w:val="32"/>
  </w:num>
  <w:num w:numId="20">
    <w:abstractNumId w:val="50"/>
  </w:num>
  <w:num w:numId="21">
    <w:abstractNumId w:val="69"/>
  </w:num>
  <w:num w:numId="22">
    <w:abstractNumId w:val="45"/>
  </w:num>
  <w:num w:numId="23">
    <w:abstractNumId w:val="19"/>
  </w:num>
  <w:num w:numId="24">
    <w:abstractNumId w:val="56"/>
  </w:num>
  <w:num w:numId="25">
    <w:abstractNumId w:val="55"/>
  </w:num>
  <w:num w:numId="26">
    <w:abstractNumId w:val="36"/>
  </w:num>
  <w:num w:numId="27">
    <w:abstractNumId w:val="64"/>
  </w:num>
  <w:num w:numId="28">
    <w:abstractNumId w:val="72"/>
  </w:num>
  <w:num w:numId="29">
    <w:abstractNumId w:val="15"/>
  </w:num>
  <w:num w:numId="30">
    <w:abstractNumId w:val="5"/>
  </w:num>
  <w:num w:numId="31">
    <w:abstractNumId w:val="38"/>
  </w:num>
  <w:num w:numId="32">
    <w:abstractNumId w:val="37"/>
  </w:num>
  <w:num w:numId="33">
    <w:abstractNumId w:val="67"/>
  </w:num>
  <w:num w:numId="34">
    <w:abstractNumId w:val="66"/>
  </w:num>
  <w:num w:numId="35">
    <w:abstractNumId w:val="24"/>
  </w:num>
  <w:num w:numId="36">
    <w:abstractNumId w:val="26"/>
  </w:num>
  <w:num w:numId="37">
    <w:abstractNumId w:val="65"/>
  </w:num>
  <w:num w:numId="38">
    <w:abstractNumId w:val="42"/>
  </w:num>
  <w:num w:numId="39">
    <w:abstractNumId w:val="52"/>
  </w:num>
  <w:num w:numId="40">
    <w:abstractNumId w:val="62"/>
  </w:num>
  <w:num w:numId="41">
    <w:abstractNumId w:val="6"/>
  </w:num>
  <w:num w:numId="42">
    <w:abstractNumId w:val="17"/>
  </w:num>
  <w:num w:numId="43">
    <w:abstractNumId w:val="18"/>
  </w:num>
  <w:num w:numId="44">
    <w:abstractNumId w:val="68"/>
  </w:num>
  <w:num w:numId="45">
    <w:abstractNumId w:val="49"/>
  </w:num>
  <w:num w:numId="46">
    <w:abstractNumId w:val="3"/>
  </w:num>
  <w:num w:numId="47">
    <w:abstractNumId w:val="23"/>
  </w:num>
  <w:num w:numId="48">
    <w:abstractNumId w:val="43"/>
  </w:num>
  <w:num w:numId="49">
    <w:abstractNumId w:val="22"/>
  </w:num>
  <w:num w:numId="50">
    <w:abstractNumId w:val="40"/>
  </w:num>
  <w:num w:numId="51">
    <w:abstractNumId w:val="70"/>
  </w:num>
  <w:num w:numId="52">
    <w:abstractNumId w:val="14"/>
  </w:num>
  <w:num w:numId="53">
    <w:abstractNumId w:val="7"/>
  </w:num>
  <w:num w:numId="54">
    <w:abstractNumId w:val="41"/>
  </w:num>
  <w:num w:numId="55">
    <w:abstractNumId w:val="12"/>
  </w:num>
  <w:num w:numId="56">
    <w:abstractNumId w:val="63"/>
  </w:num>
  <w:num w:numId="57">
    <w:abstractNumId w:val="9"/>
  </w:num>
  <w:num w:numId="58">
    <w:abstractNumId w:val="58"/>
  </w:num>
  <w:num w:numId="59">
    <w:abstractNumId w:val="46"/>
  </w:num>
  <w:num w:numId="60">
    <w:abstractNumId w:val="2"/>
  </w:num>
  <w:num w:numId="61">
    <w:abstractNumId w:val="60"/>
  </w:num>
  <w:num w:numId="62">
    <w:abstractNumId w:val="33"/>
  </w:num>
  <w:num w:numId="63">
    <w:abstractNumId w:val="61"/>
  </w:num>
  <w:num w:numId="64">
    <w:abstractNumId w:val="20"/>
  </w:num>
  <w:num w:numId="65">
    <w:abstractNumId w:val="54"/>
  </w:num>
  <w:num w:numId="66">
    <w:abstractNumId w:val="35"/>
  </w:num>
  <w:num w:numId="67">
    <w:abstractNumId w:val="13"/>
  </w:num>
  <w:num w:numId="68">
    <w:abstractNumId w:val="30"/>
  </w:num>
  <w:num w:numId="69">
    <w:abstractNumId w:val="4"/>
  </w:num>
  <w:num w:numId="70">
    <w:abstractNumId w:val="48"/>
  </w:num>
  <w:num w:numId="71">
    <w:abstractNumId w:val="51"/>
  </w:num>
  <w:num w:numId="72">
    <w:abstractNumId w:val="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Ejv/gKEZsV5EvM8OivcqZUTc+fjpvceAPQ+oJQnjBU2RmfVdKT6qAKEwDcIINMiH+7EdOlnEmydkpDBXlcyQyQ==" w:salt="8tGsDj2N2K2SdAXO9M7drw=="/>
  <w:defaultTabStop w:val="709"/>
  <w:autoHyphenation/>
  <w:hyphenationZone w:val="567"/>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8A1"/>
    <w:rsid w:val="00006C2B"/>
    <w:rsid w:val="00007014"/>
    <w:rsid w:val="00007968"/>
    <w:rsid w:val="0001067A"/>
    <w:rsid w:val="00013CCE"/>
    <w:rsid w:val="000140D5"/>
    <w:rsid w:val="0001410B"/>
    <w:rsid w:val="000141D6"/>
    <w:rsid w:val="00014A67"/>
    <w:rsid w:val="00014A95"/>
    <w:rsid w:val="00015B5E"/>
    <w:rsid w:val="00015F1D"/>
    <w:rsid w:val="0001774B"/>
    <w:rsid w:val="00020D0F"/>
    <w:rsid w:val="000215EB"/>
    <w:rsid w:val="00021E83"/>
    <w:rsid w:val="000229B7"/>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51F5"/>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5503"/>
    <w:rsid w:val="0007609D"/>
    <w:rsid w:val="00077C67"/>
    <w:rsid w:val="00080976"/>
    <w:rsid w:val="00081148"/>
    <w:rsid w:val="00081CEB"/>
    <w:rsid w:val="00081E60"/>
    <w:rsid w:val="00082D8E"/>
    <w:rsid w:val="00082E31"/>
    <w:rsid w:val="00083AA3"/>
    <w:rsid w:val="000844F2"/>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0890"/>
    <w:rsid w:val="000B275C"/>
    <w:rsid w:val="000B2C3D"/>
    <w:rsid w:val="000B55C0"/>
    <w:rsid w:val="000B5DF2"/>
    <w:rsid w:val="000C06C9"/>
    <w:rsid w:val="000C1BA7"/>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0F99"/>
    <w:rsid w:val="000F3C5C"/>
    <w:rsid w:val="000F55B7"/>
    <w:rsid w:val="000F604F"/>
    <w:rsid w:val="000F7399"/>
    <w:rsid w:val="001021EF"/>
    <w:rsid w:val="001027F1"/>
    <w:rsid w:val="00104F2E"/>
    <w:rsid w:val="00106124"/>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451A"/>
    <w:rsid w:val="001459E3"/>
    <w:rsid w:val="00146A0B"/>
    <w:rsid w:val="00146A6C"/>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268A"/>
    <w:rsid w:val="00173AC7"/>
    <w:rsid w:val="001745D7"/>
    <w:rsid w:val="00175754"/>
    <w:rsid w:val="00176982"/>
    <w:rsid w:val="0017701C"/>
    <w:rsid w:val="00177C6B"/>
    <w:rsid w:val="00181264"/>
    <w:rsid w:val="001817D7"/>
    <w:rsid w:val="00181BD1"/>
    <w:rsid w:val="0018204A"/>
    <w:rsid w:val="00182526"/>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1005"/>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0776"/>
    <w:rsid w:val="00232F90"/>
    <w:rsid w:val="00233B08"/>
    <w:rsid w:val="00233C3B"/>
    <w:rsid w:val="0023499C"/>
    <w:rsid w:val="00235CE3"/>
    <w:rsid w:val="0023636A"/>
    <w:rsid w:val="00236F34"/>
    <w:rsid w:val="002372F7"/>
    <w:rsid w:val="00240651"/>
    <w:rsid w:val="00240803"/>
    <w:rsid w:val="00241178"/>
    <w:rsid w:val="0024426D"/>
    <w:rsid w:val="00244F1D"/>
    <w:rsid w:val="00245004"/>
    <w:rsid w:val="00245FB4"/>
    <w:rsid w:val="00247FB6"/>
    <w:rsid w:val="00250898"/>
    <w:rsid w:val="00251EA9"/>
    <w:rsid w:val="00252293"/>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3F"/>
    <w:rsid w:val="00286064"/>
    <w:rsid w:val="002867B1"/>
    <w:rsid w:val="00287BBB"/>
    <w:rsid w:val="00287E3B"/>
    <w:rsid w:val="00290638"/>
    <w:rsid w:val="00290E98"/>
    <w:rsid w:val="00291763"/>
    <w:rsid w:val="00291D80"/>
    <w:rsid w:val="00293156"/>
    <w:rsid w:val="00293BE7"/>
    <w:rsid w:val="002946DC"/>
    <w:rsid w:val="00296005"/>
    <w:rsid w:val="002A092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11D"/>
    <w:rsid w:val="002B7656"/>
    <w:rsid w:val="002C1492"/>
    <w:rsid w:val="002C1E8B"/>
    <w:rsid w:val="002C27F9"/>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5D63"/>
    <w:rsid w:val="002E7113"/>
    <w:rsid w:val="002E7F4B"/>
    <w:rsid w:val="002E7FB3"/>
    <w:rsid w:val="002F0C91"/>
    <w:rsid w:val="002F0E3E"/>
    <w:rsid w:val="002F1B19"/>
    <w:rsid w:val="002F1FBF"/>
    <w:rsid w:val="002F4139"/>
    <w:rsid w:val="00300624"/>
    <w:rsid w:val="00300F56"/>
    <w:rsid w:val="00301006"/>
    <w:rsid w:val="00303565"/>
    <w:rsid w:val="00304199"/>
    <w:rsid w:val="00304A71"/>
    <w:rsid w:val="003066C8"/>
    <w:rsid w:val="0030739D"/>
    <w:rsid w:val="00307AFB"/>
    <w:rsid w:val="00311184"/>
    <w:rsid w:val="0031127F"/>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31A2"/>
    <w:rsid w:val="00336B5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3E8C"/>
    <w:rsid w:val="003748F0"/>
    <w:rsid w:val="003755C6"/>
    <w:rsid w:val="00375AEF"/>
    <w:rsid w:val="00375F8E"/>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A0A78"/>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D7C66"/>
    <w:rsid w:val="003E0F84"/>
    <w:rsid w:val="003E1FF3"/>
    <w:rsid w:val="003E39F0"/>
    <w:rsid w:val="003E3ACA"/>
    <w:rsid w:val="003E47A3"/>
    <w:rsid w:val="003E50EA"/>
    <w:rsid w:val="003E68C7"/>
    <w:rsid w:val="003E79B0"/>
    <w:rsid w:val="003F0403"/>
    <w:rsid w:val="003F1094"/>
    <w:rsid w:val="003F1D41"/>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5688"/>
    <w:rsid w:val="0041634D"/>
    <w:rsid w:val="00417EF7"/>
    <w:rsid w:val="00422A7D"/>
    <w:rsid w:val="00422BFC"/>
    <w:rsid w:val="00424642"/>
    <w:rsid w:val="0042504C"/>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67C9"/>
    <w:rsid w:val="00447FBE"/>
    <w:rsid w:val="0045035E"/>
    <w:rsid w:val="0045175A"/>
    <w:rsid w:val="00451C82"/>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356"/>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2B3A"/>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00A"/>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77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199"/>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1F47"/>
    <w:rsid w:val="00542297"/>
    <w:rsid w:val="005424BC"/>
    <w:rsid w:val="00542A28"/>
    <w:rsid w:val="005441D4"/>
    <w:rsid w:val="0054672D"/>
    <w:rsid w:val="00550F4E"/>
    <w:rsid w:val="005532B5"/>
    <w:rsid w:val="005534DB"/>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7F1"/>
    <w:rsid w:val="00573871"/>
    <w:rsid w:val="0057389E"/>
    <w:rsid w:val="005738DE"/>
    <w:rsid w:val="005762EC"/>
    <w:rsid w:val="005765C0"/>
    <w:rsid w:val="005778DE"/>
    <w:rsid w:val="00580B3F"/>
    <w:rsid w:val="005825F2"/>
    <w:rsid w:val="005857DF"/>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D6C8C"/>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5F6F7F"/>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52C"/>
    <w:rsid w:val="00620D7C"/>
    <w:rsid w:val="00621089"/>
    <w:rsid w:val="00621E1F"/>
    <w:rsid w:val="006228B2"/>
    <w:rsid w:val="006228E1"/>
    <w:rsid w:val="00622E32"/>
    <w:rsid w:val="00623688"/>
    <w:rsid w:val="006247E0"/>
    <w:rsid w:val="00625F82"/>
    <w:rsid w:val="00627999"/>
    <w:rsid w:val="006301E3"/>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06E1"/>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103E"/>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0D0A"/>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07807"/>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1C5"/>
    <w:rsid w:val="00743DE7"/>
    <w:rsid w:val="0074509E"/>
    <w:rsid w:val="00745B9F"/>
    <w:rsid w:val="0074726F"/>
    <w:rsid w:val="0075015C"/>
    <w:rsid w:val="00752D4F"/>
    <w:rsid w:val="00752DC8"/>
    <w:rsid w:val="0075409F"/>
    <w:rsid w:val="0075525A"/>
    <w:rsid w:val="00755609"/>
    <w:rsid w:val="00755874"/>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6C11"/>
    <w:rsid w:val="00777046"/>
    <w:rsid w:val="007770DA"/>
    <w:rsid w:val="007805B9"/>
    <w:rsid w:val="00780C3A"/>
    <w:rsid w:val="007834A1"/>
    <w:rsid w:val="00785CFD"/>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044"/>
    <w:rsid w:val="007A6F4E"/>
    <w:rsid w:val="007A7678"/>
    <w:rsid w:val="007B0CD8"/>
    <w:rsid w:val="007B0DE0"/>
    <w:rsid w:val="007B21DE"/>
    <w:rsid w:val="007B2BB9"/>
    <w:rsid w:val="007B43E8"/>
    <w:rsid w:val="007B4740"/>
    <w:rsid w:val="007B502C"/>
    <w:rsid w:val="007B5F3B"/>
    <w:rsid w:val="007C02B0"/>
    <w:rsid w:val="007C063E"/>
    <w:rsid w:val="007C068C"/>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090C"/>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7F79DB"/>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146C0"/>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D24"/>
    <w:rsid w:val="00871F04"/>
    <w:rsid w:val="008746C1"/>
    <w:rsid w:val="00880224"/>
    <w:rsid w:val="0088244C"/>
    <w:rsid w:val="00883367"/>
    <w:rsid w:val="0088346A"/>
    <w:rsid w:val="00884C47"/>
    <w:rsid w:val="00884E92"/>
    <w:rsid w:val="00885E6F"/>
    <w:rsid w:val="008861AC"/>
    <w:rsid w:val="008868E4"/>
    <w:rsid w:val="00886A60"/>
    <w:rsid w:val="0088759B"/>
    <w:rsid w:val="008909B4"/>
    <w:rsid w:val="00891722"/>
    <w:rsid w:val="008922E8"/>
    <w:rsid w:val="00893916"/>
    <w:rsid w:val="008941B9"/>
    <w:rsid w:val="0089442C"/>
    <w:rsid w:val="008952F5"/>
    <w:rsid w:val="00895818"/>
    <w:rsid w:val="008A2585"/>
    <w:rsid w:val="008A2718"/>
    <w:rsid w:val="008A4CF6"/>
    <w:rsid w:val="008A4E42"/>
    <w:rsid w:val="008A51AA"/>
    <w:rsid w:val="008A6A12"/>
    <w:rsid w:val="008B0DC6"/>
    <w:rsid w:val="008B2B9E"/>
    <w:rsid w:val="008B31F5"/>
    <w:rsid w:val="008B4C79"/>
    <w:rsid w:val="008B5D2D"/>
    <w:rsid w:val="008B6022"/>
    <w:rsid w:val="008B6361"/>
    <w:rsid w:val="008C0320"/>
    <w:rsid w:val="008C1A51"/>
    <w:rsid w:val="008C266D"/>
    <w:rsid w:val="008C2A81"/>
    <w:rsid w:val="008C3863"/>
    <w:rsid w:val="008C4BDC"/>
    <w:rsid w:val="008C50FF"/>
    <w:rsid w:val="008C5435"/>
    <w:rsid w:val="008C6BD1"/>
    <w:rsid w:val="008D2DB5"/>
    <w:rsid w:val="008D3F10"/>
    <w:rsid w:val="008D46E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47F5"/>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3A42"/>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B8"/>
    <w:rsid w:val="009661DF"/>
    <w:rsid w:val="009667BD"/>
    <w:rsid w:val="00967674"/>
    <w:rsid w:val="00967CE2"/>
    <w:rsid w:val="00971DA3"/>
    <w:rsid w:val="00972161"/>
    <w:rsid w:val="0097261B"/>
    <w:rsid w:val="009744FD"/>
    <w:rsid w:val="00974881"/>
    <w:rsid w:val="0097606C"/>
    <w:rsid w:val="00976448"/>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52F7"/>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4B6"/>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23E1"/>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8D9"/>
    <w:rsid w:val="00A36EE3"/>
    <w:rsid w:val="00A37435"/>
    <w:rsid w:val="00A40DA9"/>
    <w:rsid w:val="00A4173D"/>
    <w:rsid w:val="00A41A95"/>
    <w:rsid w:val="00A4248B"/>
    <w:rsid w:val="00A4376E"/>
    <w:rsid w:val="00A4572B"/>
    <w:rsid w:val="00A46246"/>
    <w:rsid w:val="00A46349"/>
    <w:rsid w:val="00A46D5E"/>
    <w:rsid w:val="00A50847"/>
    <w:rsid w:val="00A510E2"/>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0762"/>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1E2F"/>
    <w:rsid w:val="00AF201E"/>
    <w:rsid w:val="00AF38AF"/>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67E4"/>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41E"/>
    <w:rsid w:val="00B85661"/>
    <w:rsid w:val="00B85C8A"/>
    <w:rsid w:val="00B86FBD"/>
    <w:rsid w:val="00B91B86"/>
    <w:rsid w:val="00B927CA"/>
    <w:rsid w:val="00B928AE"/>
    <w:rsid w:val="00B93CDA"/>
    <w:rsid w:val="00B942E9"/>
    <w:rsid w:val="00B9433A"/>
    <w:rsid w:val="00B948EE"/>
    <w:rsid w:val="00B949F5"/>
    <w:rsid w:val="00B94BF3"/>
    <w:rsid w:val="00B94F90"/>
    <w:rsid w:val="00B95DC5"/>
    <w:rsid w:val="00B97E0F"/>
    <w:rsid w:val="00B97E34"/>
    <w:rsid w:val="00B97FEF"/>
    <w:rsid w:val="00BA1354"/>
    <w:rsid w:val="00BA24F8"/>
    <w:rsid w:val="00BA31AA"/>
    <w:rsid w:val="00BA45D8"/>
    <w:rsid w:val="00BA5828"/>
    <w:rsid w:val="00BA647A"/>
    <w:rsid w:val="00BA64B3"/>
    <w:rsid w:val="00BA7228"/>
    <w:rsid w:val="00BA754A"/>
    <w:rsid w:val="00BA7820"/>
    <w:rsid w:val="00BA794C"/>
    <w:rsid w:val="00BB09FB"/>
    <w:rsid w:val="00BB1617"/>
    <w:rsid w:val="00BB238D"/>
    <w:rsid w:val="00BB37CC"/>
    <w:rsid w:val="00BB48C4"/>
    <w:rsid w:val="00BB4956"/>
    <w:rsid w:val="00BB5C6F"/>
    <w:rsid w:val="00BB6907"/>
    <w:rsid w:val="00BB7A20"/>
    <w:rsid w:val="00BC15B1"/>
    <w:rsid w:val="00BC16E9"/>
    <w:rsid w:val="00BC1D4B"/>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37A5"/>
    <w:rsid w:val="00BF557C"/>
    <w:rsid w:val="00BF62D2"/>
    <w:rsid w:val="00BF6D9E"/>
    <w:rsid w:val="00BF6E3E"/>
    <w:rsid w:val="00BF71BB"/>
    <w:rsid w:val="00BF76F7"/>
    <w:rsid w:val="00BF7C9F"/>
    <w:rsid w:val="00C00012"/>
    <w:rsid w:val="00C000A5"/>
    <w:rsid w:val="00C006B4"/>
    <w:rsid w:val="00C00938"/>
    <w:rsid w:val="00C00E2A"/>
    <w:rsid w:val="00C00F10"/>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372AF"/>
    <w:rsid w:val="00C400B0"/>
    <w:rsid w:val="00C40F4E"/>
    <w:rsid w:val="00C413FC"/>
    <w:rsid w:val="00C422C5"/>
    <w:rsid w:val="00C4245C"/>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0415"/>
    <w:rsid w:val="00C729C7"/>
    <w:rsid w:val="00C761FA"/>
    <w:rsid w:val="00C777AD"/>
    <w:rsid w:val="00C80C53"/>
    <w:rsid w:val="00C81195"/>
    <w:rsid w:val="00C85387"/>
    <w:rsid w:val="00C85E52"/>
    <w:rsid w:val="00C86471"/>
    <w:rsid w:val="00C8677B"/>
    <w:rsid w:val="00C86F96"/>
    <w:rsid w:val="00C909C6"/>
    <w:rsid w:val="00C923B7"/>
    <w:rsid w:val="00C93A9C"/>
    <w:rsid w:val="00C94D4C"/>
    <w:rsid w:val="00C955DD"/>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0E0A"/>
    <w:rsid w:val="00CC1783"/>
    <w:rsid w:val="00CC38E9"/>
    <w:rsid w:val="00CC3B46"/>
    <w:rsid w:val="00CC3D8B"/>
    <w:rsid w:val="00CC49EE"/>
    <w:rsid w:val="00CC4E27"/>
    <w:rsid w:val="00CC570C"/>
    <w:rsid w:val="00CC62B6"/>
    <w:rsid w:val="00CC76AA"/>
    <w:rsid w:val="00CC7CD2"/>
    <w:rsid w:val="00CD05CF"/>
    <w:rsid w:val="00CD06AB"/>
    <w:rsid w:val="00CD1FAE"/>
    <w:rsid w:val="00CD232F"/>
    <w:rsid w:val="00CD279E"/>
    <w:rsid w:val="00CD2986"/>
    <w:rsid w:val="00CD2F92"/>
    <w:rsid w:val="00CD3899"/>
    <w:rsid w:val="00CD4EB0"/>
    <w:rsid w:val="00CD512D"/>
    <w:rsid w:val="00CD5831"/>
    <w:rsid w:val="00CD6F6E"/>
    <w:rsid w:val="00CE08D1"/>
    <w:rsid w:val="00CE157F"/>
    <w:rsid w:val="00CE1966"/>
    <w:rsid w:val="00CE1ED4"/>
    <w:rsid w:val="00CE2216"/>
    <w:rsid w:val="00CE3014"/>
    <w:rsid w:val="00CE30E5"/>
    <w:rsid w:val="00CE36D1"/>
    <w:rsid w:val="00CE6FC6"/>
    <w:rsid w:val="00CF2056"/>
    <w:rsid w:val="00CF40E5"/>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AAA"/>
    <w:rsid w:val="00D64B69"/>
    <w:rsid w:val="00D67101"/>
    <w:rsid w:val="00D7106D"/>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523"/>
    <w:rsid w:val="00DA5B13"/>
    <w:rsid w:val="00DA6917"/>
    <w:rsid w:val="00DA6926"/>
    <w:rsid w:val="00DB0965"/>
    <w:rsid w:val="00DB0E47"/>
    <w:rsid w:val="00DB2BDD"/>
    <w:rsid w:val="00DB4121"/>
    <w:rsid w:val="00DB46C3"/>
    <w:rsid w:val="00DB5742"/>
    <w:rsid w:val="00DB5EDF"/>
    <w:rsid w:val="00DB6C46"/>
    <w:rsid w:val="00DB72B8"/>
    <w:rsid w:val="00DC16AF"/>
    <w:rsid w:val="00DC1B3F"/>
    <w:rsid w:val="00DC2A9A"/>
    <w:rsid w:val="00DC2E2E"/>
    <w:rsid w:val="00DC4D68"/>
    <w:rsid w:val="00DC6463"/>
    <w:rsid w:val="00DC7822"/>
    <w:rsid w:val="00DC7AF1"/>
    <w:rsid w:val="00DD2D92"/>
    <w:rsid w:val="00DD3026"/>
    <w:rsid w:val="00DD33DC"/>
    <w:rsid w:val="00DD3BB0"/>
    <w:rsid w:val="00DD4A46"/>
    <w:rsid w:val="00DD61F5"/>
    <w:rsid w:val="00DE2FC2"/>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8BE"/>
    <w:rsid w:val="00E25DBD"/>
    <w:rsid w:val="00E25FA2"/>
    <w:rsid w:val="00E2723D"/>
    <w:rsid w:val="00E27C77"/>
    <w:rsid w:val="00E3179E"/>
    <w:rsid w:val="00E32AC9"/>
    <w:rsid w:val="00E34586"/>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23"/>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0D35"/>
    <w:rsid w:val="00F123D0"/>
    <w:rsid w:val="00F13200"/>
    <w:rsid w:val="00F13411"/>
    <w:rsid w:val="00F143BA"/>
    <w:rsid w:val="00F14D98"/>
    <w:rsid w:val="00F170BB"/>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25"/>
    <w:rsid w:val="00F82FF3"/>
    <w:rsid w:val="00F8453C"/>
    <w:rsid w:val="00F84D4C"/>
    <w:rsid w:val="00F8657D"/>
    <w:rsid w:val="00F8730F"/>
    <w:rsid w:val="00F87631"/>
    <w:rsid w:val="00F87DA3"/>
    <w:rsid w:val="00F90004"/>
    <w:rsid w:val="00F90EF4"/>
    <w:rsid w:val="00F917BF"/>
    <w:rsid w:val="00F920B4"/>
    <w:rsid w:val="00F9260D"/>
    <w:rsid w:val="00F92727"/>
    <w:rsid w:val="00F93CCF"/>
    <w:rsid w:val="00F94307"/>
    <w:rsid w:val="00F9580B"/>
    <w:rsid w:val="00F95F15"/>
    <w:rsid w:val="00F968C6"/>
    <w:rsid w:val="00F975CA"/>
    <w:rsid w:val="00FA0B60"/>
    <w:rsid w:val="00FA2528"/>
    <w:rsid w:val="00FA5535"/>
    <w:rsid w:val="00FA7206"/>
    <w:rsid w:val="00FA7E01"/>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5EC4"/>
    <w:rsid w:val="00FD67EC"/>
    <w:rsid w:val="00FD7858"/>
    <w:rsid w:val="00FD7A8D"/>
    <w:rsid w:val="00FE1330"/>
    <w:rsid w:val="00FE1CE5"/>
    <w:rsid w:val="00FE2832"/>
    <w:rsid w:val="00FE2D38"/>
    <w:rsid w:val="00FE3929"/>
    <w:rsid w:val="00FE40D3"/>
    <w:rsid w:val="00FE6577"/>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B88CD27"/>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1A2"/>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uiPriority w:val="39"/>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uiPriority w:val="99"/>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76448"/>
    <w:pPr>
      <w:numPr>
        <w:numId w:val="36"/>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76448"/>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Paragraph">
    <w:name w:val="Paragraph"/>
    <w:basedOn w:val="Normal"/>
    <w:link w:val="ParagraphChar"/>
    <w:qFormat/>
    <w:rsid w:val="00106124"/>
    <w:pPr>
      <w:spacing w:before="120" w:after="120" w:line="276" w:lineRule="auto"/>
      <w:ind w:left="360" w:hanging="360"/>
      <w:jc w:val="both"/>
    </w:pPr>
    <w:rPr>
      <w:rFonts w:asciiTheme="minorHAnsi" w:hAnsiTheme="minorHAnsi"/>
      <w:sz w:val="22"/>
      <w:szCs w:val="20"/>
      <w:lang w:eastAsia="en-US"/>
    </w:rPr>
  </w:style>
  <w:style w:type="character" w:customStyle="1" w:styleId="ParagraphChar">
    <w:name w:val="Paragraph Char"/>
    <w:link w:val="Paragraph"/>
    <w:locked/>
    <w:rsid w:val="00106124"/>
    <w:rPr>
      <w:rFonts w:asciiTheme="minorHAnsi" w:hAnsiTheme="minorHAnsi"/>
      <w:sz w:val="22"/>
      <w:lang w:eastAsia="en-US"/>
    </w:rPr>
  </w:style>
  <w:style w:type="paragraph" w:customStyle="1" w:styleId="xmsonormal">
    <w:name w:val="x_msonormal"/>
    <w:basedOn w:val="Normal"/>
    <w:rsid w:val="00976448"/>
    <w:pPr>
      <w:spacing w:before="100" w:beforeAutospacing="1" w:after="100" w:afterAutospacing="1"/>
    </w:pPr>
    <w:rPr>
      <w:rFonts w:ascii="Times New Roman" w:hAnsi="Times New Roman"/>
      <w:sz w:val="24"/>
      <w:lang w:val="fr-FR" w:eastAsia="fr-FR"/>
    </w:rPr>
  </w:style>
  <w:style w:type="paragraph" w:customStyle="1" w:styleId="xmsonormal0">
    <w:name w:val="xmsonormal"/>
    <w:basedOn w:val="Normal"/>
    <w:rsid w:val="00290E98"/>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68493509">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15711491">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92249008">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sma.europa.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cid:image002.png@01D76C4A.B7B4AD10"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4.gif"/><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about-esma/data-protection" TargetMode="External"/><Relationship Id="rId27"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www.iosco.org/library/pubdocs/pdf/IOSCOPD379.pdf" TargetMode="External"/><Relationship Id="rId1" Type="http://schemas.openxmlformats.org/officeDocument/2006/relationships/hyperlink" Target="https://www.centralbank.ie/docs/default-source/publications/economic-letters/vol-2020-no-9-the-persisting-effect-of-the-pandemic-on-money-market-funds-and-money-markets-(golden).pdf?sfvrsn=1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ther Work Document" ma:contentTypeID="0x0101004C1F842F26F0BF46AAFF4A33AAF0FAB9020E00058A08C15AC1864D8EE7048745AAA068" ma:contentTypeVersion="145" ma:contentTypeDescription="" ma:contentTypeScope="" ma:versionID="2309983eb822269fd72e2a60a53940d4">
  <xsd:schema xmlns:xsd="http://www.w3.org/2001/XMLSchema" xmlns:xs="http://www.w3.org/2001/XMLSchema" xmlns:p="http://schemas.microsoft.com/office/2006/metadata/properties" xmlns:ns2="3b122f42-3680-41b8-abdb-8f838d66b94f" xmlns:ns3="http://schemas.microsoft.com/sharepoint/v4" targetNamespace="http://schemas.microsoft.com/office/2006/metadata/properties" ma:root="true" ma:fieldsID="c86cf930dbcd5bc90d4a71097f38bcb6" ns2:_="" ns3:_="">
    <xsd:import namespace="3b122f42-3680-41b8-abdb-8f838d66b94f"/>
    <xsd:import namespace="http://schemas.microsoft.com/sharepoint/v4"/>
    <xsd:element name="properties">
      <xsd:complexType>
        <xsd:sequence>
          <xsd:element name="documentManagement">
            <xsd:complexType>
              <xsd:all>
                <xsd:element ref="ns2:Year"/>
                <xsd:element ref="ns2:MeetingDate" minOccurs="0"/>
                <xsd:element ref="ns2:_dlc_DocId" minOccurs="0"/>
                <xsd:element ref="ns2:TaxCatchAll" minOccurs="0"/>
                <xsd:element ref="ns2:_dlc_DocIdUrl" minOccurs="0"/>
                <xsd:element ref="ns2:_dlc_DocIdPersistId" minOccurs="0"/>
                <xsd:element ref="ns2:i5ab60d4d76744fa8f19029305834a0f" minOccurs="0"/>
                <xsd:element ref="ns2:b1f7cdd549a8454fb97376e5c37040fc" minOccurs="0"/>
                <xsd:element ref="ns2:ja89261ff8244daf864530e8b7973c66" minOccurs="0"/>
                <xsd:element ref="ns2:ldf822d702374457a75b2650fd19956f" minOccurs="0"/>
                <xsd:element ref="ns2:nd85f6bbfc564f3fa1f39842b48e85f3" minOccurs="0"/>
                <xsd:element ref="ns2:TaxCatchAllLabel" minOccurs="0"/>
                <xsd:element ref="ns2:f926fd9ddf4e43dc9baf43a17188d082"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22f42-3680-41b8-abdb-8f838d66b94f"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TaxCatchAll" ma:index="11" nillable="true" ma:displayName="Taxonomy Catch All Column" ma:hidden="true" ma:list="{1d591544-b9e9-463f-8aea-85c90ce7dc60}" ma:internalName="TaxCatchAll" ma:showField="CatchAllData" ma:web="3b122f42-3680-41b8-abdb-8f838d66b94f">
      <xsd:complexType>
        <xsd:complexContent>
          <xsd:extension base="dms:MultiChoiceLookup">
            <xsd:sequence>
              <xsd:element name="Value" type="dms:Lookup" maxOccurs="unbounded" minOccurs="0" nillable="true"/>
            </xsd:sequence>
          </xsd:extension>
        </xsd:complexContent>
      </xsd:complex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i5ab60d4d76744fa8f19029305834a0f" ma:index="14" ma:taxonomy="true" ma:internalName="i5ab60d4d76744fa8f19029305834a0f" ma:taxonomyFieldName="TeamName" ma:displayName="Team Name" ma:default="30;#Investor Protection and Intermediaries|98c55de3-414a-4dc7-97ca-58b003cd9a35" ma:fieldId="{25ab60d4-d767-44fa-8f19-029305834a0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b1f7cdd549a8454fb97376e5c37040fc" ma:index="16" ma:taxonomy="true" ma:internalName="b1f7cdd549a8454fb97376e5c37040fc" ma:taxonomyFieldName="DocumentType" ma:displayName="Document Type" ma:readOnly="false" ma:default="" ma:fieldId="{b1f7cdd5-49a8-454f-b973-76e5c37040fc}"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a89261ff8244daf864530e8b7973c66" ma:index="18" ma:taxonomy="true" ma:internalName="ja89261ff8244daf864530e8b7973c66" ma:taxonomyFieldName="ConfidentialityLevel" ma:displayName="Confidentiality Level" ma:readOnly="false" ma:default="15;#Regular|07f1e362-856b-423d-bea6-a14079762141" ma:fieldId="{3a89261f-f824-4daf-8645-30e8b7973c66}"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ldf822d702374457a75b2650fd19956f" ma:index="20" nillable="true" ma:taxonomy="true" ma:internalName="ldf822d702374457a75b2650fd19956f" ma:taxonomyFieldName="EsmaAudience" ma:displayName="Audience" ma:default="" ma:fieldId="{5df822d7-0237-4457-a75b-2650fd19956f}"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nd85f6bbfc564f3fa1f39842b48e85f3" ma:index="23" nillable="true" ma:taxonomy="true" ma:internalName="nd85f6bbfc564f3fa1f39842b48e85f3" ma:taxonomyFieldName="TeamTopic" ma:displayName="Team Topic" ma:readOnly="false" ma:default="125;#Other Work|8e467236-62cb-4258-b359-81b56229d8cf" ma:fieldId="{7d85f6bb-fc56-4f3f-a1f3-9842b48e85f3}" ma:taxonomyMulti="true" ma:sspId="0ac1876e-32bf-4158-94e7-cdbcd053a335" ma:termSetId="850502f9-36b0-41fb-966b-d9fcd2f00296"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1d591544-b9e9-463f-8aea-85c90ce7dc60}" ma:internalName="TaxCatchAllLabel" ma:readOnly="true" ma:showField="CatchAllDataLabel" ma:web="3b122f42-3680-41b8-abdb-8f838d66b94f">
      <xsd:complexType>
        <xsd:complexContent>
          <xsd:extension base="dms:MultiChoiceLookup">
            <xsd:sequence>
              <xsd:element name="Value" type="dms:Lookup" maxOccurs="unbounded" minOccurs="0" nillable="true"/>
            </xsd:sequence>
          </xsd:extension>
        </xsd:complexContent>
      </xsd:complexType>
    </xsd:element>
    <xsd:element name="f926fd9ddf4e43dc9baf43a17188d082" ma:index="25" nillable="true" ma:taxonomy="true" ma:internalName="f926fd9ddf4e43dc9baf43a17188d082" ma:taxonomyFieldName="Topic" ma:displayName="Topic" ma:default="" ma:fieldId="{f926fd9d-df4e-43dc-9baf-43a17188d082}" ma:sspId="0ac1876e-32bf-4158-94e7-cdbcd053a335" ma:termSetId="1204d773-6b06-4d02-bc01-ea5b5466ecf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3b122f42-3680-41b8-abdb-8f838d66b94f">ESMA35-42-1086</_dlc_DocId>
    <_dlc_DocIdUrl xmlns="3b122f42-3680-41b8-abdb-8f838d66b94f">
      <Url>https://sherpa.esma.europa.eu/sites/INIIPI/_layouts/15/DocIdRedir.aspx?ID=ESMA35-42-1086</Url>
      <Description>ESMA35-42-1086</Description>
    </_dlc_DocIdUrl>
    <TaxCatchAll xmlns="3b122f42-3680-41b8-abdb-8f838d66b94f">
      <Value>125</Value>
      <Value>62</Value>
      <Value>30</Value>
      <Value>309</Value>
      <Value>49</Value>
    </TaxCatchAll>
    <MeetingDate xmlns="3b122f42-3680-41b8-abdb-8f838d66b94f">2020-11-04T23:00:00+00:00</MeetingDate>
    <Year xmlns="3b122f42-3680-41b8-abdb-8f838d66b94f">2020</Year>
    <f926fd9ddf4e43dc9baf43a17188d082 xmlns="3b122f42-3680-41b8-abdb-8f838d66b94f">
      <Terms xmlns="http://schemas.microsoft.com/office/infopath/2007/PartnerControls">
        <TermInfo xmlns="http://schemas.microsoft.com/office/infopath/2007/PartnerControls">
          <TermName xmlns="http://schemas.microsoft.com/office/infopath/2007/PartnerControls">Sustainable Finance</TermName>
          <TermId xmlns="http://schemas.microsoft.com/office/infopath/2007/PartnerControls">2b3d71a9-35a3-4434-9d75-bd09a37940bf</TermId>
        </TermInfo>
      </Terms>
    </f926fd9ddf4e43dc9baf43a17188d082>
    <ldf822d702374457a75b2650fd19956f xmlns="3b122f42-3680-41b8-abdb-8f838d66b94f">
      <Terms xmlns="http://schemas.microsoft.com/office/infopath/2007/PartnerControls"/>
    </ldf822d702374457a75b2650fd19956f>
    <IconOverlay xmlns="http://schemas.microsoft.com/sharepoint/v4" xsi:nil="true"/>
    <b1f7cdd549a8454fb97376e5c37040fc xmlns="3b122f42-3680-41b8-abdb-8f838d66b94f">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b1f7cdd549a8454fb97376e5c37040fc>
    <i5ab60d4d76744fa8f19029305834a0f xmlns="3b122f42-3680-41b8-abdb-8f838d66b94f">
      <Terms xmlns="http://schemas.microsoft.com/office/infopath/2007/PartnerControls">
        <TermInfo xmlns="http://schemas.microsoft.com/office/infopath/2007/PartnerControls">
          <TermName xmlns="http://schemas.microsoft.com/office/infopath/2007/PartnerControls">Investor Protection and Intermediaries</TermName>
          <TermId xmlns="http://schemas.microsoft.com/office/infopath/2007/PartnerControls">98c55de3-414a-4dc7-97ca-58b003cd9a35</TermId>
        </TermInfo>
      </Terms>
    </i5ab60d4d76744fa8f19029305834a0f>
    <ja89261ff8244daf864530e8b7973c66 xmlns="3b122f42-3680-41b8-abdb-8f838d66b94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a89261ff8244daf864530e8b7973c66>
    <nd85f6bbfc564f3fa1f39842b48e85f3 xmlns="3b122f42-3680-41b8-abdb-8f838d66b94f">
      <Terms xmlns="http://schemas.microsoft.com/office/infopath/2007/PartnerControls">
        <TermInfo xmlns="http://schemas.microsoft.com/office/infopath/2007/PartnerControls">
          <TermName xmlns="http://schemas.microsoft.com/office/infopath/2007/PartnerControls">Other Work</TermName>
          <TermId xmlns="http://schemas.microsoft.com/office/infopath/2007/PartnerControls">8e467236-62cb-4258-b359-81b56229d8cf</TermId>
        </TermInfo>
      </Terms>
    </nd85f6bbfc564f3fa1f39842b48e85f3>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3AC4E-1B9E-4EAF-B866-EE07015F1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22f42-3680-41b8-abdb-8f838d66b94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3.xml><?xml version="1.0" encoding="utf-8"?>
<ds:datastoreItem xmlns:ds="http://schemas.openxmlformats.org/officeDocument/2006/customXml" ds:itemID="{A1823ED9-4C25-4A0F-AA35-0F2F3F3B90A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b122f42-3680-41b8-abdb-8f838d66b94f"/>
    <ds:schemaRef ds:uri="http://purl.org/dc/elements/1.1/"/>
    <ds:schemaRef ds:uri="http://schemas.microsoft.com/office/2006/metadata/properties"/>
    <ds:schemaRef ds:uri="http://schemas.microsoft.com/sharepoint/v4"/>
    <ds:schemaRef ds:uri="http://www.w3.org/XML/1998/namespace"/>
    <ds:schemaRef ds:uri="http://purl.org/dc/dcmitype/"/>
  </ds:schemaRefs>
</ds:datastoreItem>
</file>

<file path=customXml/itemProps4.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5.xml><?xml version="1.0" encoding="utf-8"?>
<ds:datastoreItem xmlns:ds="http://schemas.openxmlformats.org/officeDocument/2006/customXml" ds:itemID="{5160BE9E-9E89-448C-B3A8-DB02B69F03AC}">
  <ds:schemaRefs>
    <ds:schemaRef ds:uri="http://schemas.openxmlformats.org/officeDocument/2006/bibliography"/>
  </ds:schemaRefs>
</ds:datastoreItem>
</file>

<file path=customXml/itemProps6.xml><?xml version="1.0" encoding="utf-8"?>
<ds:datastoreItem xmlns:ds="http://schemas.openxmlformats.org/officeDocument/2006/customXml" ds:itemID="{091C2183-3923-4A50-AF26-D80321567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21003</Words>
  <Characters>108155</Characters>
  <Application>Microsoft Office Word</Application>
  <DocSecurity>8</DocSecurity>
  <Lines>901</Lines>
  <Paragraphs>257</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128901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Anne MCCARTHY</cp:lastModifiedBy>
  <cp:revision>2</cp:revision>
  <cp:lastPrinted>2015-02-18T11:01:00Z</cp:lastPrinted>
  <dcterms:created xsi:type="dcterms:W3CDTF">2021-06-29T16:19:00Z</dcterms:created>
  <dcterms:modified xsi:type="dcterms:W3CDTF">2021-06-29T16:19:00Z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0x0101004C1F842F26F0BF46AAFF4A33AAF0FAB9020E00058A08C15AC1864D8EE7048745AAA068</vt:lpwstr>
  </property>
  <property fmtid="{D5CDD505-2E9C-101B-9397-08002B2CF9AE}" pid="3" name="EsmaAudience">
    <vt:lpwstr/>
  </property>
  <property fmtid="{D5CDD505-2E9C-101B-9397-08002B2CF9AE}" pid="4" name="TeamName">
    <vt:lpwstr>30;#Investor Protection and Intermediaries|98c55de3-414a-4dc7-97ca-58b003cd9a35</vt:lpwstr>
  </property>
  <property fmtid="{D5CDD505-2E9C-101B-9397-08002B2CF9AE}" pid="5" name="Topic">
    <vt:lpwstr>309;#Sustainable Finance|2b3d71a9-35a3-4434-9d75-bd09a37940bf</vt:lpwstr>
  </property>
  <property fmtid="{D5CDD505-2E9C-101B-9397-08002B2CF9AE}" pid="6" name="SubTopic">
    <vt:lpwstr>211;#ESAs|fa72426c-f4c1-4de0-83a0-2806812bd296</vt:lpwstr>
  </property>
  <property fmtid="{D5CDD505-2E9C-101B-9397-08002B2CF9AE}" pid="7" name="DocumentType">
    <vt:lpwstr>49;#Questionnaire|a849d609-a31c-415e-a1a8-503bcc16b083</vt:lpwstr>
  </property>
  <property fmtid="{D5CDD505-2E9C-101B-9397-08002B2CF9AE}" pid="8" name="ConfidentialityLevel">
    <vt:lpwstr>62;#Public|a0c619ff-bd46-48f0-b213-6b7c03fe156d</vt:lpwstr>
  </property>
  <property fmtid="{D5CDD505-2E9C-101B-9397-08002B2CF9AE}" pid="9" name="_dlc_DocIdItemGuid">
    <vt:lpwstr>8fb716ed-9d55-4b9a-8e94-42b55d51da19</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InternalStakeholders">
    <vt:lpwstr/>
  </property>
  <property fmtid="{D5CDD505-2E9C-101B-9397-08002B2CF9AE}" pid="17" name="ExternalStakeholders">
    <vt:lpwstr/>
  </property>
  <property fmtid="{D5CDD505-2E9C-101B-9397-08002B2CF9AE}" pid="18" name="StatusOfLegislation">
    <vt:lpwstr/>
  </property>
  <property fmtid="{D5CDD505-2E9C-101B-9397-08002B2CF9AE}" pid="19" name="TeamTopic">
    <vt:lpwstr>125;#Other Work|8e467236-62cb-4258-b359-81b56229d8cf</vt:lpwstr>
  </property>
  <property fmtid="{D5CDD505-2E9C-101B-9397-08002B2CF9AE}" pid="20" name="MSIP_Label_0a8e637f-7bb7-4040-a22f-4e3924ef3558_Enabled">
    <vt:lpwstr>true</vt:lpwstr>
  </property>
  <property fmtid="{D5CDD505-2E9C-101B-9397-08002B2CF9AE}" pid="21" name="MSIP_Label_0a8e637f-7bb7-4040-a22f-4e3924ef3558_SetDate">
    <vt:lpwstr>2021-06-29T16:18:58Z</vt:lpwstr>
  </property>
  <property fmtid="{D5CDD505-2E9C-101B-9397-08002B2CF9AE}" pid="22" name="MSIP_Label_0a8e637f-7bb7-4040-a22f-4e3924ef3558_Method">
    <vt:lpwstr>Privileged</vt:lpwstr>
  </property>
  <property fmtid="{D5CDD505-2E9C-101B-9397-08002B2CF9AE}" pid="23" name="MSIP_Label_0a8e637f-7bb7-4040-a22f-4e3924ef3558_Name">
    <vt:lpwstr>CLAINTERN</vt:lpwstr>
  </property>
  <property fmtid="{D5CDD505-2E9C-101B-9397-08002B2CF9AE}" pid="24" name="MSIP_Label_0a8e637f-7bb7-4040-a22f-4e3924ef3558_SiteId">
    <vt:lpwstr>e0fd434d-ba64-497b-90d2-859c472e1a92</vt:lpwstr>
  </property>
  <property fmtid="{D5CDD505-2E9C-101B-9397-08002B2CF9AE}" pid="25" name="MSIP_Label_0a8e637f-7bb7-4040-a22f-4e3924ef3558_ActionId">
    <vt:lpwstr>31b27314-37e7-454c-8245-94d485b5cfba</vt:lpwstr>
  </property>
  <property fmtid="{D5CDD505-2E9C-101B-9397-08002B2CF9AE}" pid="26" name="MSIP_Label_0a8e637f-7bb7-4040-a22f-4e3924ef3558_ContentBits">
    <vt:lpwstr>2</vt:lpwstr>
  </property>
  <property fmtid="{D5CDD505-2E9C-101B-9397-08002B2CF9AE}" pid="27" name="Classification">
    <vt:lpwstr>INTERNAL</vt:lpwstr>
  </property>
</Properties>
</file>