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F10D35" w14:paraId="3A1CEF39" w14:textId="77777777" w:rsidTr="00315E96">
        <w:trPr>
          <w:trHeight w:val="284"/>
        </w:trPr>
        <w:tc>
          <w:tcPr>
            <w:tcW w:w="9412" w:type="dxa"/>
          </w:tcPr>
          <w:p w14:paraId="4CE64CCB" w14:textId="13B365A4" w:rsidR="00C2094B" w:rsidRPr="00F10D35" w:rsidRDefault="0031127F" w:rsidP="00AF38AF">
            <w:pPr>
              <w:pStyle w:val="00bDBInfo"/>
              <w:rPr>
                <w:rFonts w:cs="Arial"/>
              </w:rPr>
            </w:pPr>
            <w:r>
              <w:rPr>
                <w:rFonts w:cs="Arial"/>
              </w:rPr>
              <w:t>29</w:t>
            </w:r>
            <w:r w:rsidR="00FE40D3" w:rsidRPr="00FE40D3">
              <w:rPr>
                <w:rFonts w:cs="Arial"/>
              </w:rPr>
              <w:t xml:space="preserve"> </w:t>
            </w:r>
            <w:r>
              <w:rPr>
                <w:rFonts w:cs="Arial"/>
              </w:rPr>
              <w:t>March</w:t>
            </w:r>
            <w:r w:rsidR="002C27F9" w:rsidRPr="00FE40D3">
              <w:rPr>
                <w:rFonts w:cs="Arial"/>
              </w:rPr>
              <w:t xml:space="preserve"> 202</w:t>
            </w:r>
            <w:r w:rsidR="00F87631">
              <w:rPr>
                <w:rFonts w:cs="Arial"/>
              </w:rPr>
              <w:t>1</w:t>
            </w:r>
          </w:p>
        </w:tc>
      </w:tr>
    </w:tbl>
    <w:p w14:paraId="031231A1" w14:textId="68FE125F" w:rsidR="00FD7A8D" w:rsidRPr="00616B9B" w:rsidRDefault="00FD7A8D" w:rsidP="00FD7A8D">
      <w:pPr>
        <w:rPr>
          <w:rFonts w:cs="Arial"/>
          <w:vanish/>
        </w:rPr>
      </w:pPr>
    </w:p>
    <w:tbl>
      <w:tblPr>
        <w:tblpPr w:leftFromText="8505" w:vertAnchor="page" w:horzAnchor="margin" w:tblpY="3556"/>
        <w:tblW w:w="9646" w:type="dxa"/>
        <w:tblLayout w:type="fixed"/>
        <w:tblCellMar>
          <w:left w:w="0" w:type="dxa"/>
          <w:right w:w="0" w:type="dxa"/>
        </w:tblCellMar>
        <w:tblLook w:val="01E0" w:firstRow="1" w:lastRow="1" w:firstColumn="1" w:lastColumn="1" w:noHBand="0" w:noVBand="0"/>
      </w:tblPr>
      <w:tblGrid>
        <w:gridCol w:w="9646"/>
      </w:tblGrid>
      <w:tr w:rsidR="00146A6C" w:rsidRPr="00616B9B" w14:paraId="117904A3" w14:textId="77777777" w:rsidTr="00146A6C">
        <w:trPr>
          <w:trHeight w:hRule="exact" w:val="2137"/>
        </w:trPr>
        <w:tc>
          <w:tcPr>
            <w:tcW w:w="9646" w:type="dxa"/>
            <w:vAlign w:val="bottom"/>
          </w:tcPr>
          <w:p w14:paraId="4956832E" w14:textId="364B7A29" w:rsidR="00146A6C" w:rsidRPr="00201005" w:rsidRDefault="00146A6C" w:rsidP="00146A6C">
            <w:pPr>
              <w:pStyle w:val="01aDBTitle"/>
              <w:jc w:val="left"/>
              <w:rPr>
                <w:szCs w:val="40"/>
              </w:rPr>
            </w:pPr>
            <w:r w:rsidRPr="00201005">
              <w:rPr>
                <w:rFonts w:cs="Arial"/>
                <w:szCs w:val="40"/>
              </w:rPr>
              <w:t>Response form for the Consultation Paper on</w:t>
            </w:r>
            <w:r w:rsidRPr="00201005">
              <w:rPr>
                <w:szCs w:val="40"/>
              </w:rPr>
              <w:t xml:space="preserve"> </w:t>
            </w:r>
            <w:r w:rsidR="00DC1B3F">
              <w:rPr>
                <w:szCs w:val="40"/>
              </w:rPr>
              <w:t xml:space="preserve">the </w:t>
            </w:r>
            <w:r w:rsidR="00DC1B3F" w:rsidRPr="00DC1B3F">
              <w:rPr>
                <w:szCs w:val="40"/>
              </w:rPr>
              <w:t>EU Money Market Fund Regulation – legislative review</w:t>
            </w:r>
          </w:p>
          <w:p w14:paraId="16F35E65" w14:textId="77777777" w:rsidR="00146A6C" w:rsidRPr="00146A6C" w:rsidRDefault="00146A6C" w:rsidP="00146A6C">
            <w:pPr>
              <w:pStyle w:val="01aDBTitle"/>
              <w:jc w:val="left"/>
              <w:rPr>
                <w:rFonts w:cs="Arial"/>
                <w:sz w:val="32"/>
                <w:szCs w:val="32"/>
              </w:rPr>
            </w:pPr>
          </w:p>
        </w:tc>
      </w:tr>
      <w:tr w:rsidR="00146A6C" w:rsidRPr="00616B9B" w14:paraId="28EA853F" w14:textId="77777777" w:rsidTr="00146A6C">
        <w:trPr>
          <w:trHeight w:hRule="exact" w:val="1237"/>
        </w:trPr>
        <w:tc>
          <w:tcPr>
            <w:tcW w:w="9646" w:type="dxa"/>
            <w:tcMar>
              <w:top w:w="142" w:type="dxa"/>
            </w:tcMar>
          </w:tcPr>
          <w:p w14:paraId="6AB3A0AD" w14:textId="77777777" w:rsidR="00146A6C" w:rsidRDefault="00146A6C" w:rsidP="00146A6C">
            <w:pPr>
              <w:pStyle w:val="01bDBSubtitle"/>
              <w:rPr>
                <w:rFonts w:ascii="Arial" w:hAnsi="Arial" w:cs="Arial"/>
                <w:sz w:val="32"/>
              </w:rPr>
            </w:pPr>
            <w:r w:rsidRPr="009A053D">
              <w:rPr>
                <w:rFonts w:ascii="Arial" w:hAnsi="Arial" w:cs="Arial"/>
                <w:sz w:val="32"/>
              </w:rPr>
              <w:t xml:space="preserve"> </w:t>
            </w:r>
          </w:p>
          <w:p w14:paraId="08280749" w14:textId="77777777" w:rsidR="00146A6C" w:rsidRDefault="00146A6C" w:rsidP="00146A6C"/>
          <w:p w14:paraId="02AC275B" w14:textId="77777777" w:rsidR="00146A6C" w:rsidRDefault="00146A6C" w:rsidP="00146A6C">
            <w:pPr>
              <w:jc w:val="center"/>
            </w:pPr>
          </w:p>
          <w:p w14:paraId="216E8B81" w14:textId="77777777" w:rsidR="00146A6C" w:rsidRPr="002C27F9" w:rsidRDefault="00146A6C" w:rsidP="00146A6C">
            <w:pPr>
              <w:jc w:val="right"/>
            </w:pPr>
          </w:p>
        </w:tc>
      </w:tr>
    </w:tbl>
    <w:p w14:paraId="156768A1"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2EF98C17" w14:textId="77777777" w:rsidTr="00315E96">
        <w:trPr>
          <w:trHeight w:hRule="exact" w:val="964"/>
        </w:trPr>
        <w:tc>
          <w:tcPr>
            <w:tcW w:w="2325" w:type="dxa"/>
          </w:tcPr>
          <w:p w14:paraId="3B25AA0D" w14:textId="0F392077" w:rsidR="00620D7C" w:rsidRPr="004E49B0" w:rsidRDefault="00620D7C" w:rsidP="00FE40D3">
            <w:pPr>
              <w:pStyle w:val="02Date"/>
              <w:jc w:val="right"/>
              <w:rPr>
                <w:rFonts w:cs="Arial"/>
              </w:rPr>
            </w:pPr>
            <w:r w:rsidRPr="00F10D35">
              <w:rPr>
                <w:rFonts w:cs="Arial"/>
              </w:rPr>
              <w:lastRenderedPageBreak/>
              <w:t xml:space="preserve">Date: </w:t>
            </w:r>
            <w:r w:rsidR="0031127F">
              <w:rPr>
                <w:rFonts w:cs="Arial"/>
              </w:rPr>
              <w:t>29</w:t>
            </w:r>
            <w:r w:rsidR="00FE40D3" w:rsidRPr="00FE40D3">
              <w:rPr>
                <w:rFonts w:cs="Arial"/>
              </w:rPr>
              <w:t xml:space="preserve"> </w:t>
            </w:r>
            <w:r w:rsidR="0031127F">
              <w:rPr>
                <w:rFonts w:cs="Arial"/>
              </w:rPr>
              <w:t>March</w:t>
            </w:r>
            <w:r w:rsidR="00F87631">
              <w:rPr>
                <w:rFonts w:cs="Arial"/>
              </w:rPr>
              <w:t xml:space="preserve"> </w:t>
            </w:r>
            <w:r w:rsidR="005738DE" w:rsidRPr="00FE40D3">
              <w:rPr>
                <w:rFonts w:cs="Arial"/>
              </w:rPr>
              <w:t>20</w:t>
            </w:r>
            <w:r w:rsidR="002C27F9" w:rsidRPr="00FE40D3">
              <w:rPr>
                <w:rFonts w:cs="Arial"/>
              </w:rPr>
              <w:t>2</w:t>
            </w:r>
            <w:r w:rsidR="00F87631">
              <w:rPr>
                <w:rFonts w:cs="Arial"/>
              </w:rPr>
              <w:t>1</w:t>
            </w:r>
          </w:p>
        </w:tc>
      </w:tr>
    </w:tbl>
    <w:p w14:paraId="3B583CC6" w14:textId="72105B2D" w:rsidR="00FE40D3" w:rsidRPr="00FE40D3" w:rsidRDefault="00FE40D3" w:rsidP="00FE40D3">
      <w:pPr>
        <w:numPr>
          <w:ilvl w:val="1"/>
          <w:numId w:val="0"/>
        </w:numPr>
        <w:spacing w:after="240"/>
        <w:jc w:val="both"/>
        <w:rPr>
          <w:b/>
          <w:sz w:val="28"/>
          <w:highlight w:val="yellow"/>
          <w:lang w:eastAsia="en-US"/>
        </w:rPr>
      </w:pPr>
      <w:r w:rsidRPr="00FE40D3">
        <w:rPr>
          <w:b/>
          <w:sz w:val="28"/>
          <w:lang w:eastAsia="en-US"/>
        </w:rPr>
        <w:t>Responding to this paper</w:t>
      </w:r>
    </w:p>
    <w:p w14:paraId="432053DE" w14:textId="3B77BB49"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ESMA invites responses to the questions set out throughout this Consultation Paper and summarised in Annex </w:t>
      </w:r>
      <w:r w:rsidR="00DC1B3F">
        <w:rPr>
          <w:sz w:val="22"/>
          <w:szCs w:val="20"/>
          <w:lang w:eastAsia="en-US"/>
        </w:rPr>
        <w:t>3</w:t>
      </w:r>
      <w:r w:rsidRPr="00FE40D3">
        <w:rPr>
          <w:sz w:val="22"/>
          <w:szCs w:val="20"/>
          <w:lang w:eastAsia="en-US"/>
        </w:rPr>
        <w:t>. Responses are most helpful if they:</w:t>
      </w:r>
    </w:p>
    <w:p w14:paraId="4A3E409E"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respond to the question stated and indicate the specific question to which they relate;</w:t>
      </w:r>
    </w:p>
    <w:p w14:paraId="5141C67D"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contain a clear rationale; and</w:t>
      </w:r>
    </w:p>
    <w:p w14:paraId="63688220"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describe any alternatives ESMA should consider.</w:t>
      </w:r>
    </w:p>
    <w:p w14:paraId="3B54E1DD" w14:textId="064AB0E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ESMA will consider all comments received by </w:t>
      </w:r>
      <w:r w:rsidR="00DC1B3F">
        <w:rPr>
          <w:b/>
        </w:rPr>
        <w:t>Wednesday</w:t>
      </w:r>
      <w:r w:rsidR="00F87631" w:rsidRPr="002A7128">
        <w:rPr>
          <w:b/>
        </w:rPr>
        <w:t xml:space="preserve"> </w:t>
      </w:r>
      <w:r w:rsidR="00DC1B3F">
        <w:rPr>
          <w:b/>
        </w:rPr>
        <w:t>30</w:t>
      </w:r>
      <w:r w:rsidR="00DC1B3F" w:rsidRPr="00DC1B3F">
        <w:rPr>
          <w:b/>
          <w:vertAlign w:val="superscript"/>
        </w:rPr>
        <w:t>th</w:t>
      </w:r>
      <w:r w:rsidR="00DC1B3F">
        <w:rPr>
          <w:b/>
        </w:rPr>
        <w:t xml:space="preserve"> June</w:t>
      </w:r>
      <w:r w:rsidR="00F87631" w:rsidRPr="002A7128">
        <w:rPr>
          <w:b/>
        </w:rPr>
        <w:t xml:space="preserve"> 2021.</w:t>
      </w:r>
    </w:p>
    <w:p w14:paraId="4269A5C4" w14:textId="77777777" w:rsidR="00FE40D3" w:rsidRPr="00FE40D3" w:rsidRDefault="00FE40D3" w:rsidP="00FE40D3">
      <w:pPr>
        <w:spacing w:after="240" w:line="276" w:lineRule="auto"/>
        <w:jc w:val="both"/>
        <w:rPr>
          <w:sz w:val="22"/>
          <w:szCs w:val="20"/>
          <w:lang w:eastAsia="en-US"/>
        </w:rPr>
      </w:pPr>
      <w:bookmarkStart w:id="0" w:name="_Hlk65069037"/>
      <w:r w:rsidRPr="00FE40D3">
        <w:rPr>
          <w:sz w:val="22"/>
          <w:szCs w:val="20"/>
          <w:lang w:eastAsia="en-US"/>
        </w:rPr>
        <w:t xml:space="preserve">All contributions should be submitted online at </w:t>
      </w:r>
      <w:hyperlink r:id="rId16" w:history="1">
        <w:r w:rsidRPr="00FE40D3">
          <w:rPr>
            <w:color w:val="0563C1"/>
            <w:sz w:val="22"/>
            <w:szCs w:val="20"/>
            <w:u w:val="single"/>
            <w:lang w:eastAsia="en-US"/>
          </w:rPr>
          <w:t>www.esma.europa.eu</w:t>
        </w:r>
      </w:hyperlink>
      <w:r w:rsidRPr="00FE40D3">
        <w:rPr>
          <w:sz w:val="22"/>
          <w:szCs w:val="20"/>
          <w:lang w:eastAsia="en-US"/>
        </w:rPr>
        <w:t xml:space="preserve"> under the heading ‘Your input - Consultations’. </w:t>
      </w:r>
    </w:p>
    <w:bookmarkEnd w:id="0"/>
    <w:p w14:paraId="6A0918CE" w14:textId="77777777" w:rsidR="00FE40D3" w:rsidRPr="00241178" w:rsidRDefault="00FE40D3" w:rsidP="00FE40D3">
      <w:pPr>
        <w:spacing w:after="120" w:line="276" w:lineRule="auto"/>
        <w:jc w:val="both"/>
        <w:rPr>
          <w:b/>
          <w:sz w:val="22"/>
          <w:szCs w:val="20"/>
          <w:lang w:eastAsia="en-US"/>
        </w:rPr>
      </w:pPr>
      <w:r w:rsidRPr="00241178">
        <w:rPr>
          <w:b/>
          <w:sz w:val="22"/>
          <w:szCs w:val="20"/>
          <w:lang w:eastAsia="en-US"/>
        </w:rPr>
        <w:t>Instructions</w:t>
      </w:r>
    </w:p>
    <w:p w14:paraId="7A099769" w14:textId="77777777" w:rsidR="00FE40D3" w:rsidRPr="00241178" w:rsidRDefault="00FE40D3" w:rsidP="00FE40D3">
      <w:pPr>
        <w:spacing w:after="240" w:line="276" w:lineRule="auto"/>
        <w:jc w:val="both"/>
        <w:rPr>
          <w:sz w:val="22"/>
          <w:szCs w:val="20"/>
          <w:lang w:eastAsia="en-US"/>
        </w:rPr>
      </w:pPr>
      <w:r w:rsidRPr="00241178">
        <w:rPr>
          <w:sz w:val="22"/>
          <w:szCs w:val="20"/>
          <w:lang w:eastAsia="en-US"/>
        </w:rPr>
        <w:t xml:space="preserve">In order to facilitate analysis of responses to the Consultation Paper, respondents are requested to follow the steps below when preparing and submitting their response: </w:t>
      </w:r>
    </w:p>
    <w:p w14:paraId="5D028BA8" w14:textId="01FEDD0D" w:rsidR="00FE40D3" w:rsidRPr="00241178" w:rsidRDefault="00FE40D3" w:rsidP="00FE40D3">
      <w:pPr>
        <w:numPr>
          <w:ilvl w:val="0"/>
          <w:numId w:val="47"/>
        </w:numPr>
        <w:spacing w:after="240" w:line="276" w:lineRule="auto"/>
        <w:jc w:val="both"/>
        <w:rPr>
          <w:sz w:val="22"/>
          <w:szCs w:val="22"/>
          <w:lang w:eastAsia="en-GB"/>
        </w:rPr>
      </w:pPr>
      <w:bookmarkStart w:id="1" w:name="_Hlk65154841"/>
      <w:r w:rsidRPr="00241178">
        <w:rPr>
          <w:sz w:val="22"/>
          <w:szCs w:val="22"/>
          <w:lang w:eastAsia="en-GB"/>
        </w:rPr>
        <w:t>Insert your responses to the consultation questions in th</w:t>
      </w:r>
      <w:r w:rsidR="006D0D0A">
        <w:rPr>
          <w:sz w:val="22"/>
          <w:szCs w:val="22"/>
          <w:lang w:eastAsia="en-GB"/>
        </w:rPr>
        <w:t>is</w:t>
      </w:r>
      <w:r w:rsidRPr="00241178">
        <w:rPr>
          <w:sz w:val="22"/>
          <w:szCs w:val="22"/>
          <w:lang w:eastAsia="en-GB"/>
        </w:rPr>
        <w:t xml:space="preserve"> form</w:t>
      </w:r>
      <w:r w:rsidR="006D0D0A">
        <w:rPr>
          <w:sz w:val="22"/>
          <w:szCs w:val="22"/>
          <w:lang w:eastAsia="en-GB"/>
        </w:rPr>
        <w:t>.</w:t>
      </w:r>
    </w:p>
    <w:bookmarkEnd w:id="1"/>
    <w:p w14:paraId="45B49741" w14:textId="0FB476EF"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Please do not remove tags of the type &lt;ESMA_QUESTION_</w:t>
      </w:r>
      <w:r w:rsidR="00DC1B3F">
        <w:rPr>
          <w:sz w:val="22"/>
          <w:szCs w:val="22"/>
          <w:lang w:eastAsia="en-GB"/>
        </w:rPr>
        <w:t>MMFR</w:t>
      </w:r>
      <w:r w:rsidRPr="00241178">
        <w:rPr>
          <w:sz w:val="22"/>
          <w:szCs w:val="22"/>
          <w:lang w:eastAsia="en-GB"/>
        </w:rPr>
        <w:t xml:space="preserve">_1&gt;. Your response to each question has to be framed by the two tags corresponding to the question. </w:t>
      </w:r>
    </w:p>
    <w:p w14:paraId="3C1B6FAE" w14:textId="77777777"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If you do not wish to respond to a given question, please do not delete it but simply leave the text “TYPE YOUR TEXT HERE” between the tags.</w:t>
      </w:r>
    </w:p>
    <w:p w14:paraId="0398429A" w14:textId="51B65C69"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When you have drafted your response, name your response form according to the following convention: ESMA_</w:t>
      </w:r>
      <w:r w:rsidR="00DC1B3F">
        <w:rPr>
          <w:sz w:val="22"/>
          <w:szCs w:val="22"/>
          <w:lang w:eastAsia="en-GB"/>
        </w:rPr>
        <w:t>MMFR</w:t>
      </w:r>
      <w:r w:rsidRPr="00241178">
        <w:rPr>
          <w:sz w:val="22"/>
          <w:szCs w:val="22"/>
          <w:lang w:eastAsia="en-GB"/>
        </w:rPr>
        <w:t>_nameofrespondent_RESPONSEFORM. For example, for a respondent named ABCD, the response form would be entitled ESMA_</w:t>
      </w:r>
      <w:r w:rsidR="00DC1B3F">
        <w:rPr>
          <w:sz w:val="22"/>
          <w:szCs w:val="22"/>
          <w:lang w:eastAsia="en-GB"/>
        </w:rPr>
        <w:t>MMFR</w:t>
      </w:r>
      <w:r w:rsidRPr="00241178">
        <w:rPr>
          <w:sz w:val="22"/>
          <w:szCs w:val="22"/>
          <w:lang w:eastAsia="en-GB"/>
        </w:rPr>
        <w:t>_ABCD_RESPONSEFORM.</w:t>
      </w:r>
    </w:p>
    <w:p w14:paraId="033FC000" w14:textId="6DB58D5C"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Upload the form containing your responses, in Word format, to ESMA’s website (</w:t>
      </w:r>
      <w:hyperlink r:id="rId17" w:history="1">
        <w:r w:rsidRPr="00241178">
          <w:rPr>
            <w:color w:val="0563C1"/>
            <w:sz w:val="22"/>
            <w:szCs w:val="22"/>
            <w:u w:val="single"/>
            <w:lang w:eastAsia="en-GB"/>
          </w:rPr>
          <w:t>www.esma.europa.eu</w:t>
        </w:r>
      </w:hyperlink>
      <w:r w:rsidRPr="00241178">
        <w:rPr>
          <w:sz w:val="22"/>
          <w:szCs w:val="22"/>
          <w:lang w:eastAsia="en-GB"/>
        </w:rPr>
        <w:t xml:space="preserve"> under the heading ‘Your input – Open consultations’ → ‘</w:t>
      </w:r>
      <w:r w:rsidR="00DC1B3F" w:rsidRPr="00DC1B3F">
        <w:rPr>
          <w:sz w:val="22"/>
          <w:szCs w:val="22"/>
          <w:lang w:eastAsia="en-GB"/>
        </w:rPr>
        <w:t>Consultation on EU Money Market Fund Regulation – legislative review</w:t>
      </w:r>
      <w:r w:rsidR="00DC1B3F">
        <w:rPr>
          <w:sz w:val="22"/>
          <w:szCs w:val="22"/>
          <w:lang w:eastAsia="en-GB"/>
        </w:rPr>
        <w:t>’</w:t>
      </w:r>
      <w:r w:rsidRPr="00241178">
        <w:rPr>
          <w:sz w:val="22"/>
          <w:szCs w:val="22"/>
          <w:lang w:eastAsia="en-GB"/>
        </w:rPr>
        <w:t>).</w:t>
      </w:r>
    </w:p>
    <w:p w14:paraId="3FB5805D" w14:textId="77777777" w:rsidR="00FE40D3" w:rsidRPr="00FE40D3" w:rsidRDefault="00FE40D3" w:rsidP="00FE40D3">
      <w:pPr>
        <w:spacing w:after="120" w:line="264" w:lineRule="auto"/>
        <w:rPr>
          <w:b/>
          <w:sz w:val="22"/>
          <w:szCs w:val="20"/>
          <w:lang w:eastAsia="en-US"/>
        </w:rPr>
      </w:pPr>
      <w:r w:rsidRPr="00FE40D3">
        <w:rPr>
          <w:b/>
          <w:sz w:val="22"/>
          <w:szCs w:val="20"/>
          <w:lang w:eastAsia="en-US"/>
        </w:rPr>
        <w:br w:type="page"/>
      </w:r>
    </w:p>
    <w:p w14:paraId="310A4AC0" w14:textId="77777777" w:rsidR="00FE40D3" w:rsidRPr="00FE40D3" w:rsidRDefault="00FE40D3" w:rsidP="00FE40D3">
      <w:pPr>
        <w:keepNext/>
        <w:spacing w:after="120" w:line="276" w:lineRule="auto"/>
        <w:jc w:val="both"/>
        <w:rPr>
          <w:b/>
          <w:sz w:val="22"/>
          <w:szCs w:val="20"/>
          <w:lang w:eastAsia="en-US"/>
        </w:rPr>
      </w:pPr>
      <w:r w:rsidRPr="00FE40D3">
        <w:rPr>
          <w:b/>
          <w:sz w:val="22"/>
          <w:szCs w:val="20"/>
          <w:lang w:eastAsia="en-US"/>
        </w:rPr>
        <w:lastRenderedPageBreak/>
        <w:t>Publication of responses</w:t>
      </w:r>
    </w:p>
    <w:p w14:paraId="72E285DB"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All contributions received will be published following the close of the consultation, unless you request otherwise. </w:t>
      </w:r>
      <w:r w:rsidRPr="00FE40D3">
        <w:rPr>
          <w:sz w:val="22"/>
          <w:szCs w:val="20"/>
          <w:u w:val="single"/>
          <w:lang w:eastAsia="en-US"/>
        </w:rPr>
        <w:t>If you do not wish for your response to be publicly disclosed, please clearly indicate this by ticking the appropriate box on the website submission page</w:t>
      </w:r>
      <w:r w:rsidRPr="00FE40D3">
        <w:rPr>
          <w:sz w:val="22"/>
          <w:szCs w:val="20"/>
          <w:lang w:eastAsia="en-US"/>
        </w:rPr>
        <w:t>.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7362827"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Data protection</w:t>
      </w:r>
    </w:p>
    <w:p w14:paraId="73AF5B46"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Information on data protection can be found at </w:t>
      </w:r>
      <w:hyperlink r:id="rId18" w:history="1">
        <w:r w:rsidRPr="00FE40D3">
          <w:rPr>
            <w:color w:val="0563C1"/>
            <w:sz w:val="22"/>
            <w:szCs w:val="20"/>
            <w:u w:val="single"/>
            <w:lang w:eastAsia="en-US"/>
          </w:rPr>
          <w:t>www.esma.europa.eu</w:t>
        </w:r>
      </w:hyperlink>
      <w:r w:rsidRPr="00FE40D3">
        <w:rPr>
          <w:sz w:val="22"/>
          <w:szCs w:val="20"/>
          <w:lang w:eastAsia="en-US"/>
        </w:rPr>
        <w:t xml:space="preserve"> under the heading </w:t>
      </w:r>
      <w:r w:rsidRPr="00FE40D3">
        <w:rPr>
          <w:color w:val="0563C1"/>
          <w:sz w:val="22"/>
          <w:szCs w:val="20"/>
          <w:u w:val="single"/>
          <w:lang w:eastAsia="en-US"/>
        </w:rPr>
        <w:t>‘</w:t>
      </w:r>
      <w:hyperlink r:id="rId19" w:history="1">
        <w:r w:rsidRPr="00FE40D3">
          <w:rPr>
            <w:color w:val="0563C1"/>
            <w:sz w:val="22"/>
            <w:szCs w:val="20"/>
            <w:u w:val="single"/>
            <w:lang w:eastAsia="en-US"/>
          </w:rPr>
          <w:t>Data protection</w:t>
        </w:r>
      </w:hyperlink>
      <w:r w:rsidRPr="00FE40D3">
        <w:rPr>
          <w:color w:val="0563C1"/>
          <w:sz w:val="22"/>
          <w:szCs w:val="20"/>
          <w:u w:val="single"/>
          <w:lang w:eastAsia="en-US"/>
        </w:rPr>
        <w:t>’</w:t>
      </w:r>
      <w:r w:rsidRPr="00FE40D3">
        <w:rPr>
          <w:sz w:val="22"/>
          <w:szCs w:val="20"/>
          <w:lang w:eastAsia="en-US"/>
        </w:rPr>
        <w:t>.</w:t>
      </w:r>
    </w:p>
    <w:p w14:paraId="294D770E"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Who should read this paper?</w:t>
      </w:r>
    </w:p>
    <w:p w14:paraId="3FADC208" w14:textId="7BC4D991" w:rsidR="00332304" w:rsidRPr="001021EF" w:rsidRDefault="00976448" w:rsidP="00FE40D3">
      <w:pPr>
        <w:spacing w:after="240"/>
        <w:jc w:val="both"/>
        <w:rPr>
          <w:b/>
          <w:bCs/>
        </w:rPr>
      </w:pPr>
      <w:r>
        <w:rPr>
          <w:sz w:val="22"/>
          <w:szCs w:val="22"/>
        </w:rPr>
        <w:t xml:space="preserve">This document will be of interest to (i) MMF managers and their trade associations, as well as (ii) institutional and retail investors (and associations of such investors) investing in MMF. </w:t>
      </w:r>
      <w:r w:rsidR="00332304" w:rsidRPr="001021EF">
        <w:rPr>
          <w:b/>
          <w:bCs/>
        </w:rPr>
        <w:br w:type="page"/>
      </w:r>
    </w:p>
    <w:p w14:paraId="07F9766A" w14:textId="77777777" w:rsidR="00B327E9" w:rsidRPr="00AB6D88" w:rsidRDefault="00B327E9" w:rsidP="00B327E9">
      <w:pPr>
        <w:pStyle w:val="Heading1"/>
        <w:numPr>
          <w:ilvl w:val="0"/>
          <w:numId w:val="0"/>
        </w:numPr>
      </w:pPr>
      <w:r w:rsidRPr="00AB6D88">
        <w:lastRenderedPageBreak/>
        <w:t>General information about respondent</w:t>
      </w:r>
    </w:p>
    <w:p w14:paraId="08407B41"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02AAC332" w14:textId="77777777" w:rsidTr="00F136AD">
        <w:tc>
          <w:tcPr>
            <w:tcW w:w="3929" w:type="dxa"/>
            <w:shd w:val="clear" w:color="auto" w:fill="auto"/>
          </w:tcPr>
          <w:p w14:paraId="2CC52FAD" w14:textId="77777777" w:rsidR="00B327E9" w:rsidRPr="00E40A5C" w:rsidRDefault="00B327E9" w:rsidP="00F136AD">
            <w:pPr>
              <w:rPr>
                <w:rFonts w:cs="Arial"/>
                <w:sz w:val="22"/>
              </w:rPr>
            </w:pPr>
            <w:r w:rsidRPr="00E40A5C">
              <w:rPr>
                <w:rFonts w:cs="Arial"/>
                <w:sz w:val="22"/>
              </w:rPr>
              <w:t>Name of the company / organisation</w:t>
            </w:r>
          </w:p>
        </w:tc>
        <w:sdt>
          <w:sdtPr>
            <w:rPr>
              <w:rStyle w:val="PlaceholderText"/>
              <w:rFonts w:cs="Arial"/>
            </w:rPr>
            <w:id w:val="-1905066999"/>
            <w:text/>
          </w:sdtPr>
          <w:sdtContent>
            <w:permStart w:id="1493633476" w:edGrp="everyone" w:displacedByCustomXml="prev"/>
            <w:tc>
              <w:tcPr>
                <w:tcW w:w="5595" w:type="dxa"/>
                <w:shd w:val="clear" w:color="auto" w:fill="auto"/>
              </w:tcPr>
              <w:p w14:paraId="23C2C921" w14:textId="6F8B83A2" w:rsidR="00B327E9" w:rsidRPr="00AB6D88" w:rsidRDefault="00B5055B" w:rsidP="00F136AD">
                <w:pPr>
                  <w:rPr>
                    <w:rStyle w:val="PlaceholderText"/>
                    <w:rFonts w:cs="Arial"/>
                  </w:rPr>
                </w:pPr>
                <w:r w:rsidRPr="00173DC3">
                  <w:rPr>
                    <w:rStyle w:val="Header"/>
                    <w:rFonts w:cs="Arial"/>
                    <w:color w:val="808080"/>
                  </w:rPr>
                  <w:t>Federated Hermes (UK) LLP</w:t>
                </w:r>
              </w:p>
            </w:tc>
            <w:permEnd w:id="1493633476" w:displacedByCustomXml="next"/>
          </w:sdtContent>
        </w:sdt>
      </w:tr>
      <w:tr w:rsidR="00B327E9" w:rsidRPr="00AB6D88" w14:paraId="0D2401D8" w14:textId="77777777" w:rsidTr="00F136AD">
        <w:tc>
          <w:tcPr>
            <w:tcW w:w="3929" w:type="dxa"/>
            <w:shd w:val="clear" w:color="auto" w:fill="auto"/>
          </w:tcPr>
          <w:p w14:paraId="6C0EFE39" w14:textId="77777777" w:rsidR="00B327E9" w:rsidRPr="00E40A5C" w:rsidRDefault="00B327E9" w:rsidP="00F136AD">
            <w:pPr>
              <w:rPr>
                <w:rFonts w:cs="Arial"/>
                <w:sz w:val="22"/>
              </w:rPr>
            </w:pPr>
            <w:permStart w:id="438450997" w:edGrp="everyone" w:colFirst="1" w:colLast="1"/>
            <w:r w:rsidRPr="00E40A5C">
              <w:rPr>
                <w:rFonts w:cs="Arial"/>
                <w:sz w:val="22"/>
              </w:rPr>
              <w:t>Activity</w:t>
            </w:r>
          </w:p>
        </w:tc>
        <w:tc>
          <w:tcPr>
            <w:tcW w:w="5595" w:type="dxa"/>
            <w:shd w:val="clear" w:color="auto" w:fill="auto"/>
          </w:tcPr>
          <w:p w14:paraId="163BBF3B" w14:textId="4346756E" w:rsidR="00B327E9" w:rsidRPr="00AB6D88" w:rsidRDefault="005B599C" w:rsidP="00F136AD">
            <w:pPr>
              <w:rPr>
                <w:rFonts w:cs="Arial"/>
              </w:rPr>
            </w:pPr>
            <w:sdt>
              <w:sdtPr>
                <w:rPr>
                  <w:rFonts w:cs="Arial"/>
                </w:rPr>
                <w:alias w:val="Activity"/>
                <w:tag w:val="Activity"/>
                <w:id w:val="-476845391"/>
                <w:comboBox>
                  <w:listItem w:value="Choose an item."/>
                  <w:listItem w:displayText="AIFM" w:value="AIFM"/>
                  <w:listItem w:displayText="Asset Manager Association" w:value="Asset Manager Association"/>
                  <w:listItem w:displayText="Data/ Ratings Provider" w:value="Data/ Ratings Provider"/>
                  <w:listItem w:displayText="Exchange or Trading System" w:value="Exchange or Trading System"/>
                  <w:listItem w:displayText="Investment Analyst" w:value="Investment Analyst"/>
                  <w:listItem w:displayText="Investor" w:value="Investor"/>
                  <w:listItem w:displayText="Investor/ Consumer Association" w:value="Investor/ Consumer Association"/>
                  <w:listItem w:displayText="Issuer/ Non-Financial Undertaking" w:value="Issuer/ Non-Financial Undertaking"/>
                  <w:listItem w:displayText="Issuer Association" w:value="Issuer Association"/>
                  <w:listItem w:displayText="Legal and Accountancy" w:value="Legal and Accountancy"/>
                  <w:listItem w:displayText="Non-governmental Organisation and Other Associations" w:value="Non-governmental Organisation and Other Associations"/>
                  <w:listItem w:displayText="Regulated Market" w:value="Regulated Market"/>
                  <w:listItem w:displayText="Self-managed UCITS Investment Company/ Internally-managed AIF" w:value="Self-managed UCITS Investment Company/ Internally-managed AIF"/>
                  <w:listItem w:displayText="Standard Setter" w:value="Standard Setter"/>
                  <w:listItem w:displayText="UCITS Management Company / AIFM" w:value="UCITS Management Company / AIFM"/>
                  <w:listItem w:displayText="Other" w:value="Other"/>
                </w:comboBox>
              </w:sdtPr>
              <w:sdtEndPr/>
              <w:sdtContent>
                <w:r w:rsidR="00E70483">
                  <w:rPr>
                    <w:rFonts w:cs="Arial"/>
                  </w:rPr>
                  <w:t>UCITS Management Company / AIFM</w:t>
                </w:r>
              </w:sdtContent>
            </w:sdt>
          </w:p>
        </w:tc>
      </w:tr>
      <w:permEnd w:id="438450997"/>
      <w:tr w:rsidR="00B327E9" w:rsidRPr="00AB6D88" w14:paraId="1A153F17" w14:textId="77777777" w:rsidTr="00F136AD">
        <w:tc>
          <w:tcPr>
            <w:tcW w:w="3929" w:type="dxa"/>
            <w:shd w:val="clear" w:color="auto" w:fill="auto"/>
          </w:tcPr>
          <w:p w14:paraId="396772EB" w14:textId="77777777" w:rsidR="00B327E9" w:rsidRPr="00E40A5C" w:rsidRDefault="00B327E9" w:rsidP="00F136AD">
            <w:pPr>
              <w:rPr>
                <w:rFonts w:cs="Arial"/>
                <w:sz w:val="22"/>
              </w:rPr>
            </w:pPr>
            <w:r w:rsidRPr="00E40A5C">
              <w:rPr>
                <w:rFonts w:cs="Arial"/>
                <w:sz w:val="22"/>
              </w:rPr>
              <w:t>Are you representing an association?</w:t>
            </w:r>
          </w:p>
        </w:tc>
        <w:permStart w:id="728653664" w:edGrp="everyone" w:displacedByCustomXml="next"/>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50B064BB" w14:textId="77777777" w:rsidR="00B327E9" w:rsidRPr="00AB6D88" w:rsidRDefault="00B327E9" w:rsidP="00F136AD">
                <w:pPr>
                  <w:rPr>
                    <w:rFonts w:cs="Arial"/>
                  </w:rPr>
                </w:pPr>
                <w:r>
                  <w:rPr>
                    <w:rFonts w:ascii="MS Gothic" w:eastAsia="MS Gothic" w:hAnsi="MS Gothic" w:cs="Arial" w:hint="eastAsia"/>
                  </w:rPr>
                  <w:t>☐</w:t>
                </w:r>
              </w:p>
            </w:tc>
          </w:sdtContent>
        </w:sdt>
        <w:permEnd w:id="728653664" w:displacedByCustomXml="prev"/>
      </w:tr>
      <w:tr w:rsidR="00B327E9" w:rsidRPr="00AB6D88" w14:paraId="4F3F3D16" w14:textId="77777777" w:rsidTr="00F136AD">
        <w:tc>
          <w:tcPr>
            <w:tcW w:w="3929" w:type="dxa"/>
            <w:shd w:val="clear" w:color="auto" w:fill="auto"/>
          </w:tcPr>
          <w:p w14:paraId="3C221113" w14:textId="77777777" w:rsidR="00B327E9" w:rsidRPr="00E40A5C" w:rsidRDefault="00B327E9" w:rsidP="00F136AD">
            <w:pPr>
              <w:rPr>
                <w:rFonts w:cs="Arial"/>
                <w:sz w:val="22"/>
              </w:rPr>
            </w:pPr>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2146979738" w:edGrp="everyone" w:displacedByCustomXml="prev"/>
            <w:tc>
              <w:tcPr>
                <w:tcW w:w="5595" w:type="dxa"/>
                <w:shd w:val="clear" w:color="auto" w:fill="auto"/>
              </w:tcPr>
              <w:p w14:paraId="01F5D6D4" w14:textId="239D65D9" w:rsidR="00B327E9" w:rsidRPr="00AB6D88" w:rsidRDefault="007B5EFB" w:rsidP="00F136AD">
                <w:pPr>
                  <w:rPr>
                    <w:rFonts w:cs="Arial"/>
                  </w:rPr>
                </w:pPr>
                <w:r>
                  <w:rPr>
                    <w:rFonts w:cs="Arial"/>
                  </w:rPr>
                  <w:t>UK</w:t>
                </w:r>
              </w:p>
            </w:tc>
            <w:permEnd w:id="2146979738" w:displacedByCustomXml="next"/>
          </w:sdtContent>
        </w:sdt>
      </w:tr>
    </w:tbl>
    <w:p w14:paraId="48174611" w14:textId="77777777" w:rsidR="00B327E9" w:rsidRDefault="00B327E9" w:rsidP="00B327E9">
      <w:pPr>
        <w:spacing w:after="120" w:line="264" w:lineRule="auto"/>
      </w:pPr>
    </w:p>
    <w:p w14:paraId="3FE7D92F" w14:textId="77777777" w:rsidR="00B327E9" w:rsidRDefault="00B327E9" w:rsidP="00FE6577">
      <w:pPr>
        <w:pStyle w:val="Heading1"/>
        <w:numPr>
          <w:ilvl w:val="0"/>
          <w:numId w:val="0"/>
        </w:numPr>
        <w:ind w:left="431" w:hanging="431"/>
      </w:pPr>
      <w:r>
        <w:t>Introduction</w:t>
      </w:r>
    </w:p>
    <w:p w14:paraId="3C83C634" w14:textId="77777777" w:rsidR="00B327E9" w:rsidRPr="00E40A5C" w:rsidRDefault="00B327E9" w:rsidP="00FE6577">
      <w:pPr>
        <w:rPr>
          <w:rStyle w:val="IntenseEmphasis"/>
          <w:sz w:val="22"/>
        </w:rPr>
      </w:pPr>
      <w:r w:rsidRPr="00E40A5C">
        <w:rPr>
          <w:rStyle w:val="IntenseEmphasis"/>
          <w:sz w:val="22"/>
        </w:rPr>
        <w:t>Please make your introductory comments below, if any:</w:t>
      </w:r>
    </w:p>
    <w:p w14:paraId="26578279" w14:textId="77777777" w:rsidR="00B327E9" w:rsidRPr="00BF28DA" w:rsidRDefault="00B327E9" w:rsidP="00FE6577"/>
    <w:p w14:paraId="06351DAC" w14:textId="7D89D591" w:rsidR="00B327E9" w:rsidRPr="006F4535" w:rsidRDefault="00B327E9" w:rsidP="00FE6577">
      <w:r w:rsidRPr="006F4535">
        <w:t>&lt;ESMA_COMMENT_</w:t>
      </w:r>
      <w:r w:rsidR="00DC1B3F">
        <w:t>MMFR</w:t>
      </w:r>
      <w:r w:rsidRPr="006F4535">
        <w:t>_1&gt;</w:t>
      </w:r>
    </w:p>
    <w:p w14:paraId="310487BD" w14:textId="77777777" w:rsidR="006F48C3" w:rsidRPr="00726C4B" w:rsidRDefault="006F48C3" w:rsidP="006F48C3">
      <w:pPr>
        <w:rPr>
          <w:rFonts w:cstheme="minorHAnsi"/>
        </w:rPr>
      </w:pPr>
      <w:permStart w:id="44765448" w:edGrp="everyone"/>
      <w:r w:rsidRPr="00726C4B">
        <w:rPr>
          <w:rFonts w:cstheme="minorHAnsi"/>
        </w:rPr>
        <w:t xml:space="preserve">We are writing on behalf of Federated Hermes, </w:t>
      </w:r>
      <w:proofErr w:type="gramStart"/>
      <w:r w:rsidRPr="00726C4B">
        <w:rPr>
          <w:rFonts w:cstheme="minorHAnsi"/>
        </w:rPr>
        <w:t>Inc.</w:t>
      </w:r>
      <w:proofErr w:type="gramEnd"/>
      <w:r w:rsidRPr="00726C4B">
        <w:rPr>
          <w:rFonts w:cstheme="minorHAnsi"/>
        </w:rPr>
        <w:t xml:space="preserve"> and its subsidiaries (“Federated Hermes”). </w:t>
      </w:r>
    </w:p>
    <w:p w14:paraId="15D81B7B" w14:textId="77777777" w:rsidR="006F48C3" w:rsidRPr="00726C4B" w:rsidRDefault="006F48C3" w:rsidP="006F48C3">
      <w:pPr>
        <w:rPr>
          <w:rFonts w:cstheme="minorHAnsi"/>
        </w:rPr>
      </w:pPr>
      <w:r w:rsidRPr="00726C4B">
        <w:rPr>
          <w:rFonts w:cstheme="minorHAnsi"/>
        </w:rPr>
        <w:t>Federated Hermes has been in business since 1955 and has more than 45 years of experience</w:t>
      </w:r>
      <w:r w:rsidRPr="00726C4B">
        <w:rPr>
          <w:rFonts w:cstheme="minorHAnsi"/>
          <w:vertAlign w:val="superscript"/>
        </w:rPr>
        <w:footnoteReference w:id="2"/>
      </w:r>
      <w:r w:rsidRPr="00726C4B">
        <w:rPr>
          <w:rFonts w:cstheme="minorHAnsi"/>
        </w:rPr>
        <w:t xml:space="preserve"> managing money market funds (“MMFs”). Federated Hermes has participated actively in the money market as it developed over the years. Federated Hermes manages Low-Volatility Net Asset Value MMFs (“LVNAV”), and Public Debt Constant NAV MMFs (“CNAV”) domiciled in the EU, and LVNAV and Variable NAV MMFs (“VNAV”) in the UK. Federated Hermes also manages MMFs in the United States, including U.S. government MMFs, municipal MMFs and prime MMFs as well as MMFs in other jurisdictions. In addition to MMFs, Federated Hermes manages accounts for institutional customers that invest in money market instruments, as well as US local government investment pools that invest in money market instruments. In all, Federated Hermes manages more than $400 billion (€330 billion) in money market assets, the vast majority of which have ESG integrated into their investment process. </w:t>
      </w:r>
    </w:p>
    <w:p w14:paraId="4D721868" w14:textId="77777777" w:rsidR="003E3C12" w:rsidRDefault="003E3C12" w:rsidP="006F48C3">
      <w:pPr>
        <w:rPr>
          <w:rFonts w:cstheme="minorHAnsi"/>
        </w:rPr>
      </w:pPr>
    </w:p>
    <w:p w14:paraId="1EA2EB8B" w14:textId="415AA4D3" w:rsidR="006F48C3" w:rsidRPr="00726C4B" w:rsidRDefault="006F48C3" w:rsidP="006F48C3">
      <w:pPr>
        <w:rPr>
          <w:rFonts w:cstheme="minorHAnsi"/>
        </w:rPr>
      </w:pPr>
      <w:r w:rsidRPr="00726C4B">
        <w:rPr>
          <w:rFonts w:cstheme="minorHAnsi"/>
        </w:rPr>
        <w:t xml:space="preserve">We appreciate the opportunity to comment on the Consultation Report “EU Money Market Fund Regulation (MMFR) – legislative review” that ESMA published on 26 March 2021. </w:t>
      </w:r>
    </w:p>
    <w:p w14:paraId="1D57266C" w14:textId="77777777" w:rsidR="003E3C12" w:rsidRDefault="003E3C12" w:rsidP="006F48C3">
      <w:pPr>
        <w:rPr>
          <w:rFonts w:cstheme="minorHAnsi"/>
        </w:rPr>
      </w:pPr>
    </w:p>
    <w:p w14:paraId="6B32ED43" w14:textId="2D1F1AE2" w:rsidR="006F48C3" w:rsidRPr="00726C4B" w:rsidRDefault="006F48C3" w:rsidP="006F48C3">
      <w:pPr>
        <w:rPr>
          <w:rFonts w:cstheme="minorHAnsi"/>
        </w:rPr>
      </w:pPr>
      <w:r w:rsidRPr="00726C4B">
        <w:rPr>
          <w:rFonts w:cstheme="minorHAnsi"/>
        </w:rPr>
        <w:t xml:space="preserve">If a true analysis of the March 2020 market liquidity events (the “Liquidity Crisis”) is to be undertaken by ESMA, it is imperative that ESMA follow the facts and consider the true causes of the Liquidity Crisis (global pandemic and governments around the world shutting down their economies), and the timing in which the markets, and products within the markets, were impacted. The data shows, without a doubt, that MMFs neither caused nor amplified the Liquidity Crisis. In fact, as a result of the robust adoption of the EU MMF Regulation (“MMFR”), European MMFs entered the Liquidity Crisis with very high levels of liquidity. </w:t>
      </w:r>
    </w:p>
    <w:p w14:paraId="1BC52545" w14:textId="77777777" w:rsidR="006F48C3" w:rsidRPr="00726C4B" w:rsidRDefault="006F48C3" w:rsidP="006F48C3">
      <w:pPr>
        <w:rPr>
          <w:rFonts w:cstheme="minorHAnsi"/>
        </w:rPr>
      </w:pPr>
      <w:r w:rsidRPr="00726C4B">
        <w:rPr>
          <w:rFonts w:cstheme="minorHAnsi"/>
        </w:rPr>
        <w:t xml:space="preserve">While market-based challenges were encountered and certain regulatory requirements in the MMFR led to artificially high levels of redemptions, EU MMFs proved incredibly resilient, and no MMF in Europe suspended redemptions, or imposed fees and/or gates. The effectiveness of MMFR is further evidenced by the fact that EU MMFs were not (i) direct beneficiaries of Central Bank action, as the ECB’s Pandemic Emergency Purchase Programme (“PEPP”) excluded placement of bank commercial paper (“CP”) and Non-Euro denominated paper, and (ii) permitted to use sponsor support, a prohibition under the MMFR that we fully support. </w:t>
      </w:r>
    </w:p>
    <w:p w14:paraId="7A1CF73B" w14:textId="77777777" w:rsidR="003E3C12" w:rsidRDefault="003E3C12" w:rsidP="006F48C3">
      <w:pPr>
        <w:rPr>
          <w:rFonts w:cstheme="minorHAnsi"/>
        </w:rPr>
      </w:pPr>
    </w:p>
    <w:p w14:paraId="75337A57" w14:textId="3369BA4D" w:rsidR="006F48C3" w:rsidRPr="00726C4B" w:rsidRDefault="006F48C3" w:rsidP="006F48C3">
      <w:pPr>
        <w:rPr>
          <w:rFonts w:cstheme="minorHAnsi"/>
        </w:rPr>
      </w:pPr>
      <w:r w:rsidRPr="00726C4B">
        <w:rPr>
          <w:rFonts w:cstheme="minorHAnsi"/>
        </w:rPr>
        <w:t>As IOSCO rightly observed in its November 2020 Thematic Note “Money Market Funds during the March-April Episode”, further consideration should be given to the “broader ecosystem and the functioning of the money markets” and “elements of existing regulatory frameworks which may have played a role in accelerating flows out of certain types of money market funds”.</w:t>
      </w:r>
    </w:p>
    <w:p w14:paraId="52E9573D" w14:textId="77777777" w:rsidR="006F48C3" w:rsidRDefault="006F48C3" w:rsidP="006F48C3">
      <w:pPr>
        <w:rPr>
          <w:rFonts w:cstheme="minorHAnsi"/>
        </w:rPr>
      </w:pPr>
      <w:r>
        <w:rPr>
          <w:rFonts w:cstheme="minorHAnsi"/>
        </w:rPr>
        <w:br w:type="page"/>
      </w:r>
    </w:p>
    <w:p w14:paraId="5CC48DE9" w14:textId="77777777" w:rsidR="006F48C3" w:rsidRPr="00726C4B" w:rsidRDefault="006F48C3" w:rsidP="006F48C3">
      <w:pPr>
        <w:rPr>
          <w:rFonts w:cstheme="minorHAnsi"/>
        </w:rPr>
      </w:pPr>
      <w:r w:rsidRPr="00726C4B">
        <w:rPr>
          <w:rFonts w:cstheme="minorHAnsi"/>
        </w:rPr>
        <w:lastRenderedPageBreak/>
        <w:t xml:space="preserve">Therefore, we recommend ESMA focus on the following: </w:t>
      </w:r>
    </w:p>
    <w:p w14:paraId="7B84F9CF" w14:textId="77777777" w:rsidR="006F48C3" w:rsidRPr="00726C4B" w:rsidRDefault="006F48C3" w:rsidP="005B599C">
      <w:pPr>
        <w:numPr>
          <w:ilvl w:val="0"/>
          <w:numId w:val="40"/>
        </w:numPr>
        <w:spacing w:after="100"/>
        <w:rPr>
          <w:rFonts w:cstheme="minorHAnsi"/>
        </w:rPr>
      </w:pPr>
      <w:r w:rsidRPr="00726C4B">
        <w:rPr>
          <w:rFonts w:cstheme="minorHAnsi"/>
        </w:rPr>
        <w:t xml:space="preserve">Delinking the 30% weekly liquid asset (“WLA”) threshold and the potential imposition of a fee or gate, a much needed and urgent reform to consider in priority as part of the MMF Regulation review; </w:t>
      </w:r>
    </w:p>
    <w:p w14:paraId="3770760E" w14:textId="77777777" w:rsidR="006F48C3" w:rsidRPr="00726C4B" w:rsidRDefault="006F48C3" w:rsidP="005B599C">
      <w:pPr>
        <w:numPr>
          <w:ilvl w:val="0"/>
          <w:numId w:val="40"/>
        </w:numPr>
        <w:spacing w:after="100"/>
        <w:rPr>
          <w:rFonts w:cstheme="minorHAnsi"/>
        </w:rPr>
      </w:pPr>
      <w:r w:rsidRPr="00726C4B">
        <w:rPr>
          <w:rFonts w:cstheme="minorHAnsi"/>
        </w:rPr>
        <w:t>Addressing the vulnerability in the short-term markets, which impacted the functioning of the entire money markets, by conducting a broad and thorough review which addresses the root causes of the pressures experienced in the short-term markets during the Liquidity Crisis; and</w:t>
      </w:r>
    </w:p>
    <w:p w14:paraId="706DDAAA" w14:textId="77777777" w:rsidR="006F48C3" w:rsidRPr="00726C4B" w:rsidRDefault="006F48C3" w:rsidP="005B599C">
      <w:pPr>
        <w:numPr>
          <w:ilvl w:val="0"/>
          <w:numId w:val="40"/>
        </w:numPr>
        <w:spacing w:after="100"/>
        <w:rPr>
          <w:rFonts w:cstheme="minorHAnsi"/>
        </w:rPr>
      </w:pPr>
      <w:r w:rsidRPr="00726C4B">
        <w:rPr>
          <w:rFonts w:cstheme="minorHAnsi"/>
        </w:rPr>
        <w:t>In addition to delinking the 30% WLA threshold and the potential imposition of a fee or gate, the upcoming MMFR Review should address the following issues:</w:t>
      </w:r>
    </w:p>
    <w:p w14:paraId="416A94F5" w14:textId="77777777" w:rsidR="006F48C3" w:rsidRPr="00726C4B" w:rsidRDefault="006F48C3" w:rsidP="005B599C">
      <w:pPr>
        <w:numPr>
          <w:ilvl w:val="1"/>
          <w:numId w:val="40"/>
        </w:numPr>
        <w:spacing w:after="100"/>
        <w:rPr>
          <w:rFonts w:cstheme="minorHAnsi"/>
        </w:rPr>
      </w:pPr>
      <w:r w:rsidRPr="00726C4B">
        <w:rPr>
          <w:rFonts w:cstheme="minorHAnsi"/>
        </w:rPr>
        <w:t>Increasing the required liquidity levels of EU VNAV MMFs from 7.5% daily and 15% weekly liquidity, to 10% daily and 30% weekly liquidity requirements consistent with other EU MMFs and US VNAV MMFs;</w:t>
      </w:r>
    </w:p>
    <w:p w14:paraId="30E155BE" w14:textId="77777777" w:rsidR="006F48C3" w:rsidRPr="00726C4B" w:rsidRDefault="006F48C3" w:rsidP="005B599C">
      <w:pPr>
        <w:numPr>
          <w:ilvl w:val="1"/>
          <w:numId w:val="40"/>
        </w:numPr>
        <w:spacing w:after="100"/>
        <w:rPr>
          <w:rFonts w:cstheme="minorHAnsi"/>
        </w:rPr>
      </w:pPr>
      <w:r w:rsidRPr="00726C4B">
        <w:rPr>
          <w:rFonts w:cstheme="minorHAnsi"/>
        </w:rPr>
        <w:t>Removing the ability for EU VNAV MMFs to self-designate any eligible money market instruments as WLA;</w:t>
      </w:r>
    </w:p>
    <w:p w14:paraId="4FA33297" w14:textId="77777777" w:rsidR="006F48C3" w:rsidRPr="00726C4B" w:rsidRDefault="006F48C3" w:rsidP="005B599C">
      <w:pPr>
        <w:numPr>
          <w:ilvl w:val="1"/>
          <w:numId w:val="40"/>
        </w:numPr>
        <w:spacing w:after="100"/>
        <w:rPr>
          <w:rFonts w:cstheme="minorHAnsi"/>
        </w:rPr>
      </w:pPr>
      <w:r w:rsidRPr="00726C4B">
        <w:rPr>
          <w:rFonts w:cstheme="minorHAnsi"/>
        </w:rPr>
        <w:t>Removing the arbitrary 17.5% restriction on including high quality government securities as WLA for EU MMFs as, through both the financial crisis and Liquidity Crisis, high quality government securities have proved to be the most liquid;</w:t>
      </w:r>
    </w:p>
    <w:p w14:paraId="42D89928" w14:textId="77777777" w:rsidR="006F48C3" w:rsidRPr="00726C4B" w:rsidRDefault="006F48C3" w:rsidP="005B599C">
      <w:pPr>
        <w:numPr>
          <w:ilvl w:val="1"/>
          <w:numId w:val="40"/>
        </w:numPr>
        <w:spacing w:after="100"/>
        <w:rPr>
          <w:rFonts w:cstheme="minorHAnsi"/>
        </w:rPr>
      </w:pPr>
      <w:r w:rsidRPr="00726C4B">
        <w:rPr>
          <w:rFonts w:cstheme="minorHAnsi"/>
        </w:rPr>
        <w:t>Permitting EU MMFs to include in their WLA investments in 5-day repo (there is a conflict between Article 15 of the MMFR, which limits investments in repo to 2 days and Article 24 of the MMFR which specifically sets forth the inclusion of 5-day repo as part of an EU MMF’s WLA); and</w:t>
      </w:r>
    </w:p>
    <w:p w14:paraId="0A786641" w14:textId="77777777" w:rsidR="006F48C3" w:rsidRPr="00726C4B" w:rsidRDefault="006F48C3" w:rsidP="005B599C">
      <w:pPr>
        <w:numPr>
          <w:ilvl w:val="1"/>
          <w:numId w:val="40"/>
        </w:numPr>
        <w:spacing w:after="100"/>
        <w:rPr>
          <w:rFonts w:cstheme="minorHAnsi"/>
        </w:rPr>
      </w:pPr>
      <w:r w:rsidRPr="00726C4B">
        <w:rPr>
          <w:rFonts w:cstheme="minorHAnsi"/>
        </w:rPr>
        <w:t>Amending MMFR (or MiFID II) to impose an obligation on intermediaries (distributors) to provide information regarding the profile of individual end investors to enable the MMF manager to understand the MMF’s liquidity risk.</w:t>
      </w:r>
    </w:p>
    <w:p w14:paraId="47F79378" w14:textId="77777777" w:rsidR="006F48C3" w:rsidRPr="00726C4B" w:rsidRDefault="006F48C3" w:rsidP="006F48C3">
      <w:pPr>
        <w:rPr>
          <w:rFonts w:cstheme="minorHAnsi"/>
        </w:rPr>
      </w:pPr>
      <w:r w:rsidRPr="00726C4B">
        <w:rPr>
          <w:rFonts w:cstheme="minorHAnsi"/>
        </w:rPr>
        <w:t>There are a number of other policy reforms that ESMA has requested comments on, however we believe such reforms are:</w:t>
      </w:r>
    </w:p>
    <w:p w14:paraId="7FE143D9" w14:textId="77777777" w:rsidR="006F48C3" w:rsidRPr="00726C4B" w:rsidRDefault="006F48C3" w:rsidP="005B599C">
      <w:pPr>
        <w:numPr>
          <w:ilvl w:val="0"/>
          <w:numId w:val="41"/>
        </w:numPr>
        <w:spacing w:after="100"/>
        <w:rPr>
          <w:rFonts w:cstheme="minorHAnsi"/>
        </w:rPr>
      </w:pPr>
      <w:r w:rsidRPr="00726C4B">
        <w:rPr>
          <w:rFonts w:cstheme="minorHAnsi"/>
        </w:rPr>
        <w:t xml:space="preserve">Inappropriate: permitting sponsor support (moral hazard/risk of contagion); </w:t>
      </w:r>
    </w:p>
    <w:p w14:paraId="7FF4D330" w14:textId="77777777" w:rsidR="006F48C3" w:rsidRPr="00726C4B" w:rsidRDefault="006F48C3" w:rsidP="005B599C">
      <w:pPr>
        <w:numPr>
          <w:ilvl w:val="0"/>
          <w:numId w:val="41"/>
        </w:numPr>
        <w:spacing w:after="100"/>
        <w:rPr>
          <w:rFonts w:cstheme="minorHAnsi"/>
        </w:rPr>
      </w:pPr>
      <w:r w:rsidRPr="00726C4B">
        <w:rPr>
          <w:rFonts w:cstheme="minorHAnsi"/>
        </w:rPr>
        <w:t xml:space="preserve">Unnecessary: </w:t>
      </w:r>
    </w:p>
    <w:p w14:paraId="6E56E646" w14:textId="77777777" w:rsidR="006F48C3" w:rsidRPr="00726C4B" w:rsidRDefault="006F48C3" w:rsidP="005B599C">
      <w:pPr>
        <w:numPr>
          <w:ilvl w:val="1"/>
          <w:numId w:val="41"/>
        </w:numPr>
        <w:spacing w:after="100"/>
        <w:rPr>
          <w:rFonts w:cstheme="minorHAnsi"/>
        </w:rPr>
      </w:pPr>
      <w:r w:rsidRPr="00726C4B">
        <w:rPr>
          <w:rFonts w:cstheme="minorHAnsi"/>
        </w:rPr>
        <w:t>Increasing liquidity buffers: delinking the 30% WLA threshold from the potential imposition of fees and gates frees up ample liquidity and makes this option unnecessary; and</w:t>
      </w:r>
    </w:p>
    <w:p w14:paraId="16CD05CA" w14:textId="77777777" w:rsidR="006F48C3" w:rsidRPr="00726C4B" w:rsidRDefault="006F48C3" w:rsidP="005B599C">
      <w:pPr>
        <w:numPr>
          <w:ilvl w:val="1"/>
          <w:numId w:val="41"/>
        </w:numPr>
        <w:spacing w:after="100"/>
        <w:rPr>
          <w:rFonts w:cstheme="minorHAnsi"/>
        </w:rPr>
      </w:pPr>
      <w:r w:rsidRPr="00726C4B">
        <w:rPr>
          <w:rFonts w:cstheme="minorHAnsi"/>
        </w:rPr>
        <w:t>Swing pricing: EU MMFs are already permitted to impose liquidity fees and MMF securities are already required to be priced at the more conservative of the bid/ask spread; and</w:t>
      </w:r>
    </w:p>
    <w:p w14:paraId="5263E1AF" w14:textId="77777777" w:rsidR="006F48C3" w:rsidRPr="00726C4B" w:rsidRDefault="006F48C3" w:rsidP="005B599C">
      <w:pPr>
        <w:numPr>
          <w:ilvl w:val="0"/>
          <w:numId w:val="41"/>
        </w:numPr>
        <w:spacing w:after="100"/>
        <w:rPr>
          <w:rFonts w:cstheme="minorHAnsi"/>
        </w:rPr>
      </w:pPr>
      <w:r w:rsidRPr="00726C4B">
        <w:rPr>
          <w:rFonts w:cstheme="minorHAnsi"/>
        </w:rPr>
        <w:t xml:space="preserve">Economically impractical: liquidity exchange bank. </w:t>
      </w:r>
    </w:p>
    <w:p w14:paraId="5CD5E577" w14:textId="77777777" w:rsidR="006F48C3" w:rsidRPr="00726C4B" w:rsidRDefault="006F48C3" w:rsidP="006F48C3">
      <w:pPr>
        <w:rPr>
          <w:rFonts w:cstheme="minorHAnsi"/>
        </w:rPr>
      </w:pPr>
    </w:p>
    <w:p w14:paraId="14D0FFD8" w14:textId="1E0AEBDF" w:rsidR="006F48C3" w:rsidRDefault="006F48C3" w:rsidP="006F48C3">
      <w:pPr>
        <w:rPr>
          <w:rFonts w:cstheme="minorHAnsi"/>
        </w:rPr>
      </w:pPr>
      <w:r w:rsidRPr="00726C4B">
        <w:rPr>
          <w:rFonts w:cstheme="minorHAnsi"/>
        </w:rPr>
        <w:t>We are grateful for the opportunity to develop our assessment in the following detailed responses.</w:t>
      </w:r>
    </w:p>
    <w:p w14:paraId="7482B6AB" w14:textId="77777777" w:rsidR="00DC4E3C" w:rsidRPr="00726C4B" w:rsidRDefault="00DC4E3C" w:rsidP="006F48C3">
      <w:pPr>
        <w:rPr>
          <w:rFonts w:cstheme="minorHAnsi"/>
        </w:rPr>
      </w:pPr>
    </w:p>
    <w:permEnd w:id="44765448"/>
    <w:p w14:paraId="68F63540" w14:textId="5C2C408E" w:rsidR="00B327E9" w:rsidRPr="00BF28DA" w:rsidRDefault="00B327E9" w:rsidP="00FE6577">
      <w:r w:rsidRPr="00BF28DA">
        <w:t>&lt;ESMA_COMMENT_</w:t>
      </w:r>
      <w:r w:rsidR="00DC1B3F">
        <w:t>MMFR</w:t>
      </w:r>
      <w:r w:rsidR="000A58BE">
        <w:t>_</w:t>
      </w:r>
      <w:r w:rsidRPr="00BF28DA">
        <w:t>1&gt;</w:t>
      </w:r>
    </w:p>
    <w:p w14:paraId="4865C74B" w14:textId="77777777" w:rsidR="002E7113" w:rsidRDefault="002E7113" w:rsidP="002E7113">
      <w:pPr>
        <w:pStyle w:val="Heading1"/>
        <w:numPr>
          <w:ilvl w:val="0"/>
          <w:numId w:val="0"/>
        </w:numPr>
      </w:pPr>
    </w:p>
    <w:p w14:paraId="039B696F" w14:textId="77777777" w:rsidR="00F31E57" w:rsidRPr="00BF28DA" w:rsidRDefault="00F31E57" w:rsidP="00D34282"/>
    <w:p w14:paraId="7C286AFD" w14:textId="77777777" w:rsidR="00CC49EE" w:rsidRDefault="00F31E57" w:rsidP="00492B3A">
      <w:pPr>
        <w:pStyle w:val="Questionstyle"/>
      </w:pPr>
      <w:r w:rsidRPr="0075015C">
        <w:br w:type="page"/>
      </w:r>
    </w:p>
    <w:p w14:paraId="4508D4FF" w14:textId="6FC4B515" w:rsidR="00492B3A" w:rsidRPr="00976448" w:rsidRDefault="00976448" w:rsidP="00976448">
      <w:pPr>
        <w:pStyle w:val="Questionstyle"/>
        <w:numPr>
          <w:ilvl w:val="0"/>
          <w:numId w:val="49"/>
        </w:numPr>
        <w:rPr>
          <w:rFonts w:ascii="Arial" w:hAnsi="Arial"/>
          <w:szCs w:val="22"/>
        </w:rPr>
      </w:pPr>
      <w:r>
        <w:rPr>
          <w:lang w:val="en-US"/>
        </w:rPr>
        <w:lastRenderedPageBreak/>
        <w:t xml:space="preserve"> i) </w:t>
      </w:r>
      <w:r w:rsidRPr="00F43E30">
        <w:rPr>
          <w:lang w:val="en-US"/>
        </w:rPr>
        <w:t>Do you agree with the above assessment of the difficulties faced by MMFs during the COVID-19 March crisis? Do you agree with the identification of vulnerabilities? ii) What are your views in particular on the use of MMF ratings by investors? Are you of the view that the use of such ratings has affected the behaviors of investors during the March crisis?</w:t>
      </w:r>
    </w:p>
    <w:p w14:paraId="2A3812AD" w14:textId="77777777" w:rsidR="00976448" w:rsidRDefault="00976448" w:rsidP="00492B3A"/>
    <w:p w14:paraId="7EE00B55" w14:textId="11D818B2" w:rsidR="00492B3A" w:rsidRDefault="00492B3A" w:rsidP="00492B3A">
      <w:r>
        <w:t>&lt;ESMA_QUESTION_</w:t>
      </w:r>
      <w:r w:rsidR="00DC1B3F">
        <w:t>MMFR</w:t>
      </w:r>
      <w:r>
        <w:t>_1&gt;</w:t>
      </w:r>
    </w:p>
    <w:p w14:paraId="7186BE96" w14:textId="77777777" w:rsidR="0090742A" w:rsidRPr="00726C4B" w:rsidRDefault="0090742A" w:rsidP="0090742A">
      <w:pPr>
        <w:rPr>
          <w:rFonts w:cstheme="minorHAnsi"/>
          <w:b/>
          <w:bCs/>
        </w:rPr>
      </w:pPr>
      <w:permStart w:id="1576605906" w:edGrp="everyone"/>
      <w:r w:rsidRPr="00726C4B">
        <w:rPr>
          <w:rFonts w:cstheme="minorHAnsi"/>
          <w:b/>
          <w:bCs/>
        </w:rPr>
        <w:t>Assessment of the difficulties faced by MMFs during the COVID-19 March crisis</w:t>
      </w:r>
    </w:p>
    <w:p w14:paraId="32697E20" w14:textId="77777777" w:rsidR="00041690" w:rsidRDefault="00041690" w:rsidP="0090742A">
      <w:pPr>
        <w:rPr>
          <w:rFonts w:cstheme="minorHAnsi"/>
        </w:rPr>
      </w:pPr>
    </w:p>
    <w:p w14:paraId="594A6FFC" w14:textId="404F046C" w:rsidR="0090742A" w:rsidRPr="00726C4B" w:rsidRDefault="0090742A" w:rsidP="0090742A">
      <w:pPr>
        <w:rPr>
          <w:rFonts w:cstheme="minorHAnsi"/>
        </w:rPr>
      </w:pPr>
      <w:r w:rsidRPr="00726C4B">
        <w:rPr>
          <w:rFonts w:cstheme="minorHAnsi"/>
        </w:rPr>
        <w:t xml:space="preserve">We agree that the COVID-19 crisis </w:t>
      </w:r>
      <w:r w:rsidRPr="00726C4B">
        <w:rPr>
          <w:rFonts w:cstheme="minorHAnsi"/>
          <w:bCs/>
        </w:rPr>
        <w:t>was a challenge</w:t>
      </w:r>
      <w:r w:rsidRPr="00726C4B">
        <w:rPr>
          <w:rFonts w:cstheme="minorHAnsi"/>
        </w:rPr>
        <w:t xml:space="preserve"> for </w:t>
      </w:r>
      <w:r w:rsidRPr="00726C4B">
        <w:rPr>
          <w:rFonts w:cstheme="minorHAnsi"/>
          <w:bCs/>
        </w:rPr>
        <w:t xml:space="preserve">all market participants, including </w:t>
      </w:r>
      <w:r w:rsidRPr="00726C4B">
        <w:rPr>
          <w:rFonts w:cstheme="minorHAnsi"/>
        </w:rPr>
        <w:t xml:space="preserve">MMFs. </w:t>
      </w:r>
    </w:p>
    <w:p w14:paraId="04059244" w14:textId="77777777" w:rsidR="00041690" w:rsidRDefault="00041690" w:rsidP="0090742A">
      <w:pPr>
        <w:rPr>
          <w:rFonts w:cstheme="minorHAnsi"/>
        </w:rPr>
      </w:pPr>
    </w:p>
    <w:p w14:paraId="17B6FB2E" w14:textId="141851C4" w:rsidR="0090742A" w:rsidRPr="00726C4B" w:rsidRDefault="0090742A" w:rsidP="0090742A">
      <w:pPr>
        <w:rPr>
          <w:rFonts w:cstheme="minorHAnsi"/>
        </w:rPr>
      </w:pPr>
      <w:r w:rsidRPr="00726C4B">
        <w:rPr>
          <w:rFonts w:cstheme="minorHAnsi"/>
        </w:rPr>
        <w:t xml:space="preserve">EU MMFs faced significant liquidity pressure during the period of acute stress in March 2020, with artificially high levels of redemptions from investors and market wide challenges to sell assets in the short-term funding markets. However, ESMA’s characterisation of the liquidity pressure is incomplete. EU MMFs entered the Liquidity Crisis with very high levels of liquidity. The high level of liquidity in EU MMFs is directly related to the 2017 MMFR requirements that certain EU MMFs hold not only 10% daily liquid assets and 30% weekly liquid assets (“WLA”), but also additional liquid assets in excess of these levels based on the Know Your Customer rules. Unfortunately, while the 2017 MMFR requirements contributed positively to the high levels of liquidity entering the Liquidity Crisis, it also contributed negatively to the artificially high levels of redemptions experienced in EU MMFs. This is because the MMFR requires certain EU MMFs to consider the imposition of liquidity fees and gates if weekly liquid assets fall below the 30% WLA threshold, and this proved to be an accelerant for redemptions and was an unfortunate unintended consequence of the 2017 EU MMFR. </w:t>
      </w:r>
    </w:p>
    <w:p w14:paraId="0A71D761" w14:textId="77777777" w:rsidR="00041690" w:rsidRDefault="00041690" w:rsidP="0090742A">
      <w:pPr>
        <w:rPr>
          <w:rFonts w:cstheme="minorHAnsi"/>
        </w:rPr>
      </w:pPr>
    </w:p>
    <w:p w14:paraId="61CEC503" w14:textId="64C8E7CF" w:rsidR="0090742A" w:rsidRPr="00726C4B" w:rsidRDefault="0090742A" w:rsidP="0090742A">
      <w:pPr>
        <w:rPr>
          <w:rFonts w:cstheme="minorHAnsi"/>
        </w:rPr>
      </w:pPr>
      <w:r w:rsidRPr="00726C4B">
        <w:rPr>
          <w:rFonts w:cstheme="minorHAnsi"/>
        </w:rPr>
        <w:t>Data supports that delinking the 30% WLA threshold from the consideration of fees and gates would have greatly alleviated the liquidity stress in the EU money markets and would have removed an artificial regulatory incentive for EU investors to redeem.</w:t>
      </w:r>
    </w:p>
    <w:p w14:paraId="27C13144" w14:textId="77777777" w:rsidR="00041690" w:rsidRDefault="00041690" w:rsidP="0090742A">
      <w:pPr>
        <w:rPr>
          <w:rFonts w:cstheme="minorHAnsi"/>
        </w:rPr>
      </w:pPr>
    </w:p>
    <w:p w14:paraId="5468F1DC" w14:textId="4C605C49" w:rsidR="0090742A" w:rsidRPr="00726C4B" w:rsidRDefault="0090742A" w:rsidP="0090742A">
      <w:pPr>
        <w:rPr>
          <w:rFonts w:cstheme="minorHAnsi"/>
        </w:rPr>
      </w:pPr>
      <w:r w:rsidRPr="00726C4B">
        <w:rPr>
          <w:rFonts w:cstheme="minorHAnsi"/>
        </w:rPr>
        <w:t xml:space="preserve">Notwithstanding the global short-term market challenges and the regulatory induced artificially high levels of redemptions, EU MMFs proved to be incredibly resilient, maintaining required levels of liquidity throughout the Liquidity Crisis and providing European investor access to short-term, high quality, diversified investments throughout the global pandemic. </w:t>
      </w:r>
    </w:p>
    <w:p w14:paraId="591362BB" w14:textId="77777777" w:rsidR="0090742A" w:rsidRPr="00726C4B" w:rsidRDefault="0090742A" w:rsidP="0090742A">
      <w:pPr>
        <w:rPr>
          <w:rFonts w:cstheme="minorHAnsi"/>
        </w:rPr>
      </w:pPr>
    </w:p>
    <w:p w14:paraId="57BF89A8" w14:textId="77777777" w:rsidR="0090742A" w:rsidRPr="00726C4B" w:rsidRDefault="0090742A" w:rsidP="0090742A">
      <w:pPr>
        <w:rPr>
          <w:rFonts w:cstheme="minorHAnsi"/>
        </w:rPr>
      </w:pPr>
      <w:r w:rsidRPr="00726C4B">
        <w:rPr>
          <w:rFonts w:cstheme="minorHAnsi"/>
          <w:b/>
          <w:bCs/>
        </w:rPr>
        <w:t>First, the March 2020 financial markets turmoil did not originate in the financial sector</w:t>
      </w:r>
      <w:r w:rsidRPr="00726C4B">
        <w:rPr>
          <w:rFonts w:cstheme="minorHAnsi"/>
        </w:rPr>
        <w:t>. It started with public reaction to the then rapidly spreading COVID-19 pandemic, the very sharp contraction of the real economy in early March as people stayed home to avoid contracting the illness under government-imposed lockdowns in many jurisdictions around the globe. These government actions to stem the pandemic sharply reduced investor confidence, price discovery and liquidity across all markets. Predictably, a contagion then ensued as the prospect of the worst pandemic in 100 years shut markets down. In these conditions, there was a dramatic increase in the VIX - a market indicator of fear - to a record high of 83%. Credit spreads for investment grade and high yield bonds had already increased by approximately 150% from mid-February to March 18th.</w:t>
      </w:r>
    </w:p>
    <w:p w14:paraId="6A10D72F" w14:textId="77777777" w:rsidR="0090742A" w:rsidRPr="00726C4B" w:rsidRDefault="0090742A" w:rsidP="0090742A">
      <w:pPr>
        <w:rPr>
          <w:rFonts w:cstheme="minorHAnsi"/>
        </w:rPr>
      </w:pPr>
    </w:p>
    <w:p w14:paraId="231C0828" w14:textId="77777777" w:rsidR="0090742A" w:rsidRPr="00726C4B" w:rsidRDefault="0090742A" w:rsidP="0090742A">
      <w:pPr>
        <w:rPr>
          <w:rFonts w:cstheme="minorHAnsi"/>
        </w:rPr>
      </w:pPr>
      <w:r w:rsidRPr="00726C4B">
        <w:rPr>
          <w:rFonts w:cstheme="minorHAnsi"/>
        </w:rPr>
        <w:t>This was an unparalleled economic collapse and a stress on financial markets with unprecedented speed and of a magnitude on a par with the global financial crisis of 2008. In its Communication “</w:t>
      </w:r>
      <w:hyperlink r:id="rId20" w:history="1">
        <w:r w:rsidRPr="00726C4B">
          <w:rPr>
            <w:rStyle w:val="Hyperlink"/>
            <w:rFonts w:cstheme="minorHAnsi"/>
          </w:rPr>
          <w:t>Coordinated economic response to the COVID-19 Outbreak</w:t>
        </w:r>
      </w:hyperlink>
      <w:r w:rsidRPr="00726C4B">
        <w:rPr>
          <w:rFonts w:cstheme="minorHAnsi"/>
        </w:rPr>
        <w:t xml:space="preserve">” published on 13 March 2020, the European Commission (“EC”) observed: </w:t>
      </w:r>
    </w:p>
    <w:p w14:paraId="0571B775" w14:textId="77777777" w:rsidR="0090742A" w:rsidRPr="00726C4B" w:rsidRDefault="0090742A" w:rsidP="0090742A">
      <w:pPr>
        <w:ind w:left="360"/>
        <w:rPr>
          <w:rFonts w:cstheme="minorHAnsi"/>
          <w:i/>
          <w:iCs/>
        </w:rPr>
      </w:pPr>
      <w:r w:rsidRPr="00726C4B">
        <w:rPr>
          <w:rFonts w:cstheme="minorHAnsi"/>
          <w:i/>
          <w:iCs/>
        </w:rPr>
        <w:t>The COVID-19 pandemic is a major shock to the global and European economy. Already today, a substantial negative economic impact on Europe has materialised, at least for the first half of this year and possibly longer if containment measures are not effective. Real GDP growth in 2020 might fall to well below zero or even be substantially negative as a result of the COVID-19, and a coordinated economic response of EU institutions and Member States is key to mitigating the economic repercussions. This shock is affecting the economy through different channels:</w:t>
      </w:r>
    </w:p>
    <w:p w14:paraId="7697BD92" w14:textId="77777777" w:rsidR="0090742A" w:rsidRPr="00726C4B" w:rsidRDefault="0090742A" w:rsidP="005B599C">
      <w:pPr>
        <w:numPr>
          <w:ilvl w:val="0"/>
          <w:numId w:val="37"/>
        </w:numPr>
        <w:spacing w:after="100"/>
        <w:rPr>
          <w:rFonts w:cstheme="minorHAnsi"/>
          <w:i/>
          <w:iCs/>
        </w:rPr>
      </w:pPr>
      <w:r w:rsidRPr="00726C4B">
        <w:rPr>
          <w:rFonts w:cstheme="minorHAnsi"/>
          <w:i/>
          <w:iCs/>
        </w:rPr>
        <w:t>the shock resulting from China’s initial contraction in the first quarter of 2020;</w:t>
      </w:r>
    </w:p>
    <w:p w14:paraId="3650817A" w14:textId="77777777" w:rsidR="0090742A" w:rsidRPr="00726C4B" w:rsidRDefault="0090742A" w:rsidP="005B599C">
      <w:pPr>
        <w:numPr>
          <w:ilvl w:val="0"/>
          <w:numId w:val="37"/>
        </w:numPr>
        <w:spacing w:after="100"/>
        <w:rPr>
          <w:rFonts w:cstheme="minorHAnsi"/>
          <w:i/>
          <w:iCs/>
        </w:rPr>
      </w:pPr>
      <w:r w:rsidRPr="00726C4B">
        <w:rPr>
          <w:rFonts w:cstheme="minorHAnsi"/>
          <w:i/>
          <w:iCs/>
        </w:rPr>
        <w:lastRenderedPageBreak/>
        <w:t>the supply shock to the European and global economy resulting from the disruption of supply chains absences from the workplace;</w:t>
      </w:r>
    </w:p>
    <w:p w14:paraId="4983ED7A" w14:textId="77777777" w:rsidR="0090742A" w:rsidRPr="00726C4B" w:rsidRDefault="0090742A" w:rsidP="005B599C">
      <w:pPr>
        <w:numPr>
          <w:ilvl w:val="0"/>
          <w:numId w:val="37"/>
        </w:numPr>
        <w:spacing w:after="100"/>
        <w:rPr>
          <w:rFonts w:cstheme="minorHAnsi"/>
          <w:i/>
          <w:iCs/>
        </w:rPr>
      </w:pPr>
      <w:r w:rsidRPr="00726C4B">
        <w:rPr>
          <w:rFonts w:cstheme="minorHAnsi"/>
          <w:i/>
          <w:iCs/>
        </w:rPr>
        <w:t>the demand shock to the European and global economy caused by lower consumer demand and the negative impact of uncertainty on investment plans;</w:t>
      </w:r>
    </w:p>
    <w:p w14:paraId="653A3816" w14:textId="77777777" w:rsidR="0090742A" w:rsidRPr="00726C4B" w:rsidRDefault="0090742A" w:rsidP="005B599C">
      <w:pPr>
        <w:numPr>
          <w:ilvl w:val="0"/>
          <w:numId w:val="37"/>
        </w:numPr>
        <w:spacing w:after="100"/>
        <w:rPr>
          <w:rFonts w:cstheme="minorHAnsi"/>
          <w:i/>
          <w:iCs/>
        </w:rPr>
      </w:pPr>
      <w:r w:rsidRPr="00726C4B">
        <w:rPr>
          <w:rFonts w:cstheme="minorHAnsi"/>
          <w:i/>
          <w:iCs/>
        </w:rPr>
        <w:t>and the impact of liquidity constraints for firms.</w:t>
      </w:r>
    </w:p>
    <w:p w14:paraId="05868ADF" w14:textId="77777777" w:rsidR="0090742A" w:rsidRPr="00726C4B" w:rsidRDefault="0090742A" w:rsidP="0090742A">
      <w:pPr>
        <w:rPr>
          <w:rFonts w:cstheme="minorHAnsi"/>
        </w:rPr>
      </w:pPr>
    </w:p>
    <w:p w14:paraId="158A4F8D" w14:textId="77777777" w:rsidR="0090742A" w:rsidRPr="00726C4B" w:rsidRDefault="0090742A" w:rsidP="0090742A">
      <w:pPr>
        <w:rPr>
          <w:rFonts w:cstheme="minorHAnsi"/>
        </w:rPr>
      </w:pPr>
      <w:r w:rsidRPr="00726C4B">
        <w:rPr>
          <w:rFonts w:cstheme="minorHAnsi"/>
          <w:b/>
          <w:bCs/>
        </w:rPr>
        <w:t>Second, MMFs did not cause or amplify the crisis</w:t>
      </w:r>
      <w:r w:rsidRPr="00726C4B">
        <w:rPr>
          <w:rFonts w:cstheme="minorHAnsi"/>
        </w:rPr>
        <w:t>. As the EC stated in its above-mentioned Communication, “</w:t>
      </w:r>
      <w:r w:rsidRPr="00726C4B">
        <w:rPr>
          <w:rFonts w:cstheme="minorHAnsi"/>
          <w:i/>
          <w:iCs/>
        </w:rPr>
        <w:t>The COVID-19 pandemic has an impact on global financial markets.</w:t>
      </w:r>
      <w:r w:rsidRPr="00726C4B">
        <w:rPr>
          <w:rFonts w:cstheme="minorHAnsi"/>
        </w:rPr>
        <w:t>”</w:t>
      </w:r>
    </w:p>
    <w:p w14:paraId="419A068B" w14:textId="77777777" w:rsidR="00041690" w:rsidRDefault="00041690" w:rsidP="0090742A">
      <w:pPr>
        <w:rPr>
          <w:rFonts w:cstheme="minorHAnsi"/>
        </w:rPr>
      </w:pPr>
    </w:p>
    <w:p w14:paraId="761A9316" w14:textId="398BC1E3" w:rsidR="0090742A" w:rsidRPr="00726C4B" w:rsidRDefault="0090742A" w:rsidP="0090742A">
      <w:pPr>
        <w:rPr>
          <w:rFonts w:cstheme="minorHAnsi"/>
        </w:rPr>
      </w:pPr>
      <w:r w:rsidRPr="00726C4B">
        <w:rPr>
          <w:rFonts w:cstheme="minorHAnsi"/>
        </w:rPr>
        <w:t xml:space="preserve">On Monday 9 March 2020, the stock markets experienced their largest single day drop since 2008, with the Dow index dropping 2,000 points. On the same date, the volatility expanded into the bond market, due in part to margin calls and unwinding of leveraged positions. The equity markets only deteriorated from there, with further major declines in global equity markets on Thursday 12 March. On Monday 16 March, global equity markets took a one-day decline of 12-13% which was the largest one-day drop of the period. The equity market slide continued through 7 April 2020. </w:t>
      </w:r>
    </w:p>
    <w:p w14:paraId="28B77EB8" w14:textId="77777777" w:rsidR="00041690" w:rsidRDefault="00041690" w:rsidP="0090742A">
      <w:pPr>
        <w:rPr>
          <w:rFonts w:cstheme="minorHAnsi"/>
        </w:rPr>
      </w:pPr>
    </w:p>
    <w:p w14:paraId="74899C0A" w14:textId="4CF9DD9C" w:rsidR="0090742A" w:rsidRPr="00726C4B" w:rsidRDefault="0090742A" w:rsidP="0090742A">
      <w:pPr>
        <w:rPr>
          <w:rFonts w:cstheme="minorHAnsi"/>
        </w:rPr>
      </w:pPr>
      <w:r w:rsidRPr="00726C4B">
        <w:rPr>
          <w:rFonts w:cstheme="minorHAnsi"/>
        </w:rPr>
        <w:t xml:space="preserve">The turmoil also impacted the market for government securities in US, EU, and other jurisdictions in the first week of March 2020, which became quite volatile by early in the second week of March 2020, before the impact was felt in other credit markets or the CP market. Dealers widened the bid-ask spreads they offered their clients on average by a factor of 13 in the first weeks of March. </w:t>
      </w:r>
    </w:p>
    <w:p w14:paraId="2F871252" w14:textId="77777777" w:rsidR="00DC4E3C" w:rsidRDefault="00DC4E3C" w:rsidP="0090742A">
      <w:pPr>
        <w:rPr>
          <w:rFonts w:cstheme="minorHAnsi"/>
        </w:rPr>
      </w:pPr>
    </w:p>
    <w:p w14:paraId="5E341EF2" w14:textId="3FD6D3C5" w:rsidR="0090742A" w:rsidRPr="00726C4B" w:rsidRDefault="0090742A" w:rsidP="0090742A">
      <w:pPr>
        <w:rPr>
          <w:rFonts w:cstheme="minorHAnsi"/>
        </w:rPr>
      </w:pPr>
      <w:r w:rsidRPr="00726C4B">
        <w:rPr>
          <w:rFonts w:cstheme="minorHAnsi"/>
        </w:rPr>
        <w:t>The FRA-OIS spread is viewed as a proxy for turmoil or risk in the interbank lending markets because it represents the spread between the rate at which the central bank lends and the average rate at which banks lend to one another. The widening of FRA-OIS spreads on CP during March 2020 was widely noted in early March 2020 (before outflows from MMF commenced) and was attributed to market concerns over the COVID-19 pandemic.</w:t>
      </w:r>
    </w:p>
    <w:p w14:paraId="66250CBA" w14:textId="77777777" w:rsidR="00041690" w:rsidRDefault="00041690" w:rsidP="0090742A">
      <w:pPr>
        <w:rPr>
          <w:rFonts w:cstheme="minorHAnsi"/>
        </w:rPr>
      </w:pPr>
    </w:p>
    <w:p w14:paraId="109418BC" w14:textId="2285128A" w:rsidR="0090742A" w:rsidRPr="00726C4B" w:rsidRDefault="0090742A" w:rsidP="0090742A">
      <w:pPr>
        <w:rPr>
          <w:rFonts w:cstheme="minorHAnsi"/>
        </w:rPr>
      </w:pPr>
      <w:r w:rsidRPr="00726C4B">
        <w:rPr>
          <w:rFonts w:cstheme="minorHAnsi"/>
        </w:rPr>
        <w:t xml:space="preserve">Thus, the turmoil in the CP market and other high-quality short-term markets and its impact on MMFs did not begin until mid-March 2020, weeks after the equity and oil markets had begun to plummet and at least a week after the bond market entered its turbulent period. </w:t>
      </w:r>
    </w:p>
    <w:p w14:paraId="05BA8A09" w14:textId="77777777" w:rsidR="00041690" w:rsidRDefault="00041690" w:rsidP="0090742A">
      <w:pPr>
        <w:rPr>
          <w:rFonts w:cstheme="minorHAnsi"/>
        </w:rPr>
      </w:pPr>
    </w:p>
    <w:p w14:paraId="1C85B094" w14:textId="3666182F" w:rsidR="0090742A" w:rsidRPr="00726C4B" w:rsidRDefault="0090742A" w:rsidP="0090742A">
      <w:pPr>
        <w:rPr>
          <w:rFonts w:cstheme="minorHAnsi"/>
        </w:rPr>
      </w:pPr>
      <w:r w:rsidRPr="00726C4B">
        <w:rPr>
          <w:rFonts w:cstheme="minorHAnsi"/>
        </w:rPr>
        <w:t>Any narrative which assigns blame to MMFs is simply false and is not supported by the data, as events in the real world and in other segments of the financial markets occurred before MMFs experienced significant outflows. While the fundamentals of MMFs remained unchanged in relation to their structure and the high-quality of assets in which they invest, the sector was tested by the almost complete lack of market-wide liquidity in secondary markets and hindered by regulations that contributed to artificially high levels of redemptions.</w:t>
      </w:r>
    </w:p>
    <w:p w14:paraId="4FD3CDCB" w14:textId="77777777" w:rsidR="0090742A" w:rsidRPr="00726C4B" w:rsidRDefault="0090742A" w:rsidP="0090742A">
      <w:pPr>
        <w:rPr>
          <w:rFonts w:cstheme="minorHAnsi"/>
        </w:rPr>
      </w:pPr>
    </w:p>
    <w:p w14:paraId="0B8ACF26" w14:textId="77777777" w:rsidR="0090742A" w:rsidRPr="00726C4B" w:rsidRDefault="0090742A" w:rsidP="0090742A">
      <w:pPr>
        <w:rPr>
          <w:rFonts w:cstheme="minorHAnsi"/>
          <w:b/>
          <w:bCs/>
        </w:rPr>
      </w:pPr>
      <w:r w:rsidRPr="00726C4B">
        <w:rPr>
          <w:rFonts w:cstheme="minorHAnsi"/>
          <w:b/>
          <w:bCs/>
        </w:rPr>
        <w:t xml:space="preserve">Third, MMFs proved robust and resilient and, in Europe, did not directly benefit from central bank interventions as the PEPP did not permit the placement of bank CP or Non-Euro denominated paper. </w:t>
      </w:r>
    </w:p>
    <w:p w14:paraId="67399595" w14:textId="77777777" w:rsidR="0090742A" w:rsidRPr="00726C4B" w:rsidRDefault="0090742A" w:rsidP="0090742A">
      <w:pPr>
        <w:rPr>
          <w:rFonts w:cstheme="minorHAnsi"/>
        </w:rPr>
      </w:pPr>
      <w:r w:rsidRPr="00726C4B">
        <w:rPr>
          <w:rFonts w:cstheme="minorHAnsi"/>
        </w:rPr>
        <w:t xml:space="preserve">As ESMA states, actions by the ECB were intended to support the money markets. It is clear, however, that they were not intended to support EU MMFs, as the assets typically held by EU MMFs (bank CP or non-Euro denominated assets) were not eligible for the PEPP. </w:t>
      </w:r>
    </w:p>
    <w:p w14:paraId="32784628" w14:textId="77777777" w:rsidR="00041690" w:rsidRDefault="00041690" w:rsidP="0090742A">
      <w:pPr>
        <w:rPr>
          <w:rFonts w:cstheme="minorHAnsi"/>
        </w:rPr>
      </w:pPr>
    </w:p>
    <w:p w14:paraId="272C587C" w14:textId="604E2F45" w:rsidR="0090742A" w:rsidRPr="00726C4B" w:rsidRDefault="0090742A" w:rsidP="0090742A">
      <w:pPr>
        <w:rPr>
          <w:rFonts w:cstheme="minorHAnsi"/>
        </w:rPr>
      </w:pPr>
      <w:r w:rsidRPr="00726C4B">
        <w:rPr>
          <w:rFonts w:cstheme="minorHAnsi"/>
        </w:rPr>
        <w:t>Notwithstanding the lack of any direct ECB support for EU MMFs, as IOSCO emphasises in its Thematic Note “Money Market Funds during the March-April Episode” published in November 2020, “</w:t>
      </w:r>
      <w:r w:rsidRPr="00726C4B">
        <w:rPr>
          <w:rFonts w:cstheme="minorHAnsi"/>
          <w:i/>
          <w:iCs/>
        </w:rPr>
        <w:t>Despite the strains faced by non-public debt MMFs in March and based on the responses to the IOSCO Financial Stability Engagement Group (FSEG) survey, it appears that all redemptions have been honoured, no MMFs have suspended redemptions, imposed fees and/or gates, or converted from LVNAV to VNAV</w:t>
      </w:r>
      <w:r w:rsidRPr="00726C4B">
        <w:rPr>
          <w:rFonts w:cstheme="minorHAnsi"/>
        </w:rPr>
        <w:t>.” In short, EU MMFs proved resilient and performed as intended throughout the Liquidity Crisis.</w:t>
      </w:r>
    </w:p>
    <w:p w14:paraId="6B4B6157" w14:textId="77777777" w:rsidR="0090742A" w:rsidRPr="00726C4B" w:rsidRDefault="0090742A" w:rsidP="0090742A">
      <w:pPr>
        <w:rPr>
          <w:rFonts w:cstheme="minorHAnsi"/>
          <w:b/>
          <w:bCs/>
        </w:rPr>
      </w:pPr>
    </w:p>
    <w:p w14:paraId="45E22DB5" w14:textId="77777777" w:rsidR="0090742A" w:rsidRPr="008B7BAA" w:rsidRDefault="0090742A" w:rsidP="0090742A">
      <w:pPr>
        <w:rPr>
          <w:rFonts w:cstheme="minorHAnsi"/>
          <w:b/>
          <w:bCs/>
        </w:rPr>
      </w:pPr>
      <w:r w:rsidRPr="008B7BAA">
        <w:rPr>
          <w:rFonts w:cstheme="minorHAnsi"/>
          <w:b/>
          <w:bCs/>
        </w:rPr>
        <w:t>Identification of vulnerabilities</w:t>
      </w:r>
    </w:p>
    <w:p w14:paraId="11005033" w14:textId="6BD6A0E3" w:rsidR="0090742A" w:rsidRDefault="0090742A" w:rsidP="0090742A">
      <w:pPr>
        <w:rPr>
          <w:rFonts w:cstheme="minorHAnsi"/>
        </w:rPr>
      </w:pPr>
      <w:r w:rsidRPr="00726C4B">
        <w:rPr>
          <w:rFonts w:cstheme="minorHAnsi"/>
          <w:b/>
          <w:bCs/>
        </w:rPr>
        <w:lastRenderedPageBreak/>
        <w:t>ESMA identified short-term market vulnerabilities, not MMF vulnerabilities</w:t>
      </w:r>
      <w:r w:rsidRPr="00726C4B">
        <w:rPr>
          <w:rFonts w:cstheme="minorHAnsi"/>
        </w:rPr>
        <w:t xml:space="preserve">. We would like to make clear the vulnerabilities noted by ESMA are inherent to the short-term funding markets. They are not vulnerabilities in structure or regulatory framework of EU MMFs. </w:t>
      </w:r>
    </w:p>
    <w:p w14:paraId="23E72126" w14:textId="77777777" w:rsidR="00DC4E3C" w:rsidRPr="00726C4B" w:rsidRDefault="00DC4E3C" w:rsidP="0090742A">
      <w:pPr>
        <w:rPr>
          <w:rFonts w:cstheme="minorHAnsi"/>
          <w:b/>
          <w:bCs/>
        </w:rPr>
      </w:pPr>
    </w:p>
    <w:p w14:paraId="54116707" w14:textId="77777777" w:rsidR="0090742A" w:rsidRPr="008B7BAA" w:rsidRDefault="0090742A" w:rsidP="005B599C">
      <w:pPr>
        <w:numPr>
          <w:ilvl w:val="0"/>
          <w:numId w:val="42"/>
        </w:numPr>
        <w:spacing w:after="100"/>
        <w:rPr>
          <w:rFonts w:cstheme="minorHAnsi"/>
          <w:b/>
          <w:bCs/>
        </w:rPr>
      </w:pPr>
      <w:r w:rsidRPr="008B7BAA">
        <w:rPr>
          <w:rFonts w:cstheme="minorHAnsi"/>
          <w:b/>
          <w:bCs/>
        </w:rPr>
        <w:t>Liquidity of underlying private money markets</w:t>
      </w:r>
    </w:p>
    <w:p w14:paraId="3AAA61B8" w14:textId="77777777" w:rsidR="0090742A" w:rsidRPr="00726C4B" w:rsidRDefault="0090742A" w:rsidP="0090742A">
      <w:pPr>
        <w:rPr>
          <w:rFonts w:cstheme="minorHAnsi"/>
        </w:rPr>
      </w:pPr>
      <w:r w:rsidRPr="00726C4B">
        <w:rPr>
          <w:rFonts w:cstheme="minorHAnsi"/>
        </w:rPr>
        <w:t>We agree with ESMA that, in March 2020, there was a lack of liquidity in CP and certificates of deposit (“CD”) markets (secondary short-term funding markets). However, we do not agree with the unevidenced statement that “those markets are not very liquid even in normal times.” ESMA is correct in identifying short-term markets as an area requiring significant further analysis. A proper analysis of the short-term funding markets needs be a collaborative endeavour. MMFs are but one small player in the short-term money markets and playing a role in the markets and reacting to market stresses should not be confused with causing such market stresses.</w:t>
      </w:r>
    </w:p>
    <w:p w14:paraId="08A1E4D7" w14:textId="77777777" w:rsidR="008B7BAA" w:rsidRDefault="008B7BAA" w:rsidP="0090742A">
      <w:pPr>
        <w:rPr>
          <w:rFonts w:cstheme="minorHAnsi"/>
          <w:b/>
          <w:bCs/>
        </w:rPr>
      </w:pPr>
    </w:p>
    <w:p w14:paraId="35739215" w14:textId="6DE86CC6" w:rsidR="0090742A" w:rsidRPr="00726C4B" w:rsidRDefault="0090742A" w:rsidP="0090742A">
      <w:pPr>
        <w:rPr>
          <w:rFonts w:cstheme="minorHAnsi"/>
        </w:rPr>
      </w:pPr>
      <w:r w:rsidRPr="00726C4B">
        <w:rPr>
          <w:rFonts w:cstheme="minorHAnsi"/>
          <w:b/>
          <w:bCs/>
        </w:rPr>
        <w:t>Firstly, there is an issue with transparency</w:t>
      </w:r>
      <w:r w:rsidRPr="00726C4B">
        <w:rPr>
          <w:rFonts w:cstheme="minorHAnsi"/>
        </w:rPr>
        <w:t xml:space="preserve">. </w:t>
      </w:r>
    </w:p>
    <w:p w14:paraId="2DB7F8FC" w14:textId="77777777" w:rsidR="0090742A" w:rsidRPr="00726C4B" w:rsidRDefault="0090742A" w:rsidP="0090742A">
      <w:pPr>
        <w:rPr>
          <w:rFonts w:cstheme="minorHAnsi"/>
        </w:rPr>
      </w:pPr>
      <w:r w:rsidRPr="00726C4B">
        <w:rPr>
          <w:rFonts w:cstheme="minorHAnsi"/>
        </w:rPr>
        <w:t>Like ESMA, we believe there needs to be a significant increase in the transparency in the short-term markets. The EU MMF footprint is small compared to other players in the markets, however we can only estimate the actual size. For instance, in the US, it is acknowledged that US prime MMFs held only 29% of outstanding CP at the end of February 2020. The other 71% was held by investors ranging from non-financial corporates and foreign entities to pension plans, hedge funds, mutual funds, and insurers. Founding any policy reform on assumed metrics or by focusing on one specific type of minority player will not result in effective regulation. The EU must better understand how the European short-term markets function and the role of its market participants.</w:t>
      </w:r>
    </w:p>
    <w:p w14:paraId="0C9B9641" w14:textId="77777777" w:rsidR="008B7BAA" w:rsidRDefault="008B7BAA" w:rsidP="0090742A">
      <w:pPr>
        <w:rPr>
          <w:rFonts w:cstheme="minorHAnsi"/>
        </w:rPr>
      </w:pPr>
    </w:p>
    <w:p w14:paraId="05D7AEB9" w14:textId="45D4B7CA" w:rsidR="0090742A" w:rsidRPr="00726C4B" w:rsidRDefault="0090742A" w:rsidP="0090742A">
      <w:pPr>
        <w:rPr>
          <w:rFonts w:cstheme="minorHAnsi"/>
        </w:rPr>
      </w:pPr>
      <w:r w:rsidRPr="00726C4B">
        <w:rPr>
          <w:rFonts w:cstheme="minorHAnsi"/>
        </w:rPr>
        <w:t xml:space="preserve">EU MMFs are highly regulated and transparent capital market instruments. We fully support the EU imposing similar EU MMF transparency requirements to all short-term funding market players, including both buy-side institutions and sell-side operators. In addition, we would welcome increased transparency on programmes and outstanding volumes as, beyond giving a better indication of the size, volume, and depth of these markets, it would improve the valuation process for assets and improve risk management processes. </w:t>
      </w:r>
    </w:p>
    <w:p w14:paraId="75CFCC6B" w14:textId="77777777" w:rsidR="008B7BAA" w:rsidRDefault="008B7BAA" w:rsidP="0090742A">
      <w:pPr>
        <w:rPr>
          <w:rFonts w:cstheme="minorHAnsi"/>
          <w:b/>
          <w:bCs/>
        </w:rPr>
      </w:pPr>
    </w:p>
    <w:p w14:paraId="3E569426" w14:textId="47DFF53C" w:rsidR="0090742A" w:rsidRPr="00726C4B" w:rsidRDefault="0090742A" w:rsidP="0090742A">
      <w:pPr>
        <w:rPr>
          <w:rFonts w:cstheme="minorHAnsi"/>
        </w:rPr>
      </w:pPr>
      <w:r w:rsidRPr="00726C4B">
        <w:rPr>
          <w:rFonts w:cstheme="minorHAnsi"/>
          <w:b/>
          <w:bCs/>
        </w:rPr>
        <w:t>Secondly, the short-term funding market structure should be further reviewed before any action is taken</w:t>
      </w:r>
      <w:r w:rsidRPr="00726C4B">
        <w:rPr>
          <w:rFonts w:cstheme="minorHAnsi"/>
        </w:rPr>
        <w:t xml:space="preserve">. These markets are chiefly over-the-counter (“OTC”). EU MMFs typically purchase these securities from the issuing banks on the primary market. MMFs hold the vast majority (ca. 98.5%) of these assets to maturity. During the Liquidity Crisis, to maintain weekly liquidity levels, MMFs looked to sell some of their securities back to the bank from whom they purchased the security. However, this was when all market participants were looking to increase liquidity in such uncertain times. As such, even issuers of the underlying securities, who would normally be expected to repurchase some of their own issuance, were reluctant to buy them, quoting “balance sheet constraints”. Also, many banks are unwilling to bid in the secondary market paper from issuers where they are not a named dealer on that programme. </w:t>
      </w:r>
    </w:p>
    <w:p w14:paraId="62BD8FC0" w14:textId="77777777" w:rsidR="008B7BAA" w:rsidRDefault="008B7BAA" w:rsidP="0090742A">
      <w:pPr>
        <w:rPr>
          <w:rFonts w:cstheme="minorHAnsi"/>
        </w:rPr>
      </w:pPr>
    </w:p>
    <w:p w14:paraId="1A7E3E57" w14:textId="3FE22BF8" w:rsidR="0090742A" w:rsidRPr="00726C4B" w:rsidRDefault="0090742A" w:rsidP="0090742A">
      <w:pPr>
        <w:rPr>
          <w:rFonts w:cstheme="minorHAnsi"/>
        </w:rPr>
      </w:pPr>
      <w:r w:rsidRPr="00726C4B">
        <w:rPr>
          <w:rFonts w:cstheme="minorHAnsi"/>
        </w:rPr>
        <w:t>In normal times, these markets are absolutely liquid. Even though MMFs hold most all their assets until maturity (short-term securities which are cash equivalent), they can expect to sell the paper back to either the dealer or, in some cases, to the issuer itself at an acceptable bid-offer spread to the original purchase price. Thus, it is correct to say that activity in secondary CP and CD markets is low (as ESMA indicates in paragraphs 24 and 33), but not correct to infer that low activity equates to low levels of liquidity. High (credit) quality paper can always be sold in normal conditions without issue. However, if global economies are closed as a result of a pandemic, that is another story. The March 2020 events were not a credit crisis but a flight-to-liquidity issue. Many issuers and dealers refused to buy CP and CD. The various new banking regulations limited the ability of dealers to take securities into inventory and a thorough analysis on how to improve banking regulations to support market liquidity in times of stress should be undertaken.</w:t>
      </w:r>
    </w:p>
    <w:p w14:paraId="200A2547" w14:textId="77777777" w:rsidR="00DC4E3C" w:rsidRDefault="00DC4E3C" w:rsidP="0090742A">
      <w:pPr>
        <w:rPr>
          <w:rFonts w:cstheme="minorHAnsi"/>
        </w:rPr>
      </w:pPr>
    </w:p>
    <w:p w14:paraId="782A3C7C" w14:textId="74EF6BDE" w:rsidR="0090742A" w:rsidRPr="00726C4B" w:rsidRDefault="0090742A" w:rsidP="0090742A">
      <w:pPr>
        <w:rPr>
          <w:rFonts w:cstheme="minorHAnsi"/>
        </w:rPr>
      </w:pPr>
      <w:r w:rsidRPr="00726C4B">
        <w:rPr>
          <w:rFonts w:cstheme="minorHAnsi"/>
        </w:rPr>
        <w:t xml:space="preserve">In a rush to judgment regarding the need to further regulate EU MMFs, many commenters - including prominent policymakers - fail to distinguish between systemic </w:t>
      </w:r>
      <w:r w:rsidRPr="00726C4B">
        <w:rPr>
          <w:rFonts w:cstheme="minorHAnsi"/>
          <w:i/>
          <w:iCs/>
        </w:rPr>
        <w:t>liquidity</w:t>
      </w:r>
      <w:r w:rsidRPr="00726C4B">
        <w:rPr>
          <w:rFonts w:cstheme="minorHAnsi"/>
        </w:rPr>
        <w:t xml:space="preserve"> events and systemic </w:t>
      </w:r>
      <w:r w:rsidRPr="00726C4B">
        <w:rPr>
          <w:rFonts w:cstheme="minorHAnsi"/>
          <w:i/>
          <w:iCs/>
        </w:rPr>
        <w:t>credit</w:t>
      </w:r>
      <w:r w:rsidRPr="00726C4B">
        <w:rPr>
          <w:rFonts w:cstheme="minorHAnsi"/>
        </w:rPr>
        <w:t xml:space="preserve"> events. The data is abundantly clear that the real problem in March was not MMFs but systemic illiquidity and the seizing up of markets that are essential to financial stability.</w:t>
      </w:r>
    </w:p>
    <w:p w14:paraId="52EB0984" w14:textId="77777777" w:rsidR="008B7BAA" w:rsidRDefault="008B7BAA" w:rsidP="0090742A">
      <w:pPr>
        <w:rPr>
          <w:rFonts w:cstheme="minorHAnsi"/>
        </w:rPr>
      </w:pPr>
    </w:p>
    <w:p w14:paraId="075F59AF" w14:textId="05DF9BC3" w:rsidR="0090742A" w:rsidRPr="00726C4B" w:rsidRDefault="0090742A" w:rsidP="0090742A">
      <w:pPr>
        <w:rPr>
          <w:rFonts w:cstheme="minorHAnsi"/>
        </w:rPr>
      </w:pPr>
      <w:r w:rsidRPr="00726C4B">
        <w:rPr>
          <w:rFonts w:cstheme="minorHAnsi"/>
        </w:rPr>
        <w:lastRenderedPageBreak/>
        <w:t>As explained in more detail at Questions 2, 8,</w:t>
      </w:r>
      <w:r w:rsidR="003669E5">
        <w:rPr>
          <w:rFonts w:cstheme="minorHAnsi"/>
        </w:rPr>
        <w:t xml:space="preserve"> </w:t>
      </w:r>
      <w:r w:rsidRPr="00726C4B">
        <w:rPr>
          <w:rFonts w:cstheme="minorHAnsi"/>
        </w:rPr>
        <w:t xml:space="preserve">11, and 12, we fully support efforts to improve liquidity in short-term funding markets in times of market stress. The Liquidity Crisis exposed structural issues which should be addressed by market-based solutions. </w:t>
      </w:r>
    </w:p>
    <w:p w14:paraId="70005322" w14:textId="77777777" w:rsidR="0090742A" w:rsidRPr="00726C4B" w:rsidRDefault="0090742A" w:rsidP="0090742A">
      <w:pPr>
        <w:rPr>
          <w:rFonts w:cstheme="minorHAnsi"/>
        </w:rPr>
      </w:pPr>
    </w:p>
    <w:p w14:paraId="578220E8" w14:textId="77777777" w:rsidR="0090742A" w:rsidRPr="00266E37" w:rsidRDefault="0090742A" w:rsidP="005B599C">
      <w:pPr>
        <w:numPr>
          <w:ilvl w:val="0"/>
          <w:numId w:val="42"/>
        </w:numPr>
        <w:spacing w:after="100"/>
        <w:rPr>
          <w:rFonts w:cstheme="minorHAnsi"/>
          <w:b/>
          <w:bCs/>
        </w:rPr>
      </w:pPr>
      <w:r w:rsidRPr="00266E37">
        <w:rPr>
          <w:rFonts w:cstheme="minorHAnsi"/>
          <w:b/>
          <w:bCs/>
        </w:rPr>
        <w:t>Role of regulatory constraints for LVNAVs</w:t>
      </w:r>
    </w:p>
    <w:p w14:paraId="3635514E" w14:textId="77777777" w:rsidR="0090742A" w:rsidRPr="00726C4B" w:rsidRDefault="0090742A" w:rsidP="0090742A">
      <w:pPr>
        <w:rPr>
          <w:rFonts w:cstheme="minorHAnsi"/>
        </w:rPr>
      </w:pPr>
      <w:r w:rsidRPr="00726C4B">
        <w:rPr>
          <w:rFonts w:cstheme="minorHAnsi"/>
          <w:bCs/>
        </w:rPr>
        <w:t>We do not agree with ESMA’s analysis of March 2020 events, and its misplaced targeting of LVNAV MMFs goes against the data.</w:t>
      </w:r>
    </w:p>
    <w:p w14:paraId="6B357A02" w14:textId="77777777" w:rsidR="00266E37" w:rsidRDefault="00266E37" w:rsidP="0090742A">
      <w:pPr>
        <w:rPr>
          <w:rFonts w:cstheme="minorHAnsi"/>
        </w:rPr>
      </w:pPr>
    </w:p>
    <w:p w14:paraId="367CDBD4" w14:textId="7F7CA0E5" w:rsidR="0090742A" w:rsidRPr="00726C4B" w:rsidRDefault="0090742A" w:rsidP="0090742A">
      <w:pPr>
        <w:rPr>
          <w:rFonts w:cstheme="minorHAnsi"/>
        </w:rPr>
      </w:pPr>
      <w:r w:rsidRPr="00726C4B">
        <w:rPr>
          <w:rFonts w:cstheme="minorHAnsi"/>
        </w:rPr>
        <w:t xml:space="preserve">EU prime LVNAV MMFs, like French and US prime VNAV MMFs, all experienced liquidity stress. The structure of the LVNAV fund did not amplify this stress – as redemption levels were on par with VNAV funds in Europe and the US. In France where all MMFs are VNAV, redemptions from French MMF were of similar magnitude to what the sector had experienced during the 2008 crisis, with €48.6 billion in redemptions between 12 and 30 March 2020 (see: </w:t>
      </w:r>
      <w:hyperlink r:id="rId21" w:anchor="xtor=EREC-6" w:history="1">
        <w:r w:rsidRPr="00726C4B">
          <w:rPr>
            <w:rStyle w:val="Hyperlink"/>
            <w:rFonts w:cstheme="minorHAnsi"/>
          </w:rPr>
          <w:t>Analysis</w:t>
        </w:r>
      </w:hyperlink>
      <w:r w:rsidRPr="00726C4B">
        <w:rPr>
          <w:rFonts w:cstheme="minorHAnsi"/>
        </w:rPr>
        <w:t xml:space="preserve"> of French money market fund portfolios during the surge in withdrawals recorded at the onset of the COVID-19 crisis, by the Autorité des marchés financiers (“AMF”)).</w:t>
      </w:r>
    </w:p>
    <w:p w14:paraId="1484776C" w14:textId="77777777" w:rsidR="00266E37" w:rsidRDefault="00266E37" w:rsidP="0090742A">
      <w:pPr>
        <w:rPr>
          <w:rFonts w:cstheme="minorHAnsi"/>
        </w:rPr>
      </w:pPr>
    </w:p>
    <w:p w14:paraId="6F0A1A39" w14:textId="7D9692A3" w:rsidR="0090742A" w:rsidRPr="00726C4B" w:rsidRDefault="0090742A" w:rsidP="0090742A">
      <w:pPr>
        <w:rPr>
          <w:rFonts w:cstheme="minorHAnsi"/>
        </w:rPr>
      </w:pPr>
      <w:r w:rsidRPr="00726C4B">
        <w:rPr>
          <w:rFonts w:cstheme="minorHAnsi"/>
        </w:rPr>
        <w:t>The redemption experience of EU LVNAV and VNAV funds exposed flaws in MMFR which should be addressed in the upcoming EC MMFR Review. For LVNAV MMFs, the linkage between the 30% WLA and the potential imposition of fees and gates should be removed, as this led to artificially high levels of redemptions in LVNAV MMFs. Redemption pressure observed in EU VNAV MMFs may have resulted from the flawed determination to only require EU VNAV MMFs to hold 7.5% daily liquid assets and 15% weekly liquid assets, half of what LVNAV and public debt CNAV MMFs are required to hold in Europe and half of what all US regulated MMFs are required to hold. In addition to requiring EU VNAV MMFs to hold only low levels of liquidity, these funds are also permitted to self-designate securities as liquid and are not subject to any independent pricing requirements, each of which likely contributed to the pressure observed in these funds during the Liquidity Crisis.</w:t>
      </w:r>
    </w:p>
    <w:p w14:paraId="6DD82EC1" w14:textId="77777777" w:rsidR="00266E37" w:rsidRDefault="00266E37" w:rsidP="0090742A">
      <w:pPr>
        <w:rPr>
          <w:rFonts w:cstheme="minorHAnsi"/>
          <w:b/>
          <w:bCs/>
        </w:rPr>
      </w:pPr>
    </w:p>
    <w:p w14:paraId="719CDE1C" w14:textId="38E6159E" w:rsidR="0090742A" w:rsidRPr="00726C4B" w:rsidRDefault="0090742A" w:rsidP="0090742A">
      <w:pPr>
        <w:rPr>
          <w:rFonts w:cstheme="minorHAnsi"/>
        </w:rPr>
      </w:pPr>
      <w:r w:rsidRPr="00726C4B">
        <w:rPr>
          <w:rFonts w:cstheme="minorHAnsi"/>
          <w:b/>
          <w:bCs/>
        </w:rPr>
        <w:t>Despite a few necessary regulatory enhancements to EU VNAV and LVNAV MMFs, which can easily be addressed, European MMFs proved resilient</w:t>
      </w:r>
      <w:r w:rsidRPr="00726C4B">
        <w:rPr>
          <w:rFonts w:cstheme="minorHAnsi"/>
        </w:rPr>
        <w:t xml:space="preserve">. They demonstrated that the financial reforms taken in response to the global financial crisis, including the adoption of the MMFR, have been successful in avoiding a repeat of the 2008 market disruptions. </w:t>
      </w:r>
    </w:p>
    <w:p w14:paraId="5AB22A54" w14:textId="77777777" w:rsidR="00266E37" w:rsidRDefault="00266E37" w:rsidP="0090742A">
      <w:pPr>
        <w:rPr>
          <w:rFonts w:cstheme="minorHAnsi"/>
          <w:b/>
          <w:bCs/>
        </w:rPr>
      </w:pPr>
    </w:p>
    <w:p w14:paraId="2A01DD79" w14:textId="19869295" w:rsidR="0090742A" w:rsidRPr="00726C4B" w:rsidRDefault="0090742A" w:rsidP="0090742A">
      <w:pPr>
        <w:rPr>
          <w:rFonts w:cstheme="minorHAnsi"/>
        </w:rPr>
      </w:pPr>
      <w:r w:rsidRPr="00726C4B">
        <w:rPr>
          <w:rFonts w:cstheme="minorHAnsi"/>
          <w:b/>
          <w:bCs/>
        </w:rPr>
        <w:t>All EU MMFs met investor redemption requests</w:t>
      </w:r>
      <w:r w:rsidRPr="00726C4B">
        <w:rPr>
          <w:rFonts w:cstheme="minorHAnsi"/>
        </w:rPr>
        <w:t xml:space="preserve"> and no EU MMF was required to consider the imposition of redemption fees or gates. In addition, as ESMA observed with respect to LVNAV MMFs: “no funds breached the threshold during the acute period of stress in March.”</w:t>
      </w:r>
    </w:p>
    <w:p w14:paraId="530D4E7E" w14:textId="77777777" w:rsidR="00266E37" w:rsidRDefault="00266E37" w:rsidP="0090742A">
      <w:pPr>
        <w:rPr>
          <w:rFonts w:cstheme="minorHAnsi"/>
        </w:rPr>
      </w:pPr>
    </w:p>
    <w:p w14:paraId="249A23D4" w14:textId="000ECE4F" w:rsidR="0090742A" w:rsidRPr="00726C4B" w:rsidRDefault="0090742A" w:rsidP="0090742A">
      <w:pPr>
        <w:rPr>
          <w:rFonts w:cstheme="minorHAnsi"/>
        </w:rPr>
      </w:pPr>
      <w:r w:rsidRPr="00726C4B">
        <w:rPr>
          <w:rFonts w:cstheme="minorHAnsi"/>
        </w:rPr>
        <w:t>Federated Hermes continues to support proper regulation to enhance the safety and stability of MMFs if supported by the data. We support MMFR and agree with ESMA that MMFR should continue to set out strict rules requiring EU MMFs to maintain both daily and weekly liquid asset thresholds, provided that these requirements are no longer improperly linked with fees and gates. We further suggest that EU VNAV funds should be subject to liquidity requirements on par with EU LVNAV MMFs and US variable NAV MMFs, increasing their current required liquidity from 7.5% daily and 15% weekly, to 10% daily and 30% weekly.</w:t>
      </w:r>
    </w:p>
    <w:p w14:paraId="485D50AF" w14:textId="77777777" w:rsidR="0090742A" w:rsidRPr="00726C4B" w:rsidRDefault="0090742A" w:rsidP="0090742A">
      <w:pPr>
        <w:rPr>
          <w:rFonts w:cstheme="minorHAnsi"/>
        </w:rPr>
      </w:pPr>
    </w:p>
    <w:p w14:paraId="3EED2D28" w14:textId="77777777" w:rsidR="0090742A" w:rsidRPr="00266E37" w:rsidRDefault="0090742A" w:rsidP="005B599C">
      <w:pPr>
        <w:numPr>
          <w:ilvl w:val="0"/>
          <w:numId w:val="42"/>
        </w:numPr>
        <w:spacing w:after="100"/>
        <w:rPr>
          <w:rFonts w:cstheme="minorHAnsi"/>
          <w:b/>
          <w:bCs/>
        </w:rPr>
      </w:pPr>
      <w:r w:rsidRPr="00266E37">
        <w:rPr>
          <w:rFonts w:cstheme="minorHAnsi"/>
          <w:b/>
          <w:bCs/>
        </w:rPr>
        <w:t>Role of redemption fees and gates</w:t>
      </w:r>
    </w:p>
    <w:p w14:paraId="2BEA1A5E" w14:textId="77777777" w:rsidR="0090742A" w:rsidRPr="00726C4B" w:rsidRDefault="0090742A" w:rsidP="0090742A">
      <w:pPr>
        <w:rPr>
          <w:rFonts w:cstheme="minorHAnsi"/>
        </w:rPr>
      </w:pPr>
      <w:r w:rsidRPr="00726C4B">
        <w:rPr>
          <w:rFonts w:cstheme="minorHAnsi"/>
        </w:rPr>
        <w:t>We agree with ESMA that investors redeemed to avoid the imposition of a potential redemption fee or gate. However, that does not equate to a first mover advantage – there was no advantage to be had in the Liquidity Crisis. Despite their intended role, the actual role of the fees and gates provisions in the EU MMFR and in US regulations served only to amplify liquidity pressure on funds and encourage investors to redeem unnecessarily.</w:t>
      </w:r>
    </w:p>
    <w:p w14:paraId="64FFB8A5" w14:textId="77777777" w:rsidR="00266E37" w:rsidRDefault="00266E37" w:rsidP="0090742A">
      <w:pPr>
        <w:rPr>
          <w:rFonts w:cstheme="minorHAnsi"/>
        </w:rPr>
      </w:pPr>
    </w:p>
    <w:p w14:paraId="4F0262E3" w14:textId="40890E8B" w:rsidR="0090742A" w:rsidRPr="00726C4B" w:rsidRDefault="0090742A" w:rsidP="0090742A">
      <w:pPr>
        <w:rPr>
          <w:rFonts w:cstheme="minorHAnsi"/>
        </w:rPr>
      </w:pPr>
      <w:r w:rsidRPr="00726C4B">
        <w:rPr>
          <w:rFonts w:cstheme="minorHAnsi"/>
        </w:rPr>
        <w:t xml:space="preserve">As we develop in response to Question 3, Federated Hermes supports eliminating the requirement for a fund’s board to consider imposing redemption gates and liquidity fees if WLA fall below 30% of the fund’s total assets. However, Federated Hermes supports a MMF board being permitted, in its discretion and in accordance with its exercise of its fiduciary duty, to impose liquidity fees or redemption gates when doing </w:t>
      </w:r>
      <w:r w:rsidRPr="00726C4B">
        <w:rPr>
          <w:rFonts w:cstheme="minorHAnsi"/>
        </w:rPr>
        <w:lastRenderedPageBreak/>
        <w:t>so is in the best interests of the fund and its shareholders, without reference to any specific level of liquidity. The board of a fund is in the best position to make this determination.</w:t>
      </w:r>
    </w:p>
    <w:p w14:paraId="20E21339" w14:textId="77777777" w:rsidR="00340690" w:rsidRDefault="00340690" w:rsidP="0090742A">
      <w:pPr>
        <w:rPr>
          <w:rFonts w:cstheme="minorHAnsi"/>
        </w:rPr>
      </w:pPr>
    </w:p>
    <w:p w14:paraId="29987708" w14:textId="69A959AC" w:rsidR="0090742A" w:rsidRPr="00726C4B" w:rsidRDefault="0090742A" w:rsidP="0090742A">
      <w:pPr>
        <w:rPr>
          <w:rFonts w:cstheme="minorHAnsi"/>
        </w:rPr>
      </w:pPr>
      <w:r w:rsidRPr="00726C4B">
        <w:rPr>
          <w:rFonts w:cstheme="minorHAnsi"/>
        </w:rPr>
        <w:t xml:space="preserve">Federated Hermes also fully support retaining (and in respect of VNAV, implementing) 10% daily and 30% weekly liquidity requirements. </w:t>
      </w:r>
    </w:p>
    <w:p w14:paraId="591B3C35" w14:textId="77777777" w:rsidR="0090742A" w:rsidRPr="00726C4B" w:rsidRDefault="0090742A" w:rsidP="0090742A">
      <w:pPr>
        <w:rPr>
          <w:rFonts w:cstheme="minorHAnsi"/>
        </w:rPr>
      </w:pPr>
    </w:p>
    <w:p w14:paraId="04E18FFB" w14:textId="77777777" w:rsidR="0090742A" w:rsidRPr="00266E37" w:rsidRDefault="0090742A" w:rsidP="005B599C">
      <w:pPr>
        <w:numPr>
          <w:ilvl w:val="0"/>
          <w:numId w:val="42"/>
        </w:numPr>
        <w:spacing w:after="100"/>
        <w:rPr>
          <w:rFonts w:cstheme="minorHAnsi"/>
          <w:b/>
          <w:bCs/>
        </w:rPr>
      </w:pPr>
      <w:r w:rsidRPr="00266E37">
        <w:rPr>
          <w:rFonts w:cstheme="minorHAnsi"/>
          <w:b/>
          <w:bCs/>
        </w:rPr>
        <w:t>Role of credit rating agencies</w:t>
      </w:r>
    </w:p>
    <w:p w14:paraId="7E479B1A" w14:textId="77777777" w:rsidR="0090742A" w:rsidRPr="00726C4B" w:rsidRDefault="0090742A" w:rsidP="0090742A">
      <w:pPr>
        <w:rPr>
          <w:rFonts w:cstheme="minorHAnsi"/>
        </w:rPr>
      </w:pPr>
      <w:r w:rsidRPr="00726C4B">
        <w:rPr>
          <w:rFonts w:cstheme="minorHAnsi"/>
        </w:rPr>
        <w:t>Ratings provided by credit rating agencies (“CRAs”) are an important tool for investors. In the MMF ecosystem, CRA ratings are encountered at three levels:</w:t>
      </w:r>
    </w:p>
    <w:p w14:paraId="1C162BCF" w14:textId="77777777" w:rsidR="0090742A" w:rsidRPr="00726C4B" w:rsidRDefault="0090742A" w:rsidP="005B599C">
      <w:pPr>
        <w:numPr>
          <w:ilvl w:val="0"/>
          <w:numId w:val="37"/>
        </w:numPr>
        <w:spacing w:after="100"/>
        <w:ind w:left="360"/>
        <w:rPr>
          <w:rFonts w:cstheme="minorHAnsi"/>
        </w:rPr>
      </w:pPr>
      <w:r w:rsidRPr="00726C4B">
        <w:rPr>
          <w:rFonts w:cstheme="minorHAnsi"/>
        </w:rPr>
        <w:t xml:space="preserve">Many MMFs themselves are rated by one or more CRA: we believe that these ratings play an important role for EU MMF investors. Beyond effective regulatory requirements, they reinforce the quality and security that MMFs offer. </w:t>
      </w:r>
    </w:p>
    <w:p w14:paraId="199B6551" w14:textId="77777777" w:rsidR="0090742A" w:rsidRPr="00726C4B" w:rsidRDefault="0090742A" w:rsidP="005B599C">
      <w:pPr>
        <w:numPr>
          <w:ilvl w:val="0"/>
          <w:numId w:val="37"/>
        </w:numPr>
        <w:spacing w:after="100"/>
        <w:ind w:left="360"/>
        <w:rPr>
          <w:rFonts w:cstheme="minorHAnsi"/>
        </w:rPr>
      </w:pPr>
      <w:r w:rsidRPr="00726C4B">
        <w:rPr>
          <w:rFonts w:cstheme="minorHAnsi"/>
        </w:rPr>
        <w:t>MMFs may use external credit ratings when considering investing in a money market instrument. In the aftermath of the 2008 crisis, policymakers acted to reduce over-reliance on external ratings. MMFR requires MMFs to perform internal credit quality assessment before selecting a money market instrument. External credit ratings may be considered but may not be mechanically relied upon. There were no ratings issues in the Liquidity Crisis. Unlike what ESMA suggests, the March 2020 turmoil was a liquidity crisis, not a credit event. MMFs that had to sell some securities to face redemptions did not experience difficulties because of the credit quality of securities in their portfolio, but because short-term funding markets were frozen.</w:t>
      </w:r>
    </w:p>
    <w:p w14:paraId="798A81FB" w14:textId="77777777" w:rsidR="0090742A" w:rsidRPr="00726C4B" w:rsidRDefault="0090742A" w:rsidP="005B599C">
      <w:pPr>
        <w:numPr>
          <w:ilvl w:val="0"/>
          <w:numId w:val="37"/>
        </w:numPr>
        <w:spacing w:after="100"/>
        <w:ind w:left="360"/>
        <w:rPr>
          <w:rFonts w:cstheme="minorHAnsi"/>
        </w:rPr>
      </w:pPr>
      <w:r w:rsidRPr="00726C4B">
        <w:rPr>
          <w:rFonts w:cstheme="minorHAnsi"/>
        </w:rPr>
        <w:t xml:space="preserve">CRAs rate banks. Some policymakers reported that, in March 2020, the ECB asked the banks under its supervision to use their capital buffers in a countercyclical way: i.e., to keep on offering credit and financing the economies. However, banks were concerned they could have been credit downgraded if they had started tapping into their capital buffers. For the same reason, it seems that these banks refused to buy back CP they had issued. </w:t>
      </w:r>
    </w:p>
    <w:p w14:paraId="6A8D1EF5" w14:textId="1C082F3A" w:rsidR="0090742A" w:rsidRDefault="0090742A" w:rsidP="0090742A">
      <w:pPr>
        <w:rPr>
          <w:rFonts w:cstheme="minorHAnsi"/>
        </w:rPr>
      </w:pPr>
      <w:r w:rsidRPr="00726C4B">
        <w:rPr>
          <w:rFonts w:cstheme="minorHAnsi"/>
        </w:rPr>
        <w:t>The latter might be a policy issue that ESMA and EU and global policymakers should consider addressing as part of a needed reform of the short-term funding market structure.</w:t>
      </w:r>
    </w:p>
    <w:p w14:paraId="01087C6C" w14:textId="77777777" w:rsidR="00340690" w:rsidRPr="00726C4B" w:rsidRDefault="00340690" w:rsidP="0090742A">
      <w:pPr>
        <w:rPr>
          <w:rFonts w:cstheme="minorHAnsi"/>
        </w:rPr>
      </w:pPr>
    </w:p>
    <w:permEnd w:id="1576605906"/>
    <w:p w14:paraId="741FADC4" w14:textId="55046B2B" w:rsidR="00492B3A" w:rsidRDefault="00492B3A" w:rsidP="00492B3A"/>
    <w:p w14:paraId="7E5A3C00" w14:textId="3B098933" w:rsidR="00492B3A" w:rsidRDefault="00492B3A" w:rsidP="00492B3A">
      <w:r>
        <w:t>&lt;ESMA_QUESTION_</w:t>
      </w:r>
      <w:r w:rsidR="00DC1B3F">
        <w:t>MMFR</w:t>
      </w:r>
      <w:r>
        <w:t>_1&gt;</w:t>
      </w:r>
    </w:p>
    <w:p w14:paraId="66BCB951" w14:textId="77777777" w:rsidR="00492B3A" w:rsidRDefault="00492B3A" w:rsidP="00492B3A"/>
    <w:p w14:paraId="711E593A" w14:textId="3641F562" w:rsidR="00492B3A" w:rsidRDefault="00976448" w:rsidP="00492B3A">
      <w:pPr>
        <w:pStyle w:val="Questionstyle"/>
      </w:pPr>
      <w:r w:rsidRPr="00F43E30">
        <w:t xml:space="preserve">i) </w:t>
      </w:r>
      <w:r w:rsidRPr="00F43E30">
        <w:rPr>
          <w:bdr w:val="none" w:sz="0" w:space="0" w:color="auto" w:frame="1"/>
          <w:lang w:val="en-IE"/>
        </w:rPr>
        <w:t>Do you agree with the above assessment on the potential MMF reforms related to the review of the MMF Regulation? ii) What are your views on the abovementioned assessment of the interaction between potential MMF reforms and the behaviour of investors during the MMF March 2020 crisis</w:t>
      </w:r>
      <w:r w:rsidR="00A014B6" w:rsidRPr="00A014B6">
        <w:t>?</w:t>
      </w:r>
    </w:p>
    <w:p w14:paraId="3451E920" w14:textId="188057B6" w:rsidR="00492B3A" w:rsidRDefault="00492B3A" w:rsidP="00492B3A">
      <w:r>
        <w:t>&lt;ESMA_QUESTION_</w:t>
      </w:r>
      <w:r w:rsidR="00DC1B3F">
        <w:t>MMFR</w:t>
      </w:r>
      <w:r>
        <w:t>_2&gt;</w:t>
      </w:r>
    </w:p>
    <w:p w14:paraId="1DBEDEB9" w14:textId="77777777" w:rsidR="00F01748" w:rsidRPr="00726C4B" w:rsidRDefault="00F01748" w:rsidP="00F01748">
      <w:pPr>
        <w:rPr>
          <w:rFonts w:cstheme="minorHAnsi"/>
        </w:rPr>
      </w:pPr>
      <w:permStart w:id="1123047147" w:edGrp="everyone"/>
      <w:r w:rsidRPr="00726C4B">
        <w:rPr>
          <w:rFonts w:cstheme="minorHAnsi"/>
        </w:rPr>
        <w:t>No, we do not agree with ESMA’s assessment on the potential MMF reforms related to the review of the MMF Regulation.</w:t>
      </w:r>
    </w:p>
    <w:p w14:paraId="53E839D0" w14:textId="77777777" w:rsidR="00F01748" w:rsidRDefault="00F01748" w:rsidP="00F01748">
      <w:pPr>
        <w:rPr>
          <w:rFonts w:cstheme="minorHAnsi"/>
        </w:rPr>
      </w:pPr>
    </w:p>
    <w:p w14:paraId="3E731D19" w14:textId="60771833" w:rsidR="00F01748" w:rsidRPr="00726C4B" w:rsidRDefault="00F01748" w:rsidP="00F01748">
      <w:pPr>
        <w:rPr>
          <w:rFonts w:cstheme="minorHAnsi"/>
        </w:rPr>
      </w:pPr>
      <w:r w:rsidRPr="00726C4B">
        <w:rPr>
          <w:rFonts w:cstheme="minorHAnsi"/>
        </w:rPr>
        <w:t>We recommend focusing on the two issues that March 2020 events put under light:</w:t>
      </w:r>
    </w:p>
    <w:p w14:paraId="61302345" w14:textId="77777777" w:rsidR="00F01748" w:rsidRPr="00726C4B" w:rsidRDefault="00F01748" w:rsidP="005B599C">
      <w:pPr>
        <w:numPr>
          <w:ilvl w:val="0"/>
          <w:numId w:val="43"/>
        </w:numPr>
        <w:spacing w:after="100"/>
        <w:rPr>
          <w:rFonts w:cstheme="minorHAnsi"/>
        </w:rPr>
      </w:pPr>
      <w:r w:rsidRPr="00726C4B">
        <w:rPr>
          <w:rFonts w:cstheme="minorHAnsi"/>
        </w:rPr>
        <w:t>Delinking the 30% WLA requirement and potential imposition of a fee or gate (see our response to Question 3); and</w:t>
      </w:r>
    </w:p>
    <w:p w14:paraId="0EC5EA15" w14:textId="77777777" w:rsidR="00F01748" w:rsidRPr="00726C4B" w:rsidRDefault="00F01748" w:rsidP="005B599C">
      <w:pPr>
        <w:numPr>
          <w:ilvl w:val="0"/>
          <w:numId w:val="43"/>
        </w:numPr>
        <w:spacing w:after="100"/>
        <w:rPr>
          <w:rFonts w:cstheme="minorHAnsi"/>
        </w:rPr>
      </w:pPr>
      <w:r w:rsidRPr="00726C4B">
        <w:rPr>
          <w:rFonts w:cstheme="minorHAnsi"/>
        </w:rPr>
        <w:t xml:space="preserve">The vulnerability in the short-term funding market structure, which impacted the functioning of the entire money markets, including: </w:t>
      </w:r>
    </w:p>
    <w:p w14:paraId="59B1DD34" w14:textId="77777777" w:rsidR="00F01748" w:rsidRPr="00726C4B" w:rsidRDefault="00F01748" w:rsidP="005B599C">
      <w:pPr>
        <w:numPr>
          <w:ilvl w:val="1"/>
          <w:numId w:val="44"/>
        </w:numPr>
        <w:spacing w:after="100"/>
        <w:rPr>
          <w:rFonts w:cstheme="minorHAnsi"/>
        </w:rPr>
      </w:pPr>
      <w:r w:rsidRPr="00726C4B">
        <w:rPr>
          <w:rFonts w:cstheme="minorHAnsi"/>
        </w:rPr>
        <w:t>Considering reforms to the secondary market structure for CP: this market is fragmented and the example of non-financial corporate CP where trading is electronic could be replicated by offering a valuable expansion of electronic venues to enable investors, issuers and broker/dealers to all view and post bids and offers (all-to-all platform);</w:t>
      </w:r>
    </w:p>
    <w:p w14:paraId="177FE8DD" w14:textId="77777777" w:rsidR="00F01748" w:rsidRPr="00726C4B" w:rsidRDefault="00F01748" w:rsidP="005B599C">
      <w:pPr>
        <w:numPr>
          <w:ilvl w:val="1"/>
          <w:numId w:val="44"/>
        </w:numPr>
        <w:spacing w:after="100"/>
        <w:rPr>
          <w:rFonts w:cstheme="minorHAnsi"/>
        </w:rPr>
      </w:pPr>
      <w:r w:rsidRPr="00726C4B">
        <w:rPr>
          <w:rFonts w:cstheme="minorHAnsi"/>
        </w:rPr>
        <w:t>Broadening participation and capital allocation would be beneficial. For instance, EU institutions could consider standardisation in the CP market.</w:t>
      </w:r>
    </w:p>
    <w:p w14:paraId="21151904" w14:textId="77777777" w:rsidR="00F01748" w:rsidRPr="00726C4B" w:rsidRDefault="00F01748" w:rsidP="005B599C">
      <w:pPr>
        <w:numPr>
          <w:ilvl w:val="1"/>
          <w:numId w:val="44"/>
        </w:numPr>
        <w:spacing w:after="100"/>
        <w:rPr>
          <w:rFonts w:cstheme="minorHAnsi"/>
        </w:rPr>
      </w:pPr>
      <w:r w:rsidRPr="00726C4B">
        <w:rPr>
          <w:rFonts w:cstheme="minorHAnsi"/>
        </w:rPr>
        <w:lastRenderedPageBreak/>
        <w:t>Working with investors, issuers, broker/dealers, and venue providers to arrive at a model that provides greater transparency and thus liquidity in periods of market stress;</w:t>
      </w:r>
    </w:p>
    <w:p w14:paraId="416D60CE" w14:textId="77777777" w:rsidR="00F01748" w:rsidRPr="00726C4B" w:rsidRDefault="00F01748" w:rsidP="005B599C">
      <w:pPr>
        <w:numPr>
          <w:ilvl w:val="1"/>
          <w:numId w:val="44"/>
        </w:numPr>
        <w:spacing w:after="100"/>
        <w:rPr>
          <w:rFonts w:cstheme="minorHAnsi"/>
        </w:rPr>
      </w:pPr>
      <w:r w:rsidRPr="00726C4B">
        <w:rPr>
          <w:rFonts w:cstheme="minorHAnsi"/>
        </w:rPr>
        <w:t>Reviewing regulations indirectly affecting market-making during liquidity events. We suggest that EU policymakers give consideration to studying how new bank regulations reduced market-making in March 2020 and evaluate means of reducing these constraints during a liquidity crisis; and</w:t>
      </w:r>
    </w:p>
    <w:p w14:paraId="1C279B13" w14:textId="77777777" w:rsidR="00F01748" w:rsidRPr="00726C4B" w:rsidRDefault="00F01748" w:rsidP="005B599C">
      <w:pPr>
        <w:numPr>
          <w:ilvl w:val="1"/>
          <w:numId w:val="44"/>
        </w:numPr>
        <w:spacing w:after="100"/>
        <w:rPr>
          <w:rFonts w:cstheme="minorHAnsi"/>
        </w:rPr>
      </w:pPr>
      <w:r w:rsidRPr="00726C4B">
        <w:rPr>
          <w:rFonts w:cstheme="minorHAnsi"/>
        </w:rPr>
        <w:t xml:space="preserve">Like the Federal Reserve in the US (see </w:t>
      </w:r>
      <w:hyperlink r:id="rId22" w:history="1">
        <w:r w:rsidRPr="00726C4B">
          <w:rPr>
            <w:rStyle w:val="Hyperlink"/>
            <w:rFonts w:cstheme="minorHAnsi"/>
          </w:rPr>
          <w:t>Minutes of the Federal Open Market Committee</w:t>
        </w:r>
      </w:hyperlink>
      <w:r w:rsidRPr="00726C4B">
        <w:rPr>
          <w:rFonts w:cstheme="minorHAnsi"/>
        </w:rPr>
        <w:t xml:space="preserve"> meeting on 27-28 April 2021), consider the creation of a permanent standing repo facility that would be a market-based solution (market risk would stay in the MMF) to support smoother functioning in short-term funding markets.</w:t>
      </w:r>
    </w:p>
    <w:p w14:paraId="3674F262" w14:textId="77777777" w:rsidR="00F01748" w:rsidRPr="00726C4B" w:rsidRDefault="00F01748" w:rsidP="00F01748">
      <w:pPr>
        <w:rPr>
          <w:rFonts w:cstheme="minorHAnsi"/>
        </w:rPr>
      </w:pPr>
      <w:r w:rsidRPr="00726C4B">
        <w:rPr>
          <w:rFonts w:cstheme="minorHAnsi"/>
        </w:rPr>
        <w:t xml:space="preserve">We reiterate our assertion that MMFs demonstrated their resilience in March-April 2020. </w:t>
      </w:r>
    </w:p>
    <w:p w14:paraId="5E13A9A6" w14:textId="77777777" w:rsidR="00F01748" w:rsidRDefault="00F01748" w:rsidP="00F01748">
      <w:pPr>
        <w:rPr>
          <w:rFonts w:cstheme="minorHAnsi"/>
        </w:rPr>
      </w:pPr>
    </w:p>
    <w:p w14:paraId="3F836235" w14:textId="0EFEBFE0" w:rsidR="00F01748" w:rsidRPr="003260F8" w:rsidRDefault="00F01748" w:rsidP="00F01748">
      <w:pPr>
        <w:rPr>
          <w:rFonts w:cs="Arial"/>
          <w:szCs w:val="20"/>
        </w:rPr>
      </w:pPr>
      <w:r w:rsidRPr="003260F8">
        <w:rPr>
          <w:rFonts w:cs="Arial"/>
          <w:szCs w:val="20"/>
        </w:rPr>
        <w:t xml:space="preserve">Firstly, MMFs in Europe did not benefit directly from central bank interventions, as the ECB’s PEPP excluded placement of bank CP and non-Euro denominated paper. Therefore, the question of what reforms are needed to avoid interventions of central banks (paragraph 59 and 72 in particular) is irrelevant. The question of central bank interventions is relevant in the context of the short-term funding market structure – a policy issue that cannot be addressed as part of the MMFR Review. </w:t>
      </w:r>
    </w:p>
    <w:p w14:paraId="269A897B" w14:textId="77777777" w:rsidR="003260F8" w:rsidRDefault="003260F8" w:rsidP="00F01748">
      <w:pPr>
        <w:pStyle w:val="NormalWeb"/>
        <w:spacing w:before="0" w:beforeAutospacing="0" w:after="0" w:afterAutospacing="0"/>
        <w:rPr>
          <w:rFonts w:ascii="Arial" w:eastAsia="Verdana" w:hAnsi="Arial" w:cs="Arial"/>
          <w:color w:val="000000"/>
          <w:kern w:val="24"/>
          <w:sz w:val="20"/>
          <w:szCs w:val="20"/>
          <w:lang w:val="en-GB"/>
        </w:rPr>
      </w:pPr>
    </w:p>
    <w:p w14:paraId="32813AB7" w14:textId="22871E7D" w:rsidR="003260F8" w:rsidRDefault="00F01748" w:rsidP="00560EC2">
      <w:pPr>
        <w:pStyle w:val="NormalWeb"/>
        <w:spacing w:before="0" w:beforeAutospacing="0" w:after="0" w:afterAutospacing="0"/>
        <w:rPr>
          <w:rFonts w:ascii="Arial" w:eastAsia="Verdana" w:hAnsi="Arial" w:cs="Arial"/>
          <w:color w:val="000000"/>
          <w:kern w:val="24"/>
          <w:sz w:val="20"/>
          <w:szCs w:val="20"/>
          <w:lang w:val="en-GB"/>
        </w:rPr>
      </w:pPr>
      <w:r w:rsidRPr="003260F8">
        <w:rPr>
          <w:rFonts w:ascii="Arial" w:eastAsia="Verdana" w:hAnsi="Arial" w:cs="Arial"/>
          <w:color w:val="000000"/>
          <w:kern w:val="24"/>
          <w:sz w:val="20"/>
          <w:szCs w:val="20"/>
          <w:lang w:val="en-GB"/>
        </w:rPr>
        <w:t>The events of March 2020 confirm the resilience of EU MMFs, and the data does not support a broad call to action in Europe. The data also confirms that there is no structural vulnerability in EU MMFs. The decision by governments around the globe to shut down their economies, in reaction to a global pandemic, is simply not something markets were designed to, nor should be expected to, absorb without central bank intervention.</w:t>
      </w:r>
    </w:p>
    <w:p w14:paraId="34A978B4" w14:textId="77777777" w:rsidR="00560EC2" w:rsidRPr="00560EC2" w:rsidRDefault="00560EC2" w:rsidP="00560EC2">
      <w:pPr>
        <w:pStyle w:val="NormalWeb"/>
        <w:spacing w:before="0" w:beforeAutospacing="0" w:after="0" w:afterAutospacing="0"/>
        <w:rPr>
          <w:rFonts w:ascii="Arial" w:eastAsia="Verdana" w:hAnsi="Arial" w:cs="Arial"/>
          <w:color w:val="000000"/>
          <w:kern w:val="24"/>
          <w:sz w:val="20"/>
          <w:szCs w:val="20"/>
          <w:lang w:val="en-GB"/>
        </w:rPr>
      </w:pPr>
    </w:p>
    <w:p w14:paraId="03507ABF" w14:textId="1198EB22" w:rsidR="00F01748" w:rsidRPr="003260F8" w:rsidRDefault="00F01748" w:rsidP="00F01748">
      <w:pPr>
        <w:pStyle w:val="NormalWeb"/>
        <w:spacing w:before="0" w:beforeAutospacing="0" w:afterAutospacing="0"/>
        <w:rPr>
          <w:rFonts w:ascii="Arial" w:hAnsi="Arial" w:cs="Arial"/>
          <w:sz w:val="20"/>
          <w:szCs w:val="20"/>
          <w:lang w:val="en-GB"/>
        </w:rPr>
      </w:pPr>
      <w:r w:rsidRPr="003260F8">
        <w:rPr>
          <w:rFonts w:ascii="Arial" w:hAnsi="Arial" w:cs="Arial"/>
          <w:sz w:val="20"/>
          <w:szCs w:val="20"/>
          <w:lang w:val="en-GB"/>
        </w:rPr>
        <w:t>Secondly, European MMFs proved resilient. They demonstrated that the financial reforms taken in response to the global financial crisis, including the adoption of the MMFR, have been successful in avoiding a repeat of the 2008 market disruptions. The data does support certain reform enhancement and market structural considerations, including (i) delinking the 30% WLA requirement from fees and gates for EU LVNAV MMFs, (ii) increasing the liquidity requirements for EU VNAV MMFs, and (iii) addressing the short-term funding market structural issues.</w:t>
      </w:r>
    </w:p>
    <w:p w14:paraId="4181B62C" w14:textId="77777777" w:rsidR="00F01748" w:rsidRPr="003260F8" w:rsidRDefault="00F01748" w:rsidP="00F01748">
      <w:pPr>
        <w:rPr>
          <w:rFonts w:cs="Arial"/>
          <w:szCs w:val="20"/>
        </w:rPr>
      </w:pPr>
      <w:r w:rsidRPr="003260F8">
        <w:rPr>
          <w:rFonts w:cs="Arial"/>
          <w:szCs w:val="20"/>
        </w:rPr>
        <w:t xml:space="preserve">That being said, it is paramount to explore what would happen if MMFs ceased to exist. Thus, in response to ESMA’s question on the </w:t>
      </w:r>
      <w:r w:rsidRPr="003260F8">
        <w:rPr>
          <w:rFonts w:cs="Arial"/>
          <w:b/>
          <w:bCs/>
          <w:i/>
          <w:iCs/>
          <w:szCs w:val="20"/>
        </w:rPr>
        <w:t>broader impacts on the stability and functioning of short-term funding markets</w:t>
      </w:r>
      <w:r w:rsidRPr="003260F8">
        <w:rPr>
          <w:rFonts w:cs="Arial"/>
          <w:b/>
          <w:bCs/>
          <w:szCs w:val="20"/>
        </w:rPr>
        <w:t xml:space="preserve"> </w:t>
      </w:r>
      <w:r w:rsidRPr="003260F8">
        <w:rPr>
          <w:rFonts w:cs="Arial"/>
          <w:szCs w:val="20"/>
        </w:rPr>
        <w:t>(page 23):</w:t>
      </w:r>
    </w:p>
    <w:p w14:paraId="28368616" w14:textId="77777777" w:rsidR="00F01748" w:rsidRPr="00726C4B" w:rsidRDefault="00F01748" w:rsidP="00F01748">
      <w:pPr>
        <w:rPr>
          <w:rFonts w:cstheme="minorHAnsi"/>
        </w:rPr>
      </w:pPr>
    </w:p>
    <w:p w14:paraId="4EC2CB24" w14:textId="77777777" w:rsidR="00F01748" w:rsidRPr="00726C4B" w:rsidRDefault="00F01748" w:rsidP="00F01748">
      <w:pPr>
        <w:rPr>
          <w:rFonts w:cstheme="minorHAnsi"/>
          <w:b/>
          <w:bCs/>
          <w:i/>
          <w:iCs/>
          <w:color w:val="4F81BD" w:themeColor="accent1"/>
        </w:rPr>
      </w:pPr>
      <w:r w:rsidRPr="00726C4B">
        <w:rPr>
          <w:rFonts w:cstheme="minorHAnsi"/>
          <w:b/>
          <w:bCs/>
          <w:color w:val="4F81BD" w:themeColor="accent1"/>
        </w:rPr>
        <w:t>i</w:t>
      </w:r>
      <w:r w:rsidRPr="00726C4B">
        <w:rPr>
          <w:rFonts w:cstheme="minorHAnsi"/>
          <w:b/>
          <w:bCs/>
          <w:i/>
          <w:iCs/>
          <w:color w:val="4F81BD" w:themeColor="accent1"/>
        </w:rPr>
        <w:t xml:space="preserve">. a) Where are investors likely to move if MMFs become less attractive as a result of the policy option? </w:t>
      </w:r>
    </w:p>
    <w:p w14:paraId="21F7F30E" w14:textId="77777777" w:rsidR="00F01748" w:rsidRPr="00726C4B" w:rsidRDefault="00F01748" w:rsidP="00F01748">
      <w:pPr>
        <w:rPr>
          <w:rFonts w:cstheme="minorHAnsi"/>
        </w:rPr>
      </w:pPr>
      <w:r w:rsidRPr="00726C4B">
        <w:rPr>
          <w:rFonts w:cstheme="minorHAnsi"/>
        </w:rPr>
        <w:t xml:space="preserve">Should regulations eliminate MMFs (either directly or indirectly), investors in EU MMFs would be forced to make alternative arrangements and take on increased risks. </w:t>
      </w:r>
    </w:p>
    <w:p w14:paraId="44596226" w14:textId="77777777" w:rsidR="003260F8" w:rsidRDefault="003260F8" w:rsidP="00F01748">
      <w:pPr>
        <w:rPr>
          <w:rFonts w:cstheme="minorHAnsi"/>
        </w:rPr>
      </w:pPr>
    </w:p>
    <w:p w14:paraId="403424CC" w14:textId="22B63D46" w:rsidR="00F01748" w:rsidRPr="00726C4B" w:rsidRDefault="00F01748" w:rsidP="00F01748">
      <w:pPr>
        <w:rPr>
          <w:rFonts w:cstheme="minorHAnsi"/>
        </w:rPr>
      </w:pPr>
      <w:r w:rsidRPr="00726C4B">
        <w:rPr>
          <w:rFonts w:cstheme="minorHAnsi"/>
        </w:rPr>
        <w:t>Smaller clients/investors, who would be unable to effectively manage their cash in a professional way, would likely have to revert to placing funds with one or two banks – institutions that have little desire in short-dated cash deposits as it requires additional capital. Not only would those investors lose out on interest earnings, but they would also take on increased risk from a lack of diversification. Larger investors may be able to take the management of their liquid assets in house – but as unregulated entities who would not be required to maintain the high levels of liquidity and transparency demanded of MMFs, it would be a bad result for all participants in the European markets.</w:t>
      </w:r>
    </w:p>
    <w:p w14:paraId="2B746F3E" w14:textId="77777777" w:rsidR="00F01748" w:rsidRPr="00726C4B" w:rsidRDefault="00F01748" w:rsidP="00F01748">
      <w:pPr>
        <w:rPr>
          <w:rFonts w:cstheme="minorHAnsi"/>
        </w:rPr>
      </w:pPr>
    </w:p>
    <w:p w14:paraId="2CDC5BCA" w14:textId="77777777" w:rsidR="00F01748" w:rsidRPr="00726C4B" w:rsidRDefault="00F01748" w:rsidP="00F01748">
      <w:pPr>
        <w:rPr>
          <w:rFonts w:cstheme="minorHAnsi"/>
          <w:b/>
          <w:bCs/>
          <w:i/>
          <w:iCs/>
          <w:color w:val="4F81BD" w:themeColor="accent1"/>
        </w:rPr>
      </w:pPr>
      <w:r w:rsidRPr="00726C4B">
        <w:rPr>
          <w:rFonts w:cstheme="minorHAnsi"/>
          <w:b/>
          <w:bCs/>
          <w:i/>
          <w:iCs/>
          <w:color w:val="4F81BD" w:themeColor="accent1"/>
        </w:rPr>
        <w:t xml:space="preserve">b) Do these substitutes have vulnerabilities to runs? </w:t>
      </w:r>
    </w:p>
    <w:p w14:paraId="1CBA2C0D" w14:textId="77777777" w:rsidR="00F01748" w:rsidRPr="00726C4B" w:rsidRDefault="00F01748" w:rsidP="00F01748">
      <w:pPr>
        <w:rPr>
          <w:rFonts w:cstheme="minorHAnsi"/>
        </w:rPr>
      </w:pPr>
      <w:r w:rsidRPr="00726C4B">
        <w:rPr>
          <w:rFonts w:cstheme="minorHAnsi"/>
        </w:rPr>
        <w:t>Yes. In the event of a market shock, such as the Liquidity Crisis, individual investors would likely all rush to the door and liquidate their holdings in a significantly less professional manner than the actions expected of professional cash management funds, such as MMFs, increasing pressure on the financial markets.</w:t>
      </w:r>
    </w:p>
    <w:p w14:paraId="2D38B621" w14:textId="77777777" w:rsidR="00F01748" w:rsidRPr="00726C4B" w:rsidRDefault="00F01748" w:rsidP="00F01748">
      <w:pPr>
        <w:rPr>
          <w:rFonts w:cstheme="minorHAnsi"/>
        </w:rPr>
      </w:pPr>
    </w:p>
    <w:p w14:paraId="73AFEDCC" w14:textId="77777777" w:rsidR="00F01748" w:rsidRPr="00726C4B" w:rsidRDefault="00F01748" w:rsidP="00F01748">
      <w:pPr>
        <w:rPr>
          <w:rFonts w:cstheme="minorHAnsi"/>
          <w:b/>
          <w:bCs/>
          <w:i/>
          <w:iCs/>
          <w:color w:val="4F81BD" w:themeColor="accent1"/>
        </w:rPr>
      </w:pPr>
      <w:r w:rsidRPr="00726C4B">
        <w:rPr>
          <w:rFonts w:cstheme="minorHAnsi"/>
          <w:b/>
          <w:bCs/>
          <w:i/>
          <w:iCs/>
          <w:color w:val="4F81BD" w:themeColor="accent1"/>
        </w:rPr>
        <w:t xml:space="preserve">c) Are they transparent to investors and regulators? </w:t>
      </w:r>
    </w:p>
    <w:p w14:paraId="3F4294D5" w14:textId="77777777" w:rsidR="00F01748" w:rsidRPr="00726C4B" w:rsidRDefault="00F01748" w:rsidP="00F01748">
      <w:pPr>
        <w:rPr>
          <w:rFonts w:cstheme="minorHAnsi"/>
        </w:rPr>
      </w:pPr>
      <w:r w:rsidRPr="00726C4B">
        <w:rPr>
          <w:rFonts w:cstheme="minorHAnsi"/>
        </w:rPr>
        <w:t>No.</w:t>
      </w:r>
    </w:p>
    <w:p w14:paraId="7854949B" w14:textId="77777777" w:rsidR="00F01748" w:rsidRPr="00726C4B" w:rsidRDefault="00F01748" w:rsidP="00F01748">
      <w:pPr>
        <w:rPr>
          <w:rFonts w:cstheme="minorHAnsi"/>
        </w:rPr>
      </w:pPr>
    </w:p>
    <w:p w14:paraId="5FD5E75B" w14:textId="77777777" w:rsidR="00F01748" w:rsidRPr="00726C4B" w:rsidRDefault="00F01748" w:rsidP="00F01748">
      <w:pPr>
        <w:rPr>
          <w:rFonts w:cstheme="minorHAnsi"/>
          <w:b/>
          <w:bCs/>
          <w:i/>
          <w:iCs/>
          <w:color w:val="4F81BD" w:themeColor="accent1"/>
        </w:rPr>
      </w:pPr>
      <w:r w:rsidRPr="00726C4B">
        <w:rPr>
          <w:rFonts w:cstheme="minorHAnsi"/>
          <w:b/>
          <w:bCs/>
          <w:i/>
          <w:iCs/>
          <w:color w:val="4F81BD" w:themeColor="accent1"/>
        </w:rPr>
        <w:t>d) Are they regulated?</w:t>
      </w:r>
    </w:p>
    <w:p w14:paraId="2C198160" w14:textId="77777777" w:rsidR="00F01748" w:rsidRPr="00726C4B" w:rsidRDefault="00F01748" w:rsidP="00F01748">
      <w:pPr>
        <w:rPr>
          <w:rFonts w:cstheme="minorHAnsi"/>
        </w:rPr>
      </w:pPr>
      <w:r w:rsidRPr="00726C4B">
        <w:rPr>
          <w:rFonts w:cstheme="minorHAnsi"/>
        </w:rPr>
        <w:t xml:space="preserve">No. </w:t>
      </w:r>
    </w:p>
    <w:p w14:paraId="69850841" w14:textId="77777777" w:rsidR="00F01748" w:rsidRPr="00726C4B" w:rsidRDefault="00F01748" w:rsidP="00F01748">
      <w:pPr>
        <w:rPr>
          <w:rFonts w:cstheme="minorHAnsi"/>
        </w:rPr>
      </w:pPr>
    </w:p>
    <w:p w14:paraId="2F9A9149" w14:textId="77777777" w:rsidR="00F01748" w:rsidRPr="00726C4B" w:rsidRDefault="00F01748" w:rsidP="00F01748">
      <w:pPr>
        <w:rPr>
          <w:rFonts w:cstheme="minorHAnsi"/>
          <w:b/>
          <w:bCs/>
          <w:i/>
          <w:iCs/>
          <w:color w:val="4F81BD" w:themeColor="accent1"/>
        </w:rPr>
      </w:pPr>
      <w:r w:rsidRPr="00726C4B">
        <w:rPr>
          <w:rFonts w:cstheme="minorHAnsi"/>
          <w:b/>
          <w:bCs/>
          <w:i/>
          <w:iCs/>
          <w:color w:val="4F81BD" w:themeColor="accent1"/>
        </w:rPr>
        <w:t xml:space="preserve">e) Do they embed more risks for investors (e.g. counterparty risk) or be more costly? </w:t>
      </w:r>
    </w:p>
    <w:p w14:paraId="57C47808" w14:textId="77777777" w:rsidR="00F01748" w:rsidRPr="00726C4B" w:rsidRDefault="00F01748" w:rsidP="00F01748">
      <w:pPr>
        <w:rPr>
          <w:rFonts w:cstheme="minorHAnsi"/>
        </w:rPr>
      </w:pPr>
      <w:r w:rsidRPr="00726C4B">
        <w:rPr>
          <w:rFonts w:cstheme="minorHAnsi"/>
        </w:rPr>
        <w:t xml:space="preserve">Yes. Concentration risk, counterparty risk, liquidity risk, market risk </w:t>
      </w:r>
      <w:proofErr w:type="gramStart"/>
      <w:r w:rsidRPr="00726C4B">
        <w:rPr>
          <w:rFonts w:cstheme="minorHAnsi"/>
        </w:rPr>
        <w:t>are</w:t>
      </w:r>
      <w:proofErr w:type="gramEnd"/>
      <w:r w:rsidRPr="00726C4B">
        <w:rPr>
          <w:rFonts w:cstheme="minorHAnsi"/>
        </w:rPr>
        <w:t xml:space="preserve"> all increased. </w:t>
      </w:r>
    </w:p>
    <w:p w14:paraId="75B5EC00" w14:textId="77777777" w:rsidR="003260F8" w:rsidRDefault="003260F8" w:rsidP="00F01748">
      <w:pPr>
        <w:rPr>
          <w:rFonts w:cstheme="minorHAnsi"/>
        </w:rPr>
      </w:pPr>
    </w:p>
    <w:p w14:paraId="273DB4EE" w14:textId="34171CBA" w:rsidR="00F01748" w:rsidRPr="00726C4B" w:rsidRDefault="00F01748" w:rsidP="00F01748">
      <w:pPr>
        <w:rPr>
          <w:rFonts w:cstheme="minorHAnsi"/>
        </w:rPr>
      </w:pPr>
      <w:r w:rsidRPr="00726C4B">
        <w:rPr>
          <w:rFonts w:cstheme="minorHAnsi"/>
        </w:rPr>
        <w:t xml:space="preserve">Yes, they would be more costly. </w:t>
      </w:r>
    </w:p>
    <w:p w14:paraId="0552E921" w14:textId="77777777" w:rsidR="00F01748" w:rsidRPr="00726C4B" w:rsidRDefault="00F01748" w:rsidP="00F01748">
      <w:pPr>
        <w:rPr>
          <w:rFonts w:cstheme="minorHAnsi"/>
        </w:rPr>
      </w:pPr>
    </w:p>
    <w:p w14:paraId="58C64239" w14:textId="77777777" w:rsidR="00F01748" w:rsidRPr="00726C4B" w:rsidRDefault="00F01748" w:rsidP="00F01748">
      <w:pPr>
        <w:rPr>
          <w:rFonts w:cstheme="minorHAnsi"/>
          <w:b/>
          <w:bCs/>
          <w:i/>
          <w:iCs/>
          <w:color w:val="4F81BD" w:themeColor="accent1"/>
        </w:rPr>
      </w:pPr>
      <w:r w:rsidRPr="00726C4B">
        <w:rPr>
          <w:rFonts w:cstheme="minorHAnsi"/>
          <w:b/>
          <w:bCs/>
          <w:i/>
          <w:iCs/>
          <w:color w:val="4F81BD" w:themeColor="accent1"/>
        </w:rPr>
        <w:t>ii. a) What alternative sources of short-term funding are available for borrowers that currently</w:t>
      </w:r>
      <w:r w:rsidRPr="00726C4B">
        <w:rPr>
          <w:rFonts w:cstheme="minorHAnsi"/>
          <w:color w:val="4F81BD" w:themeColor="accent1"/>
        </w:rPr>
        <w:t xml:space="preserve"> </w:t>
      </w:r>
      <w:r w:rsidRPr="00726C4B">
        <w:rPr>
          <w:rFonts w:cstheme="minorHAnsi"/>
          <w:b/>
          <w:bCs/>
          <w:i/>
          <w:iCs/>
          <w:color w:val="4F81BD" w:themeColor="accent1"/>
        </w:rPr>
        <w:t xml:space="preserve">rely on MMFs for financing? </w:t>
      </w:r>
    </w:p>
    <w:p w14:paraId="48E75721" w14:textId="77777777" w:rsidR="00F01748" w:rsidRPr="00726C4B" w:rsidRDefault="00F01748" w:rsidP="00F01748">
      <w:pPr>
        <w:rPr>
          <w:rFonts w:cstheme="minorHAnsi"/>
        </w:rPr>
      </w:pPr>
      <w:r w:rsidRPr="00726C4B">
        <w:rPr>
          <w:rFonts w:cstheme="minorHAnsi"/>
        </w:rPr>
        <w:t>Banks (for small players and individuals) or short-term funding markets directly (only for larger players). Each of these increases risk.</w:t>
      </w:r>
    </w:p>
    <w:p w14:paraId="6E065F55" w14:textId="77777777" w:rsidR="00F01748" w:rsidRPr="00726C4B" w:rsidRDefault="00F01748" w:rsidP="00F01748">
      <w:pPr>
        <w:rPr>
          <w:rFonts w:cstheme="minorHAnsi"/>
        </w:rPr>
      </w:pPr>
    </w:p>
    <w:p w14:paraId="058431A0" w14:textId="77777777" w:rsidR="00F01748" w:rsidRPr="00726C4B" w:rsidRDefault="00F01748" w:rsidP="00F01748">
      <w:pPr>
        <w:rPr>
          <w:rFonts w:cstheme="minorHAnsi"/>
          <w:b/>
          <w:bCs/>
          <w:i/>
          <w:iCs/>
          <w:color w:val="4F81BD" w:themeColor="accent1"/>
        </w:rPr>
      </w:pPr>
      <w:r w:rsidRPr="00726C4B">
        <w:rPr>
          <w:rFonts w:cstheme="minorHAnsi"/>
          <w:b/>
          <w:bCs/>
          <w:i/>
          <w:iCs/>
          <w:color w:val="4F81BD" w:themeColor="accent1"/>
        </w:rPr>
        <w:t>b) Are these alternative sources more stable than MMFs at all times?</w:t>
      </w:r>
    </w:p>
    <w:p w14:paraId="3B707069" w14:textId="77777777" w:rsidR="00F01748" w:rsidRPr="00726C4B" w:rsidRDefault="00F01748" w:rsidP="00F01748">
      <w:pPr>
        <w:rPr>
          <w:rFonts w:cstheme="minorHAnsi"/>
        </w:rPr>
      </w:pPr>
      <w:r w:rsidRPr="00726C4B">
        <w:rPr>
          <w:rFonts w:cstheme="minorHAnsi"/>
        </w:rPr>
        <w:t xml:space="preserve">No. </w:t>
      </w:r>
    </w:p>
    <w:p w14:paraId="63954934" w14:textId="77777777" w:rsidR="00F01748" w:rsidRPr="00726C4B" w:rsidRDefault="00F01748" w:rsidP="00F01748">
      <w:pPr>
        <w:rPr>
          <w:rFonts w:cstheme="minorHAnsi"/>
        </w:rPr>
      </w:pPr>
      <w:r w:rsidRPr="00726C4B">
        <w:rPr>
          <w:rFonts w:cstheme="minorHAnsi"/>
        </w:rPr>
        <w:t xml:space="preserve"> </w:t>
      </w:r>
    </w:p>
    <w:p w14:paraId="712640A8" w14:textId="77777777" w:rsidR="00F01748" w:rsidRPr="00726C4B" w:rsidRDefault="00F01748" w:rsidP="00F01748">
      <w:pPr>
        <w:rPr>
          <w:rFonts w:cstheme="minorHAnsi"/>
          <w:b/>
          <w:bCs/>
          <w:i/>
          <w:iCs/>
          <w:color w:val="4F81BD" w:themeColor="accent1"/>
        </w:rPr>
      </w:pPr>
      <w:r w:rsidRPr="00726C4B">
        <w:rPr>
          <w:rFonts w:cstheme="minorHAnsi"/>
          <w:b/>
          <w:bCs/>
          <w:i/>
          <w:iCs/>
          <w:color w:val="4F81BD" w:themeColor="accent1"/>
        </w:rPr>
        <w:t>c) Can they in effect be scaled to replace MMF economic function?</w:t>
      </w:r>
    </w:p>
    <w:p w14:paraId="638B5508" w14:textId="77777777" w:rsidR="00F01748" w:rsidRPr="00726C4B" w:rsidRDefault="00F01748" w:rsidP="00F01748">
      <w:pPr>
        <w:rPr>
          <w:rFonts w:cstheme="minorHAnsi"/>
        </w:rPr>
      </w:pPr>
      <w:r w:rsidRPr="00726C4B">
        <w:rPr>
          <w:rFonts w:cstheme="minorHAnsi"/>
        </w:rPr>
        <w:t>No. Investors have been using MMFs for decades because of the economic function they fulfil and the benefits they offer. Ineffective regulations could scale bank deposits or direct access to short-term funding markets to replace MMF, but it would be a policy failure and would increase risk not only to investors, but to EU markets generally.</w:t>
      </w:r>
    </w:p>
    <w:p w14:paraId="7349F23D" w14:textId="77777777" w:rsidR="00F01748" w:rsidRPr="00726C4B" w:rsidRDefault="00F01748" w:rsidP="00F01748">
      <w:pPr>
        <w:rPr>
          <w:rFonts w:cstheme="minorHAnsi"/>
        </w:rPr>
      </w:pPr>
    </w:p>
    <w:p w14:paraId="76DF024C" w14:textId="77777777" w:rsidR="00F01748" w:rsidRPr="00726C4B" w:rsidRDefault="00F01748" w:rsidP="00F01748">
      <w:pPr>
        <w:rPr>
          <w:rFonts w:cstheme="minorHAnsi"/>
          <w:b/>
          <w:bCs/>
          <w:i/>
          <w:iCs/>
          <w:color w:val="4F81BD" w:themeColor="accent1"/>
        </w:rPr>
      </w:pPr>
      <w:r w:rsidRPr="00726C4B">
        <w:rPr>
          <w:rFonts w:cstheme="minorHAnsi"/>
          <w:b/>
          <w:bCs/>
          <w:i/>
          <w:iCs/>
          <w:color w:val="4F81BD" w:themeColor="accent1"/>
        </w:rPr>
        <w:t>d) Would this address the financial stability issues noted or would risks simply be transferred</w:t>
      </w:r>
      <w:r w:rsidRPr="00726C4B">
        <w:rPr>
          <w:rFonts w:cstheme="minorHAnsi"/>
          <w:color w:val="4F81BD" w:themeColor="accent1"/>
        </w:rPr>
        <w:t xml:space="preserve"> </w:t>
      </w:r>
      <w:r w:rsidRPr="00726C4B">
        <w:rPr>
          <w:rFonts w:cstheme="minorHAnsi"/>
          <w:b/>
          <w:bCs/>
          <w:i/>
          <w:iCs/>
          <w:color w:val="4F81BD" w:themeColor="accent1"/>
        </w:rPr>
        <w:t xml:space="preserve">elsewhere in the market without mitigating them effectively? </w:t>
      </w:r>
    </w:p>
    <w:p w14:paraId="06B1A451" w14:textId="64885C51" w:rsidR="00F01748" w:rsidRDefault="00F01748" w:rsidP="00F01748">
      <w:pPr>
        <w:rPr>
          <w:rFonts w:cstheme="minorHAnsi"/>
        </w:rPr>
      </w:pPr>
      <w:r w:rsidRPr="00726C4B">
        <w:rPr>
          <w:rFonts w:cstheme="minorHAnsi"/>
        </w:rPr>
        <w:t>No, it would not address the financial stability issues. Most of these issues are not inherent to MMFs but rather to short-term funding market structure.</w:t>
      </w:r>
    </w:p>
    <w:p w14:paraId="5E4A81D7" w14:textId="77777777" w:rsidR="00560EC2" w:rsidRPr="00726C4B" w:rsidRDefault="00560EC2" w:rsidP="00F01748">
      <w:pPr>
        <w:rPr>
          <w:rFonts w:cstheme="minorHAnsi"/>
        </w:rPr>
      </w:pPr>
    </w:p>
    <w:permEnd w:id="1123047147"/>
    <w:p w14:paraId="741E001B" w14:textId="4E171775" w:rsidR="00492B3A" w:rsidRDefault="00492B3A" w:rsidP="00492B3A">
      <w:r>
        <w:t>&lt;ESMA_QUESTION_</w:t>
      </w:r>
      <w:r w:rsidR="00DC1B3F">
        <w:t>MMFR</w:t>
      </w:r>
      <w:r>
        <w:t>_2&gt;</w:t>
      </w:r>
    </w:p>
    <w:p w14:paraId="3DF6FFDF" w14:textId="77777777" w:rsidR="00492B3A" w:rsidRDefault="00492B3A" w:rsidP="00492B3A"/>
    <w:p w14:paraId="47C2F5CA" w14:textId="2A5C4E89" w:rsidR="00492B3A" w:rsidRDefault="00976448" w:rsidP="00492B3A">
      <w:pPr>
        <w:pStyle w:val="Questionstyle"/>
      </w:pPr>
      <w:r w:rsidRPr="00F43E30">
        <w:rPr>
          <w:bCs/>
          <w:color w:val="201F1E"/>
          <w:bdr w:val="none" w:sz="0" w:space="0" w:color="auto" w:frame="1"/>
          <w:lang w:val="en-IE"/>
        </w:rPr>
        <w:t xml:space="preserve">Do you agree with the above assessment of the i) potential need to </w:t>
      </w:r>
      <w:r w:rsidRPr="00F43E30">
        <w:rPr>
          <w:bCs/>
          <w:lang w:val="en-US"/>
        </w:rPr>
        <w:t>decouple regulatory thresholds from suspensions/gates and the corresponding proposals of amendment of the MMF Regulation ii) potential reforms of the conditions for the use of redemption gates</w:t>
      </w:r>
      <w:r w:rsidRPr="00F43E30">
        <w:t xml:space="preserve">? </w:t>
      </w:r>
      <w:r w:rsidRPr="00F43E30">
        <w:rPr>
          <w:color w:val="201F1E"/>
          <w:bdr w:val="none" w:sz="0" w:space="0" w:color="auto" w:frame="1"/>
          <w:lang w:val="en-IE"/>
        </w:rPr>
        <w:t>When you answer this question, please also take into account the grid of criteria listed in paragraphs 76 to 80</w:t>
      </w:r>
      <w:r>
        <w:t>.</w:t>
      </w:r>
    </w:p>
    <w:p w14:paraId="1D5C0FD1" w14:textId="7F890B15" w:rsidR="00492B3A" w:rsidRDefault="00492B3A" w:rsidP="00492B3A">
      <w:r>
        <w:t>&lt;ESMA_QUESTION_</w:t>
      </w:r>
      <w:r w:rsidR="00DC1B3F">
        <w:t>MMFR</w:t>
      </w:r>
      <w:r>
        <w:t>_3&gt;</w:t>
      </w:r>
    </w:p>
    <w:p w14:paraId="4BD3E8F7" w14:textId="77777777" w:rsidR="00FC7F28" w:rsidRPr="00726C4B" w:rsidRDefault="00FC7F28" w:rsidP="00FC7F28">
      <w:pPr>
        <w:rPr>
          <w:rFonts w:cstheme="minorHAnsi"/>
        </w:rPr>
      </w:pPr>
      <w:permStart w:id="1823616926" w:edGrp="everyone"/>
      <w:r w:rsidRPr="00726C4B">
        <w:rPr>
          <w:rFonts w:cstheme="minorHAnsi"/>
        </w:rPr>
        <w:t xml:space="preserve">Yes, we agree that the 30% WLA threshold should be delinked from the potential imposition of fees and gates. </w:t>
      </w:r>
    </w:p>
    <w:p w14:paraId="250157DB" w14:textId="77777777" w:rsidR="000D1773" w:rsidRDefault="000D1773" w:rsidP="00FC7F28">
      <w:pPr>
        <w:rPr>
          <w:rFonts w:cstheme="minorHAnsi"/>
        </w:rPr>
      </w:pPr>
    </w:p>
    <w:p w14:paraId="1B9D1AA2" w14:textId="485CA3B6" w:rsidR="00FC7F28" w:rsidRPr="00726C4B" w:rsidRDefault="00FC7F28" w:rsidP="00FC7F28">
      <w:pPr>
        <w:rPr>
          <w:rFonts w:cstheme="minorHAnsi"/>
        </w:rPr>
      </w:pPr>
      <w:r w:rsidRPr="00726C4B">
        <w:rPr>
          <w:rFonts w:cstheme="minorHAnsi"/>
        </w:rPr>
        <w:t>This link served as an accelerant to redemptions and led to artificially high levels of redemptions in the Liquidity Crisis. Fees and gates should be tools available for a fund’s board to implement in its exercise of its fiduciary duty. Additionally, EU MMFs should all be subject to a daily liquidity requirement of 10% and a weekly liquidity requirement of 30% and, if they fall below, the consequence should be limited to notification to a firm’s national competent authority (“NCA”) and the purchase of only securities that meet these requirements.</w:t>
      </w:r>
    </w:p>
    <w:p w14:paraId="75137697" w14:textId="77777777" w:rsidR="00FC7F28" w:rsidRPr="00726C4B" w:rsidRDefault="00FC7F28" w:rsidP="00FC7F28">
      <w:pPr>
        <w:rPr>
          <w:rFonts w:cstheme="minorHAnsi"/>
        </w:rPr>
      </w:pPr>
    </w:p>
    <w:p w14:paraId="06B97279" w14:textId="77777777" w:rsidR="00FC7F28" w:rsidRPr="00726C4B" w:rsidRDefault="00FC7F28" w:rsidP="00FC7F28">
      <w:pPr>
        <w:rPr>
          <w:rFonts w:cstheme="minorHAnsi"/>
          <w:b/>
          <w:bCs/>
          <w:i/>
          <w:iCs/>
          <w:color w:val="4F81BD" w:themeColor="accent1"/>
        </w:rPr>
      </w:pPr>
      <w:r w:rsidRPr="00726C4B">
        <w:rPr>
          <w:rFonts w:cstheme="minorHAnsi"/>
          <w:b/>
          <w:bCs/>
          <w:i/>
          <w:iCs/>
          <w:color w:val="4F81BD" w:themeColor="accent1"/>
        </w:rPr>
        <w:t>I. Impact on the resilience of MMFs</w:t>
      </w:r>
      <w:r w:rsidRPr="00726C4B">
        <w:rPr>
          <w:rFonts w:cstheme="minorHAnsi"/>
          <w:b/>
          <w:bCs/>
          <w:i/>
          <w:iCs/>
          <w:color w:val="4F81BD" w:themeColor="accent1"/>
        </w:rPr>
        <w:br/>
        <w:t>i. How would the policy option work in mitigating the structural vulnerabilities of MMFs?</w:t>
      </w:r>
    </w:p>
    <w:p w14:paraId="136949ED" w14:textId="77777777" w:rsidR="00FC7F28" w:rsidRPr="00726C4B" w:rsidRDefault="00FC7F28" w:rsidP="00FC7F28">
      <w:pPr>
        <w:rPr>
          <w:rFonts w:cstheme="minorHAnsi"/>
        </w:rPr>
      </w:pPr>
      <w:r w:rsidRPr="00726C4B">
        <w:rPr>
          <w:rFonts w:cstheme="minorHAnsi"/>
        </w:rPr>
        <w:t>Data show that, in March 2020, the MMFs that experienced the highest redemption pressure were those where a link between the 30% WLA and potential imposition of a fee or gate existed. This linkage was ill-conceived and had the unintended and damaging consequence of artificially increasing redemptions in a period of market stress. Delinking would have freed up MMFs so that they could have utilised existing 30% internal liquidity as intended: i.e., an amount of liquidity more than sufficient to cover redemptions experienced by EU MMFs in the Liquidity Crisis.</w:t>
      </w:r>
    </w:p>
    <w:p w14:paraId="4945C4E4" w14:textId="77777777" w:rsidR="00FC7F28" w:rsidRPr="00726C4B" w:rsidRDefault="00FC7F28" w:rsidP="00FC7F28">
      <w:pPr>
        <w:rPr>
          <w:rFonts w:cstheme="minorHAnsi"/>
        </w:rPr>
      </w:pPr>
    </w:p>
    <w:p w14:paraId="149F36B9" w14:textId="77777777" w:rsidR="00FC7F28" w:rsidRPr="00726C4B" w:rsidRDefault="00FC7F28" w:rsidP="00FC7F28">
      <w:pPr>
        <w:rPr>
          <w:rFonts w:cstheme="minorHAnsi"/>
          <w:b/>
          <w:bCs/>
          <w:i/>
          <w:iCs/>
          <w:color w:val="4F81BD" w:themeColor="accent1"/>
        </w:rPr>
      </w:pPr>
      <w:r w:rsidRPr="00726C4B">
        <w:rPr>
          <w:rFonts w:cstheme="minorHAnsi"/>
          <w:b/>
          <w:bCs/>
          <w:i/>
          <w:iCs/>
          <w:color w:val="4F81BD" w:themeColor="accent1"/>
        </w:rPr>
        <w:lastRenderedPageBreak/>
        <w:t>ii. Would it apply to all MMFs or only to certain types of MMFs?</w:t>
      </w:r>
    </w:p>
    <w:p w14:paraId="3B030D28" w14:textId="77777777" w:rsidR="00FC7F28" w:rsidRPr="00726C4B" w:rsidRDefault="00FC7F28" w:rsidP="00FC7F28">
      <w:pPr>
        <w:rPr>
          <w:rFonts w:cstheme="minorHAnsi"/>
        </w:rPr>
      </w:pPr>
      <w:r w:rsidRPr="00726C4B">
        <w:rPr>
          <w:rFonts w:cstheme="minorHAnsi"/>
        </w:rPr>
        <w:t>It would apply to all MMFs.</w:t>
      </w:r>
    </w:p>
    <w:p w14:paraId="7F1C88FA" w14:textId="77777777" w:rsidR="00FC7F28" w:rsidRPr="00726C4B" w:rsidRDefault="00FC7F28" w:rsidP="00FC7F28">
      <w:pPr>
        <w:rPr>
          <w:rFonts w:cstheme="minorHAnsi"/>
        </w:rPr>
      </w:pPr>
      <w:r w:rsidRPr="00726C4B">
        <w:rPr>
          <w:rFonts w:cstheme="minorHAnsi"/>
        </w:rPr>
        <w:br/>
      </w:r>
      <w:r w:rsidRPr="00726C4B">
        <w:rPr>
          <w:rFonts w:cstheme="minorHAnsi"/>
          <w:b/>
          <w:bCs/>
          <w:i/>
          <w:iCs/>
          <w:color w:val="4F81BD" w:themeColor="accent1"/>
        </w:rPr>
        <w:t>iii. A) Is the option currently in place in any jurisdiction, and if so, has it been helpful?</w:t>
      </w:r>
    </w:p>
    <w:p w14:paraId="04BFC9AC" w14:textId="77777777" w:rsidR="00FC7F28" w:rsidRPr="00726C4B" w:rsidRDefault="00FC7F28" w:rsidP="00FC7F28">
      <w:pPr>
        <w:rPr>
          <w:rFonts w:cstheme="minorHAnsi"/>
        </w:rPr>
      </w:pPr>
      <w:r w:rsidRPr="00726C4B">
        <w:rPr>
          <w:rFonts w:cstheme="minorHAnsi"/>
        </w:rPr>
        <w:t>Delinking liquidity fees and gates should be a top priority in both the EU and US, the two most meaningful MMF markets globally. Each of the EU and US MMF regulatory requirements include the linkage of fees and gates with liquidity usage, something that has proven to be an unintended negative consequence of the regulations.</w:t>
      </w:r>
    </w:p>
    <w:p w14:paraId="4CA87FDC" w14:textId="77777777" w:rsidR="00FC7F28" w:rsidRPr="00726C4B" w:rsidRDefault="00FC7F28" w:rsidP="00FC7F28">
      <w:pPr>
        <w:rPr>
          <w:rFonts w:cstheme="minorHAnsi"/>
        </w:rPr>
      </w:pPr>
    </w:p>
    <w:p w14:paraId="773DF37C" w14:textId="77777777" w:rsidR="00FC7F28" w:rsidRPr="00726C4B" w:rsidRDefault="00FC7F28" w:rsidP="00FC7F28">
      <w:pPr>
        <w:rPr>
          <w:rFonts w:cstheme="minorHAnsi"/>
          <w:b/>
          <w:bCs/>
          <w:i/>
          <w:iCs/>
          <w:color w:val="4F81BD" w:themeColor="accent1"/>
        </w:rPr>
      </w:pPr>
      <w:r w:rsidRPr="00726C4B">
        <w:rPr>
          <w:rFonts w:cstheme="minorHAnsi"/>
          <w:b/>
          <w:bCs/>
          <w:i/>
          <w:iCs/>
          <w:color w:val="4F81BD" w:themeColor="accent1"/>
        </w:rPr>
        <w:t xml:space="preserve">b) How would it represent a change from current rules or practices in other jurisdictions? </w:t>
      </w:r>
    </w:p>
    <w:p w14:paraId="1EB2D0B6" w14:textId="77777777" w:rsidR="00FC7F28" w:rsidRPr="00726C4B" w:rsidRDefault="00FC7F28" w:rsidP="00FC7F28">
      <w:pPr>
        <w:rPr>
          <w:rFonts w:cstheme="minorHAnsi"/>
        </w:rPr>
      </w:pPr>
      <w:r w:rsidRPr="00726C4B">
        <w:rPr>
          <w:rFonts w:cstheme="minorHAnsi"/>
        </w:rPr>
        <w:t>The US is also considering delinking the 30% WLA thresholds and a fund’s potential imposition of gates and fees (see the December 2020 Report of the President’s Working Group (“PWG”) on Financial Markets “</w:t>
      </w:r>
      <w:hyperlink r:id="rId23" w:history="1">
        <w:r w:rsidRPr="00726C4B">
          <w:rPr>
            <w:rStyle w:val="Hyperlink"/>
            <w:rFonts w:cstheme="minorHAnsi"/>
          </w:rPr>
          <w:t>Overview of Recent Events and Potential Reform Options for Money Market Funds</w:t>
        </w:r>
      </w:hyperlink>
      <w:r w:rsidRPr="00726C4B">
        <w:rPr>
          <w:rFonts w:cstheme="minorHAnsi"/>
        </w:rPr>
        <w:t xml:space="preserve">” and the U.S. SEC’s </w:t>
      </w:r>
      <w:hyperlink r:id="rId24" w:history="1">
        <w:r w:rsidRPr="00726C4B">
          <w:rPr>
            <w:rStyle w:val="Hyperlink"/>
            <w:rFonts w:cstheme="minorHAnsi"/>
          </w:rPr>
          <w:t>request for public comments</w:t>
        </w:r>
      </w:hyperlink>
      <w:r w:rsidRPr="00726C4B">
        <w:rPr>
          <w:rFonts w:cstheme="minorHAnsi"/>
        </w:rPr>
        <w:t xml:space="preserve"> on potential reform measures to improve the resilience of money market funds as highlighted in the PWG’s report).</w:t>
      </w:r>
    </w:p>
    <w:p w14:paraId="4CFDA8EA" w14:textId="77777777" w:rsidR="00FC7F28" w:rsidRPr="00726C4B" w:rsidRDefault="00FC7F28" w:rsidP="00FC7F28">
      <w:pPr>
        <w:rPr>
          <w:rFonts w:cstheme="minorHAnsi"/>
        </w:rPr>
      </w:pPr>
    </w:p>
    <w:p w14:paraId="3A45E7D5" w14:textId="77777777" w:rsidR="00FC7F28" w:rsidRPr="00726C4B" w:rsidRDefault="00FC7F28" w:rsidP="00FC7F28">
      <w:pPr>
        <w:rPr>
          <w:rFonts w:cstheme="minorHAnsi"/>
          <w:b/>
          <w:bCs/>
          <w:i/>
          <w:iCs/>
          <w:color w:val="4F81BD" w:themeColor="accent1"/>
        </w:rPr>
      </w:pPr>
      <w:r w:rsidRPr="00726C4B">
        <w:rPr>
          <w:rFonts w:cstheme="minorHAnsi"/>
          <w:b/>
          <w:bCs/>
          <w:i/>
          <w:iCs/>
          <w:color w:val="4F81BD" w:themeColor="accent1"/>
        </w:rPr>
        <w:t>II. Effects on investor behaviour</w:t>
      </w:r>
    </w:p>
    <w:p w14:paraId="26DBB384" w14:textId="77777777" w:rsidR="00FC7F28" w:rsidRPr="00726C4B" w:rsidRDefault="00FC7F28" w:rsidP="00FC7F28">
      <w:pPr>
        <w:rPr>
          <w:rFonts w:cstheme="minorHAnsi"/>
          <w:b/>
          <w:bCs/>
          <w:i/>
          <w:iCs/>
          <w:color w:val="4F81BD" w:themeColor="accent1"/>
        </w:rPr>
      </w:pPr>
      <w:r w:rsidRPr="00726C4B">
        <w:rPr>
          <w:rFonts w:cstheme="minorHAnsi"/>
          <w:b/>
          <w:bCs/>
          <w:i/>
          <w:iCs/>
          <w:color w:val="4F81BD" w:themeColor="accent1"/>
        </w:rPr>
        <w:t>i. From a micro perspective (viewing the MMF in isolation), how would the policy option affect investors’ incentives to redeem during stress events?</w:t>
      </w:r>
    </w:p>
    <w:p w14:paraId="5582A053" w14:textId="77777777" w:rsidR="00FC7F28" w:rsidRPr="00726C4B" w:rsidRDefault="00FC7F28" w:rsidP="00FC7F28">
      <w:pPr>
        <w:rPr>
          <w:rFonts w:cstheme="minorHAnsi"/>
        </w:rPr>
      </w:pPr>
      <w:r w:rsidRPr="00726C4B">
        <w:rPr>
          <w:rFonts w:cstheme="minorHAnsi"/>
        </w:rPr>
        <w:t>Removing the link between the 30% WLA thresholds and funds’ potential imposition of gates and fees would reduce the unnecessary and improper incentive for investors to redeem and free up MMF managers to utilise weekly liquid assets as they were intended: i.e., to meet liquidity needs in times of stress.</w:t>
      </w:r>
    </w:p>
    <w:p w14:paraId="0F4D7409" w14:textId="77777777" w:rsidR="00FC7F28" w:rsidRPr="00726C4B" w:rsidRDefault="00FC7F28" w:rsidP="00FC7F28">
      <w:pPr>
        <w:rPr>
          <w:rFonts w:cstheme="minorHAnsi"/>
        </w:rPr>
      </w:pPr>
    </w:p>
    <w:p w14:paraId="2969359E" w14:textId="77777777" w:rsidR="00FC7F28" w:rsidRPr="00726C4B" w:rsidRDefault="00FC7F28" w:rsidP="00FC7F28">
      <w:pPr>
        <w:rPr>
          <w:rFonts w:cstheme="minorHAnsi"/>
          <w:b/>
          <w:bCs/>
          <w:i/>
          <w:iCs/>
          <w:color w:val="4F81BD" w:themeColor="accent1"/>
        </w:rPr>
      </w:pPr>
      <w:r w:rsidRPr="00726C4B">
        <w:rPr>
          <w:rFonts w:cstheme="minorHAnsi"/>
          <w:b/>
          <w:bCs/>
          <w:i/>
          <w:iCs/>
          <w:color w:val="4F81BD" w:themeColor="accent1"/>
        </w:rPr>
        <w:t>ii. From a macro perspective, how would this option mitigate the effects of a generalised “dash for cash” as seen in March 2020; and/or runs prompted by a credit crisis, as seen in September 2008?</w:t>
      </w:r>
    </w:p>
    <w:p w14:paraId="443AB8A7" w14:textId="77777777" w:rsidR="00FC7F28" w:rsidRPr="00726C4B" w:rsidRDefault="00FC7F28" w:rsidP="00FC7F28">
      <w:pPr>
        <w:rPr>
          <w:rFonts w:cstheme="minorHAnsi"/>
        </w:rPr>
      </w:pPr>
      <w:r w:rsidRPr="00726C4B">
        <w:rPr>
          <w:rFonts w:cstheme="minorHAnsi"/>
        </w:rPr>
        <w:t xml:space="preserve">Removing the link between the 30% WLA thresholds and funds’ potential imposition of gates and fees would remove one of the major incentives for redemptions that IOSCO and other policymakers observed in March 2020. </w:t>
      </w:r>
    </w:p>
    <w:p w14:paraId="1BCAB8BC" w14:textId="77777777" w:rsidR="00FC7F28" w:rsidRPr="00726C4B" w:rsidRDefault="00FC7F28" w:rsidP="00FC7F28">
      <w:pPr>
        <w:rPr>
          <w:rFonts w:cstheme="minorHAnsi"/>
        </w:rPr>
      </w:pPr>
      <w:r w:rsidRPr="00726C4B">
        <w:rPr>
          <w:rFonts w:cstheme="minorHAnsi"/>
        </w:rPr>
        <w:t xml:space="preserve"> </w:t>
      </w:r>
    </w:p>
    <w:p w14:paraId="4B1DC483" w14:textId="77777777" w:rsidR="00FC7F28" w:rsidRPr="00726C4B" w:rsidRDefault="00FC7F28" w:rsidP="00FC7F28">
      <w:pPr>
        <w:rPr>
          <w:rFonts w:cstheme="minorHAnsi"/>
          <w:b/>
          <w:bCs/>
          <w:i/>
          <w:iCs/>
          <w:color w:val="4F81BD" w:themeColor="accent1"/>
        </w:rPr>
      </w:pPr>
      <w:r w:rsidRPr="00726C4B">
        <w:rPr>
          <w:rFonts w:cstheme="minorHAnsi"/>
          <w:b/>
          <w:bCs/>
          <w:i/>
          <w:iCs/>
          <w:color w:val="4F81BD" w:themeColor="accent1"/>
        </w:rPr>
        <w:t>iii. a) Does the option effectively shift MMF risks to investors?</w:t>
      </w:r>
    </w:p>
    <w:p w14:paraId="5008A29E" w14:textId="77777777" w:rsidR="00FC7F28" w:rsidRPr="00726C4B" w:rsidRDefault="00FC7F28" w:rsidP="00FC7F28">
      <w:pPr>
        <w:rPr>
          <w:rFonts w:cstheme="minorHAnsi"/>
        </w:rPr>
      </w:pPr>
      <w:r w:rsidRPr="00726C4B">
        <w:rPr>
          <w:rFonts w:cstheme="minorHAnsi"/>
        </w:rPr>
        <w:t>No. Investors already have 100% of the risk in MMFs. EU MMFs are 100% capitalised and managers are not permitted to support funds. Article 36 of the EU MMFR ensures that EU investors are informed of the risks they take on as they require EU MMFs to disclose in any document a MMF uses for marketing purposes the following statements:</w:t>
      </w:r>
    </w:p>
    <w:p w14:paraId="765356BF" w14:textId="77777777" w:rsidR="00FC7F28" w:rsidRPr="00726C4B" w:rsidRDefault="00FC7F28" w:rsidP="00FC7F28">
      <w:pPr>
        <w:autoSpaceDE w:val="0"/>
        <w:autoSpaceDN w:val="0"/>
        <w:adjustRightInd w:val="0"/>
        <w:ind w:left="720"/>
        <w:rPr>
          <w:rFonts w:cstheme="minorHAnsi"/>
          <w:color w:val="000000"/>
        </w:rPr>
      </w:pPr>
      <w:r w:rsidRPr="00726C4B">
        <w:rPr>
          <w:rFonts w:cstheme="minorHAnsi"/>
          <w:color w:val="000000"/>
        </w:rPr>
        <w:t xml:space="preserve">(a) that the MMF is not a guaranteed investment; </w:t>
      </w:r>
    </w:p>
    <w:p w14:paraId="7633C4EF" w14:textId="77777777" w:rsidR="00FC7F28" w:rsidRPr="00726C4B" w:rsidRDefault="00FC7F28" w:rsidP="00FC7F28">
      <w:pPr>
        <w:autoSpaceDE w:val="0"/>
        <w:autoSpaceDN w:val="0"/>
        <w:adjustRightInd w:val="0"/>
        <w:ind w:left="720"/>
        <w:rPr>
          <w:rFonts w:cstheme="minorHAnsi"/>
          <w:color w:val="000000"/>
        </w:rPr>
      </w:pPr>
      <w:r w:rsidRPr="00726C4B">
        <w:rPr>
          <w:rFonts w:cstheme="minorHAnsi"/>
          <w:color w:val="000000"/>
        </w:rPr>
        <w:t xml:space="preserve">(b) that an investment in MMFs is different from an investment in deposits, with particular reference to the risk that the principal invested in an MMF is capable of fluctuation; </w:t>
      </w:r>
    </w:p>
    <w:p w14:paraId="3B17063A" w14:textId="77777777" w:rsidR="00FC7F28" w:rsidRPr="00726C4B" w:rsidRDefault="00FC7F28" w:rsidP="00FC7F28">
      <w:pPr>
        <w:autoSpaceDE w:val="0"/>
        <w:autoSpaceDN w:val="0"/>
        <w:adjustRightInd w:val="0"/>
        <w:ind w:left="720"/>
        <w:rPr>
          <w:rFonts w:cstheme="minorHAnsi"/>
          <w:color w:val="000000"/>
        </w:rPr>
      </w:pPr>
      <w:r w:rsidRPr="00726C4B">
        <w:rPr>
          <w:rFonts w:cstheme="minorHAnsi"/>
          <w:color w:val="000000"/>
        </w:rPr>
        <w:t xml:space="preserve">(c) that the MMF does not rely on external support for guaranteeing the liquidity of the MMF or stabilising the NAV per unit or share; </w:t>
      </w:r>
    </w:p>
    <w:p w14:paraId="7D56AD38" w14:textId="77777777" w:rsidR="00FC7F28" w:rsidRPr="00726C4B" w:rsidRDefault="00FC7F28" w:rsidP="00FC7F28">
      <w:pPr>
        <w:autoSpaceDE w:val="0"/>
        <w:autoSpaceDN w:val="0"/>
        <w:adjustRightInd w:val="0"/>
        <w:ind w:left="720"/>
        <w:rPr>
          <w:rFonts w:cstheme="minorHAnsi"/>
          <w:color w:val="000000"/>
        </w:rPr>
      </w:pPr>
      <w:r w:rsidRPr="00726C4B">
        <w:rPr>
          <w:rFonts w:cstheme="minorHAnsi"/>
          <w:color w:val="000000"/>
        </w:rPr>
        <w:t xml:space="preserve">(d) that the risk of loss of the principal is to be borne by the investor. </w:t>
      </w:r>
    </w:p>
    <w:p w14:paraId="0DDD9808" w14:textId="77777777" w:rsidR="000D1773" w:rsidRDefault="000D1773" w:rsidP="00FC7F28">
      <w:pPr>
        <w:rPr>
          <w:rFonts w:cstheme="minorHAnsi"/>
          <w:color w:val="000000"/>
        </w:rPr>
      </w:pPr>
    </w:p>
    <w:p w14:paraId="0140287F" w14:textId="4FC684B3" w:rsidR="00FC7F28" w:rsidRPr="00726C4B" w:rsidRDefault="00FC7F28" w:rsidP="00FC7F28">
      <w:pPr>
        <w:rPr>
          <w:rFonts w:cstheme="minorHAnsi"/>
        </w:rPr>
      </w:pPr>
      <w:r w:rsidRPr="00726C4B">
        <w:rPr>
          <w:rFonts w:cstheme="minorHAnsi"/>
          <w:color w:val="000000"/>
        </w:rPr>
        <w:t>Moreover, Article 36(4) provides further that “No communication by the MMF or by the manager of an MMF to investors or potential investors shall in any way suggest that an investment in the units or shares of the MMF is guaranteed.”</w:t>
      </w:r>
    </w:p>
    <w:p w14:paraId="155E3A06" w14:textId="77777777" w:rsidR="00FC7F28" w:rsidRPr="00726C4B" w:rsidRDefault="00FC7F28" w:rsidP="00FC7F28">
      <w:pPr>
        <w:rPr>
          <w:rFonts w:cstheme="minorHAnsi"/>
        </w:rPr>
      </w:pPr>
      <w:r w:rsidRPr="00726C4B">
        <w:rPr>
          <w:rFonts w:cstheme="minorHAnsi"/>
        </w:rPr>
        <w:t xml:space="preserve"> </w:t>
      </w:r>
    </w:p>
    <w:p w14:paraId="5AE4C043" w14:textId="77777777" w:rsidR="00FC7F28" w:rsidRPr="00726C4B" w:rsidRDefault="00FC7F28" w:rsidP="00FC7F28">
      <w:pPr>
        <w:rPr>
          <w:rFonts w:cstheme="minorHAnsi"/>
          <w:b/>
          <w:bCs/>
          <w:i/>
          <w:iCs/>
          <w:color w:val="4F81BD" w:themeColor="accent1"/>
        </w:rPr>
      </w:pPr>
      <w:r w:rsidRPr="00726C4B">
        <w:rPr>
          <w:rFonts w:cstheme="minorHAnsi"/>
          <w:b/>
          <w:bCs/>
          <w:i/>
          <w:iCs/>
          <w:color w:val="4F81BD" w:themeColor="accent1"/>
        </w:rPr>
        <w:t>b) Does it make those risks more salient and transparent for investors? Are investors treated equally?</w:t>
      </w:r>
    </w:p>
    <w:p w14:paraId="14B0A5A5" w14:textId="77777777" w:rsidR="00FC7F28" w:rsidRPr="00726C4B" w:rsidRDefault="00FC7F28" w:rsidP="00FC7F28">
      <w:pPr>
        <w:rPr>
          <w:rFonts w:cstheme="minorHAnsi"/>
        </w:rPr>
      </w:pPr>
      <w:r w:rsidRPr="00726C4B">
        <w:rPr>
          <w:rFonts w:cstheme="minorHAnsi"/>
        </w:rPr>
        <w:t>No. Investors already have 100% of the risk in MMFs. EU MMFs are 100% capitalised and managers are not permitted to support funds. Article 36 of the EU MMFR ensures that EU investors are informed of the risks they take on as they require EU MMFs to disclose in any document a MMF uses for marketing purposes the following statements:</w:t>
      </w:r>
    </w:p>
    <w:p w14:paraId="57CF57E6" w14:textId="77777777" w:rsidR="00FC7F28" w:rsidRPr="00726C4B" w:rsidRDefault="00FC7F28" w:rsidP="00FC7F28">
      <w:pPr>
        <w:autoSpaceDE w:val="0"/>
        <w:autoSpaceDN w:val="0"/>
        <w:adjustRightInd w:val="0"/>
        <w:ind w:left="720"/>
        <w:rPr>
          <w:rFonts w:cstheme="minorHAnsi"/>
          <w:color w:val="000000"/>
        </w:rPr>
      </w:pPr>
      <w:r w:rsidRPr="00726C4B">
        <w:rPr>
          <w:rFonts w:cstheme="minorHAnsi"/>
          <w:color w:val="000000"/>
        </w:rPr>
        <w:t xml:space="preserve">(a) that the MMF is not a guaranteed investment; </w:t>
      </w:r>
    </w:p>
    <w:p w14:paraId="486BEBCB" w14:textId="77777777" w:rsidR="00FC7F28" w:rsidRPr="00726C4B" w:rsidRDefault="00FC7F28" w:rsidP="00FC7F28">
      <w:pPr>
        <w:autoSpaceDE w:val="0"/>
        <w:autoSpaceDN w:val="0"/>
        <w:adjustRightInd w:val="0"/>
        <w:ind w:left="720"/>
        <w:rPr>
          <w:rFonts w:cstheme="minorHAnsi"/>
          <w:color w:val="000000"/>
        </w:rPr>
      </w:pPr>
      <w:r w:rsidRPr="00726C4B">
        <w:rPr>
          <w:rFonts w:cstheme="minorHAnsi"/>
          <w:color w:val="000000"/>
        </w:rPr>
        <w:t xml:space="preserve">(b) that an investment in MMFs is different from an investment in deposits, with particular reference to the risk that the principal invested in an MMF is capable of fluctuation; </w:t>
      </w:r>
    </w:p>
    <w:p w14:paraId="6F41B165" w14:textId="77777777" w:rsidR="00FC7F28" w:rsidRPr="00726C4B" w:rsidRDefault="00FC7F28" w:rsidP="00FC7F28">
      <w:pPr>
        <w:autoSpaceDE w:val="0"/>
        <w:autoSpaceDN w:val="0"/>
        <w:adjustRightInd w:val="0"/>
        <w:ind w:left="720"/>
        <w:rPr>
          <w:rFonts w:cstheme="minorHAnsi"/>
          <w:color w:val="000000"/>
        </w:rPr>
      </w:pPr>
      <w:r w:rsidRPr="00726C4B">
        <w:rPr>
          <w:rFonts w:cstheme="minorHAnsi"/>
          <w:color w:val="000000"/>
        </w:rPr>
        <w:t xml:space="preserve">(c) that the MMF does not rely on external support for guaranteeing the liquidity of the MMF or stabilising the NAV per unit or share; </w:t>
      </w:r>
    </w:p>
    <w:p w14:paraId="463F6A0D" w14:textId="77777777" w:rsidR="00FC7F28" w:rsidRPr="00726C4B" w:rsidRDefault="00FC7F28" w:rsidP="00FC7F28">
      <w:pPr>
        <w:autoSpaceDE w:val="0"/>
        <w:autoSpaceDN w:val="0"/>
        <w:adjustRightInd w:val="0"/>
        <w:ind w:left="720"/>
        <w:rPr>
          <w:rFonts w:cstheme="minorHAnsi"/>
          <w:color w:val="000000"/>
        </w:rPr>
      </w:pPr>
      <w:r w:rsidRPr="00726C4B">
        <w:rPr>
          <w:rFonts w:cstheme="minorHAnsi"/>
          <w:color w:val="000000"/>
        </w:rPr>
        <w:lastRenderedPageBreak/>
        <w:t xml:space="preserve">(d) that the risk of loss of the principal is to be borne by the investor. </w:t>
      </w:r>
    </w:p>
    <w:p w14:paraId="0112F826" w14:textId="77777777" w:rsidR="000D1773" w:rsidRDefault="000D1773" w:rsidP="00FC7F28">
      <w:pPr>
        <w:rPr>
          <w:rFonts w:cstheme="minorHAnsi"/>
          <w:color w:val="000000"/>
        </w:rPr>
      </w:pPr>
    </w:p>
    <w:p w14:paraId="09D44007" w14:textId="6AA618D1" w:rsidR="00FC7F28" w:rsidRPr="00726C4B" w:rsidRDefault="00FC7F28" w:rsidP="00FC7F28">
      <w:pPr>
        <w:rPr>
          <w:rFonts w:cstheme="minorHAnsi"/>
        </w:rPr>
      </w:pPr>
      <w:r w:rsidRPr="00726C4B">
        <w:rPr>
          <w:rFonts w:cstheme="minorHAnsi"/>
          <w:color w:val="000000"/>
        </w:rPr>
        <w:t>Moreover, Article 36(4) provides further that “No communication by the MMF or by the manager of an MMF to investors or potential investors shall in any way suggest that an investment in the units or shares of the MMF is guaranteed.”</w:t>
      </w:r>
    </w:p>
    <w:p w14:paraId="362CAAED" w14:textId="77777777" w:rsidR="000D1773" w:rsidRDefault="000D1773" w:rsidP="00FC7F28">
      <w:pPr>
        <w:rPr>
          <w:rFonts w:cstheme="minorHAnsi"/>
          <w:color w:val="000000"/>
        </w:rPr>
      </w:pPr>
    </w:p>
    <w:p w14:paraId="2EA91513" w14:textId="3F944520" w:rsidR="00FC7F28" w:rsidRPr="00726C4B" w:rsidRDefault="00FC7F28" w:rsidP="00FC7F28">
      <w:pPr>
        <w:rPr>
          <w:rFonts w:cstheme="minorHAnsi"/>
        </w:rPr>
      </w:pPr>
      <w:r w:rsidRPr="00726C4B">
        <w:rPr>
          <w:rFonts w:cstheme="minorHAnsi"/>
          <w:color w:val="000000"/>
        </w:rPr>
        <w:t>Finally, a</w:t>
      </w:r>
      <w:r w:rsidRPr="00726C4B">
        <w:rPr>
          <w:rFonts w:cstheme="minorHAnsi"/>
        </w:rPr>
        <w:t xml:space="preserve">ll investors in EU MMFs are treated equally. EU MMFs are the most transparent investment product in Europe and are subject to not only increased stress testing and regulatory reporting, but also enhanced transparency requirements to ensure that investors have access to key information on the holdings of EU MMFs. </w:t>
      </w:r>
    </w:p>
    <w:p w14:paraId="279A4D26" w14:textId="77777777" w:rsidR="00FC7F28" w:rsidRPr="00726C4B" w:rsidRDefault="00FC7F28" w:rsidP="00FC7F28">
      <w:pPr>
        <w:rPr>
          <w:rFonts w:cstheme="minorHAnsi"/>
        </w:rPr>
      </w:pPr>
    </w:p>
    <w:p w14:paraId="658E7D13" w14:textId="77777777" w:rsidR="00FC7F28" w:rsidRPr="00726C4B" w:rsidRDefault="00FC7F28" w:rsidP="00FC7F28">
      <w:pPr>
        <w:rPr>
          <w:rFonts w:cstheme="minorHAnsi"/>
          <w:b/>
          <w:bCs/>
          <w:i/>
          <w:iCs/>
          <w:color w:val="4F81BD" w:themeColor="accent1"/>
        </w:rPr>
      </w:pPr>
      <w:r w:rsidRPr="00726C4B">
        <w:rPr>
          <w:rFonts w:cstheme="minorHAnsi"/>
          <w:b/>
          <w:bCs/>
          <w:i/>
          <w:iCs/>
          <w:color w:val="4F81BD" w:themeColor="accent1"/>
        </w:rPr>
        <w:t>III. Effects on fund managers</w:t>
      </w:r>
      <w:r w:rsidRPr="00726C4B">
        <w:rPr>
          <w:rFonts w:cstheme="minorHAnsi"/>
          <w:b/>
          <w:bCs/>
          <w:i/>
          <w:iCs/>
          <w:color w:val="4F81BD" w:themeColor="accent1"/>
        </w:rPr>
        <w:br/>
        <w:t xml:space="preserve">i. How would the policy option affect MMFs’ liquidity management in normal versus stressed times? </w:t>
      </w:r>
    </w:p>
    <w:p w14:paraId="26612CAD" w14:textId="77777777" w:rsidR="00FC7F28" w:rsidRPr="00726C4B" w:rsidRDefault="00FC7F28" w:rsidP="00FC7F28">
      <w:pPr>
        <w:rPr>
          <w:rFonts w:cstheme="minorHAnsi"/>
        </w:rPr>
      </w:pPr>
      <w:r w:rsidRPr="00726C4B">
        <w:rPr>
          <w:rFonts w:cstheme="minorHAnsi"/>
        </w:rPr>
        <w:t>Delinking the 30% WLA from the potential imposition of liquidity fees and gates removes a major incentive for investors to redeem in stressed times. EU MMFs should continue to be subject to both daily and weekly liquidity requirements and fund boards should continue to have the discretion to impose liquidity fees, or redemption gates, when appropriate and in the best interest of investors.</w:t>
      </w:r>
    </w:p>
    <w:p w14:paraId="21E77378" w14:textId="77777777" w:rsidR="00617FB9" w:rsidRDefault="00617FB9" w:rsidP="00FC7F28">
      <w:pPr>
        <w:rPr>
          <w:rFonts w:cstheme="minorHAnsi"/>
        </w:rPr>
      </w:pPr>
    </w:p>
    <w:p w14:paraId="78FBBC77" w14:textId="3AA332FA" w:rsidR="00FC7F28" w:rsidRPr="00726C4B" w:rsidRDefault="00FC7F28" w:rsidP="00FC7F28">
      <w:pPr>
        <w:rPr>
          <w:rFonts w:cstheme="minorHAnsi"/>
        </w:rPr>
      </w:pPr>
      <w:r w:rsidRPr="00726C4B">
        <w:rPr>
          <w:rFonts w:cstheme="minorHAnsi"/>
        </w:rPr>
        <w:t xml:space="preserve">We support the existing MMF daily (10%) and weekly (30%) liquid asset thresholds and believe they should be applied to all EU MMFs. We note that if a fund does not satisfy its liquidity requirements, it is limited to purchasing assets that would cause the percentage of its liquid assets to increase. </w:t>
      </w:r>
    </w:p>
    <w:p w14:paraId="6C7A1657" w14:textId="77777777" w:rsidR="00FC7F28" w:rsidRPr="00726C4B" w:rsidRDefault="00FC7F28" w:rsidP="00FC7F28">
      <w:pPr>
        <w:rPr>
          <w:rFonts w:cstheme="minorHAnsi"/>
        </w:rPr>
      </w:pPr>
    </w:p>
    <w:p w14:paraId="22B80437" w14:textId="77777777" w:rsidR="00FC7F28" w:rsidRPr="00726C4B" w:rsidRDefault="00FC7F28" w:rsidP="00FC7F28">
      <w:pPr>
        <w:rPr>
          <w:rFonts w:cstheme="minorHAnsi"/>
          <w:b/>
          <w:bCs/>
          <w:i/>
          <w:iCs/>
          <w:color w:val="4F81BD" w:themeColor="accent1"/>
        </w:rPr>
      </w:pPr>
      <w:r w:rsidRPr="00726C4B">
        <w:rPr>
          <w:rFonts w:cstheme="minorHAnsi"/>
          <w:b/>
          <w:bCs/>
          <w:i/>
          <w:iCs/>
          <w:color w:val="4F81BD" w:themeColor="accent1"/>
        </w:rPr>
        <w:t xml:space="preserve">ii. How would it impact the ability or willingness of MMFs to invest in short-term funding instruments or use the repo market? </w:t>
      </w:r>
    </w:p>
    <w:p w14:paraId="27568686" w14:textId="4745837B" w:rsidR="00FC7F28" w:rsidRDefault="00FC7F28" w:rsidP="00FC7F28">
      <w:pPr>
        <w:rPr>
          <w:rFonts w:cstheme="minorHAnsi"/>
        </w:rPr>
      </w:pPr>
      <w:r w:rsidRPr="00726C4B">
        <w:rPr>
          <w:rFonts w:cstheme="minorHAnsi"/>
        </w:rPr>
        <w:t>The 30% WLA threshold became, in practice, a trigger that unnecessarily incentivised and led to artificially high levels of redemptions. As a consequence, MMF managers in EU as well as US made sure that WLA levels, which are publicly disclosed, remained comfortably above 30%. The average was well above 40% for many EU MMFs before March 2020 and generally rose during 2020 as the pandemic unfolded. This means that EU MMF managers were not only penalised for using their internal liquidity, but they were also unnecessarily constrained in their ability to invest in short-term instruments with a maturity beyond one week because of the linkage between the 30% WLA and potential imposition of fees and gates.</w:t>
      </w:r>
    </w:p>
    <w:p w14:paraId="50D1EB10" w14:textId="77777777" w:rsidR="00617FB9" w:rsidRPr="00726C4B" w:rsidRDefault="00617FB9" w:rsidP="00FC7F28">
      <w:pPr>
        <w:rPr>
          <w:rFonts w:cstheme="minorHAnsi"/>
        </w:rPr>
      </w:pPr>
    </w:p>
    <w:permEnd w:id="1823616926"/>
    <w:p w14:paraId="383E5893" w14:textId="58F91FDE" w:rsidR="00492B3A" w:rsidRDefault="00492B3A" w:rsidP="00492B3A">
      <w:r>
        <w:t>&lt;ESMA_QUESTION_</w:t>
      </w:r>
      <w:r w:rsidR="00DC1B3F">
        <w:t>MMFR</w:t>
      </w:r>
      <w:r>
        <w:t>_3&gt;</w:t>
      </w:r>
    </w:p>
    <w:p w14:paraId="4AD8C875" w14:textId="77777777" w:rsidR="00492B3A" w:rsidRDefault="00492B3A" w:rsidP="00492B3A"/>
    <w:p w14:paraId="798F0E29" w14:textId="62BC3067" w:rsidR="00492B3A" w:rsidRDefault="00976448" w:rsidP="00492B3A">
      <w:pPr>
        <w:pStyle w:val="Questionstyle"/>
      </w:pPr>
      <w:r w:rsidRPr="00F43E30">
        <w:t xml:space="preserve">i) </w:t>
      </w:r>
      <w:r w:rsidRPr="00F43E30">
        <w:rPr>
          <w:color w:val="201F1E"/>
          <w:bdr w:val="none" w:sz="0" w:space="0" w:color="auto" w:frame="1"/>
          <w:lang w:val="en-IE"/>
        </w:rPr>
        <w:t xml:space="preserve">Do you agree with the above assessment of the potential need to </w:t>
      </w:r>
      <w:r w:rsidRPr="00F43E30">
        <w:rPr>
          <w:lang w:val="en-US"/>
        </w:rPr>
        <w:t>require MMFs to use swing pricing and / or ADL / liquidity fees and the corresponding proposal of amendment of the MMF Regulation (including the above list of corresponding potential benefits and drawbacks)</w:t>
      </w:r>
      <w:r w:rsidRPr="00F43E30">
        <w:rPr>
          <w:color w:val="201F1E"/>
          <w:bdr w:val="none" w:sz="0" w:space="0" w:color="auto" w:frame="1"/>
          <w:lang w:val="en-IE"/>
        </w:rPr>
        <w:t>? ii) If you are of the view that swing pricing might not be workable for certain types of MMFs, which instruments would you suggest as an alternative for these types of MMFs going forward</w:t>
      </w:r>
      <w:r w:rsidRPr="00F43E30">
        <w:rPr>
          <w:lang w:val="en-US"/>
        </w:rPr>
        <w:t xml:space="preserve">? </w:t>
      </w:r>
      <w:r w:rsidRPr="00F43E30">
        <w:rPr>
          <w:color w:val="201F1E"/>
          <w:bdr w:val="none" w:sz="0" w:space="0" w:color="auto" w:frame="1"/>
          <w:lang w:val="en-IE"/>
        </w:rPr>
        <w:t>When you answer this question, please also take into account the grid of criteria listed in paragraphs 76 to 80</w:t>
      </w:r>
      <w:r>
        <w:t>.</w:t>
      </w:r>
    </w:p>
    <w:p w14:paraId="001F3D0D" w14:textId="3E350E89" w:rsidR="00492B3A" w:rsidRDefault="00492B3A" w:rsidP="00492B3A">
      <w:r>
        <w:t>&lt;ESMA_QUESTION_</w:t>
      </w:r>
      <w:r w:rsidR="00DC1B3F">
        <w:t>MMFR</w:t>
      </w:r>
      <w:r>
        <w:t>_4&gt;</w:t>
      </w:r>
    </w:p>
    <w:p w14:paraId="79AD9CA1" w14:textId="77777777" w:rsidR="0096590C" w:rsidRPr="00726C4B" w:rsidRDefault="0096590C" w:rsidP="0096590C">
      <w:pPr>
        <w:rPr>
          <w:rFonts w:cstheme="minorHAnsi"/>
        </w:rPr>
      </w:pPr>
      <w:permStart w:id="910372547" w:edGrp="everyone"/>
      <w:r w:rsidRPr="00726C4B">
        <w:rPr>
          <w:rFonts w:cstheme="minorHAnsi"/>
        </w:rPr>
        <w:t xml:space="preserve">No. We do not agree with the assessment of the potential need to require MMFs to use swing pricing and/or Anti-Dilution Levy (“ADL”) and/or liquidity fees. It should be noted upfront that EU MMFs, as UCITS, already have the ability to impose liquidity fees and redemption gates. While removing the link between the 30% WLA threshold and consideration of a fee or gate is critical, we have been clear in our belief that the potential application of liquidity fees should remain as a tool available to be implemented by an EU MMF’s board, in its discretion, as it exercises its fiduciary duty. </w:t>
      </w:r>
    </w:p>
    <w:p w14:paraId="3B087A04" w14:textId="77777777" w:rsidR="0096590C" w:rsidRDefault="0096590C" w:rsidP="0096590C">
      <w:pPr>
        <w:rPr>
          <w:rFonts w:cstheme="minorHAnsi"/>
        </w:rPr>
      </w:pPr>
    </w:p>
    <w:p w14:paraId="145EC055" w14:textId="5F1EC8C1" w:rsidR="0096590C" w:rsidRPr="00726C4B" w:rsidRDefault="0096590C" w:rsidP="0096590C">
      <w:pPr>
        <w:rPr>
          <w:rFonts w:cstheme="minorHAnsi"/>
        </w:rPr>
      </w:pPr>
      <w:r w:rsidRPr="00726C4B">
        <w:rPr>
          <w:rFonts w:cstheme="minorHAnsi"/>
        </w:rPr>
        <w:t>Having the ability to apply liquidity fees eliminates the need for tools that would effectively eliminate the utility of EU MMFs, such as swing pricing.</w:t>
      </w:r>
    </w:p>
    <w:p w14:paraId="0FF49DDA" w14:textId="77777777" w:rsidR="0096590C" w:rsidRDefault="0096590C" w:rsidP="0096590C">
      <w:pPr>
        <w:rPr>
          <w:rFonts w:cstheme="minorHAnsi"/>
        </w:rPr>
      </w:pPr>
    </w:p>
    <w:p w14:paraId="12052977" w14:textId="4F3DC67E" w:rsidR="0096590C" w:rsidRPr="00726C4B" w:rsidRDefault="0096590C" w:rsidP="0096590C">
      <w:pPr>
        <w:rPr>
          <w:rFonts w:cstheme="minorHAnsi"/>
        </w:rPr>
      </w:pPr>
      <w:r w:rsidRPr="00726C4B">
        <w:rPr>
          <w:rFonts w:cstheme="minorHAnsi"/>
        </w:rPr>
        <w:lastRenderedPageBreak/>
        <w:t xml:space="preserve">Swing pricing would not only eliminate a critical element of MMFs (same day and intra-day settlement), effectively regulating EU MMFs out of existence, but swing pricing is entirely unnecessary for EU MMFs as they not only have the ability to apply liquidity fees generally, but they are also required to price securities in their portfolio at the more conservative of the bid/ask spread. </w:t>
      </w:r>
    </w:p>
    <w:p w14:paraId="7A1AB14E" w14:textId="77777777" w:rsidR="0096590C" w:rsidRPr="00726C4B" w:rsidRDefault="0096590C" w:rsidP="0096590C">
      <w:pPr>
        <w:rPr>
          <w:rFonts w:cstheme="minorHAnsi"/>
        </w:rPr>
      </w:pPr>
    </w:p>
    <w:p w14:paraId="0A31A563" w14:textId="77777777" w:rsidR="0096590C" w:rsidRPr="00726C4B" w:rsidRDefault="0096590C" w:rsidP="0096590C">
      <w:pPr>
        <w:rPr>
          <w:rFonts w:cstheme="minorHAnsi"/>
          <w:b/>
          <w:bCs/>
          <w:i/>
          <w:iCs/>
          <w:color w:val="4F81BD" w:themeColor="accent1"/>
        </w:rPr>
      </w:pPr>
      <w:r w:rsidRPr="00726C4B">
        <w:rPr>
          <w:rFonts w:cstheme="minorHAnsi"/>
          <w:b/>
          <w:bCs/>
          <w:i/>
          <w:iCs/>
          <w:color w:val="4F81BD" w:themeColor="accent1"/>
        </w:rPr>
        <w:t>I. Impact on the resilience of MMFs</w:t>
      </w:r>
      <w:r w:rsidRPr="00726C4B">
        <w:rPr>
          <w:rFonts w:cstheme="minorHAnsi"/>
          <w:b/>
          <w:bCs/>
          <w:i/>
          <w:iCs/>
          <w:color w:val="4F81BD" w:themeColor="accent1"/>
        </w:rPr>
        <w:br/>
        <w:t>i. How would the policy option work in mitigating the structural vulnerabilities of MMFs?</w:t>
      </w:r>
    </w:p>
    <w:p w14:paraId="2DA272CD" w14:textId="77777777" w:rsidR="0096590C" w:rsidRPr="00726C4B" w:rsidRDefault="0096590C" w:rsidP="0096590C">
      <w:pPr>
        <w:rPr>
          <w:rFonts w:cstheme="minorHAnsi"/>
        </w:rPr>
      </w:pPr>
      <w:r w:rsidRPr="00726C4B">
        <w:rPr>
          <w:rFonts w:cstheme="minorHAnsi"/>
        </w:rPr>
        <w:t xml:space="preserve">It should be noted that the only structural vulnerability in EU MMFs today exist as a result of certain requirements set forth in MMFR – specifically, the linkage of consideration of fees and gates to the 30% WLA thresholds for LVNAV MMFs, and the low levels of required liquidity, combined with the discretion to self-designate securities as liquid for VNAV MMFs. Once those provisions are addressed by the EC as part of its review, there are no further structural vulnerabilities in EU MMFs. There are, however, as previously noted, market structural issues that could be improved. With respect to swing pricing, as noted this tool is unnecessary for EU MMFs which already price securities at the more conservative of the bid/ask spread and whose fund boards already have the ability to apply liquidity fees in their discretion, as they exercise their fiduciary duties. A board is singularly best placed to make such a determination as they will have all of the information related to a particular fund and each fund is subject to its own unique facts and circumstances. </w:t>
      </w:r>
    </w:p>
    <w:p w14:paraId="798F2179" w14:textId="77777777" w:rsidR="0096590C" w:rsidRDefault="0096590C" w:rsidP="0096590C">
      <w:pPr>
        <w:rPr>
          <w:rFonts w:cstheme="minorHAnsi"/>
        </w:rPr>
      </w:pPr>
    </w:p>
    <w:p w14:paraId="4C1ADFEA" w14:textId="05CF3774" w:rsidR="0096590C" w:rsidRPr="00726C4B" w:rsidRDefault="0096590C" w:rsidP="0096590C">
      <w:pPr>
        <w:rPr>
          <w:rFonts w:cstheme="minorHAnsi"/>
        </w:rPr>
      </w:pPr>
      <w:r w:rsidRPr="00726C4B">
        <w:rPr>
          <w:rFonts w:cstheme="minorHAnsi"/>
        </w:rPr>
        <w:t>Swing pricing may be an acceptable tool for other (non-MMF) funds with T+1 or longer settlement periods but is not appropriate for liquidity products with intra-day and same day settlement. Swing pricing eliminates this crucial product feature and will for all intents and purposes eliminate EU MMFs. Regulating EU MMFs out of existence would be a bad outcome for EU investors, EU issuers and EU markets and entirely unnecessary given the tools available to EU MMFs’ boards today.</w:t>
      </w:r>
    </w:p>
    <w:p w14:paraId="3E0CEBC0" w14:textId="77777777" w:rsidR="0096590C" w:rsidRPr="00726C4B" w:rsidRDefault="0096590C" w:rsidP="0096590C">
      <w:pPr>
        <w:rPr>
          <w:rFonts w:cstheme="minorHAnsi"/>
        </w:rPr>
      </w:pPr>
    </w:p>
    <w:p w14:paraId="10BCF321" w14:textId="77777777" w:rsidR="0096590C" w:rsidRPr="00726C4B" w:rsidRDefault="0096590C" w:rsidP="0096590C">
      <w:pPr>
        <w:rPr>
          <w:rFonts w:cstheme="minorHAnsi"/>
          <w:b/>
          <w:bCs/>
          <w:i/>
          <w:iCs/>
          <w:color w:val="4F81BD" w:themeColor="accent1"/>
        </w:rPr>
      </w:pPr>
      <w:r w:rsidRPr="00726C4B">
        <w:rPr>
          <w:rFonts w:cstheme="minorHAnsi"/>
          <w:b/>
          <w:bCs/>
          <w:i/>
          <w:iCs/>
          <w:color w:val="4F81BD" w:themeColor="accent1"/>
        </w:rPr>
        <w:t>ii. Would it apply to all MMFs or only to certain types of MMFs?</w:t>
      </w:r>
    </w:p>
    <w:p w14:paraId="3BC7EC51" w14:textId="77777777" w:rsidR="0096590C" w:rsidRPr="00726C4B" w:rsidRDefault="0096590C" w:rsidP="0096590C">
      <w:pPr>
        <w:rPr>
          <w:rFonts w:cstheme="minorHAnsi"/>
        </w:rPr>
      </w:pPr>
      <w:r w:rsidRPr="00726C4B">
        <w:rPr>
          <w:rFonts w:cstheme="minorHAnsi"/>
        </w:rPr>
        <w:t xml:space="preserve">Swing pricing is unnecessary for all EU MMFs, as they already have the ability to apply liquidity fees. EU MMFs can, upon the board’s determination and exercise of its fiduciary duty, apply liquidity fees on redemptions that adequately reflect the cost to the MMF of achieving liquidity and ensure that investors who remain in the fund are not unfairly disadvantaged when other investors redeem their units or shares. As explained in our response to question 3, we support the ability of the fund’s board to impose liquidity fees when it sees it appropriate and in the interest of investors. </w:t>
      </w:r>
    </w:p>
    <w:p w14:paraId="7FC1A328" w14:textId="77777777" w:rsidR="0096590C" w:rsidRPr="00726C4B" w:rsidRDefault="0096590C" w:rsidP="0096590C">
      <w:pPr>
        <w:rPr>
          <w:rFonts w:cstheme="minorHAnsi"/>
          <w:b/>
          <w:bCs/>
          <w:i/>
          <w:iCs/>
          <w:color w:val="4F81BD" w:themeColor="accent1"/>
        </w:rPr>
      </w:pPr>
      <w:r w:rsidRPr="00726C4B">
        <w:rPr>
          <w:rFonts w:cstheme="minorHAnsi"/>
        </w:rPr>
        <w:br/>
      </w:r>
      <w:r w:rsidRPr="00726C4B">
        <w:rPr>
          <w:rFonts w:cstheme="minorHAnsi"/>
          <w:b/>
          <w:bCs/>
          <w:i/>
          <w:iCs/>
          <w:color w:val="4F81BD" w:themeColor="accent1"/>
        </w:rPr>
        <w:t>iii. A) Is the option currently in place in any jurisdiction, and if so, has it been helpful?</w:t>
      </w:r>
    </w:p>
    <w:p w14:paraId="429D3D87" w14:textId="77777777" w:rsidR="0096590C" w:rsidRPr="00726C4B" w:rsidRDefault="0096590C" w:rsidP="0096590C">
      <w:pPr>
        <w:rPr>
          <w:rFonts w:cstheme="minorHAnsi"/>
        </w:rPr>
      </w:pPr>
      <w:r w:rsidRPr="00726C4B">
        <w:rPr>
          <w:rFonts w:cstheme="minorHAnsi"/>
        </w:rPr>
        <w:t>No. Swing pricing is not appropriate for MMFs. Requiring swing pricing would eliminate EU MMFs.</w:t>
      </w:r>
    </w:p>
    <w:p w14:paraId="254E3199" w14:textId="77777777" w:rsidR="0096590C" w:rsidRPr="00726C4B" w:rsidRDefault="0096590C" w:rsidP="0096590C">
      <w:pPr>
        <w:rPr>
          <w:rFonts w:cstheme="minorHAnsi"/>
        </w:rPr>
      </w:pPr>
    </w:p>
    <w:p w14:paraId="43D16DFC" w14:textId="77777777" w:rsidR="0096590C" w:rsidRPr="00726C4B" w:rsidRDefault="0096590C" w:rsidP="0096590C">
      <w:pPr>
        <w:rPr>
          <w:rFonts w:cstheme="minorHAnsi"/>
          <w:b/>
          <w:bCs/>
          <w:i/>
          <w:iCs/>
          <w:color w:val="4F81BD" w:themeColor="accent1"/>
        </w:rPr>
      </w:pPr>
      <w:r w:rsidRPr="00726C4B">
        <w:rPr>
          <w:rFonts w:cstheme="minorHAnsi"/>
          <w:b/>
          <w:bCs/>
          <w:i/>
          <w:iCs/>
          <w:color w:val="4F81BD" w:themeColor="accent1"/>
        </w:rPr>
        <w:t xml:space="preserve">b) How would it represent a change from current rules or practices in other jurisdictions? </w:t>
      </w:r>
    </w:p>
    <w:p w14:paraId="54752740" w14:textId="77777777" w:rsidR="0096590C" w:rsidRPr="00726C4B" w:rsidRDefault="0096590C" w:rsidP="0096590C">
      <w:pPr>
        <w:rPr>
          <w:rFonts w:cstheme="minorHAnsi"/>
        </w:rPr>
      </w:pPr>
      <w:r w:rsidRPr="00726C4B">
        <w:rPr>
          <w:rFonts w:cstheme="minorHAnsi"/>
        </w:rPr>
        <w:t xml:space="preserve">No other jurisdiction requires swing pricing for MMFs. Requiring swing pricing would eliminate MMFs. </w:t>
      </w:r>
    </w:p>
    <w:p w14:paraId="2D6F9FC3" w14:textId="77777777" w:rsidR="0096590C" w:rsidRPr="00726C4B" w:rsidRDefault="0096590C" w:rsidP="0096590C">
      <w:pPr>
        <w:rPr>
          <w:rFonts w:cstheme="minorHAnsi"/>
        </w:rPr>
      </w:pPr>
    </w:p>
    <w:p w14:paraId="2E50C9B1" w14:textId="77777777" w:rsidR="0096590C" w:rsidRPr="00726C4B" w:rsidRDefault="0096590C" w:rsidP="0096590C">
      <w:pPr>
        <w:rPr>
          <w:rFonts w:cstheme="minorHAnsi"/>
          <w:b/>
          <w:bCs/>
          <w:i/>
          <w:iCs/>
          <w:color w:val="4F81BD" w:themeColor="accent1"/>
        </w:rPr>
      </w:pPr>
      <w:r w:rsidRPr="00726C4B">
        <w:rPr>
          <w:rFonts w:cstheme="minorHAnsi"/>
          <w:b/>
          <w:bCs/>
          <w:i/>
          <w:iCs/>
          <w:color w:val="4F81BD" w:themeColor="accent1"/>
        </w:rPr>
        <w:t xml:space="preserve">c) Has the option been implemented previously and, if so, what were the main findings? </w:t>
      </w:r>
    </w:p>
    <w:p w14:paraId="6C565A93" w14:textId="77777777" w:rsidR="0096590C" w:rsidRPr="00726C4B" w:rsidRDefault="0096590C" w:rsidP="0096590C">
      <w:pPr>
        <w:rPr>
          <w:rFonts w:cstheme="minorHAnsi"/>
        </w:rPr>
      </w:pPr>
      <w:r w:rsidRPr="00726C4B">
        <w:rPr>
          <w:rFonts w:cstheme="minorHAnsi"/>
        </w:rPr>
        <w:t>No EU MMF, or MMF elsewhere, has utilised swing pricing. Swing pricing is not appropriate for MMFs. Requiring swing pricing would eliminate EU MMFs.</w:t>
      </w:r>
    </w:p>
    <w:p w14:paraId="47DD99FC" w14:textId="77777777" w:rsidR="0096590C" w:rsidRPr="00726C4B" w:rsidRDefault="0096590C" w:rsidP="0096590C">
      <w:pPr>
        <w:rPr>
          <w:rFonts w:cstheme="minorHAnsi"/>
        </w:rPr>
      </w:pPr>
    </w:p>
    <w:p w14:paraId="1B6937A2" w14:textId="77777777" w:rsidR="0096590C" w:rsidRPr="00726C4B" w:rsidRDefault="0096590C" w:rsidP="0096590C">
      <w:pPr>
        <w:rPr>
          <w:rFonts w:cstheme="minorHAnsi"/>
          <w:b/>
          <w:bCs/>
          <w:i/>
          <w:iCs/>
          <w:color w:val="4F81BD" w:themeColor="accent1"/>
        </w:rPr>
      </w:pPr>
      <w:r w:rsidRPr="00726C4B">
        <w:rPr>
          <w:rFonts w:cstheme="minorHAnsi"/>
          <w:b/>
          <w:bCs/>
          <w:i/>
          <w:iCs/>
          <w:color w:val="4F81BD" w:themeColor="accent1"/>
        </w:rPr>
        <w:t>II. Effects on investor behaviour</w:t>
      </w:r>
    </w:p>
    <w:p w14:paraId="2E880896" w14:textId="77777777" w:rsidR="0096590C" w:rsidRPr="00726C4B" w:rsidRDefault="0096590C" w:rsidP="0096590C">
      <w:pPr>
        <w:rPr>
          <w:rFonts w:cstheme="minorHAnsi"/>
          <w:b/>
          <w:bCs/>
          <w:i/>
          <w:iCs/>
          <w:color w:val="4F81BD" w:themeColor="accent1"/>
        </w:rPr>
      </w:pPr>
      <w:r w:rsidRPr="00726C4B">
        <w:rPr>
          <w:rFonts w:cstheme="minorHAnsi"/>
          <w:b/>
          <w:bCs/>
          <w:i/>
          <w:iCs/>
          <w:color w:val="4F81BD" w:themeColor="accent1"/>
        </w:rPr>
        <w:t>i. From a micro perspective (viewing the MMF in isolation), how would the policy option affect investors’ incentives to redeem during stress events?</w:t>
      </w:r>
    </w:p>
    <w:p w14:paraId="33BE27F4" w14:textId="77777777" w:rsidR="0096590C" w:rsidRPr="00726C4B" w:rsidRDefault="0096590C" w:rsidP="0096590C">
      <w:pPr>
        <w:rPr>
          <w:rFonts w:cstheme="minorHAnsi"/>
        </w:rPr>
      </w:pPr>
      <w:r w:rsidRPr="00726C4B">
        <w:rPr>
          <w:rFonts w:cstheme="minorHAnsi"/>
        </w:rPr>
        <w:t>First, investors have been clear that they would not invest in an EU MMF with swing pricing, as this would eliminate the fund’s ability to provide intra-day and same day settlement. Second, if any investor were to remain, then the potential application of a swing price would serve as another bright line incentive for an investor to redeem. Swing pricing for EU MMFs is entirely unnecessary given EU MMFs’ ability to apply liquidity fees and given the requirement for securities to be priced at the more conservative of the bid/ask spread.</w:t>
      </w:r>
    </w:p>
    <w:p w14:paraId="210F7DBB" w14:textId="77777777" w:rsidR="0096590C" w:rsidRPr="00726C4B" w:rsidRDefault="0096590C" w:rsidP="0096590C">
      <w:pPr>
        <w:rPr>
          <w:rFonts w:cstheme="minorHAnsi"/>
        </w:rPr>
      </w:pPr>
    </w:p>
    <w:p w14:paraId="6A572A59" w14:textId="77777777" w:rsidR="0096590C" w:rsidRPr="00726C4B" w:rsidRDefault="0096590C" w:rsidP="0096590C">
      <w:pPr>
        <w:rPr>
          <w:rFonts w:cstheme="minorHAnsi"/>
          <w:b/>
          <w:bCs/>
          <w:i/>
          <w:iCs/>
          <w:color w:val="4F81BD" w:themeColor="accent1"/>
        </w:rPr>
      </w:pPr>
      <w:r w:rsidRPr="00726C4B">
        <w:rPr>
          <w:rFonts w:cstheme="minorHAnsi"/>
          <w:b/>
          <w:bCs/>
          <w:i/>
          <w:iCs/>
          <w:color w:val="4F81BD" w:themeColor="accent1"/>
        </w:rPr>
        <w:t>ii. From a macro perspective, how would this option mitigate the effects of a generalised “dash for cash” as seen in March 2020; and/or runs prompted by a credit crisis, as seen in September 2008?</w:t>
      </w:r>
    </w:p>
    <w:p w14:paraId="2D009A1C" w14:textId="77777777" w:rsidR="0096590C" w:rsidRPr="00726C4B" w:rsidRDefault="0096590C" w:rsidP="0096590C">
      <w:pPr>
        <w:rPr>
          <w:rFonts w:cstheme="minorHAnsi"/>
        </w:rPr>
      </w:pPr>
      <w:r w:rsidRPr="00726C4B">
        <w:rPr>
          <w:rFonts w:cstheme="minorHAnsi"/>
        </w:rPr>
        <w:lastRenderedPageBreak/>
        <w:t xml:space="preserve">The mandatory imposition of swing pricing would eliminate MMFs. As a result, the “dash for cash” or credit crisis would not be mitigated – but rather shifted to unregulated and less transparent vehicles. </w:t>
      </w:r>
    </w:p>
    <w:p w14:paraId="0B24EEBB" w14:textId="77777777" w:rsidR="0096590C" w:rsidRPr="00726C4B" w:rsidRDefault="0096590C" w:rsidP="0096590C">
      <w:pPr>
        <w:rPr>
          <w:rFonts w:cstheme="minorHAnsi"/>
        </w:rPr>
      </w:pPr>
    </w:p>
    <w:p w14:paraId="22E72525" w14:textId="77777777" w:rsidR="0096590C" w:rsidRPr="00726C4B" w:rsidRDefault="0096590C" w:rsidP="0096590C">
      <w:pPr>
        <w:rPr>
          <w:rFonts w:cstheme="minorHAnsi"/>
          <w:b/>
          <w:bCs/>
          <w:i/>
          <w:iCs/>
          <w:color w:val="4F81BD" w:themeColor="accent1"/>
        </w:rPr>
      </w:pPr>
      <w:r w:rsidRPr="00726C4B">
        <w:rPr>
          <w:rFonts w:cstheme="minorHAnsi"/>
          <w:b/>
          <w:bCs/>
          <w:i/>
          <w:iCs/>
          <w:color w:val="4F81BD" w:themeColor="accent1"/>
        </w:rPr>
        <w:t>iii. a) Does the option effectively shift MMF risks to investors?</w:t>
      </w:r>
    </w:p>
    <w:p w14:paraId="1888D289" w14:textId="77777777" w:rsidR="0096590C" w:rsidRPr="00726C4B" w:rsidRDefault="0096590C" w:rsidP="0096590C">
      <w:pPr>
        <w:rPr>
          <w:rFonts w:cstheme="minorHAnsi"/>
        </w:rPr>
      </w:pPr>
      <w:r w:rsidRPr="00726C4B">
        <w:rPr>
          <w:rFonts w:cstheme="minorHAnsi"/>
        </w:rPr>
        <w:t>No. Investors already have 100% of the risk in MMFs. EU MMFs are 100% capitalised and managers are not permitted to support funds. Article 36 of the EU MMFR ensures that EU investors are informed of the risks they take on as they require EU MMFs to disclose in any document a MMF uses for marketing purposes the following statements:</w:t>
      </w:r>
    </w:p>
    <w:p w14:paraId="5401A04B" w14:textId="77777777" w:rsidR="0096590C" w:rsidRPr="00E425E1" w:rsidRDefault="0096590C" w:rsidP="005B599C">
      <w:pPr>
        <w:pStyle w:val="ListParagraph"/>
        <w:numPr>
          <w:ilvl w:val="0"/>
          <w:numId w:val="45"/>
        </w:numPr>
        <w:autoSpaceDE w:val="0"/>
        <w:autoSpaceDN w:val="0"/>
        <w:adjustRightInd w:val="0"/>
        <w:spacing w:after="100"/>
        <w:ind w:left="714" w:hanging="357"/>
        <w:contextualSpacing w:val="0"/>
        <w:rPr>
          <w:rFonts w:cs="Arial"/>
          <w:color w:val="000000"/>
          <w:szCs w:val="20"/>
        </w:rPr>
      </w:pPr>
      <w:r w:rsidRPr="00E425E1">
        <w:rPr>
          <w:rFonts w:cs="Arial"/>
          <w:color w:val="000000"/>
          <w:szCs w:val="20"/>
        </w:rPr>
        <w:t xml:space="preserve">that the MMF is not a guaranteed investment; </w:t>
      </w:r>
    </w:p>
    <w:p w14:paraId="5D6F44DF" w14:textId="77777777" w:rsidR="0096590C" w:rsidRPr="00E425E1" w:rsidRDefault="0096590C" w:rsidP="005B599C">
      <w:pPr>
        <w:pStyle w:val="ListParagraph"/>
        <w:numPr>
          <w:ilvl w:val="0"/>
          <w:numId w:val="45"/>
        </w:numPr>
        <w:autoSpaceDE w:val="0"/>
        <w:autoSpaceDN w:val="0"/>
        <w:adjustRightInd w:val="0"/>
        <w:spacing w:after="100"/>
        <w:ind w:left="714" w:hanging="357"/>
        <w:contextualSpacing w:val="0"/>
        <w:rPr>
          <w:rFonts w:cs="Arial"/>
          <w:color w:val="000000"/>
          <w:szCs w:val="20"/>
        </w:rPr>
      </w:pPr>
      <w:r w:rsidRPr="00E425E1">
        <w:rPr>
          <w:rFonts w:cs="Arial"/>
          <w:color w:val="000000"/>
          <w:szCs w:val="20"/>
        </w:rPr>
        <w:t xml:space="preserve">that an investment in MMFs is different from an investment in deposits, with particular reference to the risk that the principal invested in an MMF is capable of fluctuation; </w:t>
      </w:r>
    </w:p>
    <w:p w14:paraId="10B200DF" w14:textId="77777777" w:rsidR="0096590C" w:rsidRPr="00E425E1" w:rsidRDefault="0096590C" w:rsidP="005B599C">
      <w:pPr>
        <w:pStyle w:val="ListParagraph"/>
        <w:numPr>
          <w:ilvl w:val="0"/>
          <w:numId w:val="45"/>
        </w:numPr>
        <w:autoSpaceDE w:val="0"/>
        <w:autoSpaceDN w:val="0"/>
        <w:adjustRightInd w:val="0"/>
        <w:spacing w:after="100"/>
        <w:ind w:left="714" w:hanging="357"/>
        <w:contextualSpacing w:val="0"/>
        <w:rPr>
          <w:rFonts w:cs="Arial"/>
          <w:color w:val="000000"/>
          <w:szCs w:val="20"/>
        </w:rPr>
      </w:pPr>
      <w:r w:rsidRPr="00E425E1">
        <w:rPr>
          <w:rFonts w:cs="Arial"/>
          <w:color w:val="000000"/>
          <w:szCs w:val="20"/>
        </w:rPr>
        <w:t xml:space="preserve">that the MMF does not rely on external support for guaranteeing the liquidity of the MMF or stabilising the NAV per unit or share; </w:t>
      </w:r>
    </w:p>
    <w:p w14:paraId="17D82708" w14:textId="77777777" w:rsidR="0096590C" w:rsidRPr="00E425E1" w:rsidRDefault="0096590C" w:rsidP="005B599C">
      <w:pPr>
        <w:pStyle w:val="ListParagraph"/>
        <w:numPr>
          <w:ilvl w:val="0"/>
          <w:numId w:val="45"/>
        </w:numPr>
        <w:autoSpaceDE w:val="0"/>
        <w:autoSpaceDN w:val="0"/>
        <w:adjustRightInd w:val="0"/>
        <w:spacing w:after="100"/>
        <w:ind w:left="714" w:hanging="357"/>
        <w:contextualSpacing w:val="0"/>
        <w:rPr>
          <w:rFonts w:cs="Arial"/>
          <w:color w:val="000000"/>
          <w:szCs w:val="20"/>
        </w:rPr>
      </w:pPr>
      <w:r w:rsidRPr="00E425E1">
        <w:rPr>
          <w:rFonts w:cs="Arial"/>
          <w:color w:val="000000"/>
          <w:szCs w:val="20"/>
        </w:rPr>
        <w:t xml:space="preserve">that the risk of loss of the principal is to be borne by the investor. </w:t>
      </w:r>
    </w:p>
    <w:p w14:paraId="2952936B" w14:textId="77777777" w:rsidR="00E425E1" w:rsidRDefault="00E425E1" w:rsidP="0096590C">
      <w:pPr>
        <w:rPr>
          <w:rFonts w:cstheme="minorHAnsi"/>
          <w:color w:val="000000"/>
        </w:rPr>
      </w:pPr>
    </w:p>
    <w:p w14:paraId="5A5E2456" w14:textId="579C7C1F" w:rsidR="0096590C" w:rsidRPr="00726C4B" w:rsidRDefault="0096590C" w:rsidP="0096590C">
      <w:pPr>
        <w:rPr>
          <w:rFonts w:cstheme="minorHAnsi"/>
        </w:rPr>
      </w:pPr>
      <w:r w:rsidRPr="00726C4B">
        <w:rPr>
          <w:rFonts w:cstheme="minorHAnsi"/>
          <w:color w:val="000000"/>
        </w:rPr>
        <w:t>Moreover, Article 36(4) provides further that “No communication by the MMF or by the manager of an MMF to investors or potential investors shall in any way suggest that an investment in the units or shares of the MMF is guaranteed.”</w:t>
      </w:r>
    </w:p>
    <w:p w14:paraId="68A4ED8D" w14:textId="77777777" w:rsidR="0096590C" w:rsidRPr="00726C4B" w:rsidRDefault="0096590C" w:rsidP="0096590C">
      <w:pPr>
        <w:rPr>
          <w:rFonts w:cstheme="minorHAnsi"/>
        </w:rPr>
      </w:pPr>
    </w:p>
    <w:p w14:paraId="1A3A3329" w14:textId="77777777" w:rsidR="0096590C" w:rsidRPr="00726C4B" w:rsidRDefault="0096590C" w:rsidP="0096590C">
      <w:pPr>
        <w:rPr>
          <w:rFonts w:cstheme="minorHAnsi"/>
          <w:b/>
          <w:bCs/>
          <w:i/>
          <w:iCs/>
          <w:color w:val="4F81BD" w:themeColor="accent1"/>
        </w:rPr>
      </w:pPr>
      <w:r w:rsidRPr="00726C4B">
        <w:rPr>
          <w:rFonts w:cstheme="minorHAnsi"/>
          <w:b/>
          <w:bCs/>
          <w:i/>
          <w:iCs/>
          <w:color w:val="4F81BD" w:themeColor="accent1"/>
        </w:rPr>
        <w:t>b) Does it make those risks more salient and transparent for investors? Are investors treated equally?</w:t>
      </w:r>
    </w:p>
    <w:p w14:paraId="45C965D0" w14:textId="77777777" w:rsidR="0096590C" w:rsidRPr="00726C4B" w:rsidRDefault="0096590C" w:rsidP="0096590C">
      <w:pPr>
        <w:rPr>
          <w:rFonts w:cstheme="minorHAnsi"/>
        </w:rPr>
      </w:pPr>
      <w:r w:rsidRPr="00726C4B">
        <w:rPr>
          <w:rFonts w:cstheme="minorHAnsi"/>
        </w:rPr>
        <w:t>No. Investors already have 100% of the risk in MMFs. EU MMFs are 100% capitalised and managers are not permitted to support funds. Article 36 of the EU MMFR ensures that EU investors are informed of the risks they take on as they require EU MMFs to disclose in any document a MMF uses for marketing purposes the following statements:</w:t>
      </w:r>
    </w:p>
    <w:p w14:paraId="5A53C60F" w14:textId="77777777" w:rsidR="0096590C" w:rsidRPr="00E425E1" w:rsidRDefault="0096590C" w:rsidP="005B599C">
      <w:pPr>
        <w:pStyle w:val="ListParagraph"/>
        <w:numPr>
          <w:ilvl w:val="0"/>
          <w:numId w:val="46"/>
        </w:numPr>
        <w:autoSpaceDE w:val="0"/>
        <w:autoSpaceDN w:val="0"/>
        <w:adjustRightInd w:val="0"/>
        <w:spacing w:after="100"/>
        <w:contextualSpacing w:val="0"/>
        <w:rPr>
          <w:rFonts w:cs="Arial"/>
          <w:color w:val="000000"/>
          <w:szCs w:val="20"/>
        </w:rPr>
      </w:pPr>
      <w:r w:rsidRPr="00E425E1">
        <w:rPr>
          <w:rFonts w:cs="Arial"/>
          <w:color w:val="000000"/>
          <w:szCs w:val="20"/>
        </w:rPr>
        <w:t xml:space="preserve">that the MMF is not a guaranteed investment; </w:t>
      </w:r>
    </w:p>
    <w:p w14:paraId="5AE2240F" w14:textId="77777777" w:rsidR="0096590C" w:rsidRPr="00E425E1" w:rsidRDefault="0096590C" w:rsidP="005B599C">
      <w:pPr>
        <w:pStyle w:val="ListParagraph"/>
        <w:numPr>
          <w:ilvl w:val="0"/>
          <w:numId w:val="46"/>
        </w:numPr>
        <w:autoSpaceDE w:val="0"/>
        <w:autoSpaceDN w:val="0"/>
        <w:adjustRightInd w:val="0"/>
        <w:spacing w:after="100"/>
        <w:ind w:left="714" w:hanging="357"/>
        <w:contextualSpacing w:val="0"/>
        <w:rPr>
          <w:rFonts w:cs="Arial"/>
          <w:color w:val="000000"/>
          <w:szCs w:val="20"/>
        </w:rPr>
      </w:pPr>
      <w:r w:rsidRPr="00E425E1">
        <w:rPr>
          <w:rFonts w:cs="Arial"/>
          <w:color w:val="000000"/>
          <w:szCs w:val="20"/>
        </w:rPr>
        <w:t xml:space="preserve">that an investment in MMFs is different from an investment in deposits, with particular reference to the risk that the principal invested in an MMF is capable of fluctuation; </w:t>
      </w:r>
    </w:p>
    <w:p w14:paraId="308E41E5" w14:textId="77777777" w:rsidR="0096590C" w:rsidRPr="00E425E1" w:rsidRDefault="0096590C" w:rsidP="005B599C">
      <w:pPr>
        <w:pStyle w:val="ListParagraph"/>
        <w:numPr>
          <w:ilvl w:val="0"/>
          <w:numId w:val="46"/>
        </w:numPr>
        <w:autoSpaceDE w:val="0"/>
        <w:autoSpaceDN w:val="0"/>
        <w:adjustRightInd w:val="0"/>
        <w:spacing w:after="100"/>
        <w:ind w:left="714" w:hanging="357"/>
        <w:contextualSpacing w:val="0"/>
        <w:rPr>
          <w:rFonts w:cs="Arial"/>
          <w:color w:val="000000"/>
          <w:szCs w:val="20"/>
        </w:rPr>
      </w:pPr>
      <w:r w:rsidRPr="00E425E1">
        <w:rPr>
          <w:rFonts w:cs="Arial"/>
          <w:color w:val="000000"/>
          <w:szCs w:val="20"/>
        </w:rPr>
        <w:t xml:space="preserve">that the MMF does not rely on external support for guaranteeing the liquidity of the MMF or stabilising the NAV per unit or share; </w:t>
      </w:r>
    </w:p>
    <w:p w14:paraId="5C82BDFD" w14:textId="77777777" w:rsidR="0096590C" w:rsidRPr="00E425E1" w:rsidRDefault="0096590C" w:rsidP="005B599C">
      <w:pPr>
        <w:pStyle w:val="ListParagraph"/>
        <w:numPr>
          <w:ilvl w:val="0"/>
          <w:numId w:val="46"/>
        </w:numPr>
        <w:autoSpaceDE w:val="0"/>
        <w:autoSpaceDN w:val="0"/>
        <w:adjustRightInd w:val="0"/>
        <w:spacing w:after="100"/>
        <w:ind w:left="714" w:hanging="357"/>
        <w:contextualSpacing w:val="0"/>
        <w:rPr>
          <w:rFonts w:cs="Arial"/>
          <w:color w:val="000000"/>
          <w:szCs w:val="20"/>
        </w:rPr>
      </w:pPr>
      <w:r w:rsidRPr="00E425E1">
        <w:rPr>
          <w:rFonts w:cs="Arial"/>
          <w:color w:val="000000"/>
          <w:szCs w:val="20"/>
        </w:rPr>
        <w:t xml:space="preserve">that the risk of loss of the principal is to be borne by the investor. </w:t>
      </w:r>
    </w:p>
    <w:p w14:paraId="5343E027" w14:textId="77777777" w:rsidR="00E425E1" w:rsidRDefault="00E425E1" w:rsidP="0096590C">
      <w:pPr>
        <w:rPr>
          <w:rFonts w:cstheme="minorHAnsi"/>
          <w:color w:val="000000"/>
        </w:rPr>
      </w:pPr>
    </w:p>
    <w:p w14:paraId="1EBF7DE9" w14:textId="5FEE47C3" w:rsidR="0096590C" w:rsidRPr="00726C4B" w:rsidRDefault="0096590C" w:rsidP="0096590C">
      <w:pPr>
        <w:rPr>
          <w:rFonts w:cstheme="minorHAnsi"/>
        </w:rPr>
      </w:pPr>
      <w:r w:rsidRPr="00726C4B">
        <w:rPr>
          <w:rFonts w:cstheme="minorHAnsi"/>
          <w:color w:val="000000"/>
        </w:rPr>
        <w:t>Moreover, Article 36(4) provides further that “No communication by the MMF or by the manager of an MMF to investors or potential investors shall in any way suggest that an investment in the units or shares of the MMF is guaranteed.”</w:t>
      </w:r>
    </w:p>
    <w:p w14:paraId="52ACB6E2" w14:textId="77777777" w:rsidR="00E425E1" w:rsidRDefault="00E425E1" w:rsidP="0096590C">
      <w:pPr>
        <w:rPr>
          <w:rFonts w:cstheme="minorHAnsi"/>
          <w:color w:val="000000"/>
        </w:rPr>
      </w:pPr>
    </w:p>
    <w:p w14:paraId="334E15CF" w14:textId="6DFB099D" w:rsidR="0096590C" w:rsidRPr="00726C4B" w:rsidRDefault="0096590C" w:rsidP="0096590C">
      <w:pPr>
        <w:rPr>
          <w:rFonts w:cstheme="minorHAnsi"/>
        </w:rPr>
      </w:pPr>
      <w:r w:rsidRPr="00726C4B">
        <w:rPr>
          <w:rFonts w:cstheme="minorHAnsi"/>
          <w:color w:val="000000"/>
        </w:rPr>
        <w:t>Finally, a</w:t>
      </w:r>
      <w:r w:rsidRPr="00726C4B">
        <w:rPr>
          <w:rFonts w:cstheme="minorHAnsi"/>
        </w:rPr>
        <w:t xml:space="preserve">ll investors in EU MMFs are treated equally. EU MMFs are the most transparent investment product in Europe and are subject to not only increased stress testing and regulatory reporting, but also enhanced transparency requirements to ensure that investors have access to key information on the holdings of EU MMFs. </w:t>
      </w:r>
    </w:p>
    <w:p w14:paraId="55A76896" w14:textId="77777777" w:rsidR="0096590C" w:rsidRPr="00726C4B" w:rsidRDefault="0096590C" w:rsidP="0096590C">
      <w:pPr>
        <w:rPr>
          <w:rFonts w:cstheme="minorHAnsi"/>
        </w:rPr>
      </w:pPr>
    </w:p>
    <w:p w14:paraId="126419C9" w14:textId="77777777" w:rsidR="0096590C" w:rsidRPr="00726C4B" w:rsidRDefault="0096590C" w:rsidP="0096590C">
      <w:pPr>
        <w:rPr>
          <w:rFonts w:cstheme="minorHAnsi"/>
          <w:b/>
          <w:bCs/>
          <w:i/>
          <w:iCs/>
          <w:color w:val="4F81BD" w:themeColor="accent1"/>
        </w:rPr>
      </w:pPr>
      <w:r w:rsidRPr="00726C4B">
        <w:rPr>
          <w:rFonts w:cstheme="minorHAnsi"/>
          <w:b/>
          <w:bCs/>
          <w:i/>
          <w:iCs/>
          <w:color w:val="4F81BD" w:themeColor="accent1"/>
        </w:rPr>
        <w:t>III. Effects on fund managers</w:t>
      </w:r>
      <w:r w:rsidRPr="00726C4B">
        <w:rPr>
          <w:rFonts w:cstheme="minorHAnsi"/>
          <w:b/>
          <w:bCs/>
          <w:i/>
          <w:iCs/>
          <w:color w:val="4F81BD" w:themeColor="accent1"/>
        </w:rPr>
        <w:br/>
        <w:t xml:space="preserve">i. How would the policy option affect MMFs’ liquidity management in normal versus stressed times? </w:t>
      </w:r>
    </w:p>
    <w:p w14:paraId="253DFEF3" w14:textId="77777777" w:rsidR="0096590C" w:rsidRPr="00726C4B" w:rsidRDefault="0096590C" w:rsidP="0096590C">
      <w:pPr>
        <w:rPr>
          <w:rFonts w:cstheme="minorHAnsi"/>
        </w:rPr>
      </w:pPr>
      <w:bookmarkStart w:id="2" w:name="_Hlk75244366"/>
      <w:r w:rsidRPr="00726C4B">
        <w:rPr>
          <w:rFonts w:cstheme="minorHAnsi"/>
        </w:rPr>
        <w:t xml:space="preserve">Swing pricing is entirely unnecessary for EU MMFs, as they are already permitted to use liquidity fees. The mandatory application of swing pricing would effectively serve to regulate EU MMFs out of existence, and as a result there would be no difference between normal and stressed times. </w:t>
      </w:r>
    </w:p>
    <w:bookmarkEnd w:id="2"/>
    <w:p w14:paraId="566A7C54" w14:textId="77777777" w:rsidR="0096590C" w:rsidRPr="00726C4B" w:rsidRDefault="0096590C" w:rsidP="0096590C">
      <w:pPr>
        <w:rPr>
          <w:rFonts w:cstheme="minorHAnsi"/>
        </w:rPr>
      </w:pPr>
    </w:p>
    <w:p w14:paraId="4E308A5E" w14:textId="77777777" w:rsidR="0096590C" w:rsidRPr="00726C4B" w:rsidRDefault="0096590C" w:rsidP="0096590C">
      <w:pPr>
        <w:rPr>
          <w:rFonts w:cstheme="minorHAnsi"/>
          <w:b/>
          <w:bCs/>
          <w:i/>
          <w:iCs/>
          <w:color w:val="4F81BD" w:themeColor="accent1"/>
        </w:rPr>
      </w:pPr>
      <w:r w:rsidRPr="00726C4B">
        <w:rPr>
          <w:rFonts w:cstheme="minorHAnsi"/>
          <w:b/>
          <w:bCs/>
          <w:i/>
          <w:iCs/>
          <w:color w:val="4F81BD" w:themeColor="accent1"/>
        </w:rPr>
        <w:t xml:space="preserve">ii. How would it impact the ability or willingness of MMFs to invest in short-term funding instruments or use the repo market? </w:t>
      </w:r>
    </w:p>
    <w:p w14:paraId="2209B8E1" w14:textId="05593B50" w:rsidR="0096590C" w:rsidRDefault="0096590C" w:rsidP="0096590C">
      <w:pPr>
        <w:rPr>
          <w:rFonts w:cstheme="minorHAnsi"/>
        </w:rPr>
      </w:pPr>
      <w:r w:rsidRPr="00726C4B">
        <w:rPr>
          <w:rFonts w:cstheme="minorHAnsi"/>
        </w:rPr>
        <w:lastRenderedPageBreak/>
        <w:t>Swing pricing is entirely unnecessary for EU MMFs, as EU MMFs are already permitted to use liquidity fees. The mandatory application of swing pricing would effectively serve to regulate EU MMFs out of existence, and as a result eliminate their ability to invest in short-term funding instruments or use the repo market.</w:t>
      </w:r>
    </w:p>
    <w:p w14:paraId="4B452023" w14:textId="77777777" w:rsidR="002D4FE0" w:rsidRPr="00726C4B" w:rsidRDefault="002D4FE0" w:rsidP="0096590C">
      <w:pPr>
        <w:rPr>
          <w:rFonts w:cstheme="minorHAnsi"/>
        </w:rPr>
      </w:pPr>
    </w:p>
    <w:permEnd w:id="910372547"/>
    <w:p w14:paraId="44CC0988" w14:textId="6046863B" w:rsidR="00492B3A" w:rsidRDefault="00492B3A" w:rsidP="00492B3A">
      <w:r>
        <w:t>&lt;ESMA_QUESTION_</w:t>
      </w:r>
      <w:r w:rsidR="00DC1B3F">
        <w:t>MMFR</w:t>
      </w:r>
      <w:r>
        <w:t>_4&gt;</w:t>
      </w:r>
    </w:p>
    <w:p w14:paraId="629688A3" w14:textId="77777777" w:rsidR="00492B3A" w:rsidRDefault="00492B3A" w:rsidP="00492B3A"/>
    <w:p w14:paraId="4404B413" w14:textId="29EA4379" w:rsidR="00492B3A" w:rsidRDefault="00976448" w:rsidP="00492B3A">
      <w:pPr>
        <w:pStyle w:val="Questionstyle"/>
      </w:pPr>
      <w:r w:rsidRPr="00F43E30">
        <w:rPr>
          <w:lang w:val="en-US"/>
        </w:rPr>
        <w:t xml:space="preserve">i) </w:t>
      </w:r>
      <w:r w:rsidRPr="00F43E30">
        <w:rPr>
          <w:color w:val="201F1E"/>
          <w:bdr w:val="none" w:sz="0" w:space="0" w:color="auto" w:frame="1"/>
          <w:lang w:val="en-IE"/>
        </w:rPr>
        <w:t xml:space="preserve">Do you agree with the above assessment of the potential need to </w:t>
      </w:r>
      <w:r w:rsidRPr="00F43E30">
        <w:rPr>
          <w:lang w:val="en-IE"/>
        </w:rPr>
        <w:t>increase liquidity buffers and/or make them usable/countercyclical</w:t>
      </w:r>
      <w:r w:rsidRPr="00F43E30">
        <w:rPr>
          <w:lang w:val="en-US"/>
        </w:rPr>
        <w:t xml:space="preserve"> and the corresponding potential proposal of amendment of the MMF Regulation</w:t>
      </w:r>
      <w:r w:rsidRPr="00F43E30">
        <w:rPr>
          <w:color w:val="201F1E"/>
          <w:bdr w:val="none" w:sz="0" w:space="0" w:color="auto" w:frame="1"/>
          <w:lang w:val="en-IE"/>
        </w:rPr>
        <w:t>? ii) With respect to option 1 above, views are sought in particular on the relevant threshold (on the size of redemptions) from which WLA would need to be automatically adjusted. When you answer this question, please also take into account the grid of criteria listed in paragraphs 76 to 80</w:t>
      </w:r>
      <w:r>
        <w:t>.</w:t>
      </w:r>
    </w:p>
    <w:p w14:paraId="037D1519" w14:textId="4D01ACCC" w:rsidR="00492B3A" w:rsidRDefault="00492B3A" w:rsidP="00492B3A">
      <w:r>
        <w:t>&lt;ESMA_QUESTION_</w:t>
      </w:r>
      <w:r w:rsidR="00DC1B3F">
        <w:t>MMFR</w:t>
      </w:r>
      <w:r>
        <w:t>_5&gt;</w:t>
      </w:r>
    </w:p>
    <w:p w14:paraId="0A5278AD" w14:textId="77777777" w:rsidR="005B3BC7" w:rsidRPr="00726C4B" w:rsidRDefault="005B3BC7" w:rsidP="005B3BC7">
      <w:pPr>
        <w:rPr>
          <w:rFonts w:cstheme="minorHAnsi"/>
        </w:rPr>
      </w:pPr>
      <w:permStart w:id="1454397300" w:edGrp="everyone"/>
      <w:r w:rsidRPr="00726C4B">
        <w:rPr>
          <w:rFonts w:cstheme="minorHAnsi"/>
        </w:rPr>
        <w:t xml:space="preserve">No and </w:t>
      </w:r>
      <w:proofErr w:type="gramStart"/>
      <w:r w:rsidRPr="00726C4B">
        <w:rPr>
          <w:rFonts w:cstheme="minorHAnsi"/>
        </w:rPr>
        <w:t>Yes</w:t>
      </w:r>
      <w:proofErr w:type="gramEnd"/>
      <w:r w:rsidRPr="00726C4B">
        <w:rPr>
          <w:rFonts w:cstheme="minorHAnsi"/>
        </w:rPr>
        <w:t xml:space="preserve">. </w:t>
      </w:r>
    </w:p>
    <w:p w14:paraId="4A95E240" w14:textId="77777777" w:rsidR="005B3BC7" w:rsidRDefault="005B3BC7" w:rsidP="005B3BC7">
      <w:pPr>
        <w:rPr>
          <w:rFonts w:cstheme="minorHAnsi"/>
        </w:rPr>
      </w:pPr>
    </w:p>
    <w:p w14:paraId="18EC4630" w14:textId="0B51577C" w:rsidR="005B3BC7" w:rsidRPr="00726C4B" w:rsidRDefault="005B3BC7" w:rsidP="005B3BC7">
      <w:pPr>
        <w:rPr>
          <w:rFonts w:cstheme="minorHAnsi"/>
        </w:rPr>
      </w:pPr>
      <w:r w:rsidRPr="00726C4B">
        <w:rPr>
          <w:rFonts w:cstheme="minorHAnsi"/>
        </w:rPr>
        <w:t xml:space="preserve">No, we do not agree with ESMA’s assessment of the potential need to increase liquidity buffers for EU LVNAV MMFs. However, the internal liquidity within EU MMFs needs to be made usable by delinking the 30% WLA threshold from the consideration of fees and gates. </w:t>
      </w:r>
    </w:p>
    <w:p w14:paraId="1ACB16F2" w14:textId="77777777" w:rsidR="005B3BC7" w:rsidRDefault="005B3BC7" w:rsidP="005B3BC7">
      <w:pPr>
        <w:rPr>
          <w:rFonts w:cstheme="minorHAnsi"/>
        </w:rPr>
      </w:pPr>
    </w:p>
    <w:p w14:paraId="3B4D61E6" w14:textId="73157F8C" w:rsidR="005B3BC7" w:rsidRPr="00726C4B" w:rsidRDefault="005B3BC7" w:rsidP="005B3BC7">
      <w:pPr>
        <w:rPr>
          <w:rFonts w:cstheme="minorHAnsi"/>
        </w:rPr>
      </w:pPr>
      <w:r w:rsidRPr="00726C4B">
        <w:rPr>
          <w:rFonts w:cstheme="minorHAnsi"/>
        </w:rPr>
        <w:t xml:space="preserve">Yes, we do agree with ESMA’s assessment that EU VNAV MMFs should be subject to increased liquidity – noting that the current 7.5% daily and 15% weekly liquidity requirements of EU VNAV funds is too low and contributed to the stress experienced in the EU VNAV MMF industry and that such amounts are half of what is required for EU LVNAV MMFs and similar VNAV MMFs in the US. </w:t>
      </w:r>
    </w:p>
    <w:p w14:paraId="6A5D2EDB" w14:textId="77777777" w:rsidR="00755A81" w:rsidRDefault="00755A81" w:rsidP="005B3BC7">
      <w:pPr>
        <w:rPr>
          <w:rFonts w:cstheme="minorHAnsi"/>
        </w:rPr>
      </w:pPr>
    </w:p>
    <w:p w14:paraId="264FABD3" w14:textId="40006631" w:rsidR="005B3BC7" w:rsidRDefault="005B3BC7" w:rsidP="005B3BC7">
      <w:pPr>
        <w:rPr>
          <w:rFonts w:cstheme="minorHAnsi"/>
        </w:rPr>
      </w:pPr>
      <w:r w:rsidRPr="00726C4B">
        <w:rPr>
          <w:rFonts w:cstheme="minorHAnsi"/>
        </w:rPr>
        <w:t xml:space="preserve">With respect to EU LVNAV MMFs, we reiterate that the priority policy change to make is decoupling the </w:t>
      </w:r>
    </w:p>
    <w:p w14:paraId="22B192D1" w14:textId="7C3C09C4" w:rsidR="005B3BC7" w:rsidRPr="00726C4B" w:rsidRDefault="005B3BC7" w:rsidP="005B3BC7">
      <w:pPr>
        <w:rPr>
          <w:rFonts w:cstheme="minorHAnsi"/>
        </w:rPr>
      </w:pPr>
      <w:r w:rsidRPr="00726C4B">
        <w:rPr>
          <w:rFonts w:cstheme="minorHAnsi"/>
        </w:rPr>
        <w:t xml:space="preserve">30% WLA threshold and potential imposition of fees or gates. In the US, the SEC itself has found (see: October 2020 </w:t>
      </w:r>
      <w:hyperlink r:id="rId25" w:history="1">
        <w:r w:rsidRPr="00726C4B">
          <w:rPr>
            <w:rStyle w:val="Hyperlink"/>
            <w:rFonts w:cstheme="minorHAnsi"/>
          </w:rPr>
          <w:t>U.S. Credit Markets Interconnectedness and the Effects of the COVID-19 Economic Shock</w:t>
        </w:r>
      </w:hyperlink>
      <w:r w:rsidRPr="00726C4B">
        <w:rPr>
          <w:rFonts w:cstheme="minorHAnsi"/>
        </w:rPr>
        <w:t>) that: “staff outreach to market participants indicate that prime fund outflows accelerated as WLAs fell close to 30 percent”. By removing a major incentive to redeem, such a reform would greatly improve MMF resilience in times of stress. Our recommendation does not amount to suggest the daily and weekly liquid asset thresholds should be removed. We support these thresholds as they are currently defined in MMFR and further advance that these thresholds should apply to EU VNAV MMFs. We do not support the artificially constructed “countercyclical” WLA requirement, which would be entirely unnecessary if EU MMFs were permitted to use their internal liquidity as intended.</w:t>
      </w:r>
    </w:p>
    <w:p w14:paraId="0D961D73" w14:textId="77777777" w:rsidR="005B3BC7" w:rsidRDefault="005B3BC7" w:rsidP="005B3BC7">
      <w:pPr>
        <w:rPr>
          <w:rFonts w:cstheme="minorHAnsi"/>
        </w:rPr>
      </w:pPr>
    </w:p>
    <w:p w14:paraId="115A22BC" w14:textId="597F8ECC" w:rsidR="005B3BC7" w:rsidRPr="00726C4B" w:rsidRDefault="005B3BC7" w:rsidP="005B3BC7">
      <w:pPr>
        <w:rPr>
          <w:rFonts w:cstheme="minorHAnsi"/>
        </w:rPr>
      </w:pPr>
      <w:r w:rsidRPr="00726C4B">
        <w:rPr>
          <w:rFonts w:cstheme="minorHAnsi"/>
        </w:rPr>
        <w:t xml:space="preserve">If there is no regulatory link between the level of liquidity buffers and the potential imposition of fees or gates, MMF managers will be able to use weekly liquid assets in a countercyclical way. </w:t>
      </w:r>
    </w:p>
    <w:p w14:paraId="0A4B498B" w14:textId="77777777" w:rsidR="005B3BC7" w:rsidRDefault="005B3BC7" w:rsidP="005B3BC7">
      <w:pPr>
        <w:rPr>
          <w:rFonts w:cstheme="minorHAnsi"/>
        </w:rPr>
      </w:pPr>
    </w:p>
    <w:p w14:paraId="49F352B9" w14:textId="52F4897C" w:rsidR="005B3BC7" w:rsidRPr="00726C4B" w:rsidRDefault="005B3BC7" w:rsidP="005B3BC7">
      <w:pPr>
        <w:rPr>
          <w:rFonts w:cstheme="minorHAnsi"/>
        </w:rPr>
      </w:pPr>
      <w:r w:rsidRPr="00726C4B">
        <w:rPr>
          <w:rFonts w:cstheme="minorHAnsi"/>
        </w:rPr>
        <w:t xml:space="preserve">Imposition of liquidity management tools should remain with an MMF board. </w:t>
      </w:r>
    </w:p>
    <w:p w14:paraId="13096B82" w14:textId="77777777" w:rsidR="005B3BC7" w:rsidRDefault="005B3BC7" w:rsidP="005B3BC7">
      <w:pPr>
        <w:rPr>
          <w:rFonts w:cstheme="minorHAnsi"/>
        </w:rPr>
      </w:pPr>
    </w:p>
    <w:p w14:paraId="16B9678A" w14:textId="055117C4" w:rsidR="005B3BC7" w:rsidRPr="00726C4B" w:rsidRDefault="005B3BC7" w:rsidP="005B3BC7">
      <w:pPr>
        <w:rPr>
          <w:rFonts w:cstheme="minorHAnsi"/>
        </w:rPr>
      </w:pPr>
      <w:r w:rsidRPr="00726C4B">
        <w:rPr>
          <w:rFonts w:cstheme="minorHAnsi"/>
        </w:rPr>
        <w:t xml:space="preserve">In addition to removing the linkage of the 30% Weekly Liquid Asset threshold and the potential imposition of fees and gates, there are two additional enhancements that will improve EU MMFs’ ability to maintain sufficient liquidity in times of stress. First, EU LVNAV MMFs should not be subject to restrictions on holding high quality government securities. Today, the EU MMFR includes an arbitrary 17.5% restriction on counting high quality government securities as liquid assets. Through both the financial crisis and Liquidity Crisis high quality government securities have proved to be the most liquid. This restriction should be removed. Second, EU MMFs should be permitted to count investments in 5-day repo as part of the WLA. A drafting inconsistency in the EU MMFR currently prohibits this and it is contrary to the global position of being able to include 5-day repo as part of WLA. While the definition of what constitutes a WLA for EU MMFs specifically references 5-day repo, an earlier provision in the EU MMFR (See Article 15) limits repo to 2 days and effectively negates a fund’s ability to include 5-day repo in its WLA. </w:t>
      </w:r>
    </w:p>
    <w:p w14:paraId="61C5D4ED" w14:textId="77777777" w:rsidR="005B3BC7" w:rsidRPr="00726C4B" w:rsidRDefault="005B3BC7" w:rsidP="005B3BC7">
      <w:pPr>
        <w:rPr>
          <w:rFonts w:cstheme="minorHAnsi"/>
        </w:rPr>
      </w:pPr>
    </w:p>
    <w:p w14:paraId="7D865FFC" w14:textId="77777777" w:rsidR="005B3BC7" w:rsidRPr="00726C4B" w:rsidRDefault="005B3BC7" w:rsidP="005B3BC7">
      <w:pPr>
        <w:rPr>
          <w:rFonts w:cstheme="minorHAnsi"/>
          <w:b/>
          <w:bCs/>
          <w:i/>
          <w:iCs/>
          <w:color w:val="4F81BD" w:themeColor="accent1"/>
        </w:rPr>
      </w:pPr>
      <w:r w:rsidRPr="00726C4B">
        <w:rPr>
          <w:rFonts w:cstheme="minorHAnsi"/>
          <w:b/>
          <w:bCs/>
          <w:i/>
          <w:iCs/>
          <w:color w:val="4F81BD" w:themeColor="accent1"/>
        </w:rPr>
        <w:lastRenderedPageBreak/>
        <w:t>I. Impact on the resilience of MMFs</w:t>
      </w:r>
      <w:r w:rsidRPr="00726C4B">
        <w:rPr>
          <w:rFonts w:cstheme="minorHAnsi"/>
          <w:b/>
          <w:bCs/>
          <w:i/>
          <w:iCs/>
          <w:color w:val="4F81BD" w:themeColor="accent1"/>
        </w:rPr>
        <w:br/>
        <w:t>i. How would the policy option work in mitigating the structural vulnerabilities of MMFs?</w:t>
      </w:r>
    </w:p>
    <w:p w14:paraId="271D4939" w14:textId="77777777" w:rsidR="005B3BC7" w:rsidRPr="00726C4B" w:rsidRDefault="005B3BC7" w:rsidP="005B3BC7">
      <w:pPr>
        <w:rPr>
          <w:rFonts w:cstheme="minorHAnsi"/>
        </w:rPr>
      </w:pPr>
      <w:r w:rsidRPr="00726C4B">
        <w:rPr>
          <w:rFonts w:cstheme="minorHAnsi"/>
        </w:rPr>
        <w:t>With respect to LVNAV MMFs, the three options ESMA considers are entirely unnecessary once the 30% WLA threshold is delinked from fee and gate consideration and all liquidity within a fund can be used as necessary in times of stress. The 10% daily and 30% weekly liquidity requirements are minimums, and funds hold higher liquidity based on know your customer rules and market conditions. This is evidenced by LVNAV MMFs holding more than 40% in WLA entering the Liquidity Crisis.</w:t>
      </w:r>
    </w:p>
    <w:p w14:paraId="7B0D21A9" w14:textId="77777777" w:rsidR="005B3BC7" w:rsidRDefault="005B3BC7" w:rsidP="005B3BC7">
      <w:pPr>
        <w:rPr>
          <w:rFonts w:cstheme="minorHAnsi"/>
        </w:rPr>
      </w:pPr>
    </w:p>
    <w:p w14:paraId="298EE128" w14:textId="6B6E21A2" w:rsidR="005B3BC7" w:rsidRPr="00726C4B" w:rsidRDefault="005B3BC7" w:rsidP="005B3BC7">
      <w:pPr>
        <w:rPr>
          <w:rFonts w:cstheme="minorHAnsi"/>
        </w:rPr>
      </w:pPr>
      <w:r w:rsidRPr="00726C4B">
        <w:rPr>
          <w:rFonts w:cstheme="minorHAnsi"/>
        </w:rPr>
        <w:t>Additionally, we believe the 10% daily and 30% weekly liquid asset requirements should be applied to EU VNAV MMFs, as the Liquidity Crisis did not discriminate based on MMF structure and we do not believe an appropriate justification exists that warrants lower liquidity requirements for EU VNAV MMFs. We also believe that removing the ability of EU VNAV MMFs to self-designate any money market instrument as a liquid asset should be removed (see MMFR’s Article 24 1. (h)).</w:t>
      </w:r>
    </w:p>
    <w:p w14:paraId="12AF7621" w14:textId="77777777" w:rsidR="005B3BC7" w:rsidRDefault="005B3BC7" w:rsidP="005B3BC7">
      <w:pPr>
        <w:rPr>
          <w:rFonts w:cstheme="minorHAnsi"/>
        </w:rPr>
      </w:pPr>
    </w:p>
    <w:p w14:paraId="69608003" w14:textId="41D13A1E" w:rsidR="005B3BC7" w:rsidRPr="00726C4B" w:rsidRDefault="005B3BC7" w:rsidP="005B3BC7">
      <w:pPr>
        <w:rPr>
          <w:rFonts w:cstheme="minorHAnsi"/>
        </w:rPr>
      </w:pPr>
      <w:r w:rsidRPr="00726C4B">
        <w:rPr>
          <w:rFonts w:cstheme="minorHAnsi"/>
        </w:rPr>
        <w:t xml:space="preserve">In addition to removing the linkage of the 30% Weekly Liquid Asset threshold and the potential imposition of fees and gates, there are two additional enhancements that will improve EU MMFs’ ability to maintain sufficient liquidity in times of stress. First, EU LVNAV MMFs should not be subject to restrictions on holding high quality government securities. Today, the EU MMFR includes an arbitrary 17.5% restriction on counting high quality government securities as liquid assets. Through both the financial crisis and Liquidity Crisis high quality government securities have proved to be the most liquid. This restriction should be removed. Second, EU MMFs should be permitted to count investments in 5-day repo as part of the WLA. A drafting inconsistency in the EU MMFR currently prohibits this and it is contrary to the global position of being able to include 5-day repo as part of WLA. While the definition of what constitutes a WLA for EU MMFs specifically references 5-day repo, an earlier provision in the EU MMFR (See Article 15) limits repo to 2 days and effectively negates a fund’s ability to include 5-day repo in its WLA. </w:t>
      </w:r>
    </w:p>
    <w:p w14:paraId="361BF40B" w14:textId="77777777" w:rsidR="005B3BC7" w:rsidRPr="00726C4B" w:rsidRDefault="005B3BC7" w:rsidP="005B3BC7">
      <w:pPr>
        <w:rPr>
          <w:rFonts w:cstheme="minorHAnsi"/>
        </w:rPr>
      </w:pPr>
    </w:p>
    <w:p w14:paraId="696E149F" w14:textId="77777777" w:rsidR="005B3BC7" w:rsidRPr="00726C4B" w:rsidRDefault="005B3BC7" w:rsidP="005B3BC7">
      <w:pPr>
        <w:rPr>
          <w:rFonts w:cstheme="minorHAnsi"/>
          <w:b/>
          <w:bCs/>
          <w:i/>
          <w:iCs/>
          <w:color w:val="4F81BD" w:themeColor="accent1"/>
        </w:rPr>
      </w:pPr>
      <w:r w:rsidRPr="00726C4B">
        <w:rPr>
          <w:rFonts w:cstheme="minorHAnsi"/>
          <w:b/>
          <w:bCs/>
          <w:i/>
          <w:iCs/>
          <w:color w:val="4F81BD" w:themeColor="accent1"/>
        </w:rPr>
        <w:t>ii. Would it apply to all MMFs or only to certain types of MMFs?</w:t>
      </w:r>
    </w:p>
    <w:p w14:paraId="3F1A14AB" w14:textId="77777777" w:rsidR="005B3BC7" w:rsidRPr="00726C4B" w:rsidRDefault="005B3BC7" w:rsidP="005B3BC7">
      <w:pPr>
        <w:rPr>
          <w:rFonts w:cstheme="minorHAnsi"/>
        </w:rPr>
      </w:pPr>
      <w:r w:rsidRPr="00726C4B">
        <w:rPr>
          <w:rFonts w:cstheme="minorHAnsi"/>
        </w:rPr>
        <w:t>Increased daily and weekly liquidity requirements should be applied to VNAV MMFs. LVNAV MMFs had sufficient internal liquidity to meet all redemptions during the Liquidity Crisis, however the linking of the 30% WLA threshold and the potential imposition of fees and gates led to artificially high redemptions and prevented managers from using internal liquidity as intended.</w:t>
      </w:r>
    </w:p>
    <w:p w14:paraId="6697B617" w14:textId="77777777" w:rsidR="005B3BC7" w:rsidRPr="00726C4B" w:rsidRDefault="005B3BC7" w:rsidP="005B3BC7">
      <w:pPr>
        <w:rPr>
          <w:rFonts w:cstheme="minorHAnsi"/>
          <w:b/>
          <w:bCs/>
          <w:i/>
          <w:iCs/>
          <w:color w:val="4F81BD" w:themeColor="accent1"/>
        </w:rPr>
      </w:pPr>
      <w:r w:rsidRPr="00726C4B">
        <w:rPr>
          <w:rFonts w:cstheme="minorHAnsi"/>
        </w:rPr>
        <w:br/>
      </w:r>
      <w:r w:rsidRPr="00726C4B">
        <w:rPr>
          <w:rFonts w:cstheme="minorHAnsi"/>
          <w:b/>
          <w:bCs/>
          <w:i/>
          <w:iCs/>
          <w:color w:val="4F81BD" w:themeColor="accent1"/>
        </w:rPr>
        <w:t>iii. A) Is the option currently in place in any jurisdiction, and if so, has it been helpful?</w:t>
      </w:r>
    </w:p>
    <w:p w14:paraId="6531859E" w14:textId="77777777" w:rsidR="005B3BC7" w:rsidRPr="00726C4B" w:rsidRDefault="005B3BC7" w:rsidP="005B3BC7">
      <w:pPr>
        <w:rPr>
          <w:rFonts w:cstheme="minorHAnsi"/>
        </w:rPr>
      </w:pPr>
      <w:r w:rsidRPr="00726C4B">
        <w:rPr>
          <w:rFonts w:cstheme="minorHAnsi"/>
        </w:rPr>
        <w:t xml:space="preserve">Increasing daily and weekly liquidity requirements for VNAV MMFs would provide uniformity on required levels of liquidity across EU and US MMFs. </w:t>
      </w:r>
    </w:p>
    <w:p w14:paraId="512EC3A6" w14:textId="77777777" w:rsidR="005B3BC7" w:rsidRDefault="005B3BC7" w:rsidP="005B3BC7">
      <w:pPr>
        <w:rPr>
          <w:rFonts w:cstheme="minorHAnsi"/>
        </w:rPr>
      </w:pPr>
    </w:p>
    <w:p w14:paraId="37DFE281" w14:textId="705392AC" w:rsidR="005B3BC7" w:rsidRPr="00726C4B" w:rsidRDefault="005B3BC7" w:rsidP="005B3BC7">
      <w:pPr>
        <w:rPr>
          <w:rFonts w:cstheme="minorHAnsi"/>
        </w:rPr>
      </w:pPr>
      <w:r w:rsidRPr="00726C4B">
        <w:rPr>
          <w:rFonts w:cstheme="minorHAnsi"/>
        </w:rPr>
        <w:t xml:space="preserve">Additionally, there are two further enhancements which should be considered and are consistent with global standards. First, EU LVNAV MMFs should not be subject to restrictions on holding high quality government securities. Today, the EU MMFR includes an arbitrary 17.5% restriction on counting high quality government securities as liquid assets. Through both the financial crisis and Liquidity Crisis high quality government securities have proved to be the most liquid. This restriction should be removed. Second, EU MMFs should be permitted to count investments in 5-day repo as part of the WLA. A drafting inconsistency in the EU MMFR currently prohibits this and it is contrary to the global position of being able to include 5-day repo as part of WLA. While the definition of what constitutes a WLA for EU MMFs specifically references 5-day repo, an earlier provision in the EU MMFR (See Article 15) limits repo to 2 days and effectively negates a fund’s ability to include 5-day repo in its WLA. </w:t>
      </w:r>
    </w:p>
    <w:p w14:paraId="23013C1E" w14:textId="77777777" w:rsidR="005B3BC7" w:rsidRPr="00726C4B" w:rsidRDefault="005B3BC7" w:rsidP="005B3BC7">
      <w:pPr>
        <w:rPr>
          <w:rFonts w:cstheme="minorHAnsi"/>
        </w:rPr>
      </w:pPr>
    </w:p>
    <w:p w14:paraId="016C08CB" w14:textId="77777777" w:rsidR="005B3BC7" w:rsidRPr="00726C4B" w:rsidRDefault="005B3BC7" w:rsidP="005B3BC7">
      <w:pPr>
        <w:rPr>
          <w:rFonts w:cstheme="minorHAnsi"/>
          <w:b/>
          <w:bCs/>
          <w:i/>
          <w:iCs/>
          <w:color w:val="4F81BD" w:themeColor="accent1"/>
        </w:rPr>
      </w:pPr>
      <w:r w:rsidRPr="00726C4B">
        <w:rPr>
          <w:rFonts w:cstheme="minorHAnsi"/>
          <w:b/>
          <w:bCs/>
          <w:i/>
          <w:iCs/>
          <w:color w:val="4F81BD" w:themeColor="accent1"/>
        </w:rPr>
        <w:t xml:space="preserve">b) How would it represent a change from current rules or practices in other jurisdictions? </w:t>
      </w:r>
    </w:p>
    <w:p w14:paraId="289A0893" w14:textId="77777777" w:rsidR="005B3BC7" w:rsidRPr="00726C4B" w:rsidRDefault="005B3BC7" w:rsidP="005B3BC7">
      <w:pPr>
        <w:rPr>
          <w:rFonts w:cstheme="minorHAnsi"/>
        </w:rPr>
      </w:pPr>
      <w:r w:rsidRPr="00726C4B">
        <w:rPr>
          <w:rFonts w:cstheme="minorHAnsi"/>
        </w:rPr>
        <w:t xml:space="preserve">Increasing daily and weekly liquidity requirements for VNAV MMFs would provide uniformity on required levels of liquidity across EU and US MMFs. </w:t>
      </w:r>
    </w:p>
    <w:p w14:paraId="531F3DF5" w14:textId="77777777" w:rsidR="005B3BC7" w:rsidRDefault="005B3BC7" w:rsidP="005B3BC7">
      <w:pPr>
        <w:rPr>
          <w:rFonts w:cstheme="minorHAnsi"/>
        </w:rPr>
      </w:pPr>
    </w:p>
    <w:p w14:paraId="3847A50E" w14:textId="0A149831" w:rsidR="005B3BC7" w:rsidRPr="00726C4B" w:rsidRDefault="005B3BC7" w:rsidP="005B3BC7">
      <w:pPr>
        <w:rPr>
          <w:rFonts w:cstheme="minorHAnsi"/>
        </w:rPr>
      </w:pPr>
      <w:r w:rsidRPr="00726C4B">
        <w:rPr>
          <w:rFonts w:cstheme="minorHAnsi"/>
        </w:rPr>
        <w:t xml:space="preserve">With respect to LVNAV MMFs, they should not be subject to an arbitrary 17.5% restriction on counting high quality government securities as liquid assets. Through both the financial crisis and Liquidity Crisis these securities have proved to be the most liquid. Additionally, EU MMFs should be permitted to count investments in 5-day repo as part of the WLA. Assessing the depth, liquidity, direction, and other metrics </w:t>
      </w:r>
      <w:r w:rsidRPr="00726C4B">
        <w:rPr>
          <w:rFonts w:cstheme="minorHAnsi"/>
        </w:rPr>
        <w:lastRenderedPageBreak/>
        <w:t>regarding short-term funding markets before investing is an asset manager professional duty and competence. Removing these artificial restrictions would place EU LVNAV MMFs on par with similar US MMFs.</w:t>
      </w:r>
    </w:p>
    <w:p w14:paraId="2F93CB2A" w14:textId="77777777" w:rsidR="005B3BC7" w:rsidRPr="00726C4B" w:rsidRDefault="005B3BC7" w:rsidP="005B3BC7">
      <w:pPr>
        <w:rPr>
          <w:rFonts w:cstheme="minorHAnsi"/>
        </w:rPr>
      </w:pPr>
    </w:p>
    <w:p w14:paraId="53E5C78C" w14:textId="77777777" w:rsidR="005B3BC7" w:rsidRPr="00726C4B" w:rsidRDefault="005B3BC7" w:rsidP="005B3BC7">
      <w:pPr>
        <w:rPr>
          <w:rFonts w:cstheme="minorHAnsi"/>
          <w:b/>
          <w:bCs/>
          <w:i/>
          <w:iCs/>
          <w:color w:val="4F81BD" w:themeColor="accent1"/>
        </w:rPr>
      </w:pPr>
      <w:r w:rsidRPr="00726C4B">
        <w:rPr>
          <w:rFonts w:cstheme="minorHAnsi"/>
          <w:b/>
          <w:bCs/>
          <w:i/>
          <w:iCs/>
          <w:color w:val="4F81BD" w:themeColor="accent1"/>
        </w:rPr>
        <w:t xml:space="preserve">c) Has the option been implemented previously and, if so, what were the main findings? </w:t>
      </w:r>
    </w:p>
    <w:p w14:paraId="31253607" w14:textId="77777777" w:rsidR="005B3BC7" w:rsidRPr="00726C4B" w:rsidRDefault="005B3BC7" w:rsidP="005B3BC7">
      <w:pPr>
        <w:rPr>
          <w:rFonts w:cstheme="minorHAnsi"/>
        </w:rPr>
      </w:pPr>
      <w:r w:rsidRPr="00726C4B">
        <w:rPr>
          <w:rFonts w:cstheme="minorHAnsi"/>
        </w:rPr>
        <w:t xml:space="preserve">Increasing daily and weekly liquidity requirements for VNAV MMFs would provide uniformity on required levels of liquidity across EU and US MMFs. </w:t>
      </w:r>
    </w:p>
    <w:p w14:paraId="2D7D6C62" w14:textId="77777777" w:rsidR="005B3BC7" w:rsidRDefault="005B3BC7" w:rsidP="005B3BC7">
      <w:pPr>
        <w:rPr>
          <w:rFonts w:cstheme="minorHAnsi"/>
        </w:rPr>
      </w:pPr>
    </w:p>
    <w:p w14:paraId="7B968128" w14:textId="7098B5A5" w:rsidR="005B3BC7" w:rsidRPr="00726C4B" w:rsidRDefault="005B3BC7" w:rsidP="005B3BC7">
      <w:pPr>
        <w:rPr>
          <w:rFonts w:cstheme="minorHAnsi"/>
        </w:rPr>
      </w:pPr>
      <w:r w:rsidRPr="00726C4B">
        <w:rPr>
          <w:rFonts w:cstheme="minorHAnsi"/>
        </w:rPr>
        <w:t>With respect to LVNAV MMFs, they should not be subject to an arbitrary 17.5% restriction on counting high quality government securities as liquid assets. Through both the financial crisis and Liquidity Crisis these securities have proved to be the most liquid. Additionally, EU MMFs should be permitted to count investments in 5-day repo as part of the WLA. Assessing the depth, liquidity, direction, and other metrics regarding short-term funding markets before investing is an asset manager professional duty and competence. Removing these artificial restrictions would place EU LVNAV MMFs on par with similar US MMFs.</w:t>
      </w:r>
    </w:p>
    <w:p w14:paraId="57E5DAD5" w14:textId="77777777" w:rsidR="005B3BC7" w:rsidRPr="00726C4B" w:rsidRDefault="005B3BC7" w:rsidP="005B3BC7">
      <w:pPr>
        <w:rPr>
          <w:rFonts w:cstheme="minorHAnsi"/>
        </w:rPr>
      </w:pPr>
    </w:p>
    <w:p w14:paraId="28090E99" w14:textId="77777777" w:rsidR="005B3BC7" w:rsidRPr="00726C4B" w:rsidRDefault="005B3BC7" w:rsidP="005B3BC7">
      <w:pPr>
        <w:rPr>
          <w:rFonts w:cstheme="minorHAnsi"/>
          <w:b/>
          <w:bCs/>
          <w:i/>
          <w:iCs/>
          <w:color w:val="4F81BD" w:themeColor="accent1"/>
        </w:rPr>
      </w:pPr>
      <w:r w:rsidRPr="00726C4B">
        <w:rPr>
          <w:rFonts w:cstheme="minorHAnsi"/>
          <w:b/>
          <w:bCs/>
          <w:i/>
          <w:iCs/>
          <w:color w:val="4F81BD" w:themeColor="accent1"/>
        </w:rPr>
        <w:t>II. Effects on investor behaviour</w:t>
      </w:r>
    </w:p>
    <w:p w14:paraId="7E81C8AA" w14:textId="77777777" w:rsidR="005B3BC7" w:rsidRPr="00726C4B" w:rsidRDefault="005B3BC7" w:rsidP="005B3BC7">
      <w:pPr>
        <w:rPr>
          <w:rFonts w:cstheme="minorHAnsi"/>
          <w:b/>
          <w:bCs/>
          <w:i/>
          <w:iCs/>
          <w:color w:val="4F81BD" w:themeColor="accent1"/>
        </w:rPr>
      </w:pPr>
      <w:r w:rsidRPr="00726C4B">
        <w:rPr>
          <w:rFonts w:cstheme="minorHAnsi"/>
          <w:b/>
          <w:bCs/>
          <w:i/>
          <w:iCs/>
          <w:color w:val="4F81BD" w:themeColor="accent1"/>
        </w:rPr>
        <w:t>i. From a micro perspective (viewing the MMF in isolation), how would the policy option affect investors’ incentives to redeem during stress events?</w:t>
      </w:r>
    </w:p>
    <w:p w14:paraId="53FC0DBB" w14:textId="77777777" w:rsidR="005B3BC7" w:rsidRPr="00726C4B" w:rsidRDefault="005B3BC7" w:rsidP="005B3BC7">
      <w:pPr>
        <w:rPr>
          <w:rFonts w:cstheme="minorHAnsi"/>
        </w:rPr>
      </w:pPr>
      <w:r w:rsidRPr="00726C4B">
        <w:rPr>
          <w:rFonts w:cstheme="minorHAnsi"/>
        </w:rPr>
        <w:t>Ensuring that all EU MMFs have ample internal liquidity- that is able to be used as intended (removing the linking of the 30% WLA threshold from consideration of fees and gates) would eliminate an unnecessary incentive for redemptions.</w:t>
      </w:r>
    </w:p>
    <w:p w14:paraId="07A78F09" w14:textId="77777777" w:rsidR="005B3BC7" w:rsidRPr="00726C4B" w:rsidRDefault="005B3BC7" w:rsidP="005B3BC7">
      <w:pPr>
        <w:rPr>
          <w:rFonts w:cstheme="minorHAnsi"/>
        </w:rPr>
      </w:pPr>
    </w:p>
    <w:p w14:paraId="4227066A" w14:textId="77777777" w:rsidR="005B3BC7" w:rsidRPr="00726C4B" w:rsidRDefault="005B3BC7" w:rsidP="005B3BC7">
      <w:pPr>
        <w:rPr>
          <w:rFonts w:cstheme="minorHAnsi"/>
          <w:b/>
          <w:bCs/>
          <w:i/>
          <w:iCs/>
          <w:color w:val="4F81BD" w:themeColor="accent1"/>
        </w:rPr>
      </w:pPr>
      <w:r w:rsidRPr="00726C4B">
        <w:rPr>
          <w:rFonts w:cstheme="minorHAnsi"/>
          <w:b/>
          <w:bCs/>
          <w:i/>
          <w:iCs/>
          <w:color w:val="4F81BD" w:themeColor="accent1"/>
        </w:rPr>
        <w:t>ii. From a macro perspective, how would this option mitigate the effects of a generalised “dash for cash” as seen in March 2020; and/or runs prompted by a credit crisis, as seen in September 2008?</w:t>
      </w:r>
    </w:p>
    <w:p w14:paraId="6E2DE88C" w14:textId="77777777" w:rsidR="005B3BC7" w:rsidRPr="00726C4B" w:rsidRDefault="005B3BC7" w:rsidP="005B3BC7">
      <w:pPr>
        <w:rPr>
          <w:rFonts w:cstheme="minorHAnsi"/>
        </w:rPr>
      </w:pPr>
      <w:r w:rsidRPr="00726C4B">
        <w:rPr>
          <w:rFonts w:cstheme="minorHAnsi"/>
        </w:rPr>
        <w:t>Ensuring that all EU MMFs have ample internal liquidity that is able to be used as intended (removing the linking of the 30% WLA threshold from consideration of fees and gates) would eliminate an unnecessary incentive for redemptions.</w:t>
      </w:r>
    </w:p>
    <w:p w14:paraId="723F2D1B" w14:textId="77777777" w:rsidR="005B3BC7" w:rsidRPr="00726C4B" w:rsidRDefault="005B3BC7" w:rsidP="005B3BC7">
      <w:pPr>
        <w:rPr>
          <w:rFonts w:cstheme="minorHAnsi"/>
        </w:rPr>
      </w:pPr>
    </w:p>
    <w:p w14:paraId="7CB25486" w14:textId="77777777" w:rsidR="005B3BC7" w:rsidRPr="00726C4B" w:rsidRDefault="005B3BC7" w:rsidP="005B3BC7">
      <w:pPr>
        <w:rPr>
          <w:rFonts w:cstheme="minorHAnsi"/>
          <w:b/>
          <w:bCs/>
          <w:i/>
          <w:iCs/>
          <w:color w:val="4F81BD" w:themeColor="accent1"/>
        </w:rPr>
      </w:pPr>
      <w:r w:rsidRPr="00726C4B">
        <w:rPr>
          <w:rFonts w:cstheme="minorHAnsi"/>
          <w:b/>
          <w:bCs/>
          <w:i/>
          <w:iCs/>
          <w:color w:val="4F81BD" w:themeColor="accent1"/>
        </w:rPr>
        <w:t>iii. a) Does the option effectively shift MMF risks to investors?</w:t>
      </w:r>
    </w:p>
    <w:p w14:paraId="60619249" w14:textId="77777777" w:rsidR="005B3BC7" w:rsidRPr="00726C4B" w:rsidRDefault="005B3BC7" w:rsidP="005B3BC7">
      <w:pPr>
        <w:rPr>
          <w:rFonts w:cstheme="minorHAnsi"/>
          <w:highlight w:val="yellow"/>
        </w:rPr>
      </w:pPr>
      <w:r w:rsidRPr="00726C4B">
        <w:rPr>
          <w:rFonts w:cstheme="minorHAnsi"/>
        </w:rPr>
        <w:t>No, for the reasons explained above. Investors already have 100% of the risk in MMFs. EU MMFs are 100% capitalised and managers are not permitted to support funds. Article 36 of the EU MMFR ensures that EU investors are informed of the risks they take on as they require EU MMFs to disclose in any document a MMF uses for marketing purposes the following statements:</w:t>
      </w:r>
    </w:p>
    <w:p w14:paraId="1A35F33B" w14:textId="77777777" w:rsidR="005B3BC7" w:rsidRPr="005B3BC7" w:rsidRDefault="005B3BC7" w:rsidP="005B599C">
      <w:pPr>
        <w:pStyle w:val="ListParagraph"/>
        <w:numPr>
          <w:ilvl w:val="0"/>
          <w:numId w:val="47"/>
        </w:numPr>
        <w:autoSpaceDE w:val="0"/>
        <w:autoSpaceDN w:val="0"/>
        <w:adjustRightInd w:val="0"/>
        <w:spacing w:after="100"/>
        <w:contextualSpacing w:val="0"/>
        <w:rPr>
          <w:rFonts w:cs="Arial"/>
          <w:color w:val="000000"/>
          <w:szCs w:val="20"/>
        </w:rPr>
      </w:pPr>
      <w:r w:rsidRPr="005B3BC7">
        <w:rPr>
          <w:rFonts w:cs="Arial"/>
          <w:color w:val="000000"/>
          <w:szCs w:val="20"/>
        </w:rPr>
        <w:t xml:space="preserve">that the MMF is not a guaranteed investment; </w:t>
      </w:r>
    </w:p>
    <w:p w14:paraId="22C0E9D0" w14:textId="77777777" w:rsidR="005B3BC7" w:rsidRPr="005B3BC7" w:rsidRDefault="005B3BC7" w:rsidP="005B599C">
      <w:pPr>
        <w:pStyle w:val="ListParagraph"/>
        <w:numPr>
          <w:ilvl w:val="0"/>
          <w:numId w:val="47"/>
        </w:numPr>
        <w:autoSpaceDE w:val="0"/>
        <w:autoSpaceDN w:val="0"/>
        <w:adjustRightInd w:val="0"/>
        <w:spacing w:after="100"/>
        <w:ind w:left="714" w:hanging="357"/>
        <w:contextualSpacing w:val="0"/>
        <w:rPr>
          <w:rFonts w:cs="Arial"/>
          <w:color w:val="000000"/>
          <w:szCs w:val="20"/>
        </w:rPr>
      </w:pPr>
      <w:r w:rsidRPr="005B3BC7">
        <w:rPr>
          <w:rFonts w:cs="Arial"/>
          <w:color w:val="000000"/>
          <w:szCs w:val="20"/>
        </w:rPr>
        <w:t xml:space="preserve">that an investment in MMFs is different from an investment in deposits, with particular reference to the risk that the principal invested in an MMF is capable of fluctuation; </w:t>
      </w:r>
    </w:p>
    <w:p w14:paraId="5DD6A00F" w14:textId="77777777" w:rsidR="005B3BC7" w:rsidRPr="005B3BC7" w:rsidRDefault="005B3BC7" w:rsidP="005B599C">
      <w:pPr>
        <w:pStyle w:val="ListParagraph"/>
        <w:numPr>
          <w:ilvl w:val="0"/>
          <w:numId w:val="47"/>
        </w:numPr>
        <w:autoSpaceDE w:val="0"/>
        <w:autoSpaceDN w:val="0"/>
        <w:adjustRightInd w:val="0"/>
        <w:spacing w:after="100"/>
        <w:ind w:left="714" w:hanging="357"/>
        <w:contextualSpacing w:val="0"/>
        <w:rPr>
          <w:rFonts w:cs="Arial"/>
          <w:color w:val="000000"/>
          <w:szCs w:val="20"/>
        </w:rPr>
      </w:pPr>
      <w:r w:rsidRPr="005B3BC7">
        <w:rPr>
          <w:rFonts w:cs="Arial"/>
          <w:color w:val="000000"/>
          <w:szCs w:val="20"/>
        </w:rPr>
        <w:t xml:space="preserve">that the MMF does not rely on external support for guaranteeing the liquidity of the MMF or stabilising the NAV per unit or share; </w:t>
      </w:r>
    </w:p>
    <w:p w14:paraId="0DC754F1" w14:textId="77777777" w:rsidR="005B3BC7" w:rsidRPr="005B3BC7" w:rsidRDefault="005B3BC7" w:rsidP="005B599C">
      <w:pPr>
        <w:pStyle w:val="ListParagraph"/>
        <w:numPr>
          <w:ilvl w:val="0"/>
          <w:numId w:val="47"/>
        </w:numPr>
        <w:autoSpaceDE w:val="0"/>
        <w:autoSpaceDN w:val="0"/>
        <w:adjustRightInd w:val="0"/>
        <w:spacing w:after="100"/>
        <w:ind w:left="714" w:hanging="357"/>
        <w:contextualSpacing w:val="0"/>
        <w:rPr>
          <w:rFonts w:cs="Arial"/>
          <w:color w:val="000000"/>
          <w:szCs w:val="20"/>
        </w:rPr>
      </w:pPr>
      <w:r w:rsidRPr="005B3BC7">
        <w:rPr>
          <w:rFonts w:cs="Arial"/>
          <w:color w:val="000000"/>
          <w:szCs w:val="20"/>
        </w:rPr>
        <w:t xml:space="preserve">that the risk of loss of the principal is to be borne by the investor. </w:t>
      </w:r>
    </w:p>
    <w:p w14:paraId="6EB5D134" w14:textId="77777777" w:rsidR="005B3BC7" w:rsidRDefault="005B3BC7" w:rsidP="005B3BC7">
      <w:pPr>
        <w:rPr>
          <w:rFonts w:cstheme="minorHAnsi"/>
          <w:color w:val="000000"/>
        </w:rPr>
      </w:pPr>
    </w:p>
    <w:p w14:paraId="33124DD6" w14:textId="3FB3C5BE" w:rsidR="005B3BC7" w:rsidRPr="00726C4B" w:rsidRDefault="005B3BC7" w:rsidP="005B3BC7">
      <w:pPr>
        <w:rPr>
          <w:rFonts w:cstheme="minorHAnsi"/>
        </w:rPr>
      </w:pPr>
      <w:r w:rsidRPr="00726C4B">
        <w:rPr>
          <w:rFonts w:cstheme="minorHAnsi"/>
          <w:color w:val="000000"/>
        </w:rPr>
        <w:t>Moreover, Article 36(4) provides further that “No communication by the MMF or by the manager of an MMF to investors or potential investors shall in any way suggest that an investment in the units or shares of the MMF is guaranteed.”</w:t>
      </w:r>
    </w:p>
    <w:p w14:paraId="6040CBA1" w14:textId="77777777" w:rsidR="005B3BC7" w:rsidRPr="00726C4B" w:rsidRDefault="005B3BC7" w:rsidP="005B3BC7">
      <w:pPr>
        <w:rPr>
          <w:rFonts w:cstheme="minorHAnsi"/>
        </w:rPr>
      </w:pPr>
    </w:p>
    <w:p w14:paraId="30D0C4DE" w14:textId="77777777" w:rsidR="005B3BC7" w:rsidRPr="00726C4B" w:rsidRDefault="005B3BC7" w:rsidP="005B3BC7">
      <w:pPr>
        <w:rPr>
          <w:rFonts w:cstheme="minorHAnsi"/>
          <w:b/>
          <w:bCs/>
          <w:i/>
          <w:iCs/>
          <w:color w:val="4F81BD" w:themeColor="accent1"/>
        </w:rPr>
      </w:pPr>
      <w:r w:rsidRPr="00726C4B">
        <w:rPr>
          <w:rFonts w:cstheme="minorHAnsi"/>
          <w:b/>
          <w:bCs/>
          <w:i/>
          <w:iCs/>
          <w:color w:val="4F81BD" w:themeColor="accent1"/>
        </w:rPr>
        <w:t>b) Does it make those risks more salient and transparent for investors? Are investors treated equally?</w:t>
      </w:r>
    </w:p>
    <w:p w14:paraId="541D4945" w14:textId="77777777" w:rsidR="005B3BC7" w:rsidRPr="00726C4B" w:rsidRDefault="005B3BC7" w:rsidP="005B3BC7">
      <w:pPr>
        <w:rPr>
          <w:rFonts w:cstheme="minorHAnsi"/>
        </w:rPr>
      </w:pPr>
      <w:r w:rsidRPr="00726C4B">
        <w:rPr>
          <w:rFonts w:cstheme="minorHAnsi"/>
        </w:rPr>
        <w:t>No. They would make investors run earlier or unpredictably. Investors already have 100% of the risk in MMFs. EU MMFs are 100% capitalised and managers are not permitted to support funds. Article 36 of the EU MMFR ensures that EU investors are informed of the risks they take on as they require EU MMFs to disclose in any document a MMF uses for marketing purposes the following statements:</w:t>
      </w:r>
    </w:p>
    <w:p w14:paraId="0290C6FE" w14:textId="77777777" w:rsidR="005B3BC7" w:rsidRPr="005B3BC7" w:rsidRDefault="005B3BC7" w:rsidP="005B599C">
      <w:pPr>
        <w:pStyle w:val="ListParagraph"/>
        <w:numPr>
          <w:ilvl w:val="0"/>
          <w:numId w:val="48"/>
        </w:numPr>
        <w:autoSpaceDE w:val="0"/>
        <w:autoSpaceDN w:val="0"/>
        <w:adjustRightInd w:val="0"/>
        <w:spacing w:after="100"/>
        <w:contextualSpacing w:val="0"/>
        <w:rPr>
          <w:rFonts w:cs="Arial"/>
          <w:color w:val="000000"/>
          <w:szCs w:val="20"/>
        </w:rPr>
      </w:pPr>
      <w:r w:rsidRPr="005B3BC7">
        <w:rPr>
          <w:rFonts w:cs="Arial"/>
          <w:color w:val="000000"/>
          <w:szCs w:val="20"/>
        </w:rPr>
        <w:t xml:space="preserve">that the MMF is not a guaranteed investment; </w:t>
      </w:r>
    </w:p>
    <w:p w14:paraId="072EB978" w14:textId="77777777" w:rsidR="005B3BC7" w:rsidRPr="005B3BC7" w:rsidRDefault="005B3BC7" w:rsidP="005B599C">
      <w:pPr>
        <w:pStyle w:val="ListParagraph"/>
        <w:numPr>
          <w:ilvl w:val="0"/>
          <w:numId w:val="48"/>
        </w:numPr>
        <w:autoSpaceDE w:val="0"/>
        <w:autoSpaceDN w:val="0"/>
        <w:adjustRightInd w:val="0"/>
        <w:spacing w:after="100"/>
        <w:ind w:left="714" w:hanging="357"/>
        <w:contextualSpacing w:val="0"/>
        <w:rPr>
          <w:rFonts w:cs="Arial"/>
          <w:color w:val="000000"/>
          <w:szCs w:val="20"/>
        </w:rPr>
      </w:pPr>
      <w:r w:rsidRPr="005B3BC7">
        <w:rPr>
          <w:rFonts w:cs="Arial"/>
          <w:color w:val="000000"/>
          <w:szCs w:val="20"/>
        </w:rPr>
        <w:t xml:space="preserve">that an investment in MMFs is different from an investment in deposits, with particular reference to the risk that the principal invested in an MMF is capable of fluctuation; </w:t>
      </w:r>
    </w:p>
    <w:p w14:paraId="268DF71B" w14:textId="77777777" w:rsidR="005B3BC7" w:rsidRPr="005B3BC7" w:rsidRDefault="005B3BC7" w:rsidP="005B599C">
      <w:pPr>
        <w:pStyle w:val="ListParagraph"/>
        <w:numPr>
          <w:ilvl w:val="0"/>
          <w:numId w:val="48"/>
        </w:numPr>
        <w:autoSpaceDE w:val="0"/>
        <w:autoSpaceDN w:val="0"/>
        <w:adjustRightInd w:val="0"/>
        <w:spacing w:after="100"/>
        <w:ind w:left="714" w:hanging="357"/>
        <w:contextualSpacing w:val="0"/>
        <w:rPr>
          <w:rFonts w:cs="Arial"/>
          <w:color w:val="000000"/>
          <w:szCs w:val="20"/>
        </w:rPr>
      </w:pPr>
      <w:r w:rsidRPr="005B3BC7">
        <w:rPr>
          <w:rFonts w:cs="Arial"/>
          <w:color w:val="000000"/>
          <w:szCs w:val="20"/>
        </w:rPr>
        <w:t xml:space="preserve">that the MMF does not rely on external support for guaranteeing the liquidity of the MMF or stabilising the NAV per unit or share; </w:t>
      </w:r>
    </w:p>
    <w:p w14:paraId="2F4D8E5B" w14:textId="77777777" w:rsidR="005B3BC7" w:rsidRPr="005B3BC7" w:rsidRDefault="005B3BC7" w:rsidP="005B599C">
      <w:pPr>
        <w:pStyle w:val="ListParagraph"/>
        <w:numPr>
          <w:ilvl w:val="0"/>
          <w:numId w:val="48"/>
        </w:numPr>
        <w:autoSpaceDE w:val="0"/>
        <w:autoSpaceDN w:val="0"/>
        <w:adjustRightInd w:val="0"/>
        <w:spacing w:after="100"/>
        <w:ind w:left="714" w:hanging="357"/>
        <w:contextualSpacing w:val="0"/>
        <w:rPr>
          <w:rFonts w:cs="Arial"/>
          <w:color w:val="000000"/>
          <w:szCs w:val="20"/>
        </w:rPr>
      </w:pPr>
      <w:r w:rsidRPr="005B3BC7">
        <w:rPr>
          <w:rFonts w:cs="Arial"/>
          <w:color w:val="000000"/>
          <w:szCs w:val="20"/>
        </w:rPr>
        <w:lastRenderedPageBreak/>
        <w:t xml:space="preserve">that the risk of loss of the principal is to be borne by the investor. </w:t>
      </w:r>
    </w:p>
    <w:p w14:paraId="5C9B37AE" w14:textId="77777777" w:rsidR="004A329C" w:rsidRDefault="004A329C" w:rsidP="005B3BC7">
      <w:pPr>
        <w:rPr>
          <w:rFonts w:cstheme="minorHAnsi"/>
          <w:color w:val="000000"/>
        </w:rPr>
      </w:pPr>
    </w:p>
    <w:p w14:paraId="4D5B158F" w14:textId="47A6947C" w:rsidR="005B3BC7" w:rsidRPr="00726C4B" w:rsidRDefault="005B3BC7" w:rsidP="005B3BC7">
      <w:pPr>
        <w:rPr>
          <w:rFonts w:cstheme="minorHAnsi"/>
        </w:rPr>
      </w:pPr>
      <w:r w:rsidRPr="00726C4B">
        <w:rPr>
          <w:rFonts w:cstheme="minorHAnsi"/>
          <w:color w:val="000000"/>
        </w:rPr>
        <w:t>Moreover, Article 36(4) provides further that “No communication by the MMF or by the manager of an MMF to investors or potential investors shall in any way suggest that an investment in the units or shares of the MMF is guaranteed.”</w:t>
      </w:r>
    </w:p>
    <w:p w14:paraId="1838911C" w14:textId="77777777" w:rsidR="004A329C" w:rsidRDefault="004A329C" w:rsidP="005B3BC7">
      <w:pPr>
        <w:rPr>
          <w:rFonts w:cstheme="minorHAnsi"/>
          <w:color w:val="000000"/>
        </w:rPr>
      </w:pPr>
    </w:p>
    <w:p w14:paraId="3A56DEA3" w14:textId="49B3F7DC" w:rsidR="005B3BC7" w:rsidRPr="00726C4B" w:rsidRDefault="005B3BC7" w:rsidP="005B3BC7">
      <w:pPr>
        <w:rPr>
          <w:rFonts w:cstheme="minorHAnsi"/>
        </w:rPr>
      </w:pPr>
      <w:r w:rsidRPr="00726C4B">
        <w:rPr>
          <w:rFonts w:cstheme="minorHAnsi"/>
          <w:color w:val="000000"/>
        </w:rPr>
        <w:t>Finally, a</w:t>
      </w:r>
      <w:r w:rsidRPr="00726C4B">
        <w:rPr>
          <w:rFonts w:cstheme="minorHAnsi"/>
        </w:rPr>
        <w:t xml:space="preserve">ll investors in EU MMFs are treated equally. EU MMFs are the most transparent investment product in Europe and are subject to not only increased stress testing and regulatory reporting, but also enhanced transparency requirements to ensure that investors have access to key information on the holdings of EU MMFs. </w:t>
      </w:r>
    </w:p>
    <w:p w14:paraId="31A7E08B" w14:textId="77777777" w:rsidR="005B3BC7" w:rsidRPr="00726C4B" w:rsidRDefault="005B3BC7" w:rsidP="005B3BC7">
      <w:pPr>
        <w:rPr>
          <w:rFonts w:cstheme="minorHAnsi"/>
        </w:rPr>
      </w:pPr>
    </w:p>
    <w:p w14:paraId="105DF95C" w14:textId="77777777" w:rsidR="005B3BC7" w:rsidRPr="00726C4B" w:rsidRDefault="005B3BC7" w:rsidP="005B3BC7">
      <w:pPr>
        <w:rPr>
          <w:rFonts w:cstheme="minorHAnsi"/>
          <w:b/>
          <w:bCs/>
          <w:i/>
          <w:iCs/>
          <w:color w:val="4F81BD" w:themeColor="accent1"/>
        </w:rPr>
      </w:pPr>
      <w:r w:rsidRPr="00726C4B">
        <w:rPr>
          <w:rFonts w:cstheme="minorHAnsi"/>
          <w:b/>
          <w:bCs/>
          <w:i/>
          <w:iCs/>
          <w:color w:val="4F81BD" w:themeColor="accent1"/>
        </w:rPr>
        <w:t>III. Effects on fund managers</w:t>
      </w:r>
      <w:r w:rsidRPr="00726C4B">
        <w:rPr>
          <w:rFonts w:cstheme="minorHAnsi"/>
          <w:b/>
          <w:bCs/>
          <w:i/>
          <w:iCs/>
          <w:color w:val="4F81BD" w:themeColor="accent1"/>
        </w:rPr>
        <w:br/>
        <w:t xml:space="preserve">i. How would the policy option affect MMFs’ liquidity management in normal versus stressed times? </w:t>
      </w:r>
    </w:p>
    <w:p w14:paraId="0033EF21" w14:textId="77777777" w:rsidR="005B3BC7" w:rsidRPr="00726C4B" w:rsidRDefault="005B3BC7" w:rsidP="005B3BC7">
      <w:pPr>
        <w:rPr>
          <w:rFonts w:cstheme="minorHAnsi"/>
        </w:rPr>
      </w:pPr>
      <w:r w:rsidRPr="00726C4B">
        <w:rPr>
          <w:rFonts w:cstheme="minorHAnsi"/>
        </w:rPr>
        <w:t>Removing the linkage between the 30% WLA threshold and potential imposition of fees and gates would allow managers to use WLA as intended. Managers already have proven their commitment to maintaining significantly higher levels of WLA based on market conditions and knowledge of their investor base. Imposition of liquidity management tools must be done at the discretion of the board, in its exercise of its fiduciary duty.</w:t>
      </w:r>
    </w:p>
    <w:p w14:paraId="63697B02" w14:textId="77777777" w:rsidR="005B3BC7" w:rsidRPr="00726C4B" w:rsidRDefault="005B3BC7" w:rsidP="005B3BC7">
      <w:pPr>
        <w:rPr>
          <w:rFonts w:cstheme="minorHAnsi"/>
        </w:rPr>
      </w:pPr>
    </w:p>
    <w:p w14:paraId="60A0FA81" w14:textId="77777777" w:rsidR="005B3BC7" w:rsidRPr="00726C4B" w:rsidRDefault="005B3BC7" w:rsidP="005B3BC7">
      <w:pPr>
        <w:rPr>
          <w:rFonts w:cstheme="minorHAnsi"/>
          <w:b/>
          <w:bCs/>
          <w:i/>
          <w:iCs/>
          <w:color w:val="4F81BD" w:themeColor="accent1"/>
        </w:rPr>
      </w:pPr>
      <w:r w:rsidRPr="00726C4B">
        <w:rPr>
          <w:rFonts w:cstheme="minorHAnsi"/>
          <w:b/>
          <w:bCs/>
          <w:i/>
          <w:iCs/>
          <w:color w:val="4F81BD" w:themeColor="accent1"/>
        </w:rPr>
        <w:t xml:space="preserve">ii. How would it impact the ability or willingness of MMFs to invest in short-term funding instruments or use the repo market? </w:t>
      </w:r>
    </w:p>
    <w:p w14:paraId="1AB71BFB" w14:textId="77777777" w:rsidR="005B3BC7" w:rsidRPr="00726C4B" w:rsidRDefault="005B3BC7" w:rsidP="005B3BC7">
      <w:pPr>
        <w:rPr>
          <w:rFonts w:cstheme="minorHAnsi"/>
        </w:rPr>
      </w:pPr>
      <w:r w:rsidRPr="00726C4B">
        <w:rPr>
          <w:rFonts w:cstheme="minorHAnsi"/>
        </w:rPr>
        <w:t>Ensuring that all EU MMFs have ample internal liquidity that is able to be used as intended (removing the linking of the 30% WLA threshold from consideration of fees and gates) would eliminate an unnecessary incentive for redemptions.</w:t>
      </w:r>
    </w:p>
    <w:p w14:paraId="6A9806A3" w14:textId="77777777" w:rsidR="004A329C" w:rsidRDefault="004A329C" w:rsidP="005B3BC7">
      <w:pPr>
        <w:rPr>
          <w:rFonts w:cstheme="minorHAnsi"/>
        </w:rPr>
      </w:pPr>
    </w:p>
    <w:p w14:paraId="41738E67" w14:textId="13DB6539" w:rsidR="005B3BC7" w:rsidRDefault="005B3BC7" w:rsidP="005B3BC7">
      <w:pPr>
        <w:rPr>
          <w:rFonts w:cstheme="minorHAnsi"/>
        </w:rPr>
      </w:pPr>
      <w:r w:rsidRPr="00726C4B">
        <w:rPr>
          <w:rFonts w:cstheme="minorHAnsi"/>
        </w:rPr>
        <w:t>Moreover, LVNAV MMFs should not be subject to an arbitrary 17.5% restriction on counting high quality government securities as liquid assets. Through both the financial crisis and Liquidity Crisis these securities have proved to be the most liquid. Additionally, EU MMFs should be permitted to count investments in 5-day repo as part of the WLA. Assessing the depth, liquidity, direction, and other metrics regarding short-term funding markets before investing is an asset manager professional duty and competence. Removing these artificial restrictions would place EU LVNAV MMFs on par with similar US MMFs.</w:t>
      </w:r>
    </w:p>
    <w:p w14:paraId="62C6F121" w14:textId="77777777" w:rsidR="00755A81" w:rsidRPr="00726C4B" w:rsidRDefault="00755A81" w:rsidP="005B3BC7">
      <w:pPr>
        <w:rPr>
          <w:rFonts w:cstheme="minorHAnsi"/>
        </w:rPr>
      </w:pPr>
    </w:p>
    <w:permEnd w:id="1454397300"/>
    <w:p w14:paraId="208A9476" w14:textId="7580A047" w:rsidR="00492B3A" w:rsidRDefault="00492B3A" w:rsidP="00492B3A">
      <w:r>
        <w:t>&lt;ESMA_QUESTION_</w:t>
      </w:r>
      <w:r w:rsidR="00DC1B3F">
        <w:t>MMFR</w:t>
      </w:r>
      <w:r>
        <w:t>_5&gt;</w:t>
      </w:r>
    </w:p>
    <w:p w14:paraId="7F6E38EC" w14:textId="77777777" w:rsidR="00492B3A" w:rsidRDefault="00492B3A" w:rsidP="00492B3A"/>
    <w:p w14:paraId="428AAF91" w14:textId="59337D31" w:rsidR="00492B3A" w:rsidRDefault="00976448" w:rsidP="00492B3A">
      <w:pPr>
        <w:pStyle w:val="Questionstyle"/>
      </w:pPr>
      <w:r w:rsidRPr="00F43E30">
        <w:rPr>
          <w:color w:val="201F1E"/>
          <w:bdr w:val="none" w:sz="0" w:space="0" w:color="auto" w:frame="1"/>
          <w:lang w:val="en-IE"/>
        </w:rPr>
        <w:t xml:space="preserve">What are your views on the potential need to </w:t>
      </w:r>
      <w:r w:rsidRPr="00F43E30">
        <w:rPr>
          <w:lang w:val="en-IE"/>
        </w:rPr>
        <w:t>eliminate CNAV and LVNAV funds, in light of the recent market developments,</w:t>
      </w:r>
      <w:r w:rsidRPr="00F43E30">
        <w:rPr>
          <w:lang w:val="en-US"/>
        </w:rPr>
        <w:t xml:space="preserve"> and the corresponding potential proposal of amendment of the MMF Regulation?</w:t>
      </w:r>
      <w:r w:rsidRPr="00F43E30">
        <w:rPr>
          <w:color w:val="201F1E"/>
          <w:bdr w:val="none" w:sz="0" w:space="0" w:color="auto" w:frame="1"/>
          <w:lang w:val="en-IE"/>
        </w:rPr>
        <w:t xml:space="preserve"> When you answer this question, please also take into account the grid of criteria listed in paragraphs 76 to 80</w:t>
      </w:r>
      <w:r>
        <w:t>.</w:t>
      </w:r>
    </w:p>
    <w:p w14:paraId="5D7E3500" w14:textId="0C5847FA" w:rsidR="00492B3A" w:rsidRDefault="00492B3A" w:rsidP="00492B3A">
      <w:r>
        <w:t>&lt;ESMA_QUESTION_</w:t>
      </w:r>
      <w:r w:rsidR="00DC1B3F">
        <w:t>MMFR</w:t>
      </w:r>
      <w:r>
        <w:t>_6&gt;</w:t>
      </w:r>
    </w:p>
    <w:p w14:paraId="4A5D733B" w14:textId="77777777" w:rsidR="002B3C0D" w:rsidRPr="00726C4B" w:rsidRDefault="002B3C0D" w:rsidP="002B3C0D">
      <w:pPr>
        <w:rPr>
          <w:rFonts w:cstheme="minorHAnsi"/>
        </w:rPr>
      </w:pPr>
      <w:permStart w:id="164587406" w:edGrp="everyone"/>
      <w:r w:rsidRPr="00726C4B">
        <w:rPr>
          <w:rFonts w:cstheme="minorHAnsi"/>
        </w:rPr>
        <w:t xml:space="preserve">There is no justification to support eliminating CNAV and/or LVNAV MMFs. The EU MMFR adopted key regulatory reforms to enhance the safety and stability of EU MMFs after the Great Financial Crisis, and with certain amendments to MMFR noted below, EU MMFs can be further enhanced as a result of the real-life stress test experience of the Liquidity Crisis. </w:t>
      </w:r>
    </w:p>
    <w:p w14:paraId="65BE1418" w14:textId="77777777" w:rsidR="002B3C0D" w:rsidRDefault="002B3C0D" w:rsidP="002B3C0D">
      <w:pPr>
        <w:rPr>
          <w:rFonts w:cstheme="minorHAnsi"/>
        </w:rPr>
      </w:pPr>
    </w:p>
    <w:p w14:paraId="7E1A8010" w14:textId="063E21E9" w:rsidR="002B3C0D" w:rsidRDefault="002B3C0D" w:rsidP="002B3C0D">
      <w:pPr>
        <w:rPr>
          <w:rFonts w:cstheme="minorHAnsi"/>
        </w:rPr>
      </w:pPr>
      <w:r w:rsidRPr="00726C4B">
        <w:rPr>
          <w:rFonts w:cstheme="minorHAnsi"/>
        </w:rPr>
        <w:t>In addition to a broader assessment of the short-term markets, MMFR should be further enhanced as follows:</w:t>
      </w:r>
    </w:p>
    <w:p w14:paraId="18A7A5EA" w14:textId="77777777" w:rsidR="00755A81" w:rsidRPr="00726C4B" w:rsidRDefault="00755A81" w:rsidP="002B3C0D">
      <w:pPr>
        <w:rPr>
          <w:rFonts w:cstheme="minorHAnsi"/>
        </w:rPr>
      </w:pPr>
    </w:p>
    <w:p w14:paraId="59AFD9A7" w14:textId="77777777" w:rsidR="002B3C0D" w:rsidRPr="00726C4B" w:rsidRDefault="002B3C0D" w:rsidP="002B3C0D">
      <w:pPr>
        <w:rPr>
          <w:rFonts w:cstheme="minorHAnsi"/>
        </w:rPr>
      </w:pPr>
      <w:r w:rsidRPr="00726C4B">
        <w:rPr>
          <w:rFonts w:cstheme="minorHAnsi"/>
          <w:u w:val="single"/>
        </w:rPr>
        <w:t>LVNAV and Public Debt CNAV MMFs</w:t>
      </w:r>
      <w:r w:rsidRPr="00726C4B">
        <w:rPr>
          <w:rFonts w:cstheme="minorHAnsi"/>
        </w:rPr>
        <w:t xml:space="preserve">: </w:t>
      </w:r>
    </w:p>
    <w:p w14:paraId="4A3DAE9D" w14:textId="77777777" w:rsidR="002B3C0D" w:rsidRPr="002B3C0D" w:rsidRDefault="002B3C0D" w:rsidP="005B599C">
      <w:pPr>
        <w:pStyle w:val="ListParagraph"/>
        <w:numPr>
          <w:ilvl w:val="0"/>
          <w:numId w:val="49"/>
        </w:numPr>
        <w:spacing w:after="100"/>
        <w:ind w:left="357" w:hanging="357"/>
        <w:contextualSpacing w:val="0"/>
        <w:rPr>
          <w:rFonts w:cs="Arial"/>
          <w:szCs w:val="20"/>
        </w:rPr>
      </w:pPr>
      <w:r w:rsidRPr="002B3C0D">
        <w:rPr>
          <w:rFonts w:cs="Arial"/>
          <w:szCs w:val="20"/>
        </w:rPr>
        <w:t>Delink the 30% WLA threshold from the potential imposition of fees and gates. This would free up the internal liquidity within these funds to be used during times of stress as intended and would eliminate an artificial incentive for investors to redeem.</w:t>
      </w:r>
    </w:p>
    <w:p w14:paraId="3B6099CC" w14:textId="77777777" w:rsidR="002B3C0D" w:rsidRPr="002B3C0D" w:rsidRDefault="002B3C0D" w:rsidP="005B599C">
      <w:pPr>
        <w:pStyle w:val="ListParagraph"/>
        <w:numPr>
          <w:ilvl w:val="0"/>
          <w:numId w:val="49"/>
        </w:numPr>
        <w:spacing w:after="100"/>
        <w:ind w:left="357" w:hanging="357"/>
        <w:contextualSpacing w:val="0"/>
        <w:rPr>
          <w:rFonts w:cs="Arial"/>
          <w:szCs w:val="20"/>
        </w:rPr>
      </w:pPr>
      <w:r w:rsidRPr="002B3C0D">
        <w:rPr>
          <w:rFonts w:cs="Arial"/>
          <w:szCs w:val="20"/>
        </w:rPr>
        <w:lastRenderedPageBreak/>
        <w:t xml:space="preserve">Eliminate the arbitrary 17.5% restriction on counting high quality government securities as liquid assets. </w:t>
      </w:r>
    </w:p>
    <w:p w14:paraId="03F8FC02" w14:textId="77777777" w:rsidR="002B3C0D" w:rsidRPr="002B3C0D" w:rsidRDefault="002B3C0D" w:rsidP="005B599C">
      <w:pPr>
        <w:pStyle w:val="ListParagraph"/>
        <w:numPr>
          <w:ilvl w:val="0"/>
          <w:numId w:val="49"/>
        </w:numPr>
        <w:spacing w:after="100"/>
        <w:ind w:left="357" w:hanging="357"/>
        <w:contextualSpacing w:val="0"/>
        <w:rPr>
          <w:rFonts w:cs="Arial"/>
          <w:szCs w:val="20"/>
        </w:rPr>
      </w:pPr>
      <w:r w:rsidRPr="002B3C0D">
        <w:rPr>
          <w:rFonts w:cs="Arial"/>
          <w:szCs w:val="20"/>
        </w:rPr>
        <w:t>Permit LVNAV MMFs to invest in and include investments in 5-day repo as part of the WLA</w:t>
      </w:r>
    </w:p>
    <w:p w14:paraId="01E8847D" w14:textId="77777777" w:rsidR="002B3C0D" w:rsidRPr="00726C4B" w:rsidRDefault="002B3C0D" w:rsidP="002B3C0D">
      <w:pPr>
        <w:rPr>
          <w:rFonts w:cstheme="minorHAnsi"/>
        </w:rPr>
      </w:pPr>
      <w:r w:rsidRPr="00726C4B">
        <w:rPr>
          <w:rFonts w:cstheme="minorHAnsi"/>
          <w:u w:val="single"/>
        </w:rPr>
        <w:t>VNAV MMFs</w:t>
      </w:r>
      <w:r w:rsidRPr="00726C4B">
        <w:rPr>
          <w:rFonts w:cstheme="minorHAnsi"/>
        </w:rPr>
        <w:t xml:space="preserve">: </w:t>
      </w:r>
    </w:p>
    <w:p w14:paraId="502F65E2" w14:textId="77777777" w:rsidR="002B3C0D" w:rsidRPr="00657B02" w:rsidRDefault="002B3C0D" w:rsidP="005B599C">
      <w:pPr>
        <w:pStyle w:val="ListParagraph"/>
        <w:numPr>
          <w:ilvl w:val="0"/>
          <w:numId w:val="49"/>
        </w:numPr>
        <w:spacing w:after="100"/>
        <w:ind w:left="357" w:hanging="357"/>
        <w:contextualSpacing w:val="0"/>
        <w:rPr>
          <w:rFonts w:cs="Arial"/>
          <w:szCs w:val="20"/>
        </w:rPr>
      </w:pPr>
      <w:r w:rsidRPr="00657B02">
        <w:rPr>
          <w:rFonts w:cs="Arial"/>
          <w:szCs w:val="20"/>
        </w:rPr>
        <w:t xml:space="preserve">Increase the daily and weekly liquid asset thresholds to market levels – 10% daily and 30% weekly. </w:t>
      </w:r>
    </w:p>
    <w:p w14:paraId="45646AF7" w14:textId="77777777" w:rsidR="002B3C0D" w:rsidRPr="00657B02" w:rsidRDefault="002B3C0D" w:rsidP="005B599C">
      <w:pPr>
        <w:pStyle w:val="ListParagraph"/>
        <w:numPr>
          <w:ilvl w:val="0"/>
          <w:numId w:val="49"/>
        </w:numPr>
        <w:spacing w:after="100"/>
        <w:ind w:left="357" w:hanging="357"/>
        <w:contextualSpacing w:val="0"/>
        <w:rPr>
          <w:rFonts w:cs="Arial"/>
          <w:szCs w:val="20"/>
        </w:rPr>
      </w:pPr>
      <w:r w:rsidRPr="00657B02">
        <w:rPr>
          <w:rFonts w:cs="Arial"/>
          <w:szCs w:val="20"/>
        </w:rPr>
        <w:t>Eliminate the ability of VNAV MMFs to self-designate securities as “liquid”</w:t>
      </w:r>
    </w:p>
    <w:p w14:paraId="38686ABC" w14:textId="77777777" w:rsidR="002B3C0D" w:rsidRPr="00726C4B" w:rsidRDefault="002B3C0D" w:rsidP="002B3C0D">
      <w:pPr>
        <w:rPr>
          <w:rFonts w:cstheme="minorHAnsi"/>
        </w:rPr>
      </w:pPr>
      <w:r w:rsidRPr="00726C4B">
        <w:rPr>
          <w:rFonts w:cstheme="minorHAnsi"/>
          <w:u w:val="single"/>
        </w:rPr>
        <w:t>All EU MMFs</w:t>
      </w:r>
      <w:r w:rsidRPr="00726C4B">
        <w:rPr>
          <w:rFonts w:cstheme="minorHAnsi"/>
        </w:rPr>
        <w:t>: We suggest amending MMFR (or MiFID II) to assist MMF managers to obtain information regarding end/underlying investors by imposing an obligation on intermediaries to provide information regarding the profile of individual end investors to enable the MMF manager to understand the MMF’s liquidity risk.</w:t>
      </w:r>
    </w:p>
    <w:p w14:paraId="6C418E69" w14:textId="77777777" w:rsidR="00657B02" w:rsidRDefault="00657B02" w:rsidP="002B3C0D">
      <w:pPr>
        <w:rPr>
          <w:rFonts w:cstheme="minorHAnsi"/>
        </w:rPr>
      </w:pPr>
    </w:p>
    <w:p w14:paraId="18D38272" w14:textId="535B2FB1" w:rsidR="002B3C0D" w:rsidRPr="00726C4B" w:rsidRDefault="002B3C0D" w:rsidP="002B3C0D">
      <w:pPr>
        <w:rPr>
          <w:rFonts w:cstheme="minorHAnsi"/>
        </w:rPr>
      </w:pPr>
      <w:r w:rsidRPr="00726C4B">
        <w:rPr>
          <w:rFonts w:cstheme="minorHAnsi"/>
        </w:rPr>
        <w:t xml:space="preserve">The application of the above amendments will strengthen and enhance EU MMFs, while preserving a key liquidity management tool in the EU which benefits EU investors, EU issuers, and EU markets. There is no basis, supported by the data, that would indicate LVNAV MMFs should be eliminated. Liquidity pressure caused by the pandemic impacted all MMFs regardless of structure and the above amendments target specific improvements learned as a result of the Liquidity Crisis. </w:t>
      </w:r>
    </w:p>
    <w:p w14:paraId="0F34187E" w14:textId="77777777" w:rsidR="00657B02" w:rsidRDefault="00657B02" w:rsidP="002B3C0D">
      <w:pPr>
        <w:rPr>
          <w:rFonts w:cstheme="minorHAnsi"/>
        </w:rPr>
      </w:pPr>
    </w:p>
    <w:p w14:paraId="05400238" w14:textId="2A014EAD" w:rsidR="002B3C0D" w:rsidRPr="00726C4B" w:rsidRDefault="002B3C0D" w:rsidP="002B3C0D">
      <w:pPr>
        <w:rPr>
          <w:rFonts w:cstheme="minorHAnsi"/>
        </w:rPr>
      </w:pPr>
      <w:r w:rsidRPr="00726C4B">
        <w:rPr>
          <w:rFonts w:cstheme="minorHAnsi"/>
        </w:rPr>
        <w:t xml:space="preserve">To further evidence the impact of the Liquidity Crisis across all MMFs, redemption data from March 2020 in the US as well as in the EU shows that variable/floating NAV MMFs experienced increased redemptions on par with LVNAV MMFs. See again, for instance, in France where all MMFs are VNAV, redemptions in French MMFs were of similar magnitude to what the sector had experienced during the 2008 crisis, with €48.6 billion in redemptions between 12 and 30 March 2020 (see: </w:t>
      </w:r>
      <w:hyperlink r:id="rId26" w:anchor="xtor=EREC-6" w:history="1">
        <w:r w:rsidRPr="00726C4B">
          <w:rPr>
            <w:rStyle w:val="Hyperlink"/>
            <w:rFonts w:cstheme="minorHAnsi"/>
          </w:rPr>
          <w:t>Analysis</w:t>
        </w:r>
      </w:hyperlink>
      <w:r w:rsidRPr="00726C4B">
        <w:rPr>
          <w:rFonts w:cstheme="minorHAnsi"/>
        </w:rPr>
        <w:t xml:space="preserve"> of French money market fund portfolios during the surge in withdrawals recorded at the onset of the COVID-19 crisis, by the AMF). In the US, institutional prime MMFs that were subject to floating NAVs experienced outflows. There is no evidence that floating NAVs stop redemptions.</w:t>
      </w:r>
    </w:p>
    <w:p w14:paraId="76D5D92E" w14:textId="77777777" w:rsidR="00657B02" w:rsidRDefault="00657B02" w:rsidP="002B3C0D">
      <w:pPr>
        <w:rPr>
          <w:rFonts w:cstheme="minorHAnsi"/>
        </w:rPr>
      </w:pPr>
    </w:p>
    <w:p w14:paraId="03A1D7AB" w14:textId="5C9C64DA" w:rsidR="002B3C0D" w:rsidRPr="00726C4B" w:rsidRDefault="002B3C0D" w:rsidP="002B3C0D">
      <w:pPr>
        <w:rPr>
          <w:rFonts w:cstheme="minorHAnsi"/>
        </w:rPr>
      </w:pPr>
      <w:r w:rsidRPr="00726C4B">
        <w:rPr>
          <w:rFonts w:cstheme="minorHAnsi"/>
        </w:rPr>
        <w:t xml:space="preserve">EU VNAV MMFs, however, cannot point to an improper link between WLA and fees and gates as a key redemption driver. Pressure in VNAV funds resulted from the disproportionally low levels of required daily liquidity (7.5%) and weekly liquidity (15%) combined with the ability to self-designate what constitutes liquid assets. </w:t>
      </w:r>
    </w:p>
    <w:p w14:paraId="7C3B6DB8" w14:textId="77777777" w:rsidR="00657B02" w:rsidRDefault="00657B02" w:rsidP="002B3C0D">
      <w:pPr>
        <w:rPr>
          <w:rFonts w:cstheme="minorHAnsi"/>
        </w:rPr>
      </w:pPr>
    </w:p>
    <w:p w14:paraId="72DB6CDF" w14:textId="04F9BFB0" w:rsidR="002B3C0D" w:rsidRPr="00726C4B" w:rsidRDefault="002B3C0D" w:rsidP="002B3C0D">
      <w:pPr>
        <w:rPr>
          <w:rFonts w:cstheme="minorHAnsi"/>
        </w:rPr>
      </w:pPr>
      <w:r w:rsidRPr="00726C4B">
        <w:rPr>
          <w:rFonts w:cstheme="minorHAnsi"/>
        </w:rPr>
        <w:t xml:space="preserve">It is obvious that the March 2020 episode has been a real-life test of an unprecedented magnitude for MMFs and other market segments. As ESMA observes: “while some LVNAVs experienced NAV deviation close to the 20 bps collar no funds breached the threshold during the acute period of stress in March.” Floating NAV for all MMFs would be an ineffective (and harmful) solution to a non-existent problem. </w:t>
      </w:r>
    </w:p>
    <w:p w14:paraId="66EC983A" w14:textId="77777777" w:rsidR="002B3C0D" w:rsidRPr="00726C4B" w:rsidRDefault="002B3C0D" w:rsidP="002B3C0D">
      <w:pPr>
        <w:rPr>
          <w:rFonts w:cstheme="minorHAnsi"/>
        </w:rPr>
      </w:pPr>
    </w:p>
    <w:p w14:paraId="1D98D498" w14:textId="77777777" w:rsidR="002B3C0D" w:rsidRPr="00726C4B" w:rsidRDefault="002B3C0D" w:rsidP="002B3C0D">
      <w:pPr>
        <w:rPr>
          <w:rFonts w:cstheme="minorHAnsi"/>
          <w:b/>
          <w:bCs/>
          <w:i/>
          <w:iCs/>
          <w:color w:val="4F81BD" w:themeColor="accent1"/>
        </w:rPr>
      </w:pPr>
      <w:r w:rsidRPr="00726C4B">
        <w:rPr>
          <w:rFonts w:cstheme="minorHAnsi"/>
          <w:b/>
          <w:bCs/>
          <w:i/>
          <w:iCs/>
          <w:color w:val="4F81BD" w:themeColor="accent1"/>
        </w:rPr>
        <w:t>I. Impact on the resilience of MMFs</w:t>
      </w:r>
      <w:r w:rsidRPr="00726C4B">
        <w:rPr>
          <w:rFonts w:cstheme="minorHAnsi"/>
          <w:b/>
          <w:bCs/>
          <w:i/>
          <w:iCs/>
          <w:color w:val="4F81BD" w:themeColor="accent1"/>
        </w:rPr>
        <w:br/>
        <w:t>i. How would the policy option work in mitigating the structural vulnerabilities of MMFs?</w:t>
      </w:r>
    </w:p>
    <w:p w14:paraId="0B2097CD" w14:textId="77777777" w:rsidR="002B3C0D" w:rsidRPr="00726C4B" w:rsidRDefault="002B3C0D" w:rsidP="002B3C0D">
      <w:pPr>
        <w:rPr>
          <w:rFonts w:cstheme="minorHAnsi"/>
        </w:rPr>
      </w:pPr>
      <w:r w:rsidRPr="00726C4B">
        <w:rPr>
          <w:rFonts w:cstheme="minorHAnsi"/>
        </w:rPr>
        <w:t>The only structural vulnerability in EU MMFs today exist as a result of the certain requirements set forth in MMFR – specifically, the linkage of consideration of fees and gates to the 30% WLA thresholds for LVNAV MMFs, and the low levels of required liquidity, combined with the discretion to self-designate securities as liquid for VNAV MMFs. Once those provisions are addressed by the EC as part of its review, there are no further structural vulnerabilities in EU MMFs. There are, however, as previously noted, market structural issues that could be improved.</w:t>
      </w:r>
    </w:p>
    <w:p w14:paraId="3A1ECCEF" w14:textId="77777777" w:rsidR="00657B02" w:rsidRDefault="00657B02" w:rsidP="002B3C0D">
      <w:pPr>
        <w:rPr>
          <w:rFonts w:cstheme="minorHAnsi"/>
        </w:rPr>
      </w:pPr>
    </w:p>
    <w:p w14:paraId="7C6C3902" w14:textId="0EED212F" w:rsidR="002B3C0D" w:rsidRPr="00726C4B" w:rsidRDefault="002B3C0D" w:rsidP="002B3C0D">
      <w:pPr>
        <w:rPr>
          <w:rFonts w:cstheme="minorHAnsi"/>
        </w:rPr>
      </w:pPr>
      <w:r w:rsidRPr="00726C4B">
        <w:rPr>
          <w:rFonts w:cstheme="minorHAnsi"/>
        </w:rPr>
        <w:t>A floating NAV requirement for all MMFs would not advance the regulatory goal of reducing or eliminating redemptions from MMFs. The EU MMF reform adoption in 2017 significantly enhanced the EU MMF landscape, adding in, among others, new liquidity requirements (that proved invaluable in liquidity crises), WAM and WAL constraints, and increased transparency.</w:t>
      </w:r>
    </w:p>
    <w:p w14:paraId="5ED40201" w14:textId="77777777" w:rsidR="002B3C0D" w:rsidRPr="00726C4B" w:rsidRDefault="002B3C0D" w:rsidP="002B3C0D">
      <w:pPr>
        <w:rPr>
          <w:rFonts w:cstheme="minorHAnsi"/>
        </w:rPr>
      </w:pPr>
    </w:p>
    <w:p w14:paraId="065DB902" w14:textId="77777777" w:rsidR="002B3C0D" w:rsidRPr="00726C4B" w:rsidRDefault="002B3C0D" w:rsidP="002B3C0D">
      <w:pPr>
        <w:rPr>
          <w:rFonts w:cstheme="minorHAnsi"/>
          <w:b/>
          <w:bCs/>
          <w:i/>
          <w:iCs/>
          <w:color w:val="4F81BD" w:themeColor="accent1"/>
        </w:rPr>
      </w:pPr>
      <w:r w:rsidRPr="00726C4B">
        <w:rPr>
          <w:rFonts w:cstheme="minorHAnsi"/>
          <w:b/>
          <w:bCs/>
          <w:i/>
          <w:iCs/>
          <w:color w:val="4F81BD" w:themeColor="accent1"/>
        </w:rPr>
        <w:t>ii. Would it apply to all MMFs or only to certain types of MMFs?</w:t>
      </w:r>
    </w:p>
    <w:p w14:paraId="548F30A1" w14:textId="77777777" w:rsidR="002B3C0D" w:rsidRPr="00726C4B" w:rsidRDefault="002B3C0D" w:rsidP="002B3C0D">
      <w:pPr>
        <w:rPr>
          <w:rFonts w:cstheme="minorHAnsi"/>
        </w:rPr>
      </w:pPr>
      <w:r w:rsidRPr="00726C4B">
        <w:rPr>
          <w:rFonts w:cstheme="minorHAnsi"/>
        </w:rPr>
        <w:t>A floating NAV requirement for all MMFs would not advance the regulatory goal of reducing or eliminating redemptions from MMFs. The EU MMF reform adoption in 2017 significantly enhanced the EU MMF landscape, adding in, among others, new liquidity requirements (that proved invaluable in liquidity crises), WAM and WAL constraints, and increased transparency.</w:t>
      </w:r>
    </w:p>
    <w:p w14:paraId="14498574" w14:textId="77777777" w:rsidR="002B3C0D" w:rsidRPr="00726C4B" w:rsidRDefault="002B3C0D" w:rsidP="002B3C0D">
      <w:pPr>
        <w:rPr>
          <w:rFonts w:cstheme="minorHAnsi"/>
          <w:b/>
          <w:bCs/>
          <w:i/>
          <w:iCs/>
          <w:color w:val="4F81BD" w:themeColor="accent1"/>
        </w:rPr>
      </w:pPr>
      <w:r w:rsidRPr="00726C4B">
        <w:rPr>
          <w:rFonts w:cstheme="minorHAnsi"/>
        </w:rPr>
        <w:lastRenderedPageBreak/>
        <w:br/>
      </w:r>
      <w:r w:rsidRPr="00726C4B">
        <w:rPr>
          <w:rFonts w:cstheme="minorHAnsi"/>
          <w:b/>
          <w:bCs/>
          <w:i/>
          <w:iCs/>
          <w:color w:val="4F81BD" w:themeColor="accent1"/>
        </w:rPr>
        <w:t>iii. a) Is the option currently in place in any jurisdiction, and if so, has it been helpful?</w:t>
      </w:r>
    </w:p>
    <w:p w14:paraId="63917B5F" w14:textId="77777777" w:rsidR="002B3C0D" w:rsidRPr="00726C4B" w:rsidRDefault="002B3C0D" w:rsidP="002B3C0D">
      <w:pPr>
        <w:rPr>
          <w:rFonts w:cstheme="minorHAnsi"/>
        </w:rPr>
      </w:pPr>
      <w:r w:rsidRPr="00726C4B">
        <w:rPr>
          <w:rFonts w:cstheme="minorHAnsi"/>
        </w:rPr>
        <w:t>A floating NAV requirement for all MMFs would not advance the regulatory goal of reducing or eliminating redemptions from MMFs. The EU MMF reform adoption in 2017 significantly enhanced the EU MMF landscape, adding in, among others, new liquidity requirements (that proved invaluable in liquidity crises), WAM and WAL constraints, and increased transparency.</w:t>
      </w:r>
    </w:p>
    <w:p w14:paraId="5F36C93F" w14:textId="77777777" w:rsidR="002B3C0D" w:rsidRPr="00726C4B" w:rsidRDefault="002B3C0D" w:rsidP="002B3C0D">
      <w:pPr>
        <w:rPr>
          <w:rFonts w:cstheme="minorHAnsi"/>
        </w:rPr>
      </w:pPr>
    </w:p>
    <w:p w14:paraId="53D358A4" w14:textId="77777777" w:rsidR="002B3C0D" w:rsidRPr="00726C4B" w:rsidRDefault="002B3C0D" w:rsidP="002B3C0D">
      <w:pPr>
        <w:rPr>
          <w:rFonts w:cstheme="minorHAnsi"/>
          <w:b/>
          <w:bCs/>
          <w:i/>
          <w:iCs/>
          <w:color w:val="4F81BD" w:themeColor="accent1"/>
        </w:rPr>
      </w:pPr>
      <w:r w:rsidRPr="00726C4B">
        <w:rPr>
          <w:rFonts w:cstheme="minorHAnsi"/>
          <w:b/>
          <w:bCs/>
          <w:i/>
          <w:iCs/>
          <w:color w:val="4F81BD" w:themeColor="accent1"/>
        </w:rPr>
        <w:t xml:space="preserve">b) How would it represent a change from current rules or practices in other jurisdictions? </w:t>
      </w:r>
    </w:p>
    <w:p w14:paraId="6DFC74DA" w14:textId="77777777" w:rsidR="002B3C0D" w:rsidRPr="00726C4B" w:rsidRDefault="002B3C0D" w:rsidP="002B3C0D">
      <w:pPr>
        <w:rPr>
          <w:rFonts w:cstheme="minorHAnsi"/>
        </w:rPr>
      </w:pPr>
    </w:p>
    <w:p w14:paraId="091BB0E8" w14:textId="77777777" w:rsidR="002B3C0D" w:rsidRPr="00726C4B" w:rsidRDefault="002B3C0D" w:rsidP="002B3C0D">
      <w:pPr>
        <w:rPr>
          <w:rFonts w:cstheme="minorHAnsi"/>
          <w:b/>
          <w:bCs/>
          <w:i/>
          <w:iCs/>
          <w:color w:val="4F81BD" w:themeColor="accent1"/>
        </w:rPr>
      </w:pPr>
      <w:r w:rsidRPr="00726C4B">
        <w:rPr>
          <w:rFonts w:cstheme="minorHAnsi"/>
          <w:b/>
          <w:bCs/>
          <w:i/>
          <w:iCs/>
          <w:color w:val="4F81BD" w:themeColor="accent1"/>
        </w:rPr>
        <w:t xml:space="preserve">c) Has the option been implemented previously and, if so, what were the main findings? </w:t>
      </w:r>
    </w:p>
    <w:p w14:paraId="065E625E" w14:textId="77777777" w:rsidR="002B3C0D" w:rsidRPr="00726C4B" w:rsidRDefault="002B3C0D" w:rsidP="002B3C0D">
      <w:pPr>
        <w:rPr>
          <w:rFonts w:cstheme="minorHAnsi"/>
        </w:rPr>
      </w:pPr>
      <w:r w:rsidRPr="00726C4B">
        <w:rPr>
          <w:rFonts w:cstheme="minorHAnsi"/>
        </w:rPr>
        <w:t>See answer to question iii. A, above. In addition, the PWG report (see page 29) asserts that: “</w:t>
      </w:r>
      <w:r w:rsidRPr="00726C4B">
        <w:rPr>
          <w:rFonts w:cstheme="minorHAnsi"/>
          <w:u w:val="single"/>
        </w:rPr>
        <w:t>floating NAVs do not prevent runs</w:t>
      </w:r>
      <w:r w:rsidRPr="00726C4B">
        <w:rPr>
          <w:rFonts w:cstheme="minorHAnsi"/>
        </w:rPr>
        <w:t xml:space="preserve">” (emphasis added). One could not state it clearer. </w:t>
      </w:r>
    </w:p>
    <w:p w14:paraId="6DF05875" w14:textId="77777777" w:rsidR="002B3C0D" w:rsidRPr="00726C4B" w:rsidRDefault="002B3C0D" w:rsidP="002B3C0D">
      <w:pPr>
        <w:rPr>
          <w:rFonts w:cstheme="minorHAnsi"/>
        </w:rPr>
      </w:pPr>
    </w:p>
    <w:p w14:paraId="387E7611" w14:textId="77777777" w:rsidR="002B3C0D" w:rsidRPr="00726C4B" w:rsidRDefault="002B3C0D" w:rsidP="002B3C0D">
      <w:pPr>
        <w:rPr>
          <w:rFonts w:cstheme="minorHAnsi"/>
          <w:b/>
          <w:bCs/>
          <w:i/>
          <w:iCs/>
          <w:color w:val="4F81BD" w:themeColor="accent1"/>
        </w:rPr>
      </w:pPr>
      <w:r w:rsidRPr="00726C4B">
        <w:rPr>
          <w:rFonts w:cstheme="minorHAnsi"/>
          <w:b/>
          <w:bCs/>
          <w:i/>
          <w:iCs/>
          <w:color w:val="4F81BD" w:themeColor="accent1"/>
        </w:rPr>
        <w:t>II. Effects on investor behaviour</w:t>
      </w:r>
    </w:p>
    <w:p w14:paraId="668443DD" w14:textId="77777777" w:rsidR="002B3C0D" w:rsidRPr="00726C4B" w:rsidRDefault="002B3C0D" w:rsidP="002B3C0D">
      <w:pPr>
        <w:rPr>
          <w:rFonts w:cstheme="minorHAnsi"/>
          <w:b/>
          <w:bCs/>
          <w:i/>
          <w:iCs/>
          <w:color w:val="4F81BD" w:themeColor="accent1"/>
        </w:rPr>
      </w:pPr>
      <w:r w:rsidRPr="00726C4B">
        <w:rPr>
          <w:rFonts w:cstheme="minorHAnsi"/>
          <w:b/>
          <w:bCs/>
          <w:i/>
          <w:iCs/>
          <w:color w:val="4F81BD" w:themeColor="accent1"/>
        </w:rPr>
        <w:t>i. From a micro perspective (viewing the MMF in isolation), how would the policy option affect investors’ incentives to redeem during stress events?</w:t>
      </w:r>
    </w:p>
    <w:p w14:paraId="7B2C5F61" w14:textId="77777777" w:rsidR="002B3C0D" w:rsidRPr="00726C4B" w:rsidRDefault="002B3C0D" w:rsidP="002B3C0D">
      <w:pPr>
        <w:rPr>
          <w:rFonts w:cstheme="minorHAnsi"/>
        </w:rPr>
      </w:pPr>
      <w:r w:rsidRPr="00726C4B">
        <w:rPr>
          <w:rFonts w:cstheme="minorHAnsi"/>
        </w:rPr>
        <w:t>A floating NAV requirement for all MMFs would not advance the regulatory goal of reducing or eliminating redemptions from MMFs. The EU MMF reform adoption in 2017 significantly enhanced the EU MMF landscape, adding in, among others, new liquidity requirements (that proved invaluable in liquidity crises), WAM and WAL constraints, and increased transparency.</w:t>
      </w:r>
    </w:p>
    <w:p w14:paraId="7054143B" w14:textId="77777777" w:rsidR="002B3C0D" w:rsidRPr="00726C4B" w:rsidRDefault="002B3C0D" w:rsidP="002B3C0D">
      <w:pPr>
        <w:rPr>
          <w:rFonts w:cstheme="minorHAnsi"/>
        </w:rPr>
      </w:pPr>
    </w:p>
    <w:p w14:paraId="64990F59" w14:textId="77777777" w:rsidR="002B3C0D" w:rsidRPr="00726C4B" w:rsidRDefault="002B3C0D" w:rsidP="002B3C0D">
      <w:pPr>
        <w:rPr>
          <w:rFonts w:cstheme="minorHAnsi"/>
          <w:b/>
          <w:bCs/>
          <w:i/>
          <w:iCs/>
          <w:color w:val="4F81BD" w:themeColor="accent1"/>
        </w:rPr>
      </w:pPr>
      <w:r w:rsidRPr="00726C4B">
        <w:rPr>
          <w:rFonts w:cstheme="minorHAnsi"/>
          <w:b/>
          <w:bCs/>
          <w:i/>
          <w:iCs/>
          <w:color w:val="4F81BD" w:themeColor="accent1"/>
        </w:rPr>
        <w:t>ii. From a macro perspective, how would this option mitigate the effects of a generalised “dash for cash” as seen in March 2020; and/or runs prompted by a credit crisis, as seen in September 2008?</w:t>
      </w:r>
    </w:p>
    <w:p w14:paraId="5EEEA32B" w14:textId="77777777" w:rsidR="002B3C0D" w:rsidRPr="00726C4B" w:rsidRDefault="002B3C0D" w:rsidP="002B3C0D">
      <w:pPr>
        <w:rPr>
          <w:rFonts w:cstheme="minorHAnsi"/>
        </w:rPr>
      </w:pPr>
      <w:r w:rsidRPr="00726C4B">
        <w:rPr>
          <w:rFonts w:cstheme="minorHAnsi"/>
        </w:rPr>
        <w:t>A floating NAV requirement for all MMFs would not advance the regulatory goal of reducing or eliminating redemptions from MMFs. The EU MMF reform adoption in 2017 significantly enhanced the EU MMF landscape, adding in, among others, new liquidity requirements (that proved invaluable in liquidity crises), WAM and WAL constraints, and increased transparency.</w:t>
      </w:r>
    </w:p>
    <w:p w14:paraId="03F6A0A9" w14:textId="77777777" w:rsidR="002B3C0D" w:rsidRPr="00726C4B" w:rsidRDefault="002B3C0D" w:rsidP="002B3C0D">
      <w:pPr>
        <w:rPr>
          <w:rFonts w:cstheme="minorHAnsi"/>
        </w:rPr>
      </w:pPr>
    </w:p>
    <w:p w14:paraId="277E266C" w14:textId="77777777" w:rsidR="002B3C0D" w:rsidRPr="00726C4B" w:rsidRDefault="002B3C0D" w:rsidP="002B3C0D">
      <w:pPr>
        <w:rPr>
          <w:rFonts w:cstheme="minorHAnsi"/>
          <w:b/>
          <w:bCs/>
          <w:i/>
          <w:iCs/>
          <w:color w:val="4F81BD" w:themeColor="accent1"/>
        </w:rPr>
      </w:pPr>
      <w:r w:rsidRPr="00726C4B">
        <w:rPr>
          <w:rFonts w:cstheme="minorHAnsi"/>
          <w:b/>
          <w:bCs/>
          <w:i/>
          <w:iCs/>
          <w:color w:val="4F81BD" w:themeColor="accent1"/>
        </w:rPr>
        <w:t>iii. a) Does the option effectively shift MMF risks to investors?</w:t>
      </w:r>
    </w:p>
    <w:p w14:paraId="2D94CB76" w14:textId="77777777" w:rsidR="002B3C0D" w:rsidRPr="00726C4B" w:rsidRDefault="002B3C0D" w:rsidP="002B3C0D">
      <w:pPr>
        <w:rPr>
          <w:rFonts w:cstheme="minorHAnsi"/>
          <w:highlight w:val="yellow"/>
        </w:rPr>
      </w:pPr>
      <w:r w:rsidRPr="00726C4B">
        <w:rPr>
          <w:rFonts w:cstheme="minorHAnsi"/>
        </w:rPr>
        <w:t>No, for the reasons explained above. Investors already have 100% of the risk in MMFs. EU MMFs are 100% capitalised and managers are not permitted to support funds. Article 36 of the EU MMFR ensures that EU investors are informed of the risks they take on as they require EU MMFs to disclose in any document a MMF uses for marketing purposes the following statements:</w:t>
      </w:r>
    </w:p>
    <w:p w14:paraId="404E399F" w14:textId="77777777" w:rsidR="002B3C0D" w:rsidRPr="00657B02" w:rsidRDefault="002B3C0D" w:rsidP="005B599C">
      <w:pPr>
        <w:pStyle w:val="ListParagraph"/>
        <w:numPr>
          <w:ilvl w:val="0"/>
          <w:numId w:val="50"/>
        </w:numPr>
        <w:autoSpaceDE w:val="0"/>
        <w:autoSpaceDN w:val="0"/>
        <w:adjustRightInd w:val="0"/>
        <w:spacing w:after="100"/>
        <w:contextualSpacing w:val="0"/>
        <w:rPr>
          <w:rFonts w:cs="Arial"/>
          <w:color w:val="000000"/>
          <w:szCs w:val="20"/>
        </w:rPr>
      </w:pPr>
      <w:r w:rsidRPr="00657B02">
        <w:rPr>
          <w:rFonts w:cs="Arial"/>
          <w:color w:val="000000"/>
          <w:szCs w:val="20"/>
        </w:rPr>
        <w:t xml:space="preserve">that the MMF is not a guaranteed investment; </w:t>
      </w:r>
    </w:p>
    <w:p w14:paraId="140554BE" w14:textId="77777777" w:rsidR="002B3C0D" w:rsidRPr="00657B02" w:rsidRDefault="002B3C0D" w:rsidP="005B599C">
      <w:pPr>
        <w:pStyle w:val="ListParagraph"/>
        <w:numPr>
          <w:ilvl w:val="0"/>
          <w:numId w:val="50"/>
        </w:numPr>
        <w:autoSpaceDE w:val="0"/>
        <w:autoSpaceDN w:val="0"/>
        <w:adjustRightInd w:val="0"/>
        <w:spacing w:after="100"/>
        <w:ind w:left="714" w:hanging="357"/>
        <w:contextualSpacing w:val="0"/>
        <w:rPr>
          <w:rFonts w:cs="Arial"/>
          <w:color w:val="000000"/>
          <w:szCs w:val="20"/>
        </w:rPr>
      </w:pPr>
      <w:r w:rsidRPr="00657B02">
        <w:rPr>
          <w:rFonts w:cs="Arial"/>
          <w:color w:val="000000"/>
          <w:szCs w:val="20"/>
        </w:rPr>
        <w:t xml:space="preserve">that an investment in MMFs is different from an investment in deposits, with particular reference to the risk that the principal invested in an MMF is capable of fluctuation; </w:t>
      </w:r>
    </w:p>
    <w:p w14:paraId="2B90B78B" w14:textId="77777777" w:rsidR="002B3C0D" w:rsidRPr="00657B02" w:rsidRDefault="002B3C0D" w:rsidP="005B599C">
      <w:pPr>
        <w:pStyle w:val="ListParagraph"/>
        <w:numPr>
          <w:ilvl w:val="0"/>
          <w:numId w:val="50"/>
        </w:numPr>
        <w:autoSpaceDE w:val="0"/>
        <w:autoSpaceDN w:val="0"/>
        <w:adjustRightInd w:val="0"/>
        <w:spacing w:after="100"/>
        <w:ind w:left="714" w:hanging="357"/>
        <w:contextualSpacing w:val="0"/>
        <w:rPr>
          <w:rFonts w:cs="Arial"/>
          <w:color w:val="000000"/>
          <w:szCs w:val="20"/>
        </w:rPr>
      </w:pPr>
      <w:r w:rsidRPr="00657B02">
        <w:rPr>
          <w:rFonts w:cs="Arial"/>
          <w:color w:val="000000"/>
          <w:szCs w:val="20"/>
        </w:rPr>
        <w:t xml:space="preserve">that the MMF does not rely on external support for guaranteeing the liquidity of the MMF or stabilising the NAV per unit or share; </w:t>
      </w:r>
    </w:p>
    <w:p w14:paraId="69DE2403" w14:textId="77777777" w:rsidR="002B3C0D" w:rsidRPr="00657B02" w:rsidRDefault="002B3C0D" w:rsidP="005B599C">
      <w:pPr>
        <w:pStyle w:val="ListParagraph"/>
        <w:numPr>
          <w:ilvl w:val="0"/>
          <w:numId w:val="50"/>
        </w:numPr>
        <w:autoSpaceDE w:val="0"/>
        <w:autoSpaceDN w:val="0"/>
        <w:adjustRightInd w:val="0"/>
        <w:spacing w:after="100"/>
        <w:ind w:left="714" w:hanging="357"/>
        <w:contextualSpacing w:val="0"/>
        <w:rPr>
          <w:rFonts w:cs="Arial"/>
          <w:color w:val="000000"/>
          <w:szCs w:val="20"/>
        </w:rPr>
      </w:pPr>
      <w:r w:rsidRPr="00657B02">
        <w:rPr>
          <w:rFonts w:cs="Arial"/>
          <w:color w:val="000000"/>
          <w:szCs w:val="20"/>
        </w:rPr>
        <w:t xml:space="preserve">that the risk of loss of the principal is to be borne by the investor. </w:t>
      </w:r>
    </w:p>
    <w:p w14:paraId="557347F7" w14:textId="77777777" w:rsidR="009B578D" w:rsidRDefault="009B578D" w:rsidP="002B3C0D">
      <w:pPr>
        <w:rPr>
          <w:rFonts w:cstheme="minorHAnsi"/>
          <w:color w:val="000000"/>
        </w:rPr>
      </w:pPr>
    </w:p>
    <w:p w14:paraId="0A18831A" w14:textId="0AAE22A2" w:rsidR="002B3C0D" w:rsidRPr="00726C4B" w:rsidRDefault="002B3C0D" w:rsidP="002B3C0D">
      <w:pPr>
        <w:rPr>
          <w:rFonts w:cstheme="minorHAnsi"/>
        </w:rPr>
      </w:pPr>
      <w:r w:rsidRPr="00726C4B">
        <w:rPr>
          <w:rFonts w:cstheme="minorHAnsi"/>
          <w:color w:val="000000"/>
        </w:rPr>
        <w:t>Moreover, Article 36(4) provides further that “No communication by the MMF or by the manager of an MMF to investors or potential investors shall in any way suggest that an investment in the units or shares of the MMF is guaranteed.”</w:t>
      </w:r>
    </w:p>
    <w:p w14:paraId="696A2128" w14:textId="77777777" w:rsidR="002B3C0D" w:rsidRPr="00726C4B" w:rsidRDefault="002B3C0D" w:rsidP="002B3C0D">
      <w:pPr>
        <w:rPr>
          <w:rFonts w:cstheme="minorHAnsi"/>
        </w:rPr>
      </w:pPr>
    </w:p>
    <w:p w14:paraId="2786FBE3" w14:textId="77777777" w:rsidR="002B3C0D" w:rsidRPr="00726C4B" w:rsidRDefault="002B3C0D" w:rsidP="002B3C0D">
      <w:pPr>
        <w:rPr>
          <w:rFonts w:cstheme="minorHAnsi"/>
          <w:b/>
          <w:bCs/>
          <w:i/>
          <w:iCs/>
          <w:color w:val="4F81BD" w:themeColor="accent1"/>
        </w:rPr>
      </w:pPr>
      <w:r w:rsidRPr="00726C4B">
        <w:rPr>
          <w:rFonts w:cstheme="minorHAnsi"/>
          <w:b/>
          <w:bCs/>
          <w:i/>
          <w:iCs/>
          <w:color w:val="4F81BD" w:themeColor="accent1"/>
        </w:rPr>
        <w:t>b) Does it make those risks more salient and transparent for investors? Are investors treated equally?</w:t>
      </w:r>
    </w:p>
    <w:p w14:paraId="0079ECB7" w14:textId="77777777" w:rsidR="002B3C0D" w:rsidRPr="00726C4B" w:rsidRDefault="002B3C0D" w:rsidP="002B3C0D">
      <w:pPr>
        <w:rPr>
          <w:rFonts w:cstheme="minorHAnsi"/>
        </w:rPr>
      </w:pPr>
      <w:r w:rsidRPr="00726C4B">
        <w:rPr>
          <w:rFonts w:cstheme="minorHAnsi"/>
        </w:rPr>
        <w:t>No. They would make investors run earlier or unpredictably. Investors already have 100% of the risk in MMFs. EU MMFs are 100% capitalised and managers are not permitted to support funds. Article 36 of the EU MMFR ensures that EU investors are informed of the risks they take on as they require EU MMFs to disclose in any document a MMF uses for marketing purposes the following statements:</w:t>
      </w:r>
    </w:p>
    <w:p w14:paraId="607AD343" w14:textId="77777777" w:rsidR="002B3C0D" w:rsidRPr="009B578D" w:rsidRDefault="002B3C0D" w:rsidP="005B599C">
      <w:pPr>
        <w:pStyle w:val="ListParagraph"/>
        <w:numPr>
          <w:ilvl w:val="0"/>
          <w:numId w:val="51"/>
        </w:numPr>
        <w:autoSpaceDE w:val="0"/>
        <w:autoSpaceDN w:val="0"/>
        <w:adjustRightInd w:val="0"/>
        <w:spacing w:after="100"/>
        <w:contextualSpacing w:val="0"/>
        <w:rPr>
          <w:rFonts w:cs="Arial"/>
          <w:color w:val="000000"/>
          <w:szCs w:val="20"/>
        </w:rPr>
      </w:pPr>
      <w:r w:rsidRPr="009B578D">
        <w:rPr>
          <w:rFonts w:cs="Arial"/>
          <w:color w:val="000000"/>
          <w:szCs w:val="20"/>
        </w:rPr>
        <w:t xml:space="preserve">that the MMF is not a guaranteed investment; </w:t>
      </w:r>
    </w:p>
    <w:p w14:paraId="6307A6AD" w14:textId="77777777" w:rsidR="002B3C0D" w:rsidRPr="009B578D" w:rsidRDefault="002B3C0D" w:rsidP="005B599C">
      <w:pPr>
        <w:pStyle w:val="ListParagraph"/>
        <w:numPr>
          <w:ilvl w:val="0"/>
          <w:numId w:val="51"/>
        </w:numPr>
        <w:autoSpaceDE w:val="0"/>
        <w:autoSpaceDN w:val="0"/>
        <w:adjustRightInd w:val="0"/>
        <w:spacing w:after="100"/>
        <w:ind w:left="714" w:hanging="357"/>
        <w:contextualSpacing w:val="0"/>
        <w:rPr>
          <w:rFonts w:cs="Arial"/>
          <w:color w:val="000000"/>
          <w:szCs w:val="20"/>
        </w:rPr>
      </w:pPr>
      <w:r w:rsidRPr="009B578D">
        <w:rPr>
          <w:rFonts w:cs="Arial"/>
          <w:color w:val="000000"/>
          <w:szCs w:val="20"/>
        </w:rPr>
        <w:t xml:space="preserve">that an investment in MMFs is different from an investment in deposits, with particular reference to the risk that the principal invested in an MMF is capable of fluctuation; </w:t>
      </w:r>
    </w:p>
    <w:p w14:paraId="37923163" w14:textId="77777777" w:rsidR="002B3C0D" w:rsidRPr="009B578D" w:rsidRDefault="002B3C0D" w:rsidP="005B599C">
      <w:pPr>
        <w:pStyle w:val="ListParagraph"/>
        <w:numPr>
          <w:ilvl w:val="0"/>
          <w:numId w:val="51"/>
        </w:numPr>
        <w:autoSpaceDE w:val="0"/>
        <w:autoSpaceDN w:val="0"/>
        <w:adjustRightInd w:val="0"/>
        <w:spacing w:after="100"/>
        <w:ind w:left="714" w:hanging="357"/>
        <w:contextualSpacing w:val="0"/>
        <w:rPr>
          <w:rFonts w:cs="Arial"/>
          <w:color w:val="000000"/>
          <w:szCs w:val="20"/>
        </w:rPr>
      </w:pPr>
      <w:r w:rsidRPr="009B578D">
        <w:rPr>
          <w:rFonts w:cs="Arial"/>
          <w:color w:val="000000"/>
          <w:szCs w:val="20"/>
        </w:rPr>
        <w:lastRenderedPageBreak/>
        <w:t xml:space="preserve">that the MMF does not rely on external support for guaranteeing the liquidity of the MMF or stabilising the NAV per unit or share; </w:t>
      </w:r>
    </w:p>
    <w:p w14:paraId="7E7D6413" w14:textId="77777777" w:rsidR="002B3C0D" w:rsidRPr="009B578D" w:rsidRDefault="002B3C0D" w:rsidP="005B599C">
      <w:pPr>
        <w:pStyle w:val="ListParagraph"/>
        <w:numPr>
          <w:ilvl w:val="0"/>
          <w:numId w:val="51"/>
        </w:numPr>
        <w:autoSpaceDE w:val="0"/>
        <w:autoSpaceDN w:val="0"/>
        <w:adjustRightInd w:val="0"/>
        <w:spacing w:after="100"/>
        <w:ind w:left="714" w:hanging="357"/>
        <w:contextualSpacing w:val="0"/>
        <w:rPr>
          <w:rFonts w:cs="Arial"/>
          <w:color w:val="000000"/>
          <w:szCs w:val="20"/>
        </w:rPr>
      </w:pPr>
      <w:r w:rsidRPr="009B578D">
        <w:rPr>
          <w:rFonts w:cs="Arial"/>
          <w:color w:val="000000"/>
          <w:szCs w:val="20"/>
        </w:rPr>
        <w:t xml:space="preserve">that the risk of loss of the principal is to be borne by the investor. </w:t>
      </w:r>
    </w:p>
    <w:p w14:paraId="0DED86DF" w14:textId="77777777" w:rsidR="009B578D" w:rsidRDefault="009B578D" w:rsidP="002B3C0D">
      <w:pPr>
        <w:rPr>
          <w:rFonts w:cstheme="minorHAnsi"/>
          <w:color w:val="000000"/>
        </w:rPr>
      </w:pPr>
    </w:p>
    <w:p w14:paraId="2B752730" w14:textId="429CA187" w:rsidR="002B3C0D" w:rsidRPr="00726C4B" w:rsidRDefault="002B3C0D" w:rsidP="002B3C0D">
      <w:pPr>
        <w:rPr>
          <w:rFonts w:cstheme="minorHAnsi"/>
        </w:rPr>
      </w:pPr>
      <w:r w:rsidRPr="00726C4B">
        <w:rPr>
          <w:rFonts w:cstheme="minorHAnsi"/>
          <w:color w:val="000000"/>
        </w:rPr>
        <w:t>Moreover, Article 36(4) provides further that “No communication by the MMF or by the manager of an MMF to investors or potential investors shall in any way suggest that an investment in the units or shares of the MMF is guaranteed.”</w:t>
      </w:r>
    </w:p>
    <w:p w14:paraId="193F2365" w14:textId="77777777" w:rsidR="009B578D" w:rsidRDefault="009B578D" w:rsidP="002B3C0D">
      <w:pPr>
        <w:rPr>
          <w:rFonts w:cstheme="minorHAnsi"/>
          <w:color w:val="000000"/>
        </w:rPr>
      </w:pPr>
    </w:p>
    <w:p w14:paraId="486D20B2" w14:textId="6C5BCFC8" w:rsidR="002B3C0D" w:rsidRPr="00726C4B" w:rsidRDefault="002B3C0D" w:rsidP="002B3C0D">
      <w:pPr>
        <w:rPr>
          <w:rFonts w:cstheme="minorHAnsi"/>
        </w:rPr>
      </w:pPr>
      <w:r w:rsidRPr="00726C4B">
        <w:rPr>
          <w:rFonts w:cstheme="minorHAnsi"/>
          <w:color w:val="000000"/>
        </w:rPr>
        <w:t>Finally, a</w:t>
      </w:r>
      <w:r w:rsidRPr="00726C4B">
        <w:rPr>
          <w:rFonts w:cstheme="minorHAnsi"/>
        </w:rPr>
        <w:t xml:space="preserve">ll investors in EU MMFs are treated equally. EU MMFs are the most transparent investment product in Europe and are subject to not only increased stress testing and regulatory reporting, but also enhanced transparency requirements to ensure that investors have access to key information on the holdings of EU MMFs. </w:t>
      </w:r>
    </w:p>
    <w:p w14:paraId="1D8C38B7" w14:textId="77777777" w:rsidR="002B3C0D" w:rsidRPr="00726C4B" w:rsidRDefault="002B3C0D" w:rsidP="002B3C0D">
      <w:pPr>
        <w:rPr>
          <w:rFonts w:cstheme="minorHAnsi"/>
        </w:rPr>
      </w:pPr>
    </w:p>
    <w:p w14:paraId="2768751C" w14:textId="77777777" w:rsidR="002B3C0D" w:rsidRPr="00726C4B" w:rsidRDefault="002B3C0D" w:rsidP="002B3C0D">
      <w:pPr>
        <w:rPr>
          <w:rFonts w:cstheme="minorHAnsi"/>
          <w:b/>
          <w:bCs/>
          <w:i/>
          <w:iCs/>
          <w:color w:val="4F81BD" w:themeColor="accent1"/>
        </w:rPr>
      </w:pPr>
      <w:r w:rsidRPr="00726C4B">
        <w:rPr>
          <w:rFonts w:cstheme="minorHAnsi"/>
          <w:b/>
          <w:bCs/>
          <w:i/>
          <w:iCs/>
          <w:color w:val="4F81BD" w:themeColor="accent1"/>
        </w:rPr>
        <w:t>III. Effects on fund managers</w:t>
      </w:r>
      <w:r w:rsidRPr="00726C4B">
        <w:rPr>
          <w:rFonts w:cstheme="minorHAnsi"/>
          <w:b/>
          <w:bCs/>
          <w:i/>
          <w:iCs/>
          <w:color w:val="4F81BD" w:themeColor="accent1"/>
        </w:rPr>
        <w:br/>
        <w:t xml:space="preserve">i. How would the policy option affect MMFs’ liquidity management in normal versus stressed times? </w:t>
      </w:r>
    </w:p>
    <w:p w14:paraId="6D618896" w14:textId="77777777" w:rsidR="002B3C0D" w:rsidRPr="00726C4B" w:rsidRDefault="002B3C0D" w:rsidP="002B3C0D">
      <w:pPr>
        <w:rPr>
          <w:rFonts w:cstheme="minorHAnsi"/>
        </w:rPr>
      </w:pPr>
      <w:r w:rsidRPr="00726C4B">
        <w:rPr>
          <w:rFonts w:cstheme="minorHAnsi"/>
        </w:rPr>
        <w:t>A floating NAV requirement for all MMFs would not advance the regulatory goal of reducing or eliminating redemptions from MMFs. The EU MMF reform adoption in 2017 significantly enhanced the EU MMF landscape, adding in, among others, new liquidity requirements (that proved invaluable in liquidity crises), WAM and WAL constraints, and increased transparency.</w:t>
      </w:r>
    </w:p>
    <w:p w14:paraId="51C1E564" w14:textId="77777777" w:rsidR="002B3C0D" w:rsidRPr="00726C4B" w:rsidRDefault="002B3C0D" w:rsidP="002B3C0D">
      <w:pPr>
        <w:rPr>
          <w:rFonts w:cstheme="minorHAnsi"/>
        </w:rPr>
      </w:pPr>
    </w:p>
    <w:p w14:paraId="168A13C2" w14:textId="77777777" w:rsidR="002B3C0D" w:rsidRPr="00726C4B" w:rsidRDefault="002B3C0D" w:rsidP="002B3C0D">
      <w:pPr>
        <w:rPr>
          <w:rFonts w:cstheme="minorHAnsi"/>
          <w:b/>
          <w:bCs/>
          <w:i/>
          <w:iCs/>
          <w:color w:val="4F81BD" w:themeColor="accent1"/>
        </w:rPr>
      </w:pPr>
      <w:r w:rsidRPr="00726C4B">
        <w:rPr>
          <w:rFonts w:cstheme="minorHAnsi"/>
          <w:b/>
          <w:bCs/>
          <w:i/>
          <w:iCs/>
          <w:color w:val="4F81BD" w:themeColor="accent1"/>
        </w:rPr>
        <w:t xml:space="preserve">ii. How would it impact the ability or willingness of MMFs to invest in short-term funding instruments or use the repo market? </w:t>
      </w:r>
    </w:p>
    <w:p w14:paraId="4A24B891" w14:textId="6C1D987A" w:rsidR="002B3C0D" w:rsidRDefault="002B3C0D" w:rsidP="002B3C0D">
      <w:pPr>
        <w:rPr>
          <w:rFonts w:cstheme="minorHAnsi"/>
        </w:rPr>
      </w:pPr>
      <w:r w:rsidRPr="00726C4B">
        <w:rPr>
          <w:rFonts w:cstheme="minorHAnsi"/>
        </w:rPr>
        <w:t>A floating NAV requirement for all MMFs would not advance the regulatory goal of reducing or eliminating redemptions from MMFs. The EU MMF reform adoption in 2017 significantly enhanced the EU MMF landscape, adding in, among others, new liquidity requirements (that proved invaluable in liquidity crises), WAM and WAL constraints, and increased transparency.</w:t>
      </w:r>
    </w:p>
    <w:p w14:paraId="466F7103" w14:textId="77777777" w:rsidR="00755A81" w:rsidRPr="00726C4B" w:rsidRDefault="00755A81" w:rsidP="002B3C0D">
      <w:pPr>
        <w:rPr>
          <w:rFonts w:cstheme="minorHAnsi"/>
        </w:rPr>
      </w:pPr>
    </w:p>
    <w:permEnd w:id="164587406"/>
    <w:p w14:paraId="7A0C7BD5" w14:textId="465949FF" w:rsidR="00492B3A" w:rsidRDefault="00492B3A" w:rsidP="00492B3A">
      <w:r>
        <w:t>&lt;ESMA_QUESTION_</w:t>
      </w:r>
      <w:r w:rsidR="00DC1B3F">
        <w:t>MMFR</w:t>
      </w:r>
      <w:r>
        <w:t>_6&gt;</w:t>
      </w:r>
    </w:p>
    <w:p w14:paraId="4BF785AD" w14:textId="77777777" w:rsidR="00492B3A" w:rsidRDefault="00492B3A" w:rsidP="00492B3A"/>
    <w:p w14:paraId="71D01BE1" w14:textId="44347052" w:rsidR="00492B3A" w:rsidRDefault="00976448" w:rsidP="00492B3A">
      <w:pPr>
        <w:pStyle w:val="Questionstyle"/>
      </w:pPr>
      <w:r w:rsidRPr="00F43E30">
        <w:rPr>
          <w:bdr w:val="none" w:sz="0" w:space="0" w:color="auto" w:frame="1"/>
          <w:lang w:val="en-IE"/>
        </w:rPr>
        <w:t>What are your views on the extent to which Article 35 of the MMF Regulation should be i) clarified ii) amended? When you answer this question, please also take into account the grid of criteria listed in paragraphs 76 to 80</w:t>
      </w:r>
      <w:r>
        <w:t>.</w:t>
      </w:r>
    </w:p>
    <w:p w14:paraId="57CA855E" w14:textId="2DCC2959" w:rsidR="00492B3A" w:rsidRDefault="00492B3A" w:rsidP="00492B3A">
      <w:r>
        <w:t>&lt;ESMA_QUESTION_</w:t>
      </w:r>
      <w:r w:rsidR="00DC1B3F">
        <w:t>MMFR</w:t>
      </w:r>
      <w:r>
        <w:t>_7&gt;</w:t>
      </w:r>
    </w:p>
    <w:p w14:paraId="223AAEC4" w14:textId="77777777" w:rsidR="00216540" w:rsidRPr="00726C4B" w:rsidRDefault="00216540" w:rsidP="00216540">
      <w:pPr>
        <w:rPr>
          <w:rFonts w:cstheme="minorHAnsi"/>
        </w:rPr>
      </w:pPr>
      <w:permStart w:id="1191210126" w:edGrp="everyone"/>
      <w:r w:rsidRPr="00726C4B">
        <w:rPr>
          <w:rFonts w:cstheme="minorHAnsi"/>
        </w:rPr>
        <w:t>We fully support the existing prohibition of sponsor support as set forth in Article 35 of the EU MMFR. Sponsor support is unnecessary as MMFs are 100% capitalised and investors bear the risk.</w:t>
      </w:r>
    </w:p>
    <w:p w14:paraId="499CF7C8" w14:textId="77777777" w:rsidR="00216540" w:rsidRDefault="00216540" w:rsidP="00216540">
      <w:pPr>
        <w:rPr>
          <w:rFonts w:cstheme="minorHAnsi"/>
        </w:rPr>
      </w:pPr>
    </w:p>
    <w:p w14:paraId="404F6048" w14:textId="399CA61A" w:rsidR="00216540" w:rsidRPr="00726C4B" w:rsidRDefault="00216540" w:rsidP="00216540">
      <w:pPr>
        <w:rPr>
          <w:rFonts w:cstheme="minorHAnsi"/>
        </w:rPr>
      </w:pPr>
      <w:r w:rsidRPr="00726C4B">
        <w:rPr>
          <w:rFonts w:cstheme="minorHAnsi"/>
        </w:rPr>
        <w:t>Issues associated with sponsor support include: (i) confusing investors as to the fundamental nature of MMFs as an investment product, that has risk, and is not guaranteed, (ii) creation of moral hazard if managers of MMFs believe they will be bailed out by their sponsor should an issue arise (could lead to an increase in the credit risk taken or levels of liquidity maintained), and (iii) for bank-sponsored MMFs, the risk of contagion to the affiliated banking organisations. Investors in EU MMFs should make an investment decision in an EU MMF based on the credit work of managers, not the ability of a sponsor to bail out a fund.</w:t>
      </w:r>
    </w:p>
    <w:p w14:paraId="402D8425" w14:textId="77777777" w:rsidR="00216540" w:rsidRPr="00726C4B" w:rsidRDefault="00216540" w:rsidP="00216540">
      <w:pPr>
        <w:rPr>
          <w:rFonts w:cstheme="minorHAnsi"/>
        </w:rPr>
      </w:pPr>
    </w:p>
    <w:p w14:paraId="2D335F0D" w14:textId="77777777" w:rsidR="00216540" w:rsidRPr="00726C4B" w:rsidRDefault="00216540" w:rsidP="00216540">
      <w:pPr>
        <w:rPr>
          <w:rFonts w:cstheme="minorHAnsi"/>
          <w:b/>
          <w:bCs/>
          <w:i/>
          <w:iCs/>
          <w:color w:val="4F81BD" w:themeColor="accent1"/>
        </w:rPr>
      </w:pPr>
      <w:r w:rsidRPr="00726C4B">
        <w:rPr>
          <w:rFonts w:cstheme="minorHAnsi"/>
          <w:b/>
          <w:bCs/>
          <w:i/>
          <w:iCs/>
          <w:color w:val="4F81BD" w:themeColor="accent1"/>
        </w:rPr>
        <w:t>I. Impact on the resilience of MMFs</w:t>
      </w:r>
      <w:r w:rsidRPr="00726C4B">
        <w:rPr>
          <w:rFonts w:cstheme="minorHAnsi"/>
          <w:b/>
          <w:bCs/>
          <w:i/>
          <w:iCs/>
          <w:color w:val="4F81BD" w:themeColor="accent1"/>
        </w:rPr>
        <w:br/>
        <w:t>i. How would the policy option work in mitigating the structural vulnerabilities of MMFs?</w:t>
      </w:r>
    </w:p>
    <w:p w14:paraId="26D246DF" w14:textId="77777777" w:rsidR="00216540" w:rsidRPr="00726C4B" w:rsidRDefault="00216540" w:rsidP="00216540">
      <w:pPr>
        <w:rPr>
          <w:rFonts w:cstheme="minorHAnsi"/>
        </w:rPr>
      </w:pPr>
      <w:r w:rsidRPr="00726C4B">
        <w:rPr>
          <w:rFonts w:cstheme="minorHAnsi"/>
        </w:rPr>
        <w:t xml:space="preserve">We support the existing prohibition of sponsor support as set forth in Article 35 of the EU MMFR. Sponsor support is unnecessary as MMFs are 100% capitalised and investors bear the risk. Issues associated with sponsor support include: (i) confusing investors as to the fundamental nature of MMFs as an investment product, that has risk, and is not guaranteed, (ii) creation of moral hazard if managers of MMFs believe they will be bailed out by their sponsor should an issue arise (could lead to an increase in the credit risk </w:t>
      </w:r>
      <w:r w:rsidRPr="00726C4B">
        <w:rPr>
          <w:rFonts w:cstheme="minorHAnsi"/>
        </w:rPr>
        <w:lastRenderedPageBreak/>
        <w:t>taken or levels of liquidity maintained), and (iii) for bank-sponsored MMFs, the risk of contagion to the affiliated banking organisations. Investors in EU MMFs should make an investment decision in an EU MMF based on the credit work of managers, not the ability of a sponsor to bail out a fund.</w:t>
      </w:r>
    </w:p>
    <w:p w14:paraId="6BF5A7FC" w14:textId="77777777" w:rsidR="00216540" w:rsidRPr="00726C4B" w:rsidRDefault="00216540" w:rsidP="00216540">
      <w:pPr>
        <w:rPr>
          <w:rFonts w:cstheme="minorHAnsi"/>
        </w:rPr>
      </w:pPr>
    </w:p>
    <w:p w14:paraId="4A3A599E" w14:textId="77777777" w:rsidR="00216540" w:rsidRPr="00726C4B" w:rsidRDefault="00216540" w:rsidP="00216540">
      <w:pPr>
        <w:rPr>
          <w:rFonts w:cstheme="minorHAnsi"/>
          <w:b/>
          <w:bCs/>
          <w:i/>
          <w:iCs/>
          <w:color w:val="4F81BD" w:themeColor="accent1"/>
        </w:rPr>
      </w:pPr>
      <w:r w:rsidRPr="00726C4B">
        <w:rPr>
          <w:rFonts w:cstheme="minorHAnsi"/>
          <w:b/>
          <w:bCs/>
          <w:i/>
          <w:iCs/>
          <w:color w:val="4F81BD" w:themeColor="accent1"/>
        </w:rPr>
        <w:t>ii. Would it apply to all MMFs or only to certain types of MMFs?</w:t>
      </w:r>
    </w:p>
    <w:p w14:paraId="3B8CF1F8" w14:textId="77777777" w:rsidR="00216540" w:rsidRPr="00726C4B" w:rsidRDefault="00216540" w:rsidP="00216540">
      <w:pPr>
        <w:rPr>
          <w:rFonts w:cstheme="minorHAnsi"/>
        </w:rPr>
      </w:pPr>
      <w:r w:rsidRPr="00726C4B">
        <w:rPr>
          <w:rFonts w:cstheme="minorHAnsi"/>
        </w:rPr>
        <w:t>We support the existing prohibition of sponsor support as set forth in Article 35 of the EU MMFR. Sponsor support is unnecessary as MMFs are 100% capitalised and investors bear the risk. Issues associated with sponsor support include: (i) confusing investors as to the fundamental nature of MMFs as an investment product, that has risk, and is not guaranteed, (ii) creation of moral hazard if managers of MMFs believe they will be bailed out by their sponsor should an issue arise (could lead to an increase in the credit risk taken or levels of liquidity maintained), and (iii) for bank-sponsored MMFs, the risk of contagion to the affiliated banking organisations. Investors in EU MMFs should make an investment decision in an EU MMF based on the credit work of managers, not the ability of a sponsor to bail out a fund.</w:t>
      </w:r>
    </w:p>
    <w:p w14:paraId="292B7C54" w14:textId="77777777" w:rsidR="00216540" w:rsidRPr="00726C4B" w:rsidRDefault="00216540" w:rsidP="00216540">
      <w:pPr>
        <w:rPr>
          <w:rFonts w:cstheme="minorHAnsi"/>
          <w:b/>
          <w:bCs/>
          <w:i/>
          <w:iCs/>
          <w:color w:val="4F81BD" w:themeColor="accent1"/>
        </w:rPr>
      </w:pPr>
      <w:r w:rsidRPr="00726C4B">
        <w:rPr>
          <w:rFonts w:cstheme="minorHAnsi"/>
        </w:rPr>
        <w:br/>
      </w:r>
      <w:r w:rsidRPr="00726C4B">
        <w:rPr>
          <w:rFonts w:cstheme="minorHAnsi"/>
          <w:b/>
          <w:bCs/>
          <w:i/>
          <w:iCs/>
          <w:color w:val="4F81BD" w:themeColor="accent1"/>
        </w:rPr>
        <w:t>iii. a) Is the option currently in place in any jurisdiction, and if so, has it been helpful?</w:t>
      </w:r>
    </w:p>
    <w:p w14:paraId="044D7611" w14:textId="77777777" w:rsidR="00216540" w:rsidRPr="00726C4B" w:rsidRDefault="00216540" w:rsidP="00216540">
      <w:pPr>
        <w:rPr>
          <w:rFonts w:cstheme="minorHAnsi"/>
        </w:rPr>
      </w:pPr>
      <w:r w:rsidRPr="00726C4B">
        <w:rPr>
          <w:rFonts w:cstheme="minorHAnsi"/>
        </w:rPr>
        <w:t>In the US, sponsors may provide support to MMFs under certain conditions established by rule 17a-9 under the Investment Company Act and must make public disclosure of any “financial support” to increase transparency about sponsor involvement. However, bank sponsors are subject to limits on transactions with affiliates under section 23A of the Federal Reserve Act.</w:t>
      </w:r>
    </w:p>
    <w:p w14:paraId="4A792992" w14:textId="77777777" w:rsidR="00216540" w:rsidRDefault="00216540" w:rsidP="00216540">
      <w:pPr>
        <w:rPr>
          <w:rFonts w:cstheme="minorHAnsi"/>
        </w:rPr>
      </w:pPr>
    </w:p>
    <w:p w14:paraId="2AB70B98" w14:textId="25DA804F" w:rsidR="00216540" w:rsidRPr="00726C4B" w:rsidRDefault="00216540" w:rsidP="00216540">
      <w:pPr>
        <w:rPr>
          <w:rFonts w:cstheme="minorHAnsi"/>
        </w:rPr>
      </w:pPr>
      <w:r w:rsidRPr="00726C4B">
        <w:rPr>
          <w:rFonts w:cstheme="minorHAnsi"/>
        </w:rPr>
        <w:t xml:space="preserve">In March 2020, the Federal Reserve, in conjunction with the FDIC and OCC, provided temporary relief from these restrictions (see: </w:t>
      </w:r>
      <w:hyperlink r:id="rId27" w:history="1">
        <w:r w:rsidRPr="00726C4B">
          <w:rPr>
            <w:rStyle w:val="Hyperlink"/>
            <w:rFonts w:cstheme="minorHAnsi"/>
          </w:rPr>
          <w:t>Letters</w:t>
        </w:r>
      </w:hyperlink>
      <w:r w:rsidRPr="00726C4B">
        <w:rPr>
          <w:rFonts w:cstheme="minorHAnsi"/>
        </w:rPr>
        <w:t xml:space="preserve"> dated March 17, 2020). The SEC staff also issued a temporary no-action letter in March 2020 to permit the purchase of certain MMF securities by an affiliate where reliance on rule 17a-9 could conflict with sections 23A and 23B of the Federal Reserve Act.</w:t>
      </w:r>
    </w:p>
    <w:p w14:paraId="0D9E380C" w14:textId="77777777" w:rsidR="00216540" w:rsidRDefault="00216540" w:rsidP="00216540">
      <w:pPr>
        <w:rPr>
          <w:rFonts w:cstheme="minorHAnsi"/>
        </w:rPr>
      </w:pPr>
    </w:p>
    <w:p w14:paraId="4B44A082" w14:textId="3F7BDB70" w:rsidR="00216540" w:rsidRPr="00726C4B" w:rsidRDefault="00216540" w:rsidP="00216540">
      <w:pPr>
        <w:rPr>
          <w:rFonts w:cstheme="minorHAnsi"/>
        </w:rPr>
      </w:pPr>
      <w:r w:rsidRPr="00726C4B">
        <w:rPr>
          <w:rFonts w:cstheme="minorHAnsi"/>
        </w:rPr>
        <w:t xml:space="preserve">The PWG report notes that “the discretionary nature of sponsor support contributes to </w:t>
      </w:r>
      <w:r w:rsidRPr="00726C4B">
        <w:rPr>
          <w:rFonts w:cstheme="minorHAnsi"/>
          <w:u w:val="single"/>
        </w:rPr>
        <w:t>uncertainty about who will bear risks in periods of stress</w:t>
      </w:r>
      <w:r w:rsidRPr="00726C4B">
        <w:rPr>
          <w:rFonts w:cstheme="minorHAnsi"/>
        </w:rPr>
        <w:t>, including when there is a run on an MMF. Moreover, the inability of one sponsor to provide support for a distressed fund accelerated the run on MMFs in September 2008” (emphasis added).</w:t>
      </w:r>
    </w:p>
    <w:p w14:paraId="21331365" w14:textId="77777777" w:rsidR="00216540" w:rsidRDefault="00216540" w:rsidP="00216540">
      <w:pPr>
        <w:rPr>
          <w:rFonts w:cstheme="minorHAnsi"/>
        </w:rPr>
      </w:pPr>
    </w:p>
    <w:p w14:paraId="22CE7059" w14:textId="253C9BD5" w:rsidR="00216540" w:rsidRPr="00726C4B" w:rsidRDefault="00216540" w:rsidP="00216540">
      <w:pPr>
        <w:rPr>
          <w:rFonts w:cstheme="minorHAnsi"/>
        </w:rPr>
      </w:pPr>
      <w:r w:rsidRPr="00726C4B">
        <w:rPr>
          <w:rFonts w:cstheme="minorHAnsi"/>
        </w:rPr>
        <w:t>We support the existing prohibition of sponsor support as set forth in Article 35 of the EU MMFR. Sponsor support is unnecessary as MMFs are 100% capitalised and investors bear the risk. Issues associated with sponsor support include: (i) confusing investors as to the fundamental nature of MMFs as an investment product, that has risk, and is not guaranteed, (ii) creation of moral hazard if managers of MMFs believe they will be bailed out by their sponsor should an issue arise (could lead to an increase in the credit risk taken or levels of liquidity maintained), and (iii) for bank-sponsored MMFs, the risk of contagion to the affiliated banking organisations. Investors in EU MMFs should make an investment decision in an EU MMF based on the credit work of managers, not the ability of a sponsor to bail out a fund.</w:t>
      </w:r>
    </w:p>
    <w:p w14:paraId="48E61028" w14:textId="6E86CB90" w:rsidR="00216540" w:rsidRDefault="00216540" w:rsidP="00216540">
      <w:pPr>
        <w:rPr>
          <w:rFonts w:cstheme="minorHAnsi"/>
        </w:rPr>
      </w:pPr>
    </w:p>
    <w:p w14:paraId="443C371E" w14:textId="77777777" w:rsidR="009D10FC" w:rsidRPr="00726C4B" w:rsidRDefault="009D10FC" w:rsidP="00216540">
      <w:pPr>
        <w:rPr>
          <w:rFonts w:cstheme="minorHAnsi"/>
        </w:rPr>
      </w:pPr>
    </w:p>
    <w:p w14:paraId="3D06B855" w14:textId="77777777" w:rsidR="00216540" w:rsidRPr="00726C4B" w:rsidRDefault="00216540" w:rsidP="00216540">
      <w:pPr>
        <w:rPr>
          <w:rFonts w:cstheme="minorHAnsi"/>
          <w:b/>
          <w:bCs/>
          <w:i/>
          <w:iCs/>
          <w:color w:val="4F81BD" w:themeColor="accent1"/>
        </w:rPr>
      </w:pPr>
      <w:r w:rsidRPr="00726C4B">
        <w:rPr>
          <w:rFonts w:cstheme="minorHAnsi"/>
          <w:b/>
          <w:bCs/>
          <w:i/>
          <w:iCs/>
          <w:color w:val="4F81BD" w:themeColor="accent1"/>
        </w:rPr>
        <w:t xml:space="preserve">c) Has the option been implemented previously and, if so, what were the main findings? </w:t>
      </w:r>
    </w:p>
    <w:p w14:paraId="45DA5AA3" w14:textId="77777777" w:rsidR="00216540" w:rsidRPr="00726C4B" w:rsidRDefault="00216540" w:rsidP="00216540">
      <w:pPr>
        <w:rPr>
          <w:rFonts w:cstheme="minorHAnsi"/>
        </w:rPr>
      </w:pPr>
      <w:r w:rsidRPr="00726C4B">
        <w:rPr>
          <w:rFonts w:cstheme="minorHAnsi"/>
        </w:rPr>
        <w:t>See answer to point iii. a) above.</w:t>
      </w:r>
    </w:p>
    <w:p w14:paraId="6241175B" w14:textId="77777777" w:rsidR="00216540" w:rsidRDefault="00216540" w:rsidP="00216540">
      <w:pPr>
        <w:rPr>
          <w:rFonts w:cstheme="minorHAnsi"/>
        </w:rPr>
      </w:pPr>
    </w:p>
    <w:p w14:paraId="64D3FD2C" w14:textId="09D8EE78" w:rsidR="00216540" w:rsidRPr="00726C4B" w:rsidRDefault="00216540" w:rsidP="00216540">
      <w:pPr>
        <w:rPr>
          <w:rFonts w:cstheme="minorHAnsi"/>
        </w:rPr>
      </w:pPr>
      <w:r w:rsidRPr="00726C4B">
        <w:rPr>
          <w:rFonts w:cstheme="minorHAnsi"/>
        </w:rPr>
        <w:t>We support the existing prohibition of sponsor support as set forth in Article 35 of the EU MMFR. Sponsor support is unnecessary as MMFs are 100% capitalised and investors bear the risk. Issues associated with sponsor support include: (i) confusing investors as to the fundamental nature of MMFs as an investment product, that has risk, and is not guaranteed, (ii) creation of moral hazard if managers of MMFs believe they will be bailed out by their sponsor should an issue arise (could lead to an increase in the credit risk taken or levels of liquidity maintained), and (iii) for bank-sponsored MMFs, the risk of contagion to the affiliated banking organisations. Investors in EU MMFs should make an investment decision in an EU MMF based on the credit work of managers, not the ability of a sponsor to bail out a fund.</w:t>
      </w:r>
    </w:p>
    <w:p w14:paraId="33A478A5" w14:textId="77777777" w:rsidR="00216540" w:rsidRPr="00726C4B" w:rsidRDefault="00216540" w:rsidP="00216540">
      <w:pPr>
        <w:rPr>
          <w:rFonts w:cstheme="minorHAnsi"/>
        </w:rPr>
      </w:pPr>
    </w:p>
    <w:p w14:paraId="47B52EDA" w14:textId="77777777" w:rsidR="00216540" w:rsidRPr="00726C4B" w:rsidRDefault="00216540" w:rsidP="00216540">
      <w:pPr>
        <w:rPr>
          <w:rFonts w:cstheme="minorHAnsi"/>
          <w:b/>
          <w:bCs/>
          <w:i/>
          <w:iCs/>
          <w:color w:val="4F81BD" w:themeColor="accent1"/>
        </w:rPr>
      </w:pPr>
      <w:r w:rsidRPr="00726C4B">
        <w:rPr>
          <w:rFonts w:cstheme="minorHAnsi"/>
          <w:b/>
          <w:bCs/>
          <w:i/>
          <w:iCs/>
          <w:color w:val="4F81BD" w:themeColor="accent1"/>
        </w:rPr>
        <w:t>II. Effects on investor behaviour</w:t>
      </w:r>
    </w:p>
    <w:p w14:paraId="0CD34407" w14:textId="77777777" w:rsidR="00216540" w:rsidRPr="00726C4B" w:rsidRDefault="00216540" w:rsidP="00216540">
      <w:pPr>
        <w:rPr>
          <w:rFonts w:cstheme="minorHAnsi"/>
          <w:b/>
          <w:bCs/>
          <w:i/>
          <w:iCs/>
          <w:color w:val="4F81BD" w:themeColor="accent1"/>
        </w:rPr>
      </w:pPr>
      <w:r w:rsidRPr="00726C4B">
        <w:rPr>
          <w:rFonts w:cstheme="minorHAnsi"/>
          <w:b/>
          <w:bCs/>
          <w:i/>
          <w:iCs/>
          <w:color w:val="4F81BD" w:themeColor="accent1"/>
        </w:rPr>
        <w:t>i. From a micro perspective (viewing the MMF in isolation), how would the policy option affect investors’ incentives to redeem during stress events?</w:t>
      </w:r>
    </w:p>
    <w:p w14:paraId="1FE58A6D" w14:textId="77777777" w:rsidR="00216540" w:rsidRPr="00726C4B" w:rsidRDefault="00216540" w:rsidP="00216540">
      <w:pPr>
        <w:rPr>
          <w:rFonts w:cstheme="minorHAnsi"/>
        </w:rPr>
      </w:pPr>
      <w:r w:rsidRPr="00726C4B">
        <w:rPr>
          <w:rFonts w:cstheme="minorHAnsi"/>
        </w:rPr>
        <w:lastRenderedPageBreak/>
        <w:t>We support the existing prohibition of sponsor support as set forth in Article 35 of the EU MMFR. Sponsor support is unnecessary as MMFs are 100% capitalised and investors bear the risk. Issues associated with sponsor support include: (i) confusing investors as to the fundamental nature of MMFs as an investment product, that has risk, and is not guaranteed, (ii) creation of moral hazard if managers of MMFs believe they will be bailed out by their sponsor should an issue arise (could lead to an increase in the credit risk taken or levels of liquidity maintained), and (iii) for bank-sponsored MMFs, the risk of contagion to the affiliated banking organisations. Investors in EU MMFs should make an investment decision in an EU MMF based on the credit work of managers, not the ability of a sponsor to bail out a fund.</w:t>
      </w:r>
    </w:p>
    <w:p w14:paraId="43FC2ED2" w14:textId="77777777" w:rsidR="00216540" w:rsidRPr="00726C4B" w:rsidRDefault="00216540" w:rsidP="00216540">
      <w:pPr>
        <w:rPr>
          <w:rFonts w:cstheme="minorHAnsi"/>
        </w:rPr>
      </w:pPr>
    </w:p>
    <w:p w14:paraId="3C9D031C" w14:textId="77777777" w:rsidR="00216540" w:rsidRPr="00726C4B" w:rsidRDefault="00216540" w:rsidP="00216540">
      <w:pPr>
        <w:rPr>
          <w:rFonts w:cstheme="minorHAnsi"/>
          <w:b/>
          <w:bCs/>
          <w:i/>
          <w:iCs/>
          <w:color w:val="4F81BD" w:themeColor="accent1"/>
        </w:rPr>
      </w:pPr>
      <w:r w:rsidRPr="00726C4B">
        <w:rPr>
          <w:rFonts w:cstheme="minorHAnsi"/>
          <w:b/>
          <w:bCs/>
          <w:i/>
          <w:iCs/>
          <w:color w:val="4F81BD" w:themeColor="accent1"/>
        </w:rPr>
        <w:t>ii. From a macro perspective, how would this option mitigate the effects of a generalised “dash for cash” as seen in March 2020; and/or runs prompted by a credit crisis, as seen in September 2008?</w:t>
      </w:r>
    </w:p>
    <w:p w14:paraId="6E8D1453" w14:textId="77777777" w:rsidR="00216540" w:rsidRPr="00726C4B" w:rsidRDefault="00216540" w:rsidP="00216540">
      <w:pPr>
        <w:rPr>
          <w:rFonts w:cstheme="minorHAnsi"/>
        </w:rPr>
      </w:pPr>
      <w:r w:rsidRPr="00726C4B">
        <w:rPr>
          <w:rFonts w:cstheme="minorHAnsi"/>
        </w:rPr>
        <w:t>We support the existing prohibition of sponsor support as set forth in Article 35 of the EU MMFR. Sponsor support is unnecessary as MMFs are 100% capitalised and investors bear the risk. Issues associated with sponsor support include: (i) confusing investors as to the fundamental nature of MMFs as an investment product, that has risk, and is not guaranteed, (ii) creation of moral hazard if managers of MMFs believe they will be bailed out by their sponsor should an issue arise (could lead to an increase in the credit risk taken or levels of liquidity maintained), and (iii) for bank-sponsored MMFs, the risk of contagion to the affiliated banking organisations. Investors in EU MMFs should make an investment decision in an EU MMF based on the credit work of managers, not the ability of a sponsor to bail out a fund.</w:t>
      </w:r>
    </w:p>
    <w:p w14:paraId="3551951C" w14:textId="77777777" w:rsidR="00216540" w:rsidRPr="00726C4B" w:rsidRDefault="00216540" w:rsidP="00216540">
      <w:pPr>
        <w:rPr>
          <w:rFonts w:cstheme="minorHAnsi"/>
          <w:b/>
          <w:bCs/>
          <w:i/>
          <w:iCs/>
          <w:color w:val="4F81BD" w:themeColor="accent1"/>
        </w:rPr>
      </w:pPr>
    </w:p>
    <w:p w14:paraId="15D22ED0" w14:textId="77777777" w:rsidR="00216540" w:rsidRPr="00726C4B" w:rsidRDefault="00216540" w:rsidP="00216540">
      <w:pPr>
        <w:rPr>
          <w:rFonts w:cstheme="minorHAnsi"/>
          <w:b/>
          <w:bCs/>
          <w:i/>
          <w:iCs/>
          <w:color w:val="4F81BD" w:themeColor="accent1"/>
        </w:rPr>
      </w:pPr>
      <w:r w:rsidRPr="00726C4B">
        <w:rPr>
          <w:rFonts w:cstheme="minorHAnsi"/>
          <w:b/>
          <w:bCs/>
          <w:i/>
          <w:iCs/>
          <w:color w:val="4F81BD" w:themeColor="accent1"/>
        </w:rPr>
        <w:t>iii. a) Does the option effectively shift MMF risks to investors?</w:t>
      </w:r>
    </w:p>
    <w:p w14:paraId="3B5A9AA9" w14:textId="77777777" w:rsidR="00216540" w:rsidRPr="00726C4B" w:rsidRDefault="00216540" w:rsidP="00216540">
      <w:pPr>
        <w:rPr>
          <w:rFonts w:cstheme="minorHAnsi"/>
        </w:rPr>
      </w:pPr>
      <w:r w:rsidRPr="00726C4B">
        <w:rPr>
          <w:rFonts w:cstheme="minorHAnsi"/>
        </w:rPr>
        <w:t>No. Investors already have 100% of the risk in MMFs. EU MMFs are 100% capitalised and managers are not permitted to support funds. Article 36 of the EU MMFR ensures that EU investors are informed of the risks they take on as they require EU MMFs to disclose in any document a MMF uses for marketing purposes the following statements:</w:t>
      </w:r>
    </w:p>
    <w:p w14:paraId="1DEC089C" w14:textId="77777777" w:rsidR="00216540" w:rsidRPr="00216540" w:rsidRDefault="00216540" w:rsidP="005B599C">
      <w:pPr>
        <w:pStyle w:val="ListParagraph"/>
        <w:numPr>
          <w:ilvl w:val="0"/>
          <w:numId w:val="52"/>
        </w:numPr>
        <w:autoSpaceDE w:val="0"/>
        <w:autoSpaceDN w:val="0"/>
        <w:adjustRightInd w:val="0"/>
        <w:spacing w:after="100"/>
        <w:contextualSpacing w:val="0"/>
        <w:rPr>
          <w:rFonts w:cs="Arial"/>
          <w:color w:val="000000"/>
          <w:szCs w:val="20"/>
        </w:rPr>
      </w:pPr>
      <w:r w:rsidRPr="00216540">
        <w:rPr>
          <w:rFonts w:cs="Arial"/>
          <w:color w:val="000000"/>
          <w:szCs w:val="20"/>
        </w:rPr>
        <w:t xml:space="preserve">that the MMF is not a guaranteed investment; </w:t>
      </w:r>
    </w:p>
    <w:p w14:paraId="0312F987" w14:textId="77777777" w:rsidR="00216540" w:rsidRPr="00216540" w:rsidRDefault="00216540" w:rsidP="005B599C">
      <w:pPr>
        <w:pStyle w:val="ListParagraph"/>
        <w:numPr>
          <w:ilvl w:val="0"/>
          <w:numId w:val="52"/>
        </w:numPr>
        <w:autoSpaceDE w:val="0"/>
        <w:autoSpaceDN w:val="0"/>
        <w:adjustRightInd w:val="0"/>
        <w:spacing w:after="100"/>
        <w:ind w:left="714" w:hanging="357"/>
        <w:contextualSpacing w:val="0"/>
        <w:rPr>
          <w:rFonts w:cs="Arial"/>
          <w:color w:val="000000"/>
          <w:szCs w:val="20"/>
        </w:rPr>
      </w:pPr>
      <w:r w:rsidRPr="00216540">
        <w:rPr>
          <w:rFonts w:cs="Arial"/>
          <w:color w:val="000000"/>
          <w:szCs w:val="20"/>
        </w:rPr>
        <w:t xml:space="preserve">that an investment in MMFs is different from an investment in deposits, with particular reference to the risk that the principal invested in an MMF is capable of fluctuation; </w:t>
      </w:r>
    </w:p>
    <w:p w14:paraId="09FB7402" w14:textId="77777777" w:rsidR="00216540" w:rsidRPr="00216540" w:rsidRDefault="00216540" w:rsidP="005B599C">
      <w:pPr>
        <w:pStyle w:val="ListParagraph"/>
        <w:numPr>
          <w:ilvl w:val="0"/>
          <w:numId w:val="52"/>
        </w:numPr>
        <w:autoSpaceDE w:val="0"/>
        <w:autoSpaceDN w:val="0"/>
        <w:adjustRightInd w:val="0"/>
        <w:spacing w:after="100"/>
        <w:ind w:left="714" w:hanging="357"/>
        <w:contextualSpacing w:val="0"/>
        <w:rPr>
          <w:rFonts w:cs="Arial"/>
          <w:color w:val="000000"/>
          <w:szCs w:val="20"/>
        </w:rPr>
      </w:pPr>
      <w:r w:rsidRPr="00216540">
        <w:rPr>
          <w:rFonts w:cs="Arial"/>
          <w:color w:val="000000"/>
          <w:szCs w:val="20"/>
        </w:rPr>
        <w:t xml:space="preserve">that the MMF does not rely on external support for guaranteeing the liquidity of the MMF or stabilising the NAV per unit or share; </w:t>
      </w:r>
    </w:p>
    <w:p w14:paraId="0E9E1A8B" w14:textId="77777777" w:rsidR="00216540" w:rsidRPr="00216540" w:rsidRDefault="00216540" w:rsidP="005B599C">
      <w:pPr>
        <w:pStyle w:val="ListParagraph"/>
        <w:numPr>
          <w:ilvl w:val="0"/>
          <w:numId w:val="52"/>
        </w:numPr>
        <w:autoSpaceDE w:val="0"/>
        <w:autoSpaceDN w:val="0"/>
        <w:adjustRightInd w:val="0"/>
        <w:spacing w:after="100"/>
        <w:ind w:left="714" w:hanging="357"/>
        <w:contextualSpacing w:val="0"/>
        <w:rPr>
          <w:rFonts w:cs="Arial"/>
          <w:color w:val="000000"/>
          <w:szCs w:val="20"/>
        </w:rPr>
      </w:pPr>
      <w:r w:rsidRPr="00216540">
        <w:rPr>
          <w:rFonts w:cs="Arial"/>
          <w:color w:val="000000"/>
          <w:szCs w:val="20"/>
        </w:rPr>
        <w:t xml:space="preserve">that the risk of loss of the principal is to be borne by the investor. </w:t>
      </w:r>
    </w:p>
    <w:p w14:paraId="41714004" w14:textId="77777777" w:rsidR="00216540" w:rsidRDefault="00216540" w:rsidP="00216540">
      <w:pPr>
        <w:rPr>
          <w:rFonts w:cstheme="minorHAnsi"/>
          <w:color w:val="000000"/>
        </w:rPr>
      </w:pPr>
    </w:p>
    <w:p w14:paraId="626CF83D" w14:textId="7629ECE0" w:rsidR="00216540" w:rsidRPr="00726C4B" w:rsidRDefault="00216540" w:rsidP="00216540">
      <w:pPr>
        <w:rPr>
          <w:rFonts w:cstheme="minorHAnsi"/>
        </w:rPr>
      </w:pPr>
      <w:r w:rsidRPr="00726C4B">
        <w:rPr>
          <w:rFonts w:cstheme="minorHAnsi"/>
          <w:color w:val="000000"/>
        </w:rPr>
        <w:t>Moreover, Article 36(4) provides further that “No communication by the MMF or by the manager of an MMF to investors or potential investors shall in any way suggest that an investment in the units or shares of the MMF is guaranteed.”</w:t>
      </w:r>
    </w:p>
    <w:p w14:paraId="097C1E22" w14:textId="77777777" w:rsidR="00216540" w:rsidRPr="00726C4B" w:rsidRDefault="00216540" w:rsidP="00216540">
      <w:pPr>
        <w:rPr>
          <w:rFonts w:cstheme="minorHAnsi"/>
        </w:rPr>
      </w:pPr>
    </w:p>
    <w:p w14:paraId="799CB199" w14:textId="77777777" w:rsidR="00216540" w:rsidRPr="00726C4B" w:rsidRDefault="00216540" w:rsidP="00216540">
      <w:pPr>
        <w:rPr>
          <w:rFonts w:cstheme="minorHAnsi"/>
          <w:b/>
          <w:bCs/>
          <w:i/>
          <w:iCs/>
          <w:color w:val="4F81BD" w:themeColor="accent1"/>
        </w:rPr>
      </w:pPr>
      <w:r w:rsidRPr="00726C4B">
        <w:rPr>
          <w:rFonts w:cstheme="minorHAnsi"/>
          <w:b/>
          <w:bCs/>
          <w:i/>
          <w:iCs/>
          <w:color w:val="4F81BD" w:themeColor="accent1"/>
        </w:rPr>
        <w:t>b) Does it make those risks more salient and transparent for investors? Are investors treated equally?</w:t>
      </w:r>
    </w:p>
    <w:p w14:paraId="0B564414" w14:textId="77777777" w:rsidR="00216540" w:rsidRPr="00726C4B" w:rsidRDefault="00216540" w:rsidP="00216540">
      <w:pPr>
        <w:rPr>
          <w:rFonts w:cstheme="minorHAnsi"/>
        </w:rPr>
      </w:pPr>
      <w:r w:rsidRPr="00726C4B">
        <w:rPr>
          <w:rFonts w:cstheme="minorHAnsi"/>
        </w:rPr>
        <w:t>No. Investors already have 100% of the risk in MMFs. EU MMFs are 100% capitalised and managers are not permitted to support funds. Article 36 of the EU MMFR ensures that EU investors are informed of the risks they take on as they require EU MMFs to disclose in any document a MMF uses for marketing purposes the following statements:</w:t>
      </w:r>
    </w:p>
    <w:p w14:paraId="077E72BC" w14:textId="77777777" w:rsidR="00216540" w:rsidRPr="00216540" w:rsidRDefault="00216540" w:rsidP="005B599C">
      <w:pPr>
        <w:pStyle w:val="ListParagraph"/>
        <w:numPr>
          <w:ilvl w:val="0"/>
          <w:numId w:val="53"/>
        </w:numPr>
        <w:autoSpaceDE w:val="0"/>
        <w:autoSpaceDN w:val="0"/>
        <w:adjustRightInd w:val="0"/>
        <w:spacing w:after="100"/>
        <w:contextualSpacing w:val="0"/>
        <w:rPr>
          <w:rFonts w:cs="Arial"/>
          <w:color w:val="000000"/>
          <w:szCs w:val="20"/>
        </w:rPr>
      </w:pPr>
      <w:r w:rsidRPr="00216540">
        <w:rPr>
          <w:rFonts w:cs="Arial"/>
          <w:color w:val="000000"/>
          <w:szCs w:val="20"/>
        </w:rPr>
        <w:t xml:space="preserve">that the MMF is not a guaranteed investment; </w:t>
      </w:r>
    </w:p>
    <w:p w14:paraId="19044401" w14:textId="77777777" w:rsidR="00216540" w:rsidRPr="00216540" w:rsidRDefault="00216540" w:rsidP="005B599C">
      <w:pPr>
        <w:pStyle w:val="ListParagraph"/>
        <w:numPr>
          <w:ilvl w:val="0"/>
          <w:numId w:val="53"/>
        </w:numPr>
        <w:autoSpaceDE w:val="0"/>
        <w:autoSpaceDN w:val="0"/>
        <w:adjustRightInd w:val="0"/>
        <w:spacing w:after="100"/>
        <w:ind w:left="714" w:hanging="357"/>
        <w:contextualSpacing w:val="0"/>
        <w:rPr>
          <w:rFonts w:cs="Arial"/>
          <w:color w:val="000000"/>
          <w:szCs w:val="20"/>
        </w:rPr>
      </w:pPr>
      <w:r w:rsidRPr="00216540">
        <w:rPr>
          <w:rFonts w:cs="Arial"/>
          <w:color w:val="000000"/>
          <w:szCs w:val="20"/>
        </w:rPr>
        <w:t xml:space="preserve">that an investment in MMFs is different from an investment in deposits, with particular reference to the risk that the principal invested in an MMF is capable of fluctuation; </w:t>
      </w:r>
    </w:p>
    <w:p w14:paraId="53B1AC8F" w14:textId="77777777" w:rsidR="00216540" w:rsidRPr="00216540" w:rsidRDefault="00216540" w:rsidP="005B599C">
      <w:pPr>
        <w:pStyle w:val="ListParagraph"/>
        <w:numPr>
          <w:ilvl w:val="0"/>
          <w:numId w:val="53"/>
        </w:numPr>
        <w:autoSpaceDE w:val="0"/>
        <w:autoSpaceDN w:val="0"/>
        <w:adjustRightInd w:val="0"/>
        <w:spacing w:after="100"/>
        <w:ind w:left="714" w:hanging="357"/>
        <w:contextualSpacing w:val="0"/>
        <w:rPr>
          <w:rFonts w:cs="Arial"/>
          <w:color w:val="000000"/>
          <w:szCs w:val="20"/>
        </w:rPr>
      </w:pPr>
      <w:r w:rsidRPr="00216540">
        <w:rPr>
          <w:rFonts w:cs="Arial"/>
          <w:color w:val="000000"/>
          <w:szCs w:val="20"/>
        </w:rPr>
        <w:t xml:space="preserve">that the MMF does not rely on external support for guaranteeing the liquidity of the MMF or stabilising the NAV per unit or share; </w:t>
      </w:r>
    </w:p>
    <w:p w14:paraId="6235CDC0" w14:textId="77777777" w:rsidR="00216540" w:rsidRPr="00216540" w:rsidRDefault="00216540" w:rsidP="005B599C">
      <w:pPr>
        <w:pStyle w:val="ListParagraph"/>
        <w:numPr>
          <w:ilvl w:val="0"/>
          <w:numId w:val="53"/>
        </w:numPr>
        <w:autoSpaceDE w:val="0"/>
        <w:autoSpaceDN w:val="0"/>
        <w:adjustRightInd w:val="0"/>
        <w:spacing w:after="100"/>
        <w:ind w:left="714" w:hanging="357"/>
        <w:contextualSpacing w:val="0"/>
        <w:rPr>
          <w:rFonts w:cs="Arial"/>
          <w:color w:val="000000"/>
          <w:szCs w:val="20"/>
        </w:rPr>
      </w:pPr>
      <w:r w:rsidRPr="00216540">
        <w:rPr>
          <w:rFonts w:cs="Arial"/>
          <w:color w:val="000000"/>
          <w:szCs w:val="20"/>
        </w:rPr>
        <w:t xml:space="preserve">that the risk of loss of the principal is to be borne by the investor. </w:t>
      </w:r>
    </w:p>
    <w:p w14:paraId="2BB99B9C" w14:textId="77777777" w:rsidR="00216540" w:rsidRDefault="00216540" w:rsidP="00216540">
      <w:pPr>
        <w:rPr>
          <w:rFonts w:cstheme="minorHAnsi"/>
          <w:color w:val="000000"/>
        </w:rPr>
      </w:pPr>
    </w:p>
    <w:p w14:paraId="45233CDB" w14:textId="30B1AFFF" w:rsidR="00216540" w:rsidRPr="00726C4B" w:rsidRDefault="00216540" w:rsidP="00216540">
      <w:pPr>
        <w:rPr>
          <w:rFonts w:cstheme="minorHAnsi"/>
        </w:rPr>
      </w:pPr>
      <w:r w:rsidRPr="00726C4B">
        <w:rPr>
          <w:rFonts w:cstheme="minorHAnsi"/>
          <w:color w:val="000000"/>
        </w:rPr>
        <w:t>Moreover, Article 36(4) provides further that “No communication by the MMF or by the manager of an MMF to investors or potential investors shall in any way suggest that an investment in the units or shares of the MMF is guaranteed.”</w:t>
      </w:r>
    </w:p>
    <w:p w14:paraId="576B8B24" w14:textId="77777777" w:rsidR="00216540" w:rsidRDefault="00216540" w:rsidP="00216540">
      <w:pPr>
        <w:rPr>
          <w:rFonts w:cstheme="minorHAnsi"/>
          <w:color w:val="000000"/>
        </w:rPr>
      </w:pPr>
    </w:p>
    <w:p w14:paraId="73E26BEE" w14:textId="0A937E93" w:rsidR="00216540" w:rsidRPr="00726C4B" w:rsidRDefault="00216540" w:rsidP="00216540">
      <w:pPr>
        <w:rPr>
          <w:rFonts w:cstheme="minorHAnsi"/>
        </w:rPr>
      </w:pPr>
      <w:r w:rsidRPr="00726C4B">
        <w:rPr>
          <w:rFonts w:cstheme="minorHAnsi"/>
          <w:color w:val="000000"/>
        </w:rPr>
        <w:lastRenderedPageBreak/>
        <w:t>Finally, a</w:t>
      </w:r>
      <w:r w:rsidRPr="00726C4B">
        <w:rPr>
          <w:rFonts w:cstheme="minorHAnsi"/>
        </w:rPr>
        <w:t xml:space="preserve">ll investors in EU MMFs are treated equally. EU MMFs are the most transparent investment product in Europe and are subject to not only increased stress testing and regulatory reporting, but also enhanced transparency requirements to ensure that investors have access to key information on the holdings of EU MMFs. </w:t>
      </w:r>
    </w:p>
    <w:p w14:paraId="50538983" w14:textId="77777777" w:rsidR="00216540" w:rsidRPr="00726C4B" w:rsidRDefault="00216540" w:rsidP="00216540">
      <w:pPr>
        <w:rPr>
          <w:rFonts w:cstheme="minorHAnsi"/>
        </w:rPr>
      </w:pPr>
    </w:p>
    <w:p w14:paraId="2FCF50C4" w14:textId="77777777" w:rsidR="00216540" w:rsidRPr="00726C4B" w:rsidRDefault="00216540" w:rsidP="00216540">
      <w:pPr>
        <w:rPr>
          <w:rFonts w:cstheme="minorHAnsi"/>
          <w:b/>
          <w:bCs/>
          <w:i/>
          <w:iCs/>
          <w:color w:val="4F81BD" w:themeColor="accent1"/>
        </w:rPr>
      </w:pPr>
      <w:r w:rsidRPr="00726C4B">
        <w:rPr>
          <w:rFonts w:cstheme="minorHAnsi"/>
          <w:b/>
          <w:bCs/>
          <w:i/>
          <w:iCs/>
          <w:color w:val="4F81BD" w:themeColor="accent1"/>
        </w:rPr>
        <w:t>III. Effects on fund managers</w:t>
      </w:r>
      <w:r w:rsidRPr="00726C4B">
        <w:rPr>
          <w:rFonts w:cstheme="minorHAnsi"/>
          <w:b/>
          <w:bCs/>
          <w:i/>
          <w:iCs/>
          <w:color w:val="4F81BD" w:themeColor="accent1"/>
        </w:rPr>
        <w:br/>
        <w:t xml:space="preserve">i. How would the policy option affect MMFs’ liquidity management in normal versus stressed times? </w:t>
      </w:r>
    </w:p>
    <w:p w14:paraId="3F5A3171" w14:textId="77777777" w:rsidR="00216540" w:rsidRPr="00726C4B" w:rsidRDefault="00216540" w:rsidP="00216540">
      <w:pPr>
        <w:rPr>
          <w:rFonts w:cstheme="minorHAnsi"/>
        </w:rPr>
      </w:pPr>
    </w:p>
    <w:p w14:paraId="02278569" w14:textId="77777777" w:rsidR="00216540" w:rsidRPr="00726C4B" w:rsidRDefault="00216540" w:rsidP="00216540">
      <w:pPr>
        <w:rPr>
          <w:rFonts w:cstheme="minorHAnsi"/>
          <w:b/>
          <w:bCs/>
          <w:i/>
          <w:iCs/>
          <w:color w:val="4F81BD" w:themeColor="accent1"/>
        </w:rPr>
      </w:pPr>
      <w:r w:rsidRPr="00726C4B">
        <w:rPr>
          <w:rFonts w:cstheme="minorHAnsi"/>
          <w:b/>
          <w:bCs/>
          <w:i/>
          <w:iCs/>
          <w:color w:val="4F81BD" w:themeColor="accent1"/>
        </w:rPr>
        <w:t xml:space="preserve">ii. How would it impact the ability or willingness of MMFs to invest in short-term funding instruments or use the repo market? </w:t>
      </w:r>
    </w:p>
    <w:p w14:paraId="452B90F2" w14:textId="782B2598" w:rsidR="00216540" w:rsidRDefault="00216540" w:rsidP="00216540">
      <w:pPr>
        <w:rPr>
          <w:rFonts w:cstheme="minorHAnsi"/>
        </w:rPr>
      </w:pPr>
      <w:r w:rsidRPr="00726C4B">
        <w:rPr>
          <w:rFonts w:cstheme="minorHAnsi"/>
        </w:rPr>
        <w:t xml:space="preserve">We support the existing prohibition of sponsor support as set forth in Article 35 of the EU MMFR. Sponsor support is unnecessary as MMFs are 100% capitalised and investors bear the risk. Issues associated with sponsor support include: (i) confusing investors as to the fundamental nature of MMFs as an investment product, that has risk, and is not guaranteed, (ii) </w:t>
      </w:r>
      <w:r w:rsidRPr="00726C4B">
        <w:rPr>
          <w:rFonts w:cstheme="minorHAnsi"/>
          <w:b/>
          <w:bCs/>
          <w:i/>
          <w:iCs/>
        </w:rPr>
        <w:t>creation of moral hazard if managers of MMFs believe they will be bailed out by their sponsor should an issue arise (could lead to an increase in the credit risk taken or levels of liquidity maintained</w:t>
      </w:r>
      <w:r w:rsidRPr="00726C4B">
        <w:rPr>
          <w:rFonts w:cstheme="minorHAnsi"/>
        </w:rPr>
        <w:t>), and (iii) for bank-sponsored MMFs, the risk of contagion to the affiliated banking organisations. Investors in EU MMFs should make an investment decision in an EU MMF based on the credit work of managers, not the ability of a sponsor to bail out a fund.</w:t>
      </w:r>
    </w:p>
    <w:p w14:paraId="2A4E3C65" w14:textId="77777777" w:rsidR="009D10FC" w:rsidRPr="00726C4B" w:rsidRDefault="009D10FC" w:rsidP="00216540">
      <w:pPr>
        <w:rPr>
          <w:rFonts w:cstheme="minorHAnsi"/>
        </w:rPr>
      </w:pPr>
    </w:p>
    <w:permEnd w:id="1191210126"/>
    <w:p w14:paraId="20867D23" w14:textId="1CC6B07A" w:rsidR="00492B3A" w:rsidRDefault="00492B3A" w:rsidP="00492B3A">
      <w:r>
        <w:t>&lt;ESMA_QUESTION_</w:t>
      </w:r>
      <w:r w:rsidR="00DC1B3F">
        <w:t>MMFR</w:t>
      </w:r>
      <w:r>
        <w:t>_7&gt;</w:t>
      </w:r>
    </w:p>
    <w:p w14:paraId="627B65D4" w14:textId="77777777" w:rsidR="00492B3A" w:rsidRDefault="00492B3A" w:rsidP="00492B3A"/>
    <w:p w14:paraId="32FE661C" w14:textId="4EE3FDC1" w:rsidR="00492B3A" w:rsidRDefault="00976448" w:rsidP="00492B3A">
      <w:pPr>
        <w:pStyle w:val="Questionstyle"/>
      </w:pPr>
      <w:r w:rsidRPr="00F43E30">
        <w:rPr>
          <w:color w:val="201F1E"/>
          <w:bdr w:val="none" w:sz="0" w:space="0" w:color="auto" w:frame="1"/>
          <w:lang w:val="en-IE"/>
        </w:rPr>
        <w:t xml:space="preserve">i) Do you agree with the above assessment of the potential need to </w:t>
      </w:r>
      <w:r w:rsidRPr="00F43E30">
        <w:rPr>
          <w:lang w:val="en-IE"/>
        </w:rPr>
        <w:t>assess the role of MMF ratings in light of the difficulties faced by MMFs during the March crisis, and the potential need to introduce regulatory requirements for MMF ratings</w:t>
      </w:r>
      <w:r w:rsidRPr="00F43E30">
        <w:rPr>
          <w:color w:val="201F1E"/>
          <w:bdr w:val="none" w:sz="0" w:space="0" w:color="auto" w:frame="1"/>
          <w:lang w:val="en-IE"/>
        </w:rPr>
        <w:t>? ii) In your view, based on your experience, what are the benefits of MMF rating from investors’ perspective, having in mind that rules applying to MMFs are already very stringent? What would be the likely consequence on investors from the downgrade of one or several MMFs? When you answer this question, please also take into account the grid of criteria listed in paragraphs 76 to 80</w:t>
      </w:r>
      <w:r>
        <w:t>.</w:t>
      </w:r>
    </w:p>
    <w:p w14:paraId="64A00FD2" w14:textId="2B58EC56" w:rsidR="00492B3A" w:rsidRDefault="00492B3A" w:rsidP="00492B3A">
      <w:r>
        <w:t>&lt;ESMA_QUESTION_</w:t>
      </w:r>
      <w:r w:rsidR="00DC1B3F">
        <w:t>MMFR</w:t>
      </w:r>
      <w:r>
        <w:t>_8&gt;</w:t>
      </w:r>
    </w:p>
    <w:p w14:paraId="193D7DAB" w14:textId="77777777" w:rsidR="004F48A3" w:rsidRPr="00726C4B" w:rsidRDefault="004F48A3" w:rsidP="004F48A3">
      <w:pPr>
        <w:rPr>
          <w:rFonts w:cstheme="minorHAnsi"/>
        </w:rPr>
      </w:pPr>
      <w:permStart w:id="21103909" w:edGrp="everyone"/>
      <w:r w:rsidRPr="00726C4B">
        <w:rPr>
          <w:rFonts w:cstheme="minorHAnsi"/>
        </w:rPr>
        <w:t>No, we do not agree that assessing the role of ratings should be a priority in light of the Liquidity Crisis. March 2020 turmoil was just that, a liquidity crisis, not a credit crisis.</w:t>
      </w:r>
    </w:p>
    <w:p w14:paraId="1108A522" w14:textId="77777777" w:rsidR="004F48A3" w:rsidRDefault="004F48A3" w:rsidP="004F48A3">
      <w:pPr>
        <w:rPr>
          <w:rFonts w:cstheme="minorHAnsi"/>
        </w:rPr>
      </w:pPr>
    </w:p>
    <w:p w14:paraId="670AB7B9" w14:textId="12C7AB70" w:rsidR="004F48A3" w:rsidRPr="00726C4B" w:rsidRDefault="004F48A3" w:rsidP="004F48A3">
      <w:pPr>
        <w:rPr>
          <w:rFonts w:cstheme="minorHAnsi"/>
        </w:rPr>
      </w:pPr>
      <w:r w:rsidRPr="00726C4B">
        <w:rPr>
          <w:rFonts w:cstheme="minorHAnsi"/>
        </w:rPr>
        <w:t xml:space="preserve">As explained in response to Question 1: ii), ratings are an important tool for investors. We do not agree with ESMA that the MMF rating methodology used by CRAs to provide MMF ratings limits the flexibility available to MMFs to deal with large redemptions. MMF managers’ actions are driven by market conditions, investors’ expectations, and regulatory requirements. MMF ratings are an internationally accepted quality control tool that assesses the capacity of the MMF to preserve capital, to provide diversification, and to manage liquidity. MMF ratings provide an additional, external oversight, to the greater benefit of MMF investors. </w:t>
      </w:r>
    </w:p>
    <w:p w14:paraId="710F664E" w14:textId="77777777" w:rsidR="004F48A3" w:rsidRDefault="004F48A3" w:rsidP="004F48A3">
      <w:pPr>
        <w:rPr>
          <w:rFonts w:cstheme="minorHAnsi"/>
        </w:rPr>
      </w:pPr>
    </w:p>
    <w:p w14:paraId="213733AA" w14:textId="13B3BABB" w:rsidR="004F48A3" w:rsidRPr="00726C4B" w:rsidRDefault="004F48A3" w:rsidP="004F48A3">
      <w:pPr>
        <w:rPr>
          <w:rFonts w:cstheme="minorHAnsi"/>
        </w:rPr>
      </w:pPr>
      <w:r w:rsidRPr="00726C4B">
        <w:rPr>
          <w:rFonts w:cstheme="minorHAnsi"/>
        </w:rPr>
        <w:t>At paragraph 146, ESMA suggests: “alternatively it could be considered to clarify the rules that may be applied by CRAs MMF rating methodologies in order to provide an MMF with a rating, and the extent to which these methodologies should avoid including direct triggers between i) the use of liquidity management tools and ii) a certain level of MMF rating.”</w:t>
      </w:r>
    </w:p>
    <w:p w14:paraId="5A98C623" w14:textId="77777777" w:rsidR="004F48A3" w:rsidRDefault="004F48A3" w:rsidP="004F48A3">
      <w:pPr>
        <w:rPr>
          <w:rFonts w:cstheme="minorHAnsi"/>
        </w:rPr>
      </w:pPr>
    </w:p>
    <w:p w14:paraId="5DC5B31C" w14:textId="76D4BE63" w:rsidR="004F48A3" w:rsidRPr="00726C4B" w:rsidRDefault="004F48A3" w:rsidP="004F48A3">
      <w:pPr>
        <w:rPr>
          <w:rFonts w:cstheme="minorHAnsi"/>
        </w:rPr>
      </w:pPr>
      <w:r w:rsidRPr="00726C4B">
        <w:rPr>
          <w:rFonts w:cstheme="minorHAnsi"/>
        </w:rPr>
        <w:t xml:space="preserve">We are supportive of more transparency on the methodologies that CRAs use when rating MMFs. That would be an extension of the reform that led to the adoption of the </w:t>
      </w:r>
      <w:hyperlink r:id="rId28" w:history="1">
        <w:r w:rsidRPr="00726C4B">
          <w:rPr>
            <w:rStyle w:val="Hyperlink"/>
            <w:rFonts w:cstheme="minorHAnsi"/>
          </w:rPr>
          <w:t>Regulation (EC) No 1060/2009</w:t>
        </w:r>
      </w:hyperlink>
      <w:r w:rsidRPr="00726C4B">
        <w:rPr>
          <w:rFonts w:cstheme="minorHAnsi"/>
        </w:rPr>
        <w:t xml:space="preserve">. </w:t>
      </w:r>
    </w:p>
    <w:p w14:paraId="489F6DA7" w14:textId="77777777" w:rsidR="004F48A3" w:rsidRDefault="004F48A3" w:rsidP="004F48A3">
      <w:pPr>
        <w:rPr>
          <w:rFonts w:cstheme="minorHAnsi"/>
        </w:rPr>
      </w:pPr>
    </w:p>
    <w:p w14:paraId="0475156A" w14:textId="31F61564" w:rsidR="004F48A3" w:rsidRPr="00726C4B" w:rsidRDefault="004F48A3" w:rsidP="004F48A3">
      <w:pPr>
        <w:rPr>
          <w:rFonts w:cstheme="minorHAnsi"/>
        </w:rPr>
      </w:pPr>
      <w:r w:rsidRPr="00726C4B">
        <w:rPr>
          <w:rFonts w:cstheme="minorHAnsi"/>
        </w:rPr>
        <w:t xml:space="preserve">Use of regulatory approved liquidity management tools should not necessitate an automatic downgrade of an MMF. However, such use should result in a discussion between the MMF manager and the rating agency as to why such determination was made. Then, after considering the basis and the remaining portfolio composition, a rating agency should be free to take whatever action they deem appropriate. </w:t>
      </w:r>
    </w:p>
    <w:p w14:paraId="212A5486" w14:textId="77777777" w:rsidR="004F48A3" w:rsidRDefault="004F48A3" w:rsidP="004F48A3">
      <w:pPr>
        <w:rPr>
          <w:rFonts w:cstheme="minorHAnsi"/>
        </w:rPr>
      </w:pPr>
    </w:p>
    <w:p w14:paraId="1AC327A0" w14:textId="273E6EB8" w:rsidR="004F48A3" w:rsidRPr="00726C4B" w:rsidRDefault="004F48A3" w:rsidP="004F48A3">
      <w:pPr>
        <w:rPr>
          <w:rFonts w:cstheme="minorHAnsi"/>
        </w:rPr>
      </w:pPr>
      <w:r w:rsidRPr="00726C4B">
        <w:rPr>
          <w:rFonts w:cstheme="minorHAnsi"/>
        </w:rPr>
        <w:t>In addition, we reiterate the anecdotal evidence that some policymakers reported. In March 2020, ECB asked the banks under its supervision to use their capital buffers in a countercyclical way: i.e., to keep on offering credit and financing the economies. However, banks were concerned they could have been credit downgraded if they had started tapping into their capital buffers. For the same reason, it seems that these banks refused to buy back the CP they had issued. Here, we see a policy issue that ESMA and EU and global policymakers should consider addressing as part of a needed reform of the short-term funding market structure.</w:t>
      </w:r>
    </w:p>
    <w:p w14:paraId="4BD3EDBB" w14:textId="77777777" w:rsidR="004F48A3" w:rsidRPr="00726C4B" w:rsidRDefault="004F48A3" w:rsidP="004F48A3">
      <w:pPr>
        <w:rPr>
          <w:rFonts w:cstheme="minorHAnsi"/>
        </w:rPr>
      </w:pPr>
    </w:p>
    <w:p w14:paraId="1C53F926" w14:textId="77777777" w:rsidR="004F48A3" w:rsidRPr="00726C4B" w:rsidRDefault="004F48A3" w:rsidP="004F48A3">
      <w:pPr>
        <w:rPr>
          <w:rFonts w:cstheme="minorHAnsi"/>
          <w:b/>
          <w:bCs/>
          <w:i/>
          <w:iCs/>
          <w:color w:val="4F81BD" w:themeColor="accent1"/>
        </w:rPr>
      </w:pPr>
      <w:r w:rsidRPr="00726C4B">
        <w:rPr>
          <w:rFonts w:cstheme="minorHAnsi"/>
          <w:b/>
          <w:bCs/>
          <w:i/>
          <w:iCs/>
          <w:color w:val="4F81BD" w:themeColor="accent1"/>
        </w:rPr>
        <w:t>I. Impact on the resilience of MMFs</w:t>
      </w:r>
      <w:r w:rsidRPr="00726C4B">
        <w:rPr>
          <w:rFonts w:cstheme="minorHAnsi"/>
          <w:b/>
          <w:bCs/>
          <w:i/>
          <w:iCs/>
          <w:color w:val="4F81BD" w:themeColor="accent1"/>
        </w:rPr>
        <w:br/>
        <w:t>i. How would the policy option work in mitigating the structural vulnerabilities of MMFs?</w:t>
      </w:r>
    </w:p>
    <w:p w14:paraId="5C89F4F4" w14:textId="77777777" w:rsidR="004F48A3" w:rsidRPr="00726C4B" w:rsidRDefault="004F48A3" w:rsidP="004F48A3">
      <w:pPr>
        <w:rPr>
          <w:rFonts w:cstheme="minorHAnsi"/>
        </w:rPr>
      </w:pPr>
      <w:r w:rsidRPr="00726C4B">
        <w:rPr>
          <w:rFonts w:cstheme="minorHAnsi"/>
        </w:rPr>
        <w:t>Assessing the role of ratings is not a priority in light of the Liquidity Crisis. March 2020 turmoil was just that, a liquidity crisis, not a credit crisis.</w:t>
      </w:r>
    </w:p>
    <w:p w14:paraId="4C8C0DF1" w14:textId="77777777" w:rsidR="004F48A3" w:rsidRDefault="004F48A3" w:rsidP="004F48A3">
      <w:pPr>
        <w:rPr>
          <w:rFonts w:cstheme="minorHAnsi"/>
        </w:rPr>
      </w:pPr>
    </w:p>
    <w:p w14:paraId="33871FCA" w14:textId="6FF95DB0" w:rsidR="004F48A3" w:rsidRPr="00726C4B" w:rsidRDefault="004F48A3" w:rsidP="004F48A3">
      <w:pPr>
        <w:rPr>
          <w:rFonts w:cstheme="minorHAnsi"/>
        </w:rPr>
      </w:pPr>
      <w:r w:rsidRPr="00726C4B">
        <w:rPr>
          <w:rFonts w:cstheme="minorHAnsi"/>
        </w:rPr>
        <w:t>As explained in response to Question 1: ii), ratings are an important tool for investors. We do not agree with ESMA that the MMF rating methodology used by CRAs to provide MMF ratings limits the flexibility available to MMFs to deal with large redemptions. MMF managers’ actions are driven by market conditions, investors’ expectations, and regulatory requirements. MMF ratings are an internationally accepted quality control tool that assesses the capacity of the MMF to preserve capital, to provide diversification, and to manage liquidity. MMF ratings provide an additional, external oversight, to the greater benefit of MMF investors.</w:t>
      </w:r>
    </w:p>
    <w:p w14:paraId="61DB587B" w14:textId="77777777" w:rsidR="004F48A3" w:rsidRPr="00726C4B" w:rsidRDefault="004F48A3" w:rsidP="004F48A3">
      <w:pPr>
        <w:rPr>
          <w:rFonts w:cstheme="minorHAnsi"/>
        </w:rPr>
      </w:pPr>
    </w:p>
    <w:p w14:paraId="4187F0B4" w14:textId="77777777" w:rsidR="004F48A3" w:rsidRPr="00726C4B" w:rsidRDefault="004F48A3" w:rsidP="004F48A3">
      <w:pPr>
        <w:rPr>
          <w:rFonts w:cstheme="minorHAnsi"/>
          <w:b/>
          <w:bCs/>
          <w:i/>
          <w:iCs/>
          <w:color w:val="4F81BD" w:themeColor="accent1"/>
        </w:rPr>
      </w:pPr>
      <w:r w:rsidRPr="00726C4B">
        <w:rPr>
          <w:rFonts w:cstheme="minorHAnsi"/>
          <w:b/>
          <w:bCs/>
          <w:i/>
          <w:iCs/>
          <w:color w:val="4F81BD" w:themeColor="accent1"/>
        </w:rPr>
        <w:t>II. Effects on investor behaviour</w:t>
      </w:r>
    </w:p>
    <w:p w14:paraId="0CC588DF" w14:textId="551B51A3" w:rsidR="0042558E" w:rsidRDefault="0042558E" w:rsidP="004F48A3">
      <w:pPr>
        <w:rPr>
          <w:rFonts w:cstheme="minorHAnsi"/>
        </w:rPr>
      </w:pPr>
    </w:p>
    <w:p w14:paraId="1417CEF5" w14:textId="77777777" w:rsidR="009D10FC" w:rsidRPr="00726C4B" w:rsidRDefault="009D10FC" w:rsidP="004F48A3">
      <w:pPr>
        <w:rPr>
          <w:rFonts w:cstheme="minorHAnsi"/>
        </w:rPr>
      </w:pPr>
    </w:p>
    <w:p w14:paraId="2D152941" w14:textId="77777777" w:rsidR="004F48A3" w:rsidRPr="00726C4B" w:rsidRDefault="004F48A3" w:rsidP="004F48A3">
      <w:pPr>
        <w:rPr>
          <w:rFonts w:cstheme="minorHAnsi"/>
          <w:b/>
          <w:bCs/>
          <w:i/>
          <w:iCs/>
          <w:color w:val="4F81BD" w:themeColor="accent1"/>
        </w:rPr>
      </w:pPr>
      <w:r w:rsidRPr="00726C4B">
        <w:rPr>
          <w:rFonts w:cstheme="minorHAnsi"/>
          <w:b/>
          <w:bCs/>
          <w:i/>
          <w:iCs/>
          <w:color w:val="4F81BD" w:themeColor="accent1"/>
        </w:rPr>
        <w:t>iii. a) Does the option effectively shift MMF risks to investors?</w:t>
      </w:r>
    </w:p>
    <w:p w14:paraId="1FDC6C1F" w14:textId="77777777" w:rsidR="004F48A3" w:rsidRPr="00726C4B" w:rsidRDefault="004F48A3" w:rsidP="004F48A3">
      <w:pPr>
        <w:rPr>
          <w:rFonts w:cstheme="minorHAnsi"/>
          <w:highlight w:val="yellow"/>
        </w:rPr>
      </w:pPr>
      <w:r w:rsidRPr="00726C4B">
        <w:rPr>
          <w:rFonts w:cstheme="minorHAnsi"/>
        </w:rPr>
        <w:t>No, for the reasons explained above. Investors already have 100% of the risk in MMFs. EU MMFs are 100% capitalised and managers are not permitted to support funds. Article 36 of the EU MMFR ensures that EU investors are informed of the risks they take on as they require EU MMFs to disclose in any document a MMF uses for marketing purposes the following statements:</w:t>
      </w:r>
    </w:p>
    <w:p w14:paraId="662C9C01" w14:textId="77777777" w:rsidR="004F48A3" w:rsidRPr="0042558E" w:rsidRDefault="004F48A3" w:rsidP="005B599C">
      <w:pPr>
        <w:pStyle w:val="ListParagraph"/>
        <w:numPr>
          <w:ilvl w:val="0"/>
          <w:numId w:val="54"/>
        </w:numPr>
        <w:autoSpaceDE w:val="0"/>
        <w:autoSpaceDN w:val="0"/>
        <w:adjustRightInd w:val="0"/>
        <w:spacing w:after="100"/>
        <w:contextualSpacing w:val="0"/>
        <w:rPr>
          <w:rFonts w:cs="Arial"/>
          <w:color w:val="000000"/>
          <w:szCs w:val="20"/>
        </w:rPr>
      </w:pPr>
      <w:r w:rsidRPr="0042558E">
        <w:rPr>
          <w:rFonts w:cs="Arial"/>
          <w:color w:val="000000"/>
          <w:szCs w:val="20"/>
        </w:rPr>
        <w:t xml:space="preserve">that the MMF is not a guaranteed investment; </w:t>
      </w:r>
    </w:p>
    <w:p w14:paraId="5869BBC9" w14:textId="77777777" w:rsidR="004F48A3" w:rsidRPr="0042558E" w:rsidRDefault="004F48A3" w:rsidP="005B599C">
      <w:pPr>
        <w:pStyle w:val="ListParagraph"/>
        <w:numPr>
          <w:ilvl w:val="0"/>
          <w:numId w:val="54"/>
        </w:numPr>
        <w:autoSpaceDE w:val="0"/>
        <w:autoSpaceDN w:val="0"/>
        <w:adjustRightInd w:val="0"/>
        <w:spacing w:after="100"/>
        <w:ind w:left="714" w:hanging="357"/>
        <w:contextualSpacing w:val="0"/>
        <w:rPr>
          <w:rFonts w:cs="Arial"/>
          <w:color w:val="000000"/>
          <w:szCs w:val="20"/>
        </w:rPr>
      </w:pPr>
      <w:r w:rsidRPr="0042558E">
        <w:rPr>
          <w:rFonts w:cs="Arial"/>
          <w:color w:val="000000"/>
          <w:szCs w:val="20"/>
        </w:rPr>
        <w:t xml:space="preserve">that an investment in MMFs is different from an investment in deposits, with particular reference to the risk that the principal invested in an MMF is capable of fluctuation; </w:t>
      </w:r>
    </w:p>
    <w:p w14:paraId="6B55FDA9" w14:textId="77777777" w:rsidR="004F48A3" w:rsidRPr="0042558E" w:rsidRDefault="004F48A3" w:rsidP="005B599C">
      <w:pPr>
        <w:pStyle w:val="ListParagraph"/>
        <w:numPr>
          <w:ilvl w:val="0"/>
          <w:numId w:val="54"/>
        </w:numPr>
        <w:autoSpaceDE w:val="0"/>
        <w:autoSpaceDN w:val="0"/>
        <w:adjustRightInd w:val="0"/>
        <w:spacing w:after="100"/>
        <w:ind w:left="714" w:hanging="357"/>
        <w:contextualSpacing w:val="0"/>
        <w:rPr>
          <w:rFonts w:cs="Arial"/>
          <w:color w:val="000000"/>
          <w:szCs w:val="20"/>
        </w:rPr>
      </w:pPr>
      <w:r w:rsidRPr="0042558E">
        <w:rPr>
          <w:rFonts w:cs="Arial"/>
          <w:color w:val="000000"/>
          <w:szCs w:val="20"/>
        </w:rPr>
        <w:t xml:space="preserve">that the MMF does not rely on external support for guaranteeing the liquidity of the MMF or stabilising the NAV per unit or share; </w:t>
      </w:r>
    </w:p>
    <w:p w14:paraId="5CF12EF5" w14:textId="77777777" w:rsidR="004F48A3" w:rsidRPr="0042558E" w:rsidRDefault="004F48A3" w:rsidP="005B599C">
      <w:pPr>
        <w:pStyle w:val="ListParagraph"/>
        <w:numPr>
          <w:ilvl w:val="0"/>
          <w:numId w:val="54"/>
        </w:numPr>
        <w:autoSpaceDE w:val="0"/>
        <w:autoSpaceDN w:val="0"/>
        <w:adjustRightInd w:val="0"/>
        <w:spacing w:after="100"/>
        <w:ind w:left="714" w:hanging="357"/>
        <w:contextualSpacing w:val="0"/>
        <w:rPr>
          <w:rFonts w:cs="Arial"/>
          <w:color w:val="000000"/>
          <w:szCs w:val="20"/>
        </w:rPr>
      </w:pPr>
      <w:r w:rsidRPr="0042558E">
        <w:rPr>
          <w:rFonts w:cs="Arial"/>
          <w:color w:val="000000"/>
          <w:szCs w:val="20"/>
        </w:rPr>
        <w:t xml:space="preserve">that the risk of loss of the principal is to be borne by the investor. </w:t>
      </w:r>
    </w:p>
    <w:p w14:paraId="3F635B87" w14:textId="77777777" w:rsidR="0042558E" w:rsidRDefault="0042558E" w:rsidP="004F48A3">
      <w:pPr>
        <w:rPr>
          <w:rFonts w:cstheme="minorHAnsi"/>
          <w:color w:val="000000"/>
        </w:rPr>
      </w:pPr>
    </w:p>
    <w:p w14:paraId="2BA362DE" w14:textId="7C5E0E9B" w:rsidR="004F48A3" w:rsidRPr="00726C4B" w:rsidRDefault="004F48A3" w:rsidP="004F48A3">
      <w:pPr>
        <w:rPr>
          <w:rFonts w:cstheme="minorHAnsi"/>
        </w:rPr>
      </w:pPr>
      <w:r w:rsidRPr="00726C4B">
        <w:rPr>
          <w:rFonts w:cstheme="minorHAnsi"/>
          <w:color w:val="000000"/>
        </w:rPr>
        <w:t>Moreover, Article 36(4) provides further that “No communication by the MMF or by the manager of an MMF to investors or potential investors shall in any way suggest that an investment in the units or shares of the MMF is guaranteed.”</w:t>
      </w:r>
    </w:p>
    <w:p w14:paraId="3614ADC6" w14:textId="77777777" w:rsidR="004F48A3" w:rsidRPr="00726C4B" w:rsidRDefault="004F48A3" w:rsidP="004F48A3">
      <w:pPr>
        <w:rPr>
          <w:rFonts w:cstheme="minorHAnsi"/>
        </w:rPr>
      </w:pPr>
    </w:p>
    <w:p w14:paraId="525B5793" w14:textId="77777777" w:rsidR="004F48A3" w:rsidRPr="00726C4B" w:rsidRDefault="004F48A3" w:rsidP="004F48A3">
      <w:pPr>
        <w:rPr>
          <w:rFonts w:cstheme="minorHAnsi"/>
          <w:b/>
          <w:bCs/>
          <w:i/>
          <w:iCs/>
          <w:color w:val="4F81BD" w:themeColor="accent1"/>
        </w:rPr>
      </w:pPr>
      <w:r w:rsidRPr="00726C4B">
        <w:rPr>
          <w:rFonts w:cstheme="minorHAnsi"/>
          <w:b/>
          <w:bCs/>
          <w:i/>
          <w:iCs/>
          <w:color w:val="4F81BD" w:themeColor="accent1"/>
        </w:rPr>
        <w:t>b) Does it make those risks more salient and transparent for investors? Are investors treated equally?</w:t>
      </w:r>
    </w:p>
    <w:p w14:paraId="153B89A8" w14:textId="77777777" w:rsidR="004F48A3" w:rsidRPr="00726C4B" w:rsidRDefault="004F48A3" w:rsidP="004F48A3">
      <w:pPr>
        <w:rPr>
          <w:rFonts w:cstheme="minorHAnsi"/>
        </w:rPr>
      </w:pPr>
      <w:r w:rsidRPr="00726C4B">
        <w:rPr>
          <w:rFonts w:cstheme="minorHAnsi"/>
        </w:rPr>
        <w:t>No. They would make investors run earlier or unpredictably. Investors already have 100% of the risk in MMFs. EU MMFs are 100% capitalised and managers are not permitted to support funds. Article 36 of the EU MMFR ensures that EU investors are informed of the risks they take on as they require EU MMFs to disclose in any document a MMF uses for marketing purposes the following statements:</w:t>
      </w:r>
    </w:p>
    <w:p w14:paraId="281CB10C" w14:textId="77777777" w:rsidR="004F48A3" w:rsidRPr="0042558E" w:rsidRDefault="004F48A3" w:rsidP="005B599C">
      <w:pPr>
        <w:pStyle w:val="ListParagraph"/>
        <w:numPr>
          <w:ilvl w:val="0"/>
          <w:numId w:val="55"/>
        </w:numPr>
        <w:autoSpaceDE w:val="0"/>
        <w:autoSpaceDN w:val="0"/>
        <w:adjustRightInd w:val="0"/>
        <w:spacing w:after="100"/>
        <w:contextualSpacing w:val="0"/>
        <w:rPr>
          <w:rFonts w:cs="Arial"/>
          <w:color w:val="000000"/>
          <w:szCs w:val="20"/>
        </w:rPr>
      </w:pPr>
      <w:r w:rsidRPr="0042558E">
        <w:rPr>
          <w:rFonts w:cs="Arial"/>
          <w:color w:val="000000"/>
          <w:szCs w:val="20"/>
        </w:rPr>
        <w:t xml:space="preserve">that the MMF is not a guaranteed investment; </w:t>
      </w:r>
    </w:p>
    <w:p w14:paraId="6FC0E9FB" w14:textId="77777777" w:rsidR="004F48A3" w:rsidRPr="0042558E" w:rsidRDefault="004F48A3" w:rsidP="005B599C">
      <w:pPr>
        <w:pStyle w:val="ListParagraph"/>
        <w:numPr>
          <w:ilvl w:val="0"/>
          <w:numId w:val="55"/>
        </w:numPr>
        <w:autoSpaceDE w:val="0"/>
        <w:autoSpaceDN w:val="0"/>
        <w:adjustRightInd w:val="0"/>
        <w:spacing w:after="100"/>
        <w:ind w:left="714" w:hanging="357"/>
        <w:contextualSpacing w:val="0"/>
        <w:rPr>
          <w:rFonts w:cs="Arial"/>
          <w:color w:val="000000"/>
          <w:szCs w:val="20"/>
        </w:rPr>
      </w:pPr>
      <w:r w:rsidRPr="0042558E">
        <w:rPr>
          <w:rFonts w:cs="Arial"/>
          <w:color w:val="000000"/>
          <w:szCs w:val="20"/>
        </w:rPr>
        <w:t xml:space="preserve">that an investment in MMFs is different from an investment in deposits, with particular reference to the risk that the principal invested in an MMF is capable of fluctuation; </w:t>
      </w:r>
    </w:p>
    <w:p w14:paraId="56DD2D1B" w14:textId="77777777" w:rsidR="004F48A3" w:rsidRPr="0042558E" w:rsidRDefault="004F48A3" w:rsidP="005B599C">
      <w:pPr>
        <w:pStyle w:val="ListParagraph"/>
        <w:numPr>
          <w:ilvl w:val="0"/>
          <w:numId w:val="55"/>
        </w:numPr>
        <w:autoSpaceDE w:val="0"/>
        <w:autoSpaceDN w:val="0"/>
        <w:adjustRightInd w:val="0"/>
        <w:spacing w:after="100"/>
        <w:ind w:left="714" w:hanging="357"/>
        <w:contextualSpacing w:val="0"/>
        <w:rPr>
          <w:rFonts w:cs="Arial"/>
          <w:color w:val="000000"/>
          <w:szCs w:val="20"/>
        </w:rPr>
      </w:pPr>
      <w:r w:rsidRPr="0042558E">
        <w:rPr>
          <w:rFonts w:cs="Arial"/>
          <w:color w:val="000000"/>
          <w:szCs w:val="20"/>
        </w:rPr>
        <w:t xml:space="preserve">that the MMF does not rely on external support for guaranteeing the liquidity of the MMF or stabilising the NAV per unit or share; </w:t>
      </w:r>
    </w:p>
    <w:p w14:paraId="7E184670" w14:textId="77777777" w:rsidR="004F48A3" w:rsidRPr="0042558E" w:rsidRDefault="004F48A3" w:rsidP="005B599C">
      <w:pPr>
        <w:pStyle w:val="ListParagraph"/>
        <w:numPr>
          <w:ilvl w:val="0"/>
          <w:numId w:val="55"/>
        </w:numPr>
        <w:autoSpaceDE w:val="0"/>
        <w:autoSpaceDN w:val="0"/>
        <w:adjustRightInd w:val="0"/>
        <w:spacing w:after="100"/>
        <w:ind w:left="714" w:hanging="357"/>
        <w:contextualSpacing w:val="0"/>
        <w:rPr>
          <w:rFonts w:cs="Arial"/>
          <w:color w:val="000000"/>
          <w:szCs w:val="20"/>
        </w:rPr>
      </w:pPr>
      <w:r w:rsidRPr="0042558E">
        <w:rPr>
          <w:rFonts w:cs="Arial"/>
          <w:color w:val="000000"/>
          <w:szCs w:val="20"/>
        </w:rPr>
        <w:t xml:space="preserve">that the risk of loss of the principal is to be borne by the investor. </w:t>
      </w:r>
    </w:p>
    <w:p w14:paraId="60710865" w14:textId="77777777" w:rsidR="0042558E" w:rsidRDefault="0042558E" w:rsidP="004F48A3">
      <w:pPr>
        <w:rPr>
          <w:rFonts w:cstheme="minorHAnsi"/>
          <w:color w:val="000000"/>
        </w:rPr>
      </w:pPr>
    </w:p>
    <w:p w14:paraId="04532A88" w14:textId="61BB1066" w:rsidR="004F48A3" w:rsidRPr="00726C4B" w:rsidRDefault="004F48A3" w:rsidP="004F48A3">
      <w:pPr>
        <w:rPr>
          <w:rFonts w:cstheme="minorHAnsi"/>
        </w:rPr>
      </w:pPr>
      <w:r w:rsidRPr="00726C4B">
        <w:rPr>
          <w:rFonts w:cstheme="minorHAnsi"/>
          <w:color w:val="000000"/>
        </w:rPr>
        <w:t>Moreover, Article 36(4) provides further that “No communication by the MMF or by the manager of an MMF to investors or potential investors shall in any way suggest that an investment in the units or shares of the MMF is guaranteed.”</w:t>
      </w:r>
    </w:p>
    <w:p w14:paraId="44A20A4C" w14:textId="77777777" w:rsidR="0042558E" w:rsidRDefault="0042558E" w:rsidP="004F48A3">
      <w:pPr>
        <w:rPr>
          <w:rFonts w:cstheme="minorHAnsi"/>
          <w:color w:val="000000"/>
        </w:rPr>
      </w:pPr>
    </w:p>
    <w:p w14:paraId="05934FFE" w14:textId="706B4054" w:rsidR="004F48A3" w:rsidRDefault="004F48A3" w:rsidP="004F48A3">
      <w:pPr>
        <w:rPr>
          <w:rFonts w:cstheme="minorHAnsi"/>
        </w:rPr>
      </w:pPr>
      <w:r w:rsidRPr="00726C4B">
        <w:rPr>
          <w:rFonts w:cstheme="minorHAnsi"/>
          <w:color w:val="000000"/>
        </w:rPr>
        <w:t>Finally, a</w:t>
      </w:r>
      <w:r w:rsidRPr="00726C4B">
        <w:rPr>
          <w:rFonts w:cstheme="minorHAnsi"/>
        </w:rPr>
        <w:t>ll investors in EU MMFs are treated equally. EU MMFs are the most transparent investment product in Europe and are subject to not only increased stress testing and regulatory reporting, but also enhanced transparency requirements to ensure that investors have access to key information on the holdings of EU MMFs.</w:t>
      </w:r>
    </w:p>
    <w:p w14:paraId="5D8FC09D" w14:textId="77777777" w:rsidR="009D10FC" w:rsidRPr="00726C4B" w:rsidRDefault="009D10FC" w:rsidP="004F48A3">
      <w:pPr>
        <w:rPr>
          <w:rFonts w:cstheme="minorHAnsi"/>
        </w:rPr>
      </w:pPr>
    </w:p>
    <w:permEnd w:id="21103909"/>
    <w:p w14:paraId="6C91EF19" w14:textId="07291BF4" w:rsidR="00492B3A" w:rsidRDefault="00492B3A" w:rsidP="00492B3A">
      <w:r>
        <w:t>&lt;ESMA_QUESTION_</w:t>
      </w:r>
      <w:r w:rsidR="00DC1B3F">
        <w:t>MMFR</w:t>
      </w:r>
      <w:r>
        <w:t>_8&gt;</w:t>
      </w:r>
    </w:p>
    <w:p w14:paraId="358E7A29" w14:textId="77777777" w:rsidR="00492B3A" w:rsidRDefault="00492B3A" w:rsidP="00492B3A"/>
    <w:p w14:paraId="35F135E9" w14:textId="5FE90A3C" w:rsidR="00492B3A" w:rsidRDefault="00976448" w:rsidP="00492B3A">
      <w:pPr>
        <w:pStyle w:val="Questionstyle"/>
      </w:pPr>
      <w:r w:rsidRPr="00F43E30">
        <w:rPr>
          <w:bdr w:val="none" w:sz="0" w:space="0" w:color="auto" w:frame="1"/>
          <w:lang w:val="en-IE"/>
        </w:rPr>
        <w:t xml:space="preserve">Do you agree with the above assessment of the potential need to </w:t>
      </w:r>
      <w:r w:rsidRPr="00F43E30">
        <w:rPr>
          <w:lang w:val="en-IE"/>
        </w:rPr>
        <w:t xml:space="preserve">amend the requirements on stress tests included in the article 28 of the MMF Regulation? </w:t>
      </w:r>
      <w:r w:rsidRPr="00F43E30">
        <w:rPr>
          <w:bdr w:val="none" w:sz="0" w:space="0" w:color="auto" w:frame="1"/>
          <w:lang w:val="en-IE"/>
        </w:rPr>
        <w:t>When you answer this question, please also take into account the grid of criteria listed in paragraphs 76 to 80</w:t>
      </w:r>
      <w:r>
        <w:t>.</w:t>
      </w:r>
    </w:p>
    <w:p w14:paraId="01ADFC46" w14:textId="69301879" w:rsidR="00492B3A" w:rsidRDefault="00492B3A" w:rsidP="00492B3A">
      <w:r>
        <w:t>&lt;ESMA_QUESTION_</w:t>
      </w:r>
      <w:r w:rsidR="00DC1B3F">
        <w:t>MMFR</w:t>
      </w:r>
      <w:r>
        <w:t>_9&gt;</w:t>
      </w:r>
    </w:p>
    <w:p w14:paraId="0AB3A7A1" w14:textId="77777777" w:rsidR="00492B3A" w:rsidRDefault="00492B3A" w:rsidP="00492B3A">
      <w:permStart w:id="70807355" w:edGrp="everyone"/>
      <w:r>
        <w:t>TYPE YOUR TEXT HERE</w:t>
      </w:r>
    </w:p>
    <w:permEnd w:id="70807355"/>
    <w:p w14:paraId="293286B0" w14:textId="136AD9C5" w:rsidR="00492B3A" w:rsidRDefault="00492B3A" w:rsidP="00492B3A">
      <w:r>
        <w:t>&lt;ESMA_QUESTION_</w:t>
      </w:r>
      <w:r w:rsidR="00DC1B3F">
        <w:t>MMFR</w:t>
      </w:r>
      <w:r>
        <w:t>_9&gt;</w:t>
      </w:r>
    </w:p>
    <w:p w14:paraId="1265C514" w14:textId="77777777" w:rsidR="00492B3A" w:rsidRDefault="00492B3A" w:rsidP="00492B3A"/>
    <w:p w14:paraId="65464EDE" w14:textId="2A297D67" w:rsidR="00492B3A" w:rsidRDefault="00976448" w:rsidP="00492B3A">
      <w:pPr>
        <w:pStyle w:val="Questionstyle"/>
      </w:pPr>
      <w:r w:rsidRPr="00F43E30">
        <w:rPr>
          <w:bdr w:val="none" w:sz="0" w:space="0" w:color="auto" w:frame="1"/>
          <w:lang w:val="en-IE"/>
        </w:rPr>
        <w:t>Do you agree with the above assessment on the potential need to review the reporting requirements under the MMF Regulation? When you answer this question, please also take into account the grid of criteria listed in paragraphs 76 to 80</w:t>
      </w:r>
      <w:r>
        <w:t>.</w:t>
      </w:r>
    </w:p>
    <w:p w14:paraId="554C7E7D" w14:textId="478CBB4E" w:rsidR="00492B3A" w:rsidRDefault="00492B3A" w:rsidP="00492B3A">
      <w:r>
        <w:t>&lt;ESMA_QUESTION_</w:t>
      </w:r>
      <w:r w:rsidR="00DC1B3F">
        <w:t>MMFR</w:t>
      </w:r>
      <w:r>
        <w:t>_10&gt;</w:t>
      </w:r>
    </w:p>
    <w:p w14:paraId="3D6458D1" w14:textId="77777777" w:rsidR="00243161" w:rsidRPr="00726C4B" w:rsidRDefault="00243161" w:rsidP="00243161">
      <w:pPr>
        <w:rPr>
          <w:rFonts w:cstheme="minorHAnsi"/>
        </w:rPr>
      </w:pPr>
      <w:permStart w:id="1969951227" w:edGrp="everyone"/>
      <w:r w:rsidRPr="00726C4B">
        <w:rPr>
          <w:rFonts w:cstheme="minorHAnsi"/>
        </w:rPr>
        <w:t>No, we do not agree with ESMA’s assessment on the potential need to review the reporting requirements under the MMF Regulation.</w:t>
      </w:r>
    </w:p>
    <w:p w14:paraId="7EAD6BB9" w14:textId="77777777" w:rsidR="00243161" w:rsidRDefault="00243161" w:rsidP="00243161">
      <w:pPr>
        <w:rPr>
          <w:rFonts w:cstheme="minorHAnsi"/>
        </w:rPr>
      </w:pPr>
    </w:p>
    <w:p w14:paraId="4DB00EEF" w14:textId="0622C35D" w:rsidR="00243161" w:rsidRPr="00726C4B" w:rsidRDefault="00243161" w:rsidP="00243161">
      <w:pPr>
        <w:rPr>
          <w:rFonts w:cstheme="minorHAnsi"/>
        </w:rPr>
      </w:pPr>
      <w:r w:rsidRPr="00726C4B">
        <w:rPr>
          <w:rFonts w:cstheme="minorHAnsi"/>
        </w:rPr>
        <w:t xml:space="preserve">EU MMFs, as a result of the adoption of the MMFR in 2017, are one of the most transparent investment products in Europe and are subject to extensive reporting requirements. </w:t>
      </w:r>
    </w:p>
    <w:p w14:paraId="54EDC3B1" w14:textId="77777777" w:rsidR="00243161" w:rsidRDefault="00243161" w:rsidP="00243161">
      <w:pPr>
        <w:rPr>
          <w:rFonts w:cstheme="minorHAnsi"/>
        </w:rPr>
      </w:pPr>
    </w:p>
    <w:p w14:paraId="7639CBD3" w14:textId="5E0A8719" w:rsidR="00243161" w:rsidRPr="00726C4B" w:rsidRDefault="00243161" w:rsidP="00243161">
      <w:pPr>
        <w:rPr>
          <w:rFonts w:cstheme="minorHAnsi"/>
        </w:rPr>
      </w:pPr>
      <w:r w:rsidRPr="00726C4B">
        <w:rPr>
          <w:rFonts w:cstheme="minorHAnsi"/>
        </w:rPr>
        <w:t xml:space="preserve">We believe the current frequency is appropriate in normal times. When markets are stressed like they were in March 2020, regulators have the power and legitimacy to require any additional reporting they need. We are not aware of any regulators in the EU who did not obtain any additional information requested during the Liquidity Crisis. </w:t>
      </w:r>
    </w:p>
    <w:p w14:paraId="0422DED1" w14:textId="77777777" w:rsidR="00243161" w:rsidRDefault="00243161" w:rsidP="00243161">
      <w:pPr>
        <w:rPr>
          <w:rFonts w:cstheme="minorHAnsi"/>
        </w:rPr>
      </w:pPr>
    </w:p>
    <w:p w14:paraId="224D582A" w14:textId="3F634615" w:rsidR="00243161" w:rsidRDefault="00243161" w:rsidP="00243161">
      <w:pPr>
        <w:rPr>
          <w:rFonts w:cstheme="minorHAnsi"/>
        </w:rPr>
      </w:pPr>
      <w:r w:rsidRPr="00726C4B">
        <w:rPr>
          <w:rFonts w:cstheme="minorHAnsi"/>
        </w:rPr>
        <w:t>Furthermore, we believe that the reporting must be addressed to the primary securities market regulator – the NCA in each Member State – although we do not oppose ESMA collecting this information from its members. We support the appropriate coordination role for ESMA to play in supporting cross-border cooperation among NCAs, including facilitating the exchange of information, particularly in times of stress.</w:t>
      </w:r>
    </w:p>
    <w:p w14:paraId="5E8460F4" w14:textId="77777777" w:rsidR="009D10FC" w:rsidRPr="00726C4B" w:rsidRDefault="009D10FC" w:rsidP="00243161">
      <w:pPr>
        <w:rPr>
          <w:rFonts w:cstheme="minorHAnsi"/>
        </w:rPr>
      </w:pPr>
    </w:p>
    <w:permEnd w:id="1969951227"/>
    <w:p w14:paraId="1CD8F45C" w14:textId="2E80969C" w:rsidR="00492B3A" w:rsidRDefault="00492B3A" w:rsidP="00492B3A">
      <w:r>
        <w:t>&lt;ESMA_QUESTION_</w:t>
      </w:r>
      <w:r w:rsidR="00DC1B3F">
        <w:t>MMFR</w:t>
      </w:r>
      <w:r>
        <w:t>_10&gt;</w:t>
      </w:r>
    </w:p>
    <w:p w14:paraId="4A233221" w14:textId="77777777" w:rsidR="00492B3A" w:rsidRDefault="00492B3A" w:rsidP="00492B3A"/>
    <w:p w14:paraId="43470B7B" w14:textId="47E8C883" w:rsidR="00492B3A" w:rsidRDefault="00976448" w:rsidP="00492B3A">
      <w:pPr>
        <w:pStyle w:val="Questionstyle"/>
      </w:pPr>
      <w:r w:rsidRPr="00F43E30">
        <w:rPr>
          <w:bdr w:val="none" w:sz="0" w:space="0" w:color="auto" w:frame="1"/>
          <w:lang w:val="en-IE"/>
        </w:rPr>
        <w:t xml:space="preserve">Do you agree with the above assessment of the potential need to include additional requirements in the MMF Regulation, and/or potentially in other types of EU piece of legislation on the </w:t>
      </w:r>
      <w:r w:rsidRPr="00F43E30">
        <w:rPr>
          <w:lang w:val="en-IE"/>
        </w:rPr>
        <w:t xml:space="preserve">disclosure of </w:t>
      </w:r>
      <w:r w:rsidRPr="00F43E30">
        <w:rPr>
          <w:lang w:val="en-US"/>
        </w:rPr>
        <w:t xml:space="preserve">money market instruments (MMIs) and main categories of investors to regulatory authorities (e.g. detailed information on liabilities)? </w:t>
      </w:r>
      <w:r w:rsidRPr="00F43E30">
        <w:rPr>
          <w:bdr w:val="none" w:sz="0" w:space="0" w:color="auto" w:frame="1"/>
          <w:lang w:val="en-IE"/>
        </w:rPr>
        <w:t>When you answer this question, please also take into account the grid of criteria listed in paragraphs 76 to 80</w:t>
      </w:r>
      <w:r w:rsidR="00A014B6" w:rsidRPr="00A014B6">
        <w:t>.</w:t>
      </w:r>
    </w:p>
    <w:p w14:paraId="17905251" w14:textId="5C1644CB" w:rsidR="00492B3A" w:rsidRDefault="00492B3A" w:rsidP="00492B3A">
      <w:r>
        <w:t>&lt;ESMA_QUESTION_</w:t>
      </w:r>
      <w:r w:rsidR="00DC1B3F">
        <w:t>MMFR</w:t>
      </w:r>
      <w:r>
        <w:t>_11&gt;</w:t>
      </w:r>
    </w:p>
    <w:p w14:paraId="46A23A41" w14:textId="77777777" w:rsidR="003433CF" w:rsidRPr="00726C4B" w:rsidRDefault="003433CF" w:rsidP="003433CF">
      <w:pPr>
        <w:rPr>
          <w:rFonts w:cstheme="minorHAnsi"/>
        </w:rPr>
      </w:pPr>
      <w:permStart w:id="947678092" w:edGrp="everyone"/>
      <w:r w:rsidRPr="00726C4B">
        <w:rPr>
          <w:rFonts w:cstheme="minorHAnsi"/>
        </w:rPr>
        <w:t xml:space="preserve">Yes, as indicated in our response to Question 1, we fully support the EU imposing transparency requirements to all short-term funding market participants – not only the buy-side institutions but also the sell-side </w:t>
      </w:r>
      <w:r w:rsidRPr="00726C4B">
        <w:rPr>
          <w:rFonts w:cstheme="minorHAnsi"/>
        </w:rPr>
        <w:lastRenderedPageBreak/>
        <w:t xml:space="preserve">operators. In addition, we welcome increased transparency on programmes and outstanding volumes. This should be part of a broader, more holistic review of short-term funding market structure. </w:t>
      </w:r>
    </w:p>
    <w:p w14:paraId="28EBD4C3" w14:textId="77777777" w:rsidR="003433CF" w:rsidRDefault="003433CF" w:rsidP="003433CF">
      <w:pPr>
        <w:rPr>
          <w:rFonts w:cstheme="minorHAnsi"/>
        </w:rPr>
      </w:pPr>
    </w:p>
    <w:p w14:paraId="58A1B225" w14:textId="5143965A" w:rsidR="003433CF" w:rsidRPr="00726C4B" w:rsidRDefault="003433CF" w:rsidP="003433CF">
      <w:pPr>
        <w:rPr>
          <w:rFonts w:cstheme="minorHAnsi"/>
        </w:rPr>
      </w:pPr>
      <w:r w:rsidRPr="00726C4B">
        <w:rPr>
          <w:rFonts w:cstheme="minorHAnsi"/>
        </w:rPr>
        <w:t xml:space="preserve">This policy issue cannot be addressed as part of the MMF Regulation review. We invite the EU institutions to launch a specific work stream very shortly. </w:t>
      </w:r>
    </w:p>
    <w:p w14:paraId="1CF1CF1D" w14:textId="77777777" w:rsidR="003433CF" w:rsidRDefault="003433CF" w:rsidP="003433CF">
      <w:pPr>
        <w:rPr>
          <w:rFonts w:cstheme="minorHAnsi"/>
        </w:rPr>
      </w:pPr>
    </w:p>
    <w:p w14:paraId="4E3C09CF" w14:textId="7A4DFD0D" w:rsidR="003433CF" w:rsidRPr="00726C4B" w:rsidRDefault="003433CF" w:rsidP="003433CF">
      <w:pPr>
        <w:rPr>
          <w:rFonts w:cstheme="minorHAnsi"/>
        </w:rPr>
      </w:pPr>
      <w:r w:rsidRPr="00726C4B">
        <w:rPr>
          <w:rFonts w:cstheme="minorHAnsi"/>
        </w:rPr>
        <w:t xml:space="preserve">EU MMFs are already required to “establish, implement and apply procedures and exercise all due diligence with a view to anticipating the effect of concurrent redemptions by several investors, taking into account at least the type of investor, the number of units or shares in the fund owned by a single investor and the evolution of inflows and outflows” as part of know your customer requirements set forth in Article 27 of the MMFR. MMF managers use investor information to manage risks, conduct stress tests, and anticipate stresses. However, there is a gap in the information that is currently provided to a MMF through an intermediary. For an intermediated investor, the shareholder/unitholder in the MMF will generally be a nominee of the intermediary. The intermediary (or its nominee) will complete the subscription/application form, and the manager will conduct due diligence on the intermediary and its nominee for anti-money laundering purposes and to obtain the information required by different regulations. There may be an agreement in place between the manager and the intermediary (e.g., a platform agreement, distribution agreement or other agreement for the provision of services by the intermediary). In such circumstances, the MMF manager will generally be reliant on the intermediary to provide information regarding the underlying investor. </w:t>
      </w:r>
    </w:p>
    <w:p w14:paraId="2CE277A7" w14:textId="77777777" w:rsidR="003433CF" w:rsidRDefault="003433CF" w:rsidP="003433CF">
      <w:pPr>
        <w:rPr>
          <w:rFonts w:cstheme="minorHAnsi"/>
        </w:rPr>
      </w:pPr>
    </w:p>
    <w:p w14:paraId="70513844" w14:textId="03A35AE3" w:rsidR="003433CF" w:rsidRPr="00726C4B" w:rsidRDefault="003433CF" w:rsidP="003433CF">
      <w:pPr>
        <w:rPr>
          <w:rFonts w:cstheme="minorHAnsi"/>
        </w:rPr>
      </w:pPr>
      <w:r w:rsidRPr="00726C4B">
        <w:rPr>
          <w:rFonts w:cstheme="minorHAnsi"/>
        </w:rPr>
        <w:t xml:space="preserve">In our experience, however, intermediaries do not provide this information, and even if they do, such information will be limited and out-of-date. Whilst MMF managers are required to ask for such information under MMFR, intermediaries are not subject to a regulatory obligation to provide such information to the MMF manager. Consequently, intermediaries often will not accept the inclusion of ‘know your customer’ provisions in agreements, and intermediaries will often not engage with MMF managers requesting information regarding underlying investors. </w:t>
      </w:r>
    </w:p>
    <w:p w14:paraId="4FF55A16" w14:textId="77777777" w:rsidR="003433CF" w:rsidRDefault="003433CF" w:rsidP="003433CF">
      <w:pPr>
        <w:rPr>
          <w:rFonts w:cstheme="minorHAnsi"/>
        </w:rPr>
      </w:pPr>
    </w:p>
    <w:p w14:paraId="50DEE934" w14:textId="160D8D0D" w:rsidR="003433CF" w:rsidRDefault="003433CF" w:rsidP="003433CF">
      <w:pPr>
        <w:rPr>
          <w:rFonts w:cstheme="minorHAnsi"/>
        </w:rPr>
      </w:pPr>
      <w:r w:rsidRPr="00726C4B">
        <w:rPr>
          <w:rFonts w:cstheme="minorHAnsi"/>
        </w:rPr>
        <w:t xml:space="preserve">The absence of an obligation on intermediaries under MMFR contrasts with the product governance provisions under MiFID II that imposes requirements on Member States to ensure manufacturers have visibility of end clients for the purposes of the product governance obligations, and to ensure distributors make information available to manufacturers. </w:t>
      </w:r>
    </w:p>
    <w:p w14:paraId="20E8DA1B" w14:textId="77777777" w:rsidR="003433CF" w:rsidRPr="00726C4B" w:rsidRDefault="003433CF" w:rsidP="003433CF">
      <w:pPr>
        <w:rPr>
          <w:rFonts w:cstheme="minorHAnsi"/>
        </w:rPr>
      </w:pPr>
    </w:p>
    <w:p w14:paraId="12A5569F" w14:textId="77777777" w:rsidR="003433CF" w:rsidRPr="00726C4B" w:rsidRDefault="003433CF" w:rsidP="003433CF">
      <w:pPr>
        <w:rPr>
          <w:rFonts w:cstheme="minorHAnsi"/>
        </w:rPr>
      </w:pPr>
      <w:bookmarkStart w:id="3" w:name="_Hlk75251828"/>
      <w:r w:rsidRPr="00726C4B">
        <w:rPr>
          <w:rFonts w:cstheme="minorHAnsi"/>
        </w:rPr>
        <w:t>We suggest amending MMFR (or MiFID II) to assist MMF managers to obtain information regarding end/underlying investors by imposing an obligation on intermediaries to provide information regarding the profile of individual end investors to enable the MMF manager to understand the MMF’s liquidity risk.</w:t>
      </w:r>
      <w:bookmarkEnd w:id="3"/>
      <w:r w:rsidRPr="00726C4B">
        <w:rPr>
          <w:rFonts w:cstheme="minorHAnsi"/>
        </w:rPr>
        <w:t xml:space="preserve"> We would propose the following:</w:t>
      </w:r>
    </w:p>
    <w:p w14:paraId="6BF8C65C" w14:textId="77777777" w:rsidR="003433CF" w:rsidRPr="003433CF" w:rsidRDefault="003433CF" w:rsidP="005B599C">
      <w:pPr>
        <w:pStyle w:val="ListParagraph"/>
        <w:numPr>
          <w:ilvl w:val="0"/>
          <w:numId w:val="56"/>
        </w:numPr>
        <w:spacing w:after="100"/>
        <w:ind w:left="357" w:hanging="357"/>
        <w:contextualSpacing w:val="0"/>
        <w:rPr>
          <w:rFonts w:cs="Arial"/>
          <w:szCs w:val="20"/>
        </w:rPr>
      </w:pPr>
      <w:r w:rsidRPr="003433CF">
        <w:rPr>
          <w:rFonts w:cs="Arial"/>
          <w:szCs w:val="20"/>
        </w:rPr>
        <w:t xml:space="preserve">The obligation should be expressed with sufficient granularity to ensure the MMF manager receives the information it may require. </w:t>
      </w:r>
    </w:p>
    <w:p w14:paraId="41DEA4E4" w14:textId="77777777" w:rsidR="003433CF" w:rsidRPr="003433CF" w:rsidRDefault="003433CF" w:rsidP="005B599C">
      <w:pPr>
        <w:pStyle w:val="ListParagraph"/>
        <w:numPr>
          <w:ilvl w:val="0"/>
          <w:numId w:val="56"/>
        </w:numPr>
        <w:spacing w:after="100"/>
        <w:ind w:left="357" w:hanging="357"/>
        <w:contextualSpacing w:val="0"/>
        <w:rPr>
          <w:rFonts w:cs="Arial"/>
          <w:szCs w:val="20"/>
        </w:rPr>
      </w:pPr>
      <w:r w:rsidRPr="003433CF">
        <w:rPr>
          <w:rFonts w:cs="Arial"/>
          <w:szCs w:val="20"/>
        </w:rPr>
        <w:t>The intermediary should be required to provide such information promptly. This is essential for the arrangement to be effective in a time of market volatility.</w:t>
      </w:r>
    </w:p>
    <w:p w14:paraId="1568A735" w14:textId="6A90770B" w:rsidR="003433CF" w:rsidRDefault="003433CF" w:rsidP="005B599C">
      <w:pPr>
        <w:pStyle w:val="ListParagraph"/>
        <w:numPr>
          <w:ilvl w:val="0"/>
          <w:numId w:val="56"/>
        </w:numPr>
        <w:spacing w:after="100"/>
        <w:ind w:left="357" w:hanging="357"/>
        <w:contextualSpacing w:val="0"/>
        <w:rPr>
          <w:rFonts w:cs="Arial"/>
          <w:szCs w:val="20"/>
        </w:rPr>
      </w:pPr>
      <w:r w:rsidRPr="003433CF">
        <w:rPr>
          <w:rFonts w:cs="Arial"/>
          <w:szCs w:val="20"/>
        </w:rPr>
        <w:t>The MMF manager should be able to request that the intermediary notify the MMF manager where a single end investor has a “large” share/unit holding in order to enable the MMF manager to identify investors whose share/unit holding exceeds the daily liquidity requirement (which the MMF manager is required to track under Article 27(2) of MMFR).</w:t>
      </w:r>
    </w:p>
    <w:p w14:paraId="4333C7B9" w14:textId="77777777" w:rsidR="009D10FC" w:rsidRPr="009D10FC" w:rsidRDefault="009D10FC" w:rsidP="009D10FC">
      <w:pPr>
        <w:spacing w:after="100"/>
        <w:rPr>
          <w:rFonts w:cs="Arial"/>
          <w:szCs w:val="20"/>
        </w:rPr>
      </w:pPr>
    </w:p>
    <w:permEnd w:id="947678092"/>
    <w:p w14:paraId="5D803357" w14:textId="61D9A95E" w:rsidR="00492B3A" w:rsidRDefault="00492B3A" w:rsidP="00492B3A">
      <w:r>
        <w:t>&lt;ESMA_QUESTION_</w:t>
      </w:r>
      <w:r w:rsidR="00DC1B3F">
        <w:t>MMFR</w:t>
      </w:r>
      <w:r>
        <w:t>_11&gt;</w:t>
      </w:r>
    </w:p>
    <w:p w14:paraId="1A3E6E6B" w14:textId="77777777" w:rsidR="00492B3A" w:rsidRDefault="00492B3A" w:rsidP="00492B3A"/>
    <w:p w14:paraId="346F2512" w14:textId="77777777" w:rsidR="00976448" w:rsidRPr="00C2636B" w:rsidRDefault="00976448" w:rsidP="00976448">
      <w:pPr>
        <w:pStyle w:val="Questionstyle"/>
        <w:rPr>
          <w:bCs/>
          <w:color w:val="201F1E"/>
          <w:bdr w:val="none" w:sz="0" w:space="0" w:color="auto" w:frame="1"/>
          <w:lang w:val="en-IE"/>
        </w:rPr>
      </w:pPr>
      <w:r w:rsidRPr="00F43E30">
        <w:rPr>
          <w:bCs/>
          <w:color w:val="201F1E"/>
          <w:bdr w:val="none" w:sz="0" w:space="0" w:color="auto" w:frame="1"/>
          <w:lang w:val="en-IE"/>
        </w:rPr>
        <w:t xml:space="preserve">i) Do you agree with the above assessment on the potential creation of a LEF? When you answer this question, please also take into account the grid </w:t>
      </w:r>
      <w:r w:rsidRPr="00F43E30">
        <w:rPr>
          <w:color w:val="201F1E"/>
          <w:bdr w:val="none" w:sz="0" w:space="0" w:color="auto" w:frame="1"/>
          <w:lang w:val="en-IE"/>
        </w:rPr>
        <w:t>of</w:t>
      </w:r>
      <w:r w:rsidRPr="00F43E30">
        <w:rPr>
          <w:bCs/>
          <w:color w:val="201F1E"/>
          <w:bdr w:val="none" w:sz="0" w:space="0" w:color="auto" w:frame="1"/>
          <w:lang w:val="en-IE"/>
        </w:rPr>
        <w:t xml:space="preserve"> criteria listed in paragraphs 76 to 80. ii) Several open questions related to the creation of the LEF, on which ESMA would specifically welcome feedback from stakeholders, include:</w:t>
      </w:r>
    </w:p>
    <w:p w14:paraId="26EDE601" w14:textId="77777777" w:rsidR="00976448" w:rsidRPr="000C1BA7" w:rsidRDefault="00976448" w:rsidP="00976448">
      <w:pPr>
        <w:pStyle w:val="xmsonormal"/>
        <w:numPr>
          <w:ilvl w:val="0"/>
          <w:numId w:val="50"/>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lastRenderedPageBreak/>
        <w:t>What should be the appropriate size of such a pooling vehicle as the LEF?</w:t>
      </w:r>
    </w:p>
    <w:p w14:paraId="0F9D6C43" w14:textId="77777777" w:rsidR="00976448" w:rsidRPr="000C1BA7" w:rsidRDefault="00976448" w:rsidP="00976448">
      <w:pPr>
        <w:pStyle w:val="xmsonormal"/>
        <w:numPr>
          <w:ilvl w:val="0"/>
          <w:numId w:val="50"/>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In terms of funding, how much MMF would have to pay each year to participate in the pool? How much of the funding would/should be provided by other sources?</w:t>
      </w:r>
    </w:p>
    <w:p w14:paraId="254F0D26" w14:textId="77777777" w:rsidR="00976448" w:rsidRPr="000C1BA7" w:rsidRDefault="00976448" w:rsidP="00976448">
      <w:pPr>
        <w:pStyle w:val="xmsonormal"/>
        <w:numPr>
          <w:ilvl w:val="0"/>
          <w:numId w:val="50"/>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How long would it take to establish such a LEF?</w:t>
      </w:r>
    </w:p>
    <w:p w14:paraId="40E4121F" w14:textId="77777777" w:rsidR="000C1BA7" w:rsidRPr="000C1BA7" w:rsidRDefault="00976448" w:rsidP="000C1BA7">
      <w:pPr>
        <w:pStyle w:val="xmsonormal"/>
        <w:numPr>
          <w:ilvl w:val="0"/>
          <w:numId w:val="50"/>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Under which conditions would the LEF be activated?</w:t>
      </w:r>
    </w:p>
    <w:p w14:paraId="681EC23B" w14:textId="08980129" w:rsidR="00492B3A" w:rsidRPr="000C1BA7" w:rsidRDefault="00976448" w:rsidP="000C1BA7">
      <w:pPr>
        <w:pStyle w:val="xmsonormal"/>
        <w:numPr>
          <w:ilvl w:val="0"/>
          <w:numId w:val="50"/>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color w:val="201F1E"/>
          <w:sz w:val="22"/>
          <w:szCs w:val="22"/>
          <w:bdr w:val="none" w:sz="0" w:space="0" w:color="auto" w:frame="1"/>
          <w:lang w:val="en-IE"/>
        </w:rPr>
        <w:t>Who would be responsible for activating the LEF</w:t>
      </w:r>
      <w:r w:rsidR="00A014B6" w:rsidRPr="000C1BA7">
        <w:rPr>
          <w:rFonts w:asciiTheme="minorHAnsi" w:hAnsiTheme="minorHAnsi" w:cstheme="minorHAnsi"/>
          <w:sz w:val="22"/>
          <w:szCs w:val="22"/>
        </w:rPr>
        <w:t>.</w:t>
      </w:r>
    </w:p>
    <w:p w14:paraId="4A7149D3" w14:textId="77777777" w:rsidR="000C1BA7" w:rsidRPr="000C1BA7" w:rsidRDefault="000C1BA7" w:rsidP="000C1BA7">
      <w:pPr>
        <w:pStyle w:val="xmsonormal"/>
        <w:shd w:val="clear" w:color="auto" w:fill="FFFFFF"/>
        <w:spacing w:before="0" w:beforeAutospacing="0" w:after="0" w:afterAutospacing="0"/>
        <w:jc w:val="both"/>
        <w:rPr>
          <w:rFonts w:ascii="Arial" w:hAnsi="Arial" w:cs="Arial"/>
          <w:b/>
          <w:bCs/>
          <w:color w:val="201F1E"/>
          <w:sz w:val="22"/>
          <w:szCs w:val="22"/>
          <w:bdr w:val="none" w:sz="0" w:space="0" w:color="auto" w:frame="1"/>
          <w:lang w:val="en-IE"/>
        </w:rPr>
      </w:pPr>
    </w:p>
    <w:p w14:paraId="7F0E3695" w14:textId="1167F0D8" w:rsidR="00492B3A" w:rsidRDefault="00492B3A" w:rsidP="00492B3A">
      <w:r>
        <w:t>&lt;ESMA_QUESTION_</w:t>
      </w:r>
      <w:r w:rsidR="00DC1B3F">
        <w:t>MMFR</w:t>
      </w:r>
      <w:r>
        <w:t>_12&gt;</w:t>
      </w:r>
    </w:p>
    <w:p w14:paraId="132A5B93" w14:textId="1AAF0104" w:rsidR="00F10AF6" w:rsidRDefault="00F10AF6" w:rsidP="00F10AF6">
      <w:pPr>
        <w:rPr>
          <w:rFonts w:cstheme="minorHAnsi"/>
        </w:rPr>
      </w:pPr>
      <w:permStart w:id="575285207" w:edGrp="everyone"/>
      <w:r w:rsidRPr="00726C4B">
        <w:rPr>
          <w:rFonts w:cstheme="minorHAnsi"/>
        </w:rPr>
        <w:t>No, we do not agree with the suggestion of creating a liquidity exchange facility (“LEF”) for MMFs. This proposal is financially untenable. As noted in the PWG Report, a LEF would need significant capital to both be in a position to provide meaningful liquidity for MMFs in stress events and be seen as a credible liquidity backstop. Building adequate capacity from MMF income could take decades, particularly in a low interest rate environment. For instance, a US trade body’s 2010 </w:t>
      </w:r>
      <w:hyperlink r:id="rId29" w:history="1">
        <w:r w:rsidRPr="00726C4B">
          <w:rPr>
            <w:rStyle w:val="Hyperlink"/>
            <w:rFonts w:cstheme="minorHAnsi"/>
          </w:rPr>
          <w:t>study</w:t>
        </w:r>
      </w:hyperlink>
      <w:r w:rsidRPr="00726C4B">
        <w:rPr>
          <w:rFonts w:cstheme="minorHAnsi"/>
        </w:rPr>
        <w:t> concluded that a LEF would require an initial equity contribution of $350 million which, assuming 5% leverage, would allow for $7 billion in lending capacity, which could potentially increase to approximately $23 billion over three years. Given current yields and fee waivers in the MMF market, this is simply not feasible.</w:t>
      </w:r>
    </w:p>
    <w:p w14:paraId="46C6BB89" w14:textId="77777777" w:rsidR="009D10FC" w:rsidRPr="00726C4B" w:rsidRDefault="009D10FC" w:rsidP="00F10AF6">
      <w:pPr>
        <w:rPr>
          <w:rFonts w:cstheme="minorHAnsi"/>
        </w:rPr>
      </w:pPr>
    </w:p>
    <w:permEnd w:id="575285207"/>
    <w:p w14:paraId="40A9AA66" w14:textId="206643A9" w:rsidR="00492B3A" w:rsidRDefault="00492B3A" w:rsidP="00492B3A">
      <w:r>
        <w:t>&lt;ESMA_QUESTION_</w:t>
      </w:r>
      <w:r w:rsidR="00DC1B3F">
        <w:t>MMFR</w:t>
      </w:r>
      <w:r>
        <w:t>_12&gt;</w:t>
      </w:r>
    </w:p>
    <w:p w14:paraId="47FAF275" w14:textId="77777777" w:rsidR="00492B3A" w:rsidRDefault="00492B3A" w:rsidP="00492B3A"/>
    <w:p w14:paraId="01343F76" w14:textId="67793062" w:rsidR="00492B3A" w:rsidRDefault="000C1BA7" w:rsidP="00492B3A">
      <w:pPr>
        <w:pStyle w:val="Questionstyle"/>
      </w:pPr>
      <w:r w:rsidRPr="00F43E30">
        <w:rPr>
          <w:bdr w:val="none" w:sz="0" w:space="0" w:color="auto" w:frame="1"/>
          <w:lang w:val="en-IE"/>
        </w:rPr>
        <w:t>Do you agree with the above assessment on the potential need of further clarification of the requirements of articles 1 and 6 of the MMF Regulation? When you answer this question, please also take into account the grid of criteria listed in paragraphs 76 to 80</w:t>
      </w:r>
      <w:r w:rsidR="00A014B6" w:rsidRPr="00A014B6">
        <w:t>.</w:t>
      </w:r>
    </w:p>
    <w:p w14:paraId="4C7333E2" w14:textId="452B3A65" w:rsidR="00492B3A" w:rsidRDefault="00492B3A" w:rsidP="00492B3A">
      <w:r>
        <w:t>&lt;ESMA_QUESTION_</w:t>
      </w:r>
      <w:r w:rsidR="00DC1B3F">
        <w:t>MMFR</w:t>
      </w:r>
      <w:r>
        <w:t>_13&gt;</w:t>
      </w:r>
    </w:p>
    <w:p w14:paraId="7A9A50C5" w14:textId="77777777" w:rsidR="00492B3A" w:rsidRDefault="00492B3A" w:rsidP="00492B3A">
      <w:permStart w:id="384379543" w:edGrp="everyone"/>
      <w:r>
        <w:t>TYPE YOUR TEXT HERE</w:t>
      </w:r>
    </w:p>
    <w:permEnd w:id="384379543"/>
    <w:p w14:paraId="0D19A1E9" w14:textId="18F528CC" w:rsidR="00492B3A" w:rsidRDefault="00492B3A" w:rsidP="00492B3A">
      <w:r>
        <w:t>&lt;ESMA_QUESTION_</w:t>
      </w:r>
      <w:r w:rsidR="00DC1B3F">
        <w:t>MMFR</w:t>
      </w:r>
      <w:r>
        <w:t>_13&gt;</w:t>
      </w:r>
    </w:p>
    <w:p w14:paraId="2B65235D" w14:textId="77777777" w:rsidR="00492B3A" w:rsidRDefault="00492B3A" w:rsidP="00492B3A"/>
    <w:p w14:paraId="5B79D316" w14:textId="77777777" w:rsidR="00014A67" w:rsidRPr="00014A67" w:rsidRDefault="00014A67" w:rsidP="00014A67">
      <w:pPr>
        <w:rPr>
          <w:lang w:eastAsia="en-US"/>
        </w:rPr>
      </w:pPr>
    </w:p>
    <w:sectPr w:rsidR="00014A67" w:rsidRPr="00014A67" w:rsidSect="00A8728B">
      <w:headerReference w:type="even" r:id="rId30"/>
      <w:headerReference w:type="first" r:id="rId31"/>
      <w:footerReference w:type="first" r:id="rId32"/>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7A8BA3" w14:textId="77777777" w:rsidR="005B599C" w:rsidRDefault="005B599C">
      <w:r>
        <w:separator/>
      </w:r>
    </w:p>
    <w:p w14:paraId="714BBBC9" w14:textId="77777777" w:rsidR="005B599C" w:rsidRDefault="005B599C"/>
  </w:endnote>
  <w:endnote w:type="continuationSeparator" w:id="0">
    <w:p w14:paraId="424EB8EC" w14:textId="77777777" w:rsidR="005B599C" w:rsidRDefault="005B599C">
      <w:r>
        <w:continuationSeparator/>
      </w:r>
    </w:p>
    <w:p w14:paraId="6118FDF7" w14:textId="77777777" w:rsidR="005B599C" w:rsidRDefault="005B599C"/>
  </w:endnote>
  <w:endnote w:type="continuationNotice" w:id="1">
    <w:p w14:paraId="57C2E633" w14:textId="77777777" w:rsidR="005B599C" w:rsidRDefault="005B59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eorgia">
    <w:altName w:val="﷽﷽﷽﷽﷽﷽﷽﷽剠̂怀"/>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rande"/>
    <w:panose1 w:val="020B0600040502020204"/>
    <w:charset w:val="00"/>
    <w:family w:val="swiss"/>
    <w:pitch w:val="variable"/>
    <w:sig w:usb0="E1000AEF" w:usb1="5000A1FF" w:usb2="00000000" w:usb3="00000000" w:csb0="000001BF" w:csb1="00000000"/>
  </w:font>
  <w:font w:name="EUAlbertina">
    <w:altName w:val="Cambria"/>
    <w:panose1 w:val="020B06040202020202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20B060402020202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panose1 w:val="020B0604020202020204"/>
    <w:charset w:val="00"/>
    <w:family w:val="roman"/>
    <w:pitch w:val="variable"/>
  </w:font>
  <w:font w:name="Myriad Pro Light">
    <w:altName w:val="Corbel"/>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5517B000" w14:textId="77777777" w:rsidTr="00315E96">
      <w:trPr>
        <w:trHeight w:val="284"/>
      </w:trPr>
      <w:tc>
        <w:tcPr>
          <w:tcW w:w="8460" w:type="dxa"/>
        </w:tcPr>
        <w:p w14:paraId="4C959F65" w14:textId="77777777" w:rsidR="00811EDA" w:rsidRPr="00315E96" w:rsidRDefault="00811EDA" w:rsidP="00315E96">
          <w:pPr>
            <w:pStyle w:val="00Footer"/>
            <w:rPr>
              <w:lang w:val="fr-FR"/>
            </w:rPr>
          </w:pPr>
        </w:p>
      </w:tc>
      <w:tc>
        <w:tcPr>
          <w:tcW w:w="952" w:type="dxa"/>
        </w:tcPr>
        <w:p w14:paraId="2310C30E" w14:textId="7777777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2E5D63">
            <w:rPr>
              <w:rFonts w:cs="Arial"/>
              <w:noProof/>
              <w:sz w:val="22"/>
              <w:szCs w:val="22"/>
            </w:rPr>
            <w:t>6</w:t>
          </w:r>
          <w:r w:rsidRPr="00616B9B">
            <w:rPr>
              <w:rFonts w:cs="Arial"/>
              <w:noProof/>
              <w:sz w:val="22"/>
              <w:szCs w:val="22"/>
            </w:rPr>
            <w:fldChar w:fldCharType="end"/>
          </w:r>
        </w:p>
      </w:tc>
    </w:tr>
  </w:tbl>
  <w:p w14:paraId="08C7C785" w14:textId="77777777" w:rsidR="00811EDA" w:rsidRDefault="00811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F6AEC"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4C2CC" w14:textId="77777777" w:rsidR="005B599C" w:rsidRDefault="005B599C">
      <w:r>
        <w:separator/>
      </w:r>
    </w:p>
    <w:p w14:paraId="50B1C581" w14:textId="77777777" w:rsidR="005B599C" w:rsidRDefault="005B599C"/>
  </w:footnote>
  <w:footnote w:type="continuationSeparator" w:id="0">
    <w:p w14:paraId="527A6502" w14:textId="77777777" w:rsidR="005B599C" w:rsidRDefault="005B599C">
      <w:r>
        <w:continuationSeparator/>
      </w:r>
    </w:p>
    <w:p w14:paraId="3C81E98D" w14:textId="77777777" w:rsidR="005B599C" w:rsidRDefault="005B599C"/>
  </w:footnote>
  <w:footnote w:type="continuationNotice" w:id="1">
    <w:p w14:paraId="401F207B" w14:textId="77777777" w:rsidR="005B599C" w:rsidRDefault="005B599C"/>
  </w:footnote>
  <w:footnote w:id="2">
    <w:p w14:paraId="30F3AD61" w14:textId="77777777" w:rsidR="006F48C3" w:rsidRPr="00C13D62" w:rsidRDefault="006F48C3" w:rsidP="006F48C3">
      <w:pPr>
        <w:pStyle w:val="FootnoteText"/>
      </w:pPr>
      <w:r>
        <w:rPr>
          <w:rStyle w:val="FootnoteReference"/>
        </w:rPr>
        <w:footnoteRef/>
      </w:r>
      <w:r>
        <w:t xml:space="preserve"> The registration statement for Federated Hermes’ Money Market Management fund in the US first became effective on 16 January 1974, making it one of the two longest continuously operating MMF managers.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3FC29" w14:textId="77777777" w:rsidR="00811EDA" w:rsidRDefault="00DE66EB">
    <w:pPr>
      <w:pStyle w:val="Header"/>
    </w:pPr>
    <w:r>
      <w:rPr>
        <w:noProof/>
        <w:lang w:eastAsia="en-GB"/>
      </w:rPr>
      <w:drawing>
        <wp:anchor distT="0" distB="0" distL="114300" distR="114300" simplePos="0" relativeHeight="251658240" behindDoc="0" locked="0" layoutInCell="1" allowOverlap="1" wp14:anchorId="58007497" wp14:editId="2485B028">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37C3A634" wp14:editId="67CBF127">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FA7D6"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7EF13" w14:textId="77777777" w:rsidR="00811EDA" w:rsidRDefault="00DE66EB" w:rsidP="00013CCE">
    <w:pPr>
      <w:pStyle w:val="Header"/>
      <w:jc w:val="right"/>
    </w:pPr>
    <w:r>
      <w:rPr>
        <w:noProof/>
        <w:lang w:eastAsia="en-GB"/>
      </w:rPr>
      <w:drawing>
        <wp:anchor distT="0" distB="0" distL="114300" distR="114300" simplePos="0" relativeHeight="251657216" behindDoc="0" locked="0" layoutInCell="1" allowOverlap="1" wp14:anchorId="15EF6453" wp14:editId="1BE880FF">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41A97CFF" wp14:editId="1E2D0B9F">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14387" w14:textId="77777777"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5849CEB8" w14:textId="77777777" w:rsidTr="000C06C9">
      <w:trPr>
        <w:trHeight w:val="284"/>
      </w:trPr>
      <w:tc>
        <w:tcPr>
          <w:tcW w:w="8460" w:type="dxa"/>
        </w:tcPr>
        <w:p w14:paraId="2B1CC9DC" w14:textId="77777777" w:rsidR="00811EDA" w:rsidRPr="000C3B6D" w:rsidRDefault="00811EDA" w:rsidP="000C06C9">
          <w:pPr>
            <w:pStyle w:val="00Footer"/>
            <w:rPr>
              <w:lang w:val="fr-FR"/>
            </w:rPr>
          </w:pPr>
        </w:p>
      </w:tc>
      <w:tc>
        <w:tcPr>
          <w:tcW w:w="952" w:type="dxa"/>
        </w:tcPr>
        <w:p w14:paraId="0A78D32B" w14:textId="77777777" w:rsidR="00811EDA" w:rsidRPr="00146B34" w:rsidRDefault="00811EDA" w:rsidP="000C06C9">
          <w:pPr>
            <w:pStyle w:val="00aPagenumber"/>
            <w:rPr>
              <w:lang w:val="fr-FR"/>
            </w:rPr>
          </w:pPr>
        </w:p>
      </w:tc>
    </w:tr>
  </w:tbl>
  <w:p w14:paraId="228C483B" w14:textId="77777777" w:rsidR="00811EDA" w:rsidRPr="00DB46C3" w:rsidRDefault="00811EDA">
    <w:pPr>
      <w:rPr>
        <w:lang w:val="fr-FR"/>
      </w:rPr>
    </w:pPr>
  </w:p>
  <w:p w14:paraId="7ABBBBAC" w14:textId="77777777" w:rsidR="00811EDA" w:rsidRPr="002F4496" w:rsidRDefault="00811EDA">
    <w:pPr>
      <w:pStyle w:val="Header"/>
      <w:rPr>
        <w:lang w:val="fr-FR"/>
      </w:rPr>
    </w:pPr>
  </w:p>
  <w:p w14:paraId="0F1BB730" w14:textId="77777777" w:rsidR="00811EDA" w:rsidRPr="002F4496" w:rsidRDefault="00811EDA" w:rsidP="000C06C9">
    <w:pPr>
      <w:pStyle w:val="Header"/>
      <w:tabs>
        <w:tab w:val="clear" w:pos="4536"/>
        <w:tab w:val="clear" w:pos="9072"/>
        <w:tab w:val="left" w:pos="8227"/>
      </w:tabs>
      <w:rPr>
        <w:lang w:val="fr-FR"/>
      </w:rPr>
    </w:pPr>
  </w:p>
  <w:p w14:paraId="354F7019" w14:textId="77777777" w:rsidR="00811EDA" w:rsidRPr="002F4496" w:rsidRDefault="00811EDA" w:rsidP="000C06C9">
    <w:pPr>
      <w:pStyle w:val="Header"/>
      <w:tabs>
        <w:tab w:val="clear" w:pos="4536"/>
        <w:tab w:val="clear" w:pos="9072"/>
        <w:tab w:val="left" w:pos="8227"/>
      </w:tabs>
      <w:rPr>
        <w:lang w:val="fr-FR"/>
      </w:rPr>
    </w:pPr>
  </w:p>
  <w:p w14:paraId="438C49BF" w14:textId="77777777" w:rsidR="00811EDA" w:rsidRPr="002F4496" w:rsidRDefault="00811EDA">
    <w:pPr>
      <w:pStyle w:val="Header"/>
      <w:rPr>
        <w:lang w:val="fr-FR"/>
      </w:rPr>
    </w:pPr>
  </w:p>
  <w:p w14:paraId="77F5F5FB" w14:textId="77777777" w:rsidR="00811EDA" w:rsidRPr="002F4496" w:rsidRDefault="00811EDA">
    <w:pPr>
      <w:pStyle w:val="Header"/>
      <w:rPr>
        <w:lang w:val="fr-FR"/>
      </w:rPr>
    </w:pPr>
  </w:p>
  <w:p w14:paraId="31EA96F8" w14:textId="77777777" w:rsidR="00811EDA" w:rsidRPr="002F4496" w:rsidRDefault="00811EDA">
    <w:pPr>
      <w:pStyle w:val="Header"/>
      <w:rPr>
        <w:lang w:val="fr-FR"/>
      </w:rPr>
    </w:pPr>
  </w:p>
  <w:p w14:paraId="0FAE7A71" w14:textId="77777777" w:rsidR="00811EDA" w:rsidRPr="002F4496" w:rsidRDefault="00811EDA">
    <w:pPr>
      <w:pStyle w:val="Header"/>
      <w:rPr>
        <w:lang w:val="fr-FR"/>
      </w:rPr>
    </w:pPr>
  </w:p>
  <w:p w14:paraId="339C0C6E" w14:textId="77777777" w:rsidR="00811EDA" w:rsidRPr="002F4496" w:rsidRDefault="00811EDA">
    <w:pPr>
      <w:pStyle w:val="Header"/>
      <w:rPr>
        <w:highlight w:val="yellow"/>
        <w:lang w:val="fr-FR"/>
      </w:rPr>
    </w:pPr>
  </w:p>
  <w:p w14:paraId="0495A777" w14:textId="77777777"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41238317" wp14:editId="0A68E944">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02F5C"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75C99C5C" wp14:editId="52805A4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F91942"/>
    <w:multiLevelType w:val="hybridMultilevel"/>
    <w:tmpl w:val="B5BC5CAA"/>
    <w:lvl w:ilvl="0" w:tplc="734CB6C8">
      <w:start w:val="1"/>
      <w:numFmt w:val="lowerLetter"/>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0B6F566A"/>
    <w:multiLevelType w:val="hybridMultilevel"/>
    <w:tmpl w:val="B5BC5CAA"/>
    <w:lvl w:ilvl="0" w:tplc="734CB6C8">
      <w:start w:val="1"/>
      <w:numFmt w:val="lowerLetter"/>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0FE6107F"/>
    <w:multiLevelType w:val="hybridMultilevel"/>
    <w:tmpl w:val="F954B76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40A765E"/>
    <w:multiLevelType w:val="hybridMultilevel"/>
    <w:tmpl w:val="B5BC5CAA"/>
    <w:lvl w:ilvl="0" w:tplc="734CB6C8">
      <w:start w:val="1"/>
      <w:numFmt w:val="lowerLetter"/>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14BA4B9E"/>
    <w:multiLevelType w:val="hybridMultilevel"/>
    <w:tmpl w:val="4BEAB304"/>
    <w:lvl w:ilvl="0" w:tplc="8ED654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9"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1"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3"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52232B"/>
    <w:multiLevelType w:val="hybridMultilevel"/>
    <w:tmpl w:val="BF362E2A"/>
    <w:lvl w:ilvl="0" w:tplc="5FB40A98">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8"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155850"/>
    <w:multiLevelType w:val="hybridMultilevel"/>
    <w:tmpl w:val="B5BC5CAA"/>
    <w:lvl w:ilvl="0" w:tplc="734CB6C8">
      <w:start w:val="1"/>
      <w:numFmt w:val="lowerLetter"/>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1"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3" w15:restartNumberingAfterBreak="0">
    <w:nsid w:val="3CC10517"/>
    <w:multiLevelType w:val="hybridMultilevel"/>
    <w:tmpl w:val="69EC0AA2"/>
    <w:lvl w:ilvl="0" w:tplc="0809000F">
      <w:start w:val="1"/>
      <w:numFmt w:val="decimal"/>
      <w:lvlText w:val="%1."/>
      <w:lvlJc w:val="left"/>
      <w:pPr>
        <w:ind w:left="360" w:hanging="360"/>
      </w:pPr>
    </w:lvl>
    <w:lvl w:ilvl="1" w:tplc="8904E17E">
      <w:start w:val="1"/>
      <w:numFmt w:val="lowerLetter"/>
      <w:lvlText w:val="%2."/>
      <w:lvlJc w:val="left"/>
      <w:pPr>
        <w:ind w:left="1080" w:hanging="360"/>
      </w:pPr>
      <w:rPr>
        <w:rFonts w:hint="default"/>
      </w:rPr>
    </w:lvl>
    <w:lvl w:ilvl="2" w:tplc="6CBC0372">
      <w:start w:val="1"/>
      <w:numFmt w:val="low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3637235"/>
    <w:multiLevelType w:val="hybridMultilevel"/>
    <w:tmpl w:val="39027E50"/>
    <w:lvl w:ilvl="0" w:tplc="4422256C">
      <w:start w:val="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6" w15:restartNumberingAfterBreak="0">
    <w:nsid w:val="48702528"/>
    <w:multiLevelType w:val="multilevel"/>
    <w:tmpl w:val="47DEA1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8"/>
      <w:numFmt w:val="bullet"/>
      <w:lvlText w:val="-"/>
      <w:lvlJc w:val="left"/>
      <w:pPr>
        <w:ind w:left="1800" w:hanging="360"/>
      </w:pPr>
      <w:rPr>
        <w:rFonts w:ascii="Arial" w:eastAsiaTheme="minorEastAsia" w:hAnsi="Arial" w:cs="Aria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8" w15:restartNumberingAfterBreak="0">
    <w:nsid w:val="49D66426"/>
    <w:multiLevelType w:val="hybridMultilevel"/>
    <w:tmpl w:val="B5BC5CAA"/>
    <w:lvl w:ilvl="0" w:tplc="734CB6C8">
      <w:start w:val="1"/>
      <w:numFmt w:val="lowerLetter"/>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1" w15:restartNumberingAfterBreak="0">
    <w:nsid w:val="4C2E55CD"/>
    <w:multiLevelType w:val="multilevel"/>
    <w:tmpl w:val="BB4AA940"/>
    <w:lvl w:ilvl="0">
      <w:start w:val="1"/>
      <w:numFmt w:val="decimal"/>
      <w:lvlText w:val="%1."/>
      <w:lvlJc w:val="left"/>
      <w:pPr>
        <w:tabs>
          <w:tab w:val="num" w:pos="720"/>
        </w:tabs>
        <w:ind w:left="720" w:hanging="720"/>
      </w:pPr>
    </w:lvl>
    <w:lvl w:ilvl="1">
      <w:start w:val="4"/>
      <w:numFmt w:val="bullet"/>
      <w:lvlText w:val="-"/>
      <w:lvlJc w:val="left"/>
      <w:pPr>
        <w:ind w:left="1080" w:hanging="360"/>
      </w:pPr>
      <w:rPr>
        <w:rFonts w:ascii="Calibri" w:eastAsiaTheme="minorHAnsi" w:hAnsi="Calibri" w:cs="Calibri" w:hint="default"/>
      </w:rPr>
    </w:lvl>
    <w:lvl w:ilvl="2">
      <w:start w:val="8"/>
      <w:numFmt w:val="bullet"/>
      <w:lvlText w:val="-"/>
      <w:lvlJc w:val="left"/>
      <w:pPr>
        <w:ind w:left="1800" w:hanging="360"/>
      </w:pPr>
      <w:rPr>
        <w:rFonts w:ascii="Arial" w:eastAsiaTheme="minorEastAsia" w:hAnsi="Arial" w:cs="Aria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1F5624A"/>
    <w:multiLevelType w:val="hybridMultilevel"/>
    <w:tmpl w:val="107E083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6"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8" w15:restartNumberingAfterBreak="0">
    <w:nsid w:val="58322DB9"/>
    <w:multiLevelType w:val="hybridMultilevel"/>
    <w:tmpl w:val="B5BC5CAA"/>
    <w:lvl w:ilvl="0" w:tplc="734CB6C8">
      <w:start w:val="1"/>
      <w:numFmt w:val="lowerLetter"/>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5B16374A"/>
    <w:multiLevelType w:val="hybridMultilevel"/>
    <w:tmpl w:val="B5BC5CAA"/>
    <w:lvl w:ilvl="0" w:tplc="734CB6C8">
      <w:start w:val="1"/>
      <w:numFmt w:val="lowerLetter"/>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1"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2"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3"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0C66790"/>
    <w:multiLevelType w:val="hybridMultilevel"/>
    <w:tmpl w:val="B2E8FC1E"/>
    <w:lvl w:ilvl="0" w:tplc="08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1E67700"/>
    <w:multiLevelType w:val="hybridMultilevel"/>
    <w:tmpl w:val="75FA8684"/>
    <w:lvl w:ilvl="0" w:tplc="34B43D72">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47"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697500F8"/>
    <w:multiLevelType w:val="hybridMultilevel"/>
    <w:tmpl w:val="B5BC5CAA"/>
    <w:lvl w:ilvl="0" w:tplc="734CB6C8">
      <w:start w:val="1"/>
      <w:numFmt w:val="lowerLetter"/>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9" w15:restartNumberingAfterBreak="0">
    <w:nsid w:val="6C170453"/>
    <w:multiLevelType w:val="hybridMultilevel"/>
    <w:tmpl w:val="B5BC5CAA"/>
    <w:lvl w:ilvl="0" w:tplc="734CB6C8">
      <w:start w:val="1"/>
      <w:numFmt w:val="lowerLetter"/>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0" w15:restartNumberingAfterBreak="0">
    <w:nsid w:val="6C6775C6"/>
    <w:multiLevelType w:val="hybridMultilevel"/>
    <w:tmpl w:val="B5BC5CAA"/>
    <w:lvl w:ilvl="0" w:tplc="734CB6C8">
      <w:start w:val="1"/>
      <w:numFmt w:val="lowerLetter"/>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5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5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21"/>
  </w:num>
  <w:num w:numId="2">
    <w:abstractNumId w:val="25"/>
  </w:num>
  <w:num w:numId="3">
    <w:abstractNumId w:val="15"/>
  </w:num>
  <w:num w:numId="4">
    <w:abstractNumId w:val="34"/>
  </w:num>
  <w:num w:numId="5">
    <w:abstractNumId w:val="36"/>
  </w:num>
  <w:num w:numId="6">
    <w:abstractNumId w:val="0"/>
  </w:num>
  <w:num w:numId="7">
    <w:abstractNumId w:val="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num>
  <w:num w:numId="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43"/>
  </w:num>
  <w:num w:numId="14">
    <w:abstractNumId w:val="32"/>
  </w:num>
  <w:num w:numId="15">
    <w:abstractNumId w:val="13"/>
  </w:num>
  <w:num w:numId="16">
    <w:abstractNumId w:val="1"/>
  </w:num>
  <w:num w:numId="17">
    <w:abstractNumId w:val="18"/>
  </w:num>
  <w:num w:numId="18">
    <w:abstractNumId w:val="20"/>
  </w:num>
  <w:num w:numId="19">
    <w:abstractNumId w:val="22"/>
  </w:num>
  <w:num w:numId="20">
    <w:abstractNumId w:val="37"/>
  </w:num>
  <w:num w:numId="21">
    <w:abstractNumId w:val="53"/>
  </w:num>
  <w:num w:numId="22">
    <w:abstractNumId w:val="35"/>
  </w:num>
  <w:num w:numId="23">
    <w:abstractNumId w:val="12"/>
  </w:num>
  <w:num w:numId="24">
    <w:abstractNumId w:val="42"/>
  </w:num>
  <w:num w:numId="25">
    <w:abstractNumId w:val="41"/>
  </w:num>
  <w:num w:numId="26">
    <w:abstractNumId w:val="27"/>
  </w:num>
  <w:num w:numId="27">
    <w:abstractNumId w:val="47"/>
  </w:num>
  <w:num w:numId="28">
    <w:abstractNumId w:val="55"/>
  </w:num>
  <w:num w:numId="29">
    <w:abstractNumId w:val="10"/>
  </w:num>
  <w:num w:numId="30">
    <w:abstractNumId w:val="7"/>
  </w:num>
  <w:num w:numId="31">
    <w:abstractNumId w:val="30"/>
  </w:num>
  <w:num w:numId="32">
    <w:abstractNumId w:val="29"/>
  </w:num>
  <w:num w:numId="33">
    <w:abstractNumId w:val="52"/>
  </w:num>
  <w:num w:numId="34">
    <w:abstractNumId w:val="51"/>
  </w:num>
  <w:num w:numId="35">
    <w:abstractNumId w:val="14"/>
  </w:num>
  <w:num w:numId="36">
    <w:abstractNumId w:val="16"/>
  </w:num>
  <w:num w:numId="37">
    <w:abstractNumId w:val="45"/>
  </w:num>
  <w:num w:numId="38">
    <w:abstractNumId w:val="16"/>
    <w:lvlOverride w:ilvl="0">
      <w:startOverride w:val="1"/>
    </w:lvlOverride>
  </w:num>
  <w:num w:numId="39">
    <w:abstractNumId w:val="4"/>
  </w:num>
  <w:num w:numId="40">
    <w:abstractNumId w:val="23"/>
  </w:num>
  <w:num w:numId="41">
    <w:abstractNumId w:val="33"/>
  </w:num>
  <w:num w:numId="42">
    <w:abstractNumId w:val="6"/>
  </w:num>
  <w:num w:numId="43">
    <w:abstractNumId w:val="26"/>
  </w:num>
  <w:num w:numId="44">
    <w:abstractNumId w:val="31"/>
  </w:num>
  <w:num w:numId="45">
    <w:abstractNumId w:val="40"/>
  </w:num>
  <w:num w:numId="46">
    <w:abstractNumId w:val="3"/>
  </w:num>
  <w:num w:numId="47">
    <w:abstractNumId w:val="49"/>
  </w:num>
  <w:num w:numId="48">
    <w:abstractNumId w:val="38"/>
  </w:num>
  <w:num w:numId="49">
    <w:abstractNumId w:val="24"/>
  </w:num>
  <w:num w:numId="50">
    <w:abstractNumId w:val="50"/>
  </w:num>
  <w:num w:numId="51">
    <w:abstractNumId w:val="48"/>
  </w:num>
  <w:num w:numId="52">
    <w:abstractNumId w:val="19"/>
  </w:num>
  <w:num w:numId="53">
    <w:abstractNumId w:val="28"/>
  </w:num>
  <w:num w:numId="54">
    <w:abstractNumId w:val="5"/>
  </w:num>
  <w:num w:numId="55">
    <w:abstractNumId w:val="2"/>
  </w:num>
  <w:num w:numId="56">
    <w:abstractNumId w:val="4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Ejv/gKEZsV5EvM8OivcqZUTc+fjpvceAPQ+oJQnjBU2RmfVdKT6qAKEwDcIINMiH+7EdOlnEmydkpDBXlcyQyQ==" w:salt="8tGsDj2N2K2SdAXO9M7drw=="/>
  <w:defaultTabStop w:val="709"/>
  <w:autoHyphenation/>
  <w:hyphenationZone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8A1"/>
    <w:rsid w:val="00006C2B"/>
    <w:rsid w:val="00007014"/>
    <w:rsid w:val="00007968"/>
    <w:rsid w:val="0001067A"/>
    <w:rsid w:val="00013CCE"/>
    <w:rsid w:val="000140D5"/>
    <w:rsid w:val="0001410B"/>
    <w:rsid w:val="000141D6"/>
    <w:rsid w:val="00014A67"/>
    <w:rsid w:val="00014A95"/>
    <w:rsid w:val="00015B5E"/>
    <w:rsid w:val="00015F1D"/>
    <w:rsid w:val="0001774B"/>
    <w:rsid w:val="00020D0F"/>
    <w:rsid w:val="000215EB"/>
    <w:rsid w:val="00021E83"/>
    <w:rsid w:val="000229B7"/>
    <w:rsid w:val="00023713"/>
    <w:rsid w:val="00023C4D"/>
    <w:rsid w:val="00025E71"/>
    <w:rsid w:val="00026035"/>
    <w:rsid w:val="00026269"/>
    <w:rsid w:val="00027154"/>
    <w:rsid w:val="00027ECF"/>
    <w:rsid w:val="000303BE"/>
    <w:rsid w:val="000321C9"/>
    <w:rsid w:val="000344D6"/>
    <w:rsid w:val="00034960"/>
    <w:rsid w:val="00036FAE"/>
    <w:rsid w:val="00041690"/>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5503"/>
    <w:rsid w:val="0007609D"/>
    <w:rsid w:val="00077C67"/>
    <w:rsid w:val="00080976"/>
    <w:rsid w:val="00081148"/>
    <w:rsid w:val="00081CEB"/>
    <w:rsid w:val="00081E60"/>
    <w:rsid w:val="00082D8E"/>
    <w:rsid w:val="00082E31"/>
    <w:rsid w:val="00083AA3"/>
    <w:rsid w:val="000844F2"/>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0890"/>
    <w:rsid w:val="000B275C"/>
    <w:rsid w:val="000B2C3D"/>
    <w:rsid w:val="000B55C0"/>
    <w:rsid w:val="000B5DF2"/>
    <w:rsid w:val="000C06C9"/>
    <w:rsid w:val="000C1BA7"/>
    <w:rsid w:val="000C1DCC"/>
    <w:rsid w:val="000C1FBC"/>
    <w:rsid w:val="000C2B6A"/>
    <w:rsid w:val="000C2F88"/>
    <w:rsid w:val="000C55C8"/>
    <w:rsid w:val="000C57C4"/>
    <w:rsid w:val="000C5FD3"/>
    <w:rsid w:val="000C701D"/>
    <w:rsid w:val="000C7C4A"/>
    <w:rsid w:val="000D1773"/>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0F99"/>
    <w:rsid w:val="000F3C5C"/>
    <w:rsid w:val="000F55B7"/>
    <w:rsid w:val="000F604F"/>
    <w:rsid w:val="000F7399"/>
    <w:rsid w:val="001021EF"/>
    <w:rsid w:val="001027F1"/>
    <w:rsid w:val="00104F2E"/>
    <w:rsid w:val="00106124"/>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451A"/>
    <w:rsid w:val="001459E3"/>
    <w:rsid w:val="00146A0B"/>
    <w:rsid w:val="00146A6C"/>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268A"/>
    <w:rsid w:val="00173AC7"/>
    <w:rsid w:val="001745D7"/>
    <w:rsid w:val="00175754"/>
    <w:rsid w:val="00176982"/>
    <w:rsid w:val="0017701C"/>
    <w:rsid w:val="00177C6B"/>
    <w:rsid w:val="00181264"/>
    <w:rsid w:val="001817D7"/>
    <w:rsid w:val="00181BD1"/>
    <w:rsid w:val="0018204A"/>
    <w:rsid w:val="00182526"/>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1005"/>
    <w:rsid w:val="00204CBC"/>
    <w:rsid w:val="002051F1"/>
    <w:rsid w:val="002067BA"/>
    <w:rsid w:val="0021058D"/>
    <w:rsid w:val="00211E2F"/>
    <w:rsid w:val="00211E9E"/>
    <w:rsid w:val="00214FB4"/>
    <w:rsid w:val="00215940"/>
    <w:rsid w:val="00216540"/>
    <w:rsid w:val="00217C23"/>
    <w:rsid w:val="00220561"/>
    <w:rsid w:val="00220CE4"/>
    <w:rsid w:val="00222D9B"/>
    <w:rsid w:val="00223788"/>
    <w:rsid w:val="00223D11"/>
    <w:rsid w:val="002242D3"/>
    <w:rsid w:val="002301E6"/>
    <w:rsid w:val="00230776"/>
    <w:rsid w:val="00232F90"/>
    <w:rsid w:val="00233B08"/>
    <w:rsid w:val="00233C3B"/>
    <w:rsid w:val="0023499C"/>
    <w:rsid w:val="00235CE3"/>
    <w:rsid w:val="0023636A"/>
    <w:rsid w:val="00236F34"/>
    <w:rsid w:val="002372F7"/>
    <w:rsid w:val="00240651"/>
    <w:rsid w:val="00240803"/>
    <w:rsid w:val="00241178"/>
    <w:rsid w:val="00243161"/>
    <w:rsid w:val="0024426D"/>
    <w:rsid w:val="00244F1D"/>
    <w:rsid w:val="00245004"/>
    <w:rsid w:val="00245FB4"/>
    <w:rsid w:val="00247FB6"/>
    <w:rsid w:val="00250898"/>
    <w:rsid w:val="00251EA9"/>
    <w:rsid w:val="00252843"/>
    <w:rsid w:val="002543F8"/>
    <w:rsid w:val="002551A4"/>
    <w:rsid w:val="002559F3"/>
    <w:rsid w:val="00256DFE"/>
    <w:rsid w:val="00261D56"/>
    <w:rsid w:val="00261FD3"/>
    <w:rsid w:val="00264077"/>
    <w:rsid w:val="00266B9A"/>
    <w:rsid w:val="00266E37"/>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925"/>
    <w:rsid w:val="002A0C82"/>
    <w:rsid w:val="002A0CD8"/>
    <w:rsid w:val="002A13EB"/>
    <w:rsid w:val="002A35EF"/>
    <w:rsid w:val="002A3DE0"/>
    <w:rsid w:val="002A40EA"/>
    <w:rsid w:val="002A46E8"/>
    <w:rsid w:val="002A491C"/>
    <w:rsid w:val="002B1FEF"/>
    <w:rsid w:val="002B2DF8"/>
    <w:rsid w:val="002B354F"/>
    <w:rsid w:val="002B3614"/>
    <w:rsid w:val="002B3C0D"/>
    <w:rsid w:val="002B45D1"/>
    <w:rsid w:val="002B4ED8"/>
    <w:rsid w:val="002B4FAA"/>
    <w:rsid w:val="002B52C2"/>
    <w:rsid w:val="002B711D"/>
    <w:rsid w:val="002B7656"/>
    <w:rsid w:val="002C1492"/>
    <w:rsid w:val="002C1E8B"/>
    <w:rsid w:val="002C27F9"/>
    <w:rsid w:val="002C2EFE"/>
    <w:rsid w:val="002C53AA"/>
    <w:rsid w:val="002C5B2D"/>
    <w:rsid w:val="002C6AF9"/>
    <w:rsid w:val="002C7DFC"/>
    <w:rsid w:val="002D14F3"/>
    <w:rsid w:val="002D16E4"/>
    <w:rsid w:val="002D2FEF"/>
    <w:rsid w:val="002D36C2"/>
    <w:rsid w:val="002D3FCB"/>
    <w:rsid w:val="002D4FE0"/>
    <w:rsid w:val="002D4FEF"/>
    <w:rsid w:val="002D502D"/>
    <w:rsid w:val="002D63F5"/>
    <w:rsid w:val="002D6E1A"/>
    <w:rsid w:val="002E036D"/>
    <w:rsid w:val="002E1517"/>
    <w:rsid w:val="002E1B22"/>
    <w:rsid w:val="002E30BB"/>
    <w:rsid w:val="002E387F"/>
    <w:rsid w:val="002E5D63"/>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127F"/>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60F8"/>
    <w:rsid w:val="003273FE"/>
    <w:rsid w:val="0033194F"/>
    <w:rsid w:val="00332304"/>
    <w:rsid w:val="00332406"/>
    <w:rsid w:val="00332D8D"/>
    <w:rsid w:val="003331A2"/>
    <w:rsid w:val="00336B56"/>
    <w:rsid w:val="00340690"/>
    <w:rsid w:val="00341B25"/>
    <w:rsid w:val="00341EC0"/>
    <w:rsid w:val="0034240C"/>
    <w:rsid w:val="003433CF"/>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669E5"/>
    <w:rsid w:val="0037018D"/>
    <w:rsid w:val="00372299"/>
    <w:rsid w:val="00372F02"/>
    <w:rsid w:val="00373729"/>
    <w:rsid w:val="00373C91"/>
    <w:rsid w:val="003748F0"/>
    <w:rsid w:val="003755C6"/>
    <w:rsid w:val="00375AEF"/>
    <w:rsid w:val="00375F8E"/>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A0A78"/>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D7C66"/>
    <w:rsid w:val="003E0F84"/>
    <w:rsid w:val="003E1FF3"/>
    <w:rsid w:val="003E39F0"/>
    <w:rsid w:val="003E3ACA"/>
    <w:rsid w:val="003E3C12"/>
    <w:rsid w:val="003E50EA"/>
    <w:rsid w:val="003E68C7"/>
    <w:rsid w:val="003E79B0"/>
    <w:rsid w:val="003F0403"/>
    <w:rsid w:val="003F1094"/>
    <w:rsid w:val="003F1D41"/>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5688"/>
    <w:rsid w:val="0041634D"/>
    <w:rsid w:val="00417EF7"/>
    <w:rsid w:val="00422A7D"/>
    <w:rsid w:val="00422BFC"/>
    <w:rsid w:val="00424642"/>
    <w:rsid w:val="0042504C"/>
    <w:rsid w:val="0042558E"/>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356"/>
    <w:rsid w:val="00470773"/>
    <w:rsid w:val="00471FF9"/>
    <w:rsid w:val="00473E74"/>
    <w:rsid w:val="00473FEF"/>
    <w:rsid w:val="00475B8E"/>
    <w:rsid w:val="0047670D"/>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2B3A"/>
    <w:rsid w:val="004934E9"/>
    <w:rsid w:val="00494737"/>
    <w:rsid w:val="00494D5C"/>
    <w:rsid w:val="00495A6A"/>
    <w:rsid w:val="004964F6"/>
    <w:rsid w:val="00496821"/>
    <w:rsid w:val="00497750"/>
    <w:rsid w:val="00497B44"/>
    <w:rsid w:val="004A00E5"/>
    <w:rsid w:val="004A01A7"/>
    <w:rsid w:val="004A03FB"/>
    <w:rsid w:val="004A0D09"/>
    <w:rsid w:val="004A116E"/>
    <w:rsid w:val="004A329C"/>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77A"/>
    <w:rsid w:val="004E49B0"/>
    <w:rsid w:val="004E62DE"/>
    <w:rsid w:val="004E6AE4"/>
    <w:rsid w:val="004E6B05"/>
    <w:rsid w:val="004E76A1"/>
    <w:rsid w:val="004F05DE"/>
    <w:rsid w:val="004F48A3"/>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1F47"/>
    <w:rsid w:val="00542297"/>
    <w:rsid w:val="005424BC"/>
    <w:rsid w:val="00542A28"/>
    <w:rsid w:val="005441D4"/>
    <w:rsid w:val="0054672D"/>
    <w:rsid w:val="00550F4E"/>
    <w:rsid w:val="005532B5"/>
    <w:rsid w:val="005534DB"/>
    <w:rsid w:val="00554A05"/>
    <w:rsid w:val="00555849"/>
    <w:rsid w:val="005559A8"/>
    <w:rsid w:val="00557048"/>
    <w:rsid w:val="00557FB5"/>
    <w:rsid w:val="00560EC2"/>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57DF"/>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3BC7"/>
    <w:rsid w:val="005B4079"/>
    <w:rsid w:val="005B428E"/>
    <w:rsid w:val="005B599C"/>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D6C8C"/>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5F6F7F"/>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17FB9"/>
    <w:rsid w:val="0062052C"/>
    <w:rsid w:val="00620D7C"/>
    <w:rsid w:val="00621089"/>
    <w:rsid w:val="00621E1F"/>
    <w:rsid w:val="006228B2"/>
    <w:rsid w:val="006228E1"/>
    <w:rsid w:val="00622E32"/>
    <w:rsid w:val="00623688"/>
    <w:rsid w:val="006247E0"/>
    <w:rsid w:val="00625F82"/>
    <w:rsid w:val="00627999"/>
    <w:rsid w:val="006301E3"/>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57B02"/>
    <w:rsid w:val="00660B0D"/>
    <w:rsid w:val="00660BF0"/>
    <w:rsid w:val="0066189C"/>
    <w:rsid w:val="006630CF"/>
    <w:rsid w:val="00663EFF"/>
    <w:rsid w:val="00666F74"/>
    <w:rsid w:val="00667FEA"/>
    <w:rsid w:val="006706E1"/>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0D0A"/>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8C3"/>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1C5"/>
    <w:rsid w:val="00743DE7"/>
    <w:rsid w:val="0074509E"/>
    <w:rsid w:val="00745B9F"/>
    <w:rsid w:val="0074726F"/>
    <w:rsid w:val="0075015C"/>
    <w:rsid w:val="00752D4F"/>
    <w:rsid w:val="00752DC8"/>
    <w:rsid w:val="0075409F"/>
    <w:rsid w:val="0075525A"/>
    <w:rsid w:val="00755609"/>
    <w:rsid w:val="00755874"/>
    <w:rsid w:val="00755986"/>
    <w:rsid w:val="00755A81"/>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6C11"/>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EFB"/>
    <w:rsid w:val="007B5F3B"/>
    <w:rsid w:val="007C02B0"/>
    <w:rsid w:val="007C063E"/>
    <w:rsid w:val="007C068C"/>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090C"/>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7F79DB"/>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0B6"/>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D24"/>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2F5"/>
    <w:rsid w:val="00895818"/>
    <w:rsid w:val="008A2585"/>
    <w:rsid w:val="008A2718"/>
    <w:rsid w:val="008A4CF6"/>
    <w:rsid w:val="008A4E42"/>
    <w:rsid w:val="008A51AA"/>
    <w:rsid w:val="008A6A12"/>
    <w:rsid w:val="008B0DC6"/>
    <w:rsid w:val="008B2B9E"/>
    <w:rsid w:val="008B31F5"/>
    <w:rsid w:val="008B4C79"/>
    <w:rsid w:val="008B5D2D"/>
    <w:rsid w:val="008B6022"/>
    <w:rsid w:val="008B6361"/>
    <w:rsid w:val="008B7BAA"/>
    <w:rsid w:val="008C0320"/>
    <w:rsid w:val="008C1A51"/>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42A"/>
    <w:rsid w:val="00907631"/>
    <w:rsid w:val="00907776"/>
    <w:rsid w:val="00913401"/>
    <w:rsid w:val="00913567"/>
    <w:rsid w:val="009137B6"/>
    <w:rsid w:val="009147F5"/>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3A42"/>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590C"/>
    <w:rsid w:val="009661B8"/>
    <w:rsid w:val="009661DF"/>
    <w:rsid w:val="009667BD"/>
    <w:rsid w:val="00967674"/>
    <w:rsid w:val="00967CE2"/>
    <w:rsid w:val="00971DA3"/>
    <w:rsid w:val="00972161"/>
    <w:rsid w:val="0097261B"/>
    <w:rsid w:val="009744FD"/>
    <w:rsid w:val="00974881"/>
    <w:rsid w:val="0097606C"/>
    <w:rsid w:val="00976448"/>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578D"/>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10FC"/>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4B6"/>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0762"/>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1E2F"/>
    <w:rsid w:val="00AF201E"/>
    <w:rsid w:val="00AF38AF"/>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67E4"/>
    <w:rsid w:val="00B472AB"/>
    <w:rsid w:val="00B47CE4"/>
    <w:rsid w:val="00B503A8"/>
    <w:rsid w:val="00B5055B"/>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41E"/>
    <w:rsid w:val="00B85661"/>
    <w:rsid w:val="00B85C8A"/>
    <w:rsid w:val="00B86FBD"/>
    <w:rsid w:val="00B91B86"/>
    <w:rsid w:val="00B927CA"/>
    <w:rsid w:val="00B928AE"/>
    <w:rsid w:val="00B93CDA"/>
    <w:rsid w:val="00B942E9"/>
    <w:rsid w:val="00B9433A"/>
    <w:rsid w:val="00B948EE"/>
    <w:rsid w:val="00B949F5"/>
    <w:rsid w:val="00B94BF3"/>
    <w:rsid w:val="00B94F90"/>
    <w:rsid w:val="00B95DC5"/>
    <w:rsid w:val="00B97E34"/>
    <w:rsid w:val="00B97FEF"/>
    <w:rsid w:val="00BA1354"/>
    <w:rsid w:val="00BA24F8"/>
    <w:rsid w:val="00BA31AA"/>
    <w:rsid w:val="00BA45D8"/>
    <w:rsid w:val="00BA5828"/>
    <w:rsid w:val="00BA647A"/>
    <w:rsid w:val="00BA64B3"/>
    <w:rsid w:val="00BA7228"/>
    <w:rsid w:val="00BA754A"/>
    <w:rsid w:val="00BA7820"/>
    <w:rsid w:val="00BA794C"/>
    <w:rsid w:val="00BB09FB"/>
    <w:rsid w:val="00BB1617"/>
    <w:rsid w:val="00BB238D"/>
    <w:rsid w:val="00BB37CC"/>
    <w:rsid w:val="00BB48C4"/>
    <w:rsid w:val="00BB4956"/>
    <w:rsid w:val="00BB5C6F"/>
    <w:rsid w:val="00BB6907"/>
    <w:rsid w:val="00BB7A20"/>
    <w:rsid w:val="00BC15B1"/>
    <w:rsid w:val="00BC16E9"/>
    <w:rsid w:val="00BC1D4B"/>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37A5"/>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372AF"/>
    <w:rsid w:val="00C400B0"/>
    <w:rsid w:val="00C40F4E"/>
    <w:rsid w:val="00C413FC"/>
    <w:rsid w:val="00C422C5"/>
    <w:rsid w:val="00C4245C"/>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0415"/>
    <w:rsid w:val="00C729C7"/>
    <w:rsid w:val="00C761FA"/>
    <w:rsid w:val="00C777AD"/>
    <w:rsid w:val="00C80C53"/>
    <w:rsid w:val="00C81195"/>
    <w:rsid w:val="00C85387"/>
    <w:rsid w:val="00C85E52"/>
    <w:rsid w:val="00C86471"/>
    <w:rsid w:val="00C8677B"/>
    <w:rsid w:val="00C86F96"/>
    <w:rsid w:val="00C909C6"/>
    <w:rsid w:val="00C923B7"/>
    <w:rsid w:val="00C93A9C"/>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0E0A"/>
    <w:rsid w:val="00CC1783"/>
    <w:rsid w:val="00CC38E9"/>
    <w:rsid w:val="00CC3B46"/>
    <w:rsid w:val="00CC3D8B"/>
    <w:rsid w:val="00CC49EE"/>
    <w:rsid w:val="00CC4E27"/>
    <w:rsid w:val="00CC570C"/>
    <w:rsid w:val="00CC62B6"/>
    <w:rsid w:val="00CC76AA"/>
    <w:rsid w:val="00CC7CD2"/>
    <w:rsid w:val="00CD05CF"/>
    <w:rsid w:val="00CD06AB"/>
    <w:rsid w:val="00CD1FAE"/>
    <w:rsid w:val="00CD232F"/>
    <w:rsid w:val="00CD279E"/>
    <w:rsid w:val="00CD2986"/>
    <w:rsid w:val="00CD2F92"/>
    <w:rsid w:val="00CD3899"/>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4AAA"/>
    <w:rsid w:val="00D64B69"/>
    <w:rsid w:val="00D67101"/>
    <w:rsid w:val="00D7106D"/>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523"/>
    <w:rsid w:val="00DA5B13"/>
    <w:rsid w:val="00DA6917"/>
    <w:rsid w:val="00DA6926"/>
    <w:rsid w:val="00DB0965"/>
    <w:rsid w:val="00DB0E47"/>
    <w:rsid w:val="00DB2BDD"/>
    <w:rsid w:val="00DB4121"/>
    <w:rsid w:val="00DB46C3"/>
    <w:rsid w:val="00DB5742"/>
    <w:rsid w:val="00DB5EDF"/>
    <w:rsid w:val="00DB6C46"/>
    <w:rsid w:val="00DB72B8"/>
    <w:rsid w:val="00DC16AF"/>
    <w:rsid w:val="00DC1B3F"/>
    <w:rsid w:val="00DC2A9A"/>
    <w:rsid w:val="00DC2E2E"/>
    <w:rsid w:val="00DC4D68"/>
    <w:rsid w:val="00DC4E3C"/>
    <w:rsid w:val="00DC6463"/>
    <w:rsid w:val="00DC7822"/>
    <w:rsid w:val="00DC7AF1"/>
    <w:rsid w:val="00DD2D92"/>
    <w:rsid w:val="00DD3026"/>
    <w:rsid w:val="00DD33DC"/>
    <w:rsid w:val="00DD3BB0"/>
    <w:rsid w:val="00DD4A46"/>
    <w:rsid w:val="00DD61F5"/>
    <w:rsid w:val="00DE2FC2"/>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8BE"/>
    <w:rsid w:val="00E25DBD"/>
    <w:rsid w:val="00E25FA2"/>
    <w:rsid w:val="00E2723D"/>
    <w:rsid w:val="00E27C77"/>
    <w:rsid w:val="00E3179E"/>
    <w:rsid w:val="00E32AC9"/>
    <w:rsid w:val="00E34586"/>
    <w:rsid w:val="00E354DA"/>
    <w:rsid w:val="00E354F5"/>
    <w:rsid w:val="00E3687E"/>
    <w:rsid w:val="00E372DD"/>
    <w:rsid w:val="00E40974"/>
    <w:rsid w:val="00E40A5C"/>
    <w:rsid w:val="00E40AAB"/>
    <w:rsid w:val="00E41205"/>
    <w:rsid w:val="00E41F32"/>
    <w:rsid w:val="00E425E1"/>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048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1748"/>
    <w:rsid w:val="00F024E2"/>
    <w:rsid w:val="00F02C04"/>
    <w:rsid w:val="00F03AF1"/>
    <w:rsid w:val="00F04BCD"/>
    <w:rsid w:val="00F05A8C"/>
    <w:rsid w:val="00F06211"/>
    <w:rsid w:val="00F10A54"/>
    <w:rsid w:val="00F10AF6"/>
    <w:rsid w:val="00F10D35"/>
    <w:rsid w:val="00F123D0"/>
    <w:rsid w:val="00F13200"/>
    <w:rsid w:val="00F13411"/>
    <w:rsid w:val="00F143BA"/>
    <w:rsid w:val="00F14D98"/>
    <w:rsid w:val="00F170BB"/>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25"/>
    <w:rsid w:val="00F82FF3"/>
    <w:rsid w:val="00F8453C"/>
    <w:rsid w:val="00F84D4C"/>
    <w:rsid w:val="00F8657D"/>
    <w:rsid w:val="00F8730F"/>
    <w:rsid w:val="00F87631"/>
    <w:rsid w:val="00F87DA3"/>
    <w:rsid w:val="00F90004"/>
    <w:rsid w:val="00F90EF4"/>
    <w:rsid w:val="00F917BF"/>
    <w:rsid w:val="00F920B4"/>
    <w:rsid w:val="00F9260D"/>
    <w:rsid w:val="00F92727"/>
    <w:rsid w:val="00F93CCF"/>
    <w:rsid w:val="00F94307"/>
    <w:rsid w:val="00F9580B"/>
    <w:rsid w:val="00F95F15"/>
    <w:rsid w:val="00F968C6"/>
    <w:rsid w:val="00F975CA"/>
    <w:rsid w:val="00FA0B60"/>
    <w:rsid w:val="00FA2528"/>
    <w:rsid w:val="00FA5535"/>
    <w:rsid w:val="00FA7206"/>
    <w:rsid w:val="00FA7E01"/>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C7F28"/>
    <w:rsid w:val="00FD0F60"/>
    <w:rsid w:val="00FD13EA"/>
    <w:rsid w:val="00FD5EC4"/>
    <w:rsid w:val="00FD67EC"/>
    <w:rsid w:val="00FD7858"/>
    <w:rsid w:val="00FD7A8D"/>
    <w:rsid w:val="00FE1330"/>
    <w:rsid w:val="00FE1CE5"/>
    <w:rsid w:val="00FE2832"/>
    <w:rsid w:val="00FE2D38"/>
    <w:rsid w:val="00FE3929"/>
    <w:rsid w:val="00FE40D3"/>
    <w:rsid w:val="00FE6577"/>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8CD27"/>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1A2"/>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uiPriority w:val="99"/>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76448"/>
    <w:pPr>
      <w:numPr>
        <w:numId w:val="36"/>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976448"/>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Paragraph">
    <w:name w:val="Paragraph"/>
    <w:basedOn w:val="Normal"/>
    <w:link w:val="ParagraphChar"/>
    <w:qFormat/>
    <w:rsid w:val="00106124"/>
    <w:pPr>
      <w:spacing w:before="120" w:after="120" w:line="276" w:lineRule="auto"/>
      <w:ind w:left="360" w:hanging="360"/>
      <w:jc w:val="both"/>
    </w:pPr>
    <w:rPr>
      <w:rFonts w:asciiTheme="minorHAnsi" w:hAnsiTheme="minorHAnsi"/>
      <w:sz w:val="22"/>
      <w:szCs w:val="20"/>
      <w:lang w:eastAsia="en-US"/>
    </w:rPr>
  </w:style>
  <w:style w:type="character" w:customStyle="1" w:styleId="ParagraphChar">
    <w:name w:val="Paragraph Char"/>
    <w:link w:val="Paragraph"/>
    <w:locked/>
    <w:rsid w:val="00106124"/>
    <w:rPr>
      <w:rFonts w:asciiTheme="minorHAnsi" w:hAnsiTheme="minorHAnsi"/>
      <w:sz w:val="22"/>
      <w:lang w:eastAsia="en-US"/>
    </w:rPr>
  </w:style>
  <w:style w:type="paragraph" w:customStyle="1" w:styleId="xmsonormal">
    <w:name w:val="x_msonormal"/>
    <w:basedOn w:val="Normal"/>
    <w:rsid w:val="00976448"/>
    <w:pPr>
      <w:spacing w:before="100" w:beforeAutospacing="1" w:after="100" w:afterAutospacing="1"/>
    </w:pPr>
    <w:rPr>
      <w:rFonts w:ascii="Times New Roman" w:hAnsi="Times New Roman"/>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68493509">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15711491">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92249008">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esma.europa.eu" TargetMode="External"/><Relationship Id="rId26" Type="http://schemas.openxmlformats.org/officeDocument/2006/relationships/hyperlink" Target="https://www.amf-france.org/en/news-publications/news-releases/amf-news-releases/analysis-french-money-market-fund-portfolios-during-surge-withdrawals-recorded-onset-covid-19-crisis" TargetMode="External"/><Relationship Id="rId3" Type="http://schemas.openxmlformats.org/officeDocument/2006/relationships/customXml" Target="../customXml/item3.xml"/><Relationship Id="rId21" Type="http://schemas.openxmlformats.org/officeDocument/2006/relationships/hyperlink" Target="https://www.amf-france.org/en/news-publications/news-releases/amf-news-releases/analysis-french-money-market-fund-portfolios-during-surge-withdrawals-recorded-onset-covid-19-crisis"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5" Type="http://schemas.openxmlformats.org/officeDocument/2006/relationships/hyperlink" Target="https://www.sec.gov/files/US-Credit-Markets_COVID-19_Report.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yperlink" Target="https://ec.europa.eu/info/sites/default/files/communication-coordinated-economic-response-covid19-march-2020_en.pdf" TargetMode="External"/><Relationship Id="rId29" Type="http://schemas.openxmlformats.org/officeDocument/2006/relationships/hyperlink" Target="https://www.ici.org/system/files/attachments/pdf/11_sec_pwg_deck.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sec.gov/news/press-release/2021-25"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home.treasury.gov/system/files/136/PWG-MMF-report-final-Dec-2020.pdf" TargetMode="External"/><Relationship Id="rId28" Type="http://schemas.openxmlformats.org/officeDocument/2006/relationships/hyperlink" Target="https://eur-lex.europa.eu/eli/reg/2009/1060/oj/eng" TargetMode="External"/><Relationship Id="rId10" Type="http://schemas.openxmlformats.org/officeDocument/2006/relationships/webSettings" Target="webSettings.xml"/><Relationship Id="rId19" Type="http://schemas.openxmlformats.org/officeDocument/2006/relationships/hyperlink" Target="https://www.esma.europa.eu/about-esma/data-protection"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federalreserve.gov/monetarypolicy/fomcminutes20210428.htm" TargetMode="External"/><Relationship Id="rId27" Type="http://schemas.openxmlformats.org/officeDocument/2006/relationships/hyperlink" Target="https://www.federalreserve.gov/supervisionreg/legalinterpretations/fedreserseactint20200317.pdf" TargetMode="External"/><Relationship Id="rId30" Type="http://schemas.openxmlformats.org/officeDocument/2006/relationships/header" Target="header3.xml"/><Relationship Id="rId8"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3b122f42-3680-41b8-abdb-8f838d66b94f">ESMA35-42-1086</_dlc_DocId>
    <_dlc_DocIdUrl xmlns="3b122f42-3680-41b8-abdb-8f838d66b94f">
      <Url>https://sherpa.esma.europa.eu/sites/INIIPI/_layouts/15/DocIdRedir.aspx?ID=ESMA35-42-1086</Url>
      <Description>ESMA35-42-1086</Description>
    </_dlc_DocIdUrl>
    <TaxCatchAll xmlns="3b122f42-3680-41b8-abdb-8f838d66b94f">
      <Value>125</Value>
      <Value>62</Value>
      <Value>30</Value>
      <Value>309</Value>
      <Value>49</Value>
    </TaxCatchAll>
    <MeetingDate xmlns="3b122f42-3680-41b8-abdb-8f838d66b94f">2020-11-04T23:00:00+00:00</MeetingDate>
    <Year xmlns="3b122f42-3680-41b8-abdb-8f838d66b94f">2020</Year>
    <f926fd9ddf4e43dc9baf43a17188d082 xmlns="3b122f42-3680-41b8-abdb-8f838d66b94f">
      <Terms xmlns="http://schemas.microsoft.com/office/infopath/2007/PartnerControls">
        <TermInfo xmlns="http://schemas.microsoft.com/office/infopath/2007/PartnerControls">
          <TermName xmlns="http://schemas.microsoft.com/office/infopath/2007/PartnerControls">Sustainable Finance</TermName>
          <TermId xmlns="http://schemas.microsoft.com/office/infopath/2007/PartnerControls">2b3d71a9-35a3-4434-9d75-bd09a37940bf</TermId>
        </TermInfo>
      </Terms>
    </f926fd9ddf4e43dc9baf43a17188d082>
    <ldf822d702374457a75b2650fd19956f xmlns="3b122f42-3680-41b8-abdb-8f838d66b94f">
      <Terms xmlns="http://schemas.microsoft.com/office/infopath/2007/PartnerControls"/>
    </ldf822d702374457a75b2650fd19956f>
    <IconOverlay xmlns="http://schemas.microsoft.com/sharepoint/v4" xsi:nil="true"/>
    <b1f7cdd549a8454fb97376e5c37040fc xmlns="3b122f42-3680-41b8-abdb-8f838d66b94f">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b1f7cdd549a8454fb97376e5c37040fc>
    <i5ab60d4d76744fa8f19029305834a0f xmlns="3b122f42-3680-41b8-abdb-8f838d66b94f">
      <Terms xmlns="http://schemas.microsoft.com/office/infopath/2007/PartnerControls">
        <TermInfo xmlns="http://schemas.microsoft.com/office/infopath/2007/PartnerControls">
          <TermName xmlns="http://schemas.microsoft.com/office/infopath/2007/PartnerControls">Investor Protection and Intermediaries</TermName>
          <TermId xmlns="http://schemas.microsoft.com/office/infopath/2007/PartnerControls">98c55de3-414a-4dc7-97ca-58b003cd9a35</TermId>
        </TermInfo>
      </Terms>
    </i5ab60d4d76744fa8f19029305834a0f>
    <ja89261ff8244daf864530e8b7973c66 xmlns="3b122f42-3680-41b8-abdb-8f838d66b94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a89261ff8244daf864530e8b7973c66>
    <nd85f6bbfc564f3fa1f39842b48e85f3 xmlns="3b122f42-3680-41b8-abdb-8f838d66b94f">
      <Terms xmlns="http://schemas.microsoft.com/office/infopath/2007/PartnerControls">
        <TermInfo xmlns="http://schemas.microsoft.com/office/infopath/2007/PartnerControls">
          <TermName xmlns="http://schemas.microsoft.com/office/infopath/2007/PartnerControls">Other Work</TermName>
          <TermId xmlns="http://schemas.microsoft.com/office/infopath/2007/PartnerControls">8e467236-62cb-4258-b359-81b56229d8cf</TermId>
        </TermInfo>
      </Terms>
    </nd85f6bbfc564f3fa1f39842b48e85f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Other Work Document" ma:contentTypeID="0x0101004C1F842F26F0BF46AAFF4A33AAF0FAB9020E00058A08C15AC1864D8EE7048745AAA068" ma:contentTypeVersion="145" ma:contentTypeDescription="" ma:contentTypeScope="" ma:versionID="2309983eb822269fd72e2a60a53940d4">
  <xsd:schema xmlns:xsd="http://www.w3.org/2001/XMLSchema" xmlns:xs="http://www.w3.org/2001/XMLSchema" xmlns:p="http://schemas.microsoft.com/office/2006/metadata/properties" xmlns:ns2="3b122f42-3680-41b8-abdb-8f838d66b94f" xmlns:ns3="http://schemas.microsoft.com/sharepoint/v4" targetNamespace="http://schemas.microsoft.com/office/2006/metadata/properties" ma:root="true" ma:fieldsID="c86cf930dbcd5bc90d4a71097f38bcb6" ns2:_="" ns3:_="">
    <xsd:import namespace="3b122f42-3680-41b8-abdb-8f838d66b94f"/>
    <xsd:import namespace="http://schemas.microsoft.com/sharepoint/v4"/>
    <xsd:element name="properties">
      <xsd:complexType>
        <xsd:sequence>
          <xsd:element name="documentManagement">
            <xsd:complexType>
              <xsd:all>
                <xsd:element ref="ns2:Year"/>
                <xsd:element ref="ns2:MeetingDate" minOccurs="0"/>
                <xsd:element ref="ns2:_dlc_DocId" minOccurs="0"/>
                <xsd:element ref="ns2:TaxCatchAll" minOccurs="0"/>
                <xsd:element ref="ns2:_dlc_DocIdUrl" minOccurs="0"/>
                <xsd:element ref="ns2:_dlc_DocIdPersistId" minOccurs="0"/>
                <xsd:element ref="ns2:i5ab60d4d76744fa8f19029305834a0f" minOccurs="0"/>
                <xsd:element ref="ns2:b1f7cdd549a8454fb97376e5c37040fc" minOccurs="0"/>
                <xsd:element ref="ns2:ja89261ff8244daf864530e8b7973c66" minOccurs="0"/>
                <xsd:element ref="ns2:ldf822d702374457a75b2650fd19956f" minOccurs="0"/>
                <xsd:element ref="ns2:nd85f6bbfc564f3fa1f39842b48e85f3" minOccurs="0"/>
                <xsd:element ref="ns2:TaxCatchAllLabel" minOccurs="0"/>
                <xsd:element ref="ns2:f926fd9ddf4e43dc9baf43a17188d082"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22f42-3680-41b8-abdb-8f838d66b94f"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TaxCatchAll" ma:index="11" nillable="true" ma:displayName="Taxonomy Catch All Column" ma:hidden="true" ma:list="{1d591544-b9e9-463f-8aea-85c90ce7dc60}" ma:internalName="TaxCatchAll" ma:showField="CatchAllData" ma:web="3b122f42-3680-41b8-abdb-8f838d66b94f">
      <xsd:complexType>
        <xsd:complexContent>
          <xsd:extension base="dms:MultiChoiceLookup">
            <xsd:sequence>
              <xsd:element name="Value" type="dms:Lookup" maxOccurs="unbounded" minOccurs="0" nillable="true"/>
            </xsd:sequence>
          </xsd:extension>
        </xsd:complexContent>
      </xsd:complex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i5ab60d4d76744fa8f19029305834a0f" ma:index="14" ma:taxonomy="true" ma:internalName="i5ab60d4d76744fa8f19029305834a0f" ma:taxonomyFieldName="TeamName" ma:displayName="Team Name" ma:default="30;#Investor Protection and Intermediaries|98c55de3-414a-4dc7-97ca-58b003cd9a35" ma:fieldId="{25ab60d4-d767-44fa-8f19-029305834a0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b1f7cdd549a8454fb97376e5c37040fc" ma:index="16" ma:taxonomy="true" ma:internalName="b1f7cdd549a8454fb97376e5c37040fc" ma:taxonomyFieldName="DocumentType" ma:displayName="Document Type" ma:readOnly="false" ma:default="" ma:fieldId="{b1f7cdd5-49a8-454f-b973-76e5c37040fc}"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a89261ff8244daf864530e8b7973c66" ma:index="18" ma:taxonomy="true" ma:internalName="ja89261ff8244daf864530e8b7973c66" ma:taxonomyFieldName="ConfidentialityLevel" ma:displayName="Confidentiality Level" ma:readOnly="false" ma:default="15;#Regular|07f1e362-856b-423d-bea6-a14079762141" ma:fieldId="{3a89261f-f824-4daf-8645-30e8b7973c66}"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ldf822d702374457a75b2650fd19956f" ma:index="20" nillable="true" ma:taxonomy="true" ma:internalName="ldf822d702374457a75b2650fd19956f" ma:taxonomyFieldName="EsmaAudience" ma:displayName="Audience" ma:default="" ma:fieldId="{5df822d7-0237-4457-a75b-2650fd19956f}"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nd85f6bbfc564f3fa1f39842b48e85f3" ma:index="23" nillable="true" ma:taxonomy="true" ma:internalName="nd85f6bbfc564f3fa1f39842b48e85f3" ma:taxonomyFieldName="TeamTopic" ma:displayName="Team Topic" ma:readOnly="false" ma:default="125;#Other Work|8e467236-62cb-4258-b359-81b56229d8cf" ma:fieldId="{7d85f6bb-fc56-4f3f-a1f3-9842b48e85f3}" ma:taxonomyMulti="true" ma:sspId="0ac1876e-32bf-4158-94e7-cdbcd053a335" ma:termSetId="850502f9-36b0-41fb-966b-d9fcd2f00296"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1d591544-b9e9-463f-8aea-85c90ce7dc60}" ma:internalName="TaxCatchAllLabel" ma:readOnly="true" ma:showField="CatchAllDataLabel" ma:web="3b122f42-3680-41b8-abdb-8f838d66b94f">
      <xsd:complexType>
        <xsd:complexContent>
          <xsd:extension base="dms:MultiChoiceLookup">
            <xsd:sequence>
              <xsd:element name="Value" type="dms:Lookup" maxOccurs="unbounded" minOccurs="0" nillable="true"/>
            </xsd:sequence>
          </xsd:extension>
        </xsd:complexContent>
      </xsd:complexType>
    </xsd:element>
    <xsd:element name="f926fd9ddf4e43dc9baf43a17188d082" ma:index="25" nillable="true" ma:taxonomy="true" ma:internalName="f926fd9ddf4e43dc9baf43a17188d082" ma:taxonomyFieldName="Topic" ma:displayName="Topic" ma:default="" ma:fieldId="{f926fd9d-df4e-43dc-9baf-43a17188d082}" ma:sspId="0ac1876e-32bf-4158-94e7-cdbcd053a335" ma:termSetId="1204d773-6b06-4d02-bc01-ea5b5466ecf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2.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3b122f42-3680-41b8-abdb-8f838d66b94f"/>
    <ds:schemaRef ds:uri="http://schemas.microsoft.com/sharepoint/v4"/>
  </ds:schemaRefs>
</ds:datastoreItem>
</file>

<file path=customXml/itemProps3.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4.xml><?xml version="1.0" encoding="utf-8"?>
<ds:datastoreItem xmlns:ds="http://schemas.openxmlformats.org/officeDocument/2006/customXml" ds:itemID="{4F2D1AF0-A89F-43B0-9F8C-0C6B56ED8588}">
  <ds:schemaRefs>
    <ds:schemaRef ds:uri="http://schemas.openxmlformats.org/officeDocument/2006/bibliography"/>
  </ds:schemaRefs>
</ds:datastoreItem>
</file>

<file path=customXml/itemProps5.xml><?xml version="1.0" encoding="utf-8"?>
<ds:datastoreItem xmlns:ds="http://schemas.openxmlformats.org/officeDocument/2006/customXml" ds:itemID="{BA53AC4E-1B9E-4EAF-B866-EE07015F1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22f42-3680-41b8-abdb-8f838d66b94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5F0B5A2-D6CE-4251-B5B3-8185936F3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30</Pages>
  <Words>15390</Words>
  <Characters>87726</Characters>
  <Application>Microsoft Office Word</Application>
  <DocSecurity>8</DocSecurity>
  <Lines>731</Lines>
  <Paragraphs>205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102911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Patrice Berge-Vincent</cp:lastModifiedBy>
  <cp:revision>37</cp:revision>
  <cp:lastPrinted>2015-02-18T11:01:00Z</cp:lastPrinted>
  <dcterms:created xsi:type="dcterms:W3CDTF">2021-06-30T11:55:00Z</dcterms:created>
  <dcterms:modified xsi:type="dcterms:W3CDTF">2021-06-30T12:45:00Z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0x0101004C1F842F26F0BF46AAFF4A33AAF0FAB9020E00058A08C15AC1864D8EE7048745AAA068</vt:lpwstr>
  </property>
  <property fmtid="{D5CDD505-2E9C-101B-9397-08002B2CF9AE}" pid="3" name="EsmaAudience">
    <vt:lpwstr/>
  </property>
  <property fmtid="{D5CDD505-2E9C-101B-9397-08002B2CF9AE}" pid="4" name="TeamName">
    <vt:lpwstr>30;#Investor Protection and Intermediaries|98c55de3-414a-4dc7-97ca-58b003cd9a35</vt:lpwstr>
  </property>
  <property fmtid="{D5CDD505-2E9C-101B-9397-08002B2CF9AE}" pid="5" name="Topic">
    <vt:lpwstr>309;#Sustainable Finance|2b3d71a9-35a3-4434-9d75-bd09a37940bf</vt:lpwstr>
  </property>
  <property fmtid="{D5CDD505-2E9C-101B-9397-08002B2CF9AE}" pid="6" name="SubTopic">
    <vt:lpwstr>211;#ESAs|fa72426c-f4c1-4de0-83a0-2806812bd296</vt:lpwstr>
  </property>
  <property fmtid="{D5CDD505-2E9C-101B-9397-08002B2CF9AE}" pid="7" name="DocumentType">
    <vt:lpwstr>49;#Questionnaire|a849d609-a31c-415e-a1a8-503bcc16b083</vt:lpwstr>
  </property>
  <property fmtid="{D5CDD505-2E9C-101B-9397-08002B2CF9AE}" pid="8" name="ConfidentialityLevel">
    <vt:lpwstr>62;#Public|a0c619ff-bd46-48f0-b213-6b7c03fe156d</vt:lpwstr>
  </property>
  <property fmtid="{D5CDD505-2E9C-101B-9397-08002B2CF9AE}" pid="9" name="_dlc_DocIdItemGuid">
    <vt:lpwstr>8fb716ed-9d55-4b9a-8e94-42b55d51da19</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InternalStakeholders">
    <vt:lpwstr/>
  </property>
  <property fmtid="{D5CDD505-2E9C-101B-9397-08002B2CF9AE}" pid="17" name="ExternalStakeholders">
    <vt:lpwstr/>
  </property>
  <property fmtid="{D5CDD505-2E9C-101B-9397-08002B2CF9AE}" pid="18" name="StatusOfLegislation">
    <vt:lpwstr/>
  </property>
  <property fmtid="{D5CDD505-2E9C-101B-9397-08002B2CF9AE}" pid="19" name="TeamTopic">
    <vt:lpwstr>125;#Other Work|8e467236-62cb-4258-b359-81b56229d8cf</vt:lpwstr>
  </property>
</Properties>
</file>