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091846">
        <w:tc>
          <w:tcPr>
            <w:tcW w:w="3929" w:type="dxa"/>
            <w:shd w:val="clear" w:color="auto" w:fill="auto"/>
          </w:tcPr>
          <w:p w14:paraId="2CC52FAD" w14:textId="77777777" w:rsidR="00B327E9" w:rsidRPr="00E40A5C" w:rsidRDefault="00B327E9" w:rsidP="00091846">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737B1893" w:rsidR="00B327E9" w:rsidRPr="00AB6D88" w:rsidRDefault="00342E4A" w:rsidP="00091846">
                <w:pPr>
                  <w:rPr>
                    <w:rStyle w:val="PlaceholderText"/>
                    <w:rFonts w:cs="Arial"/>
                  </w:rPr>
                </w:pPr>
                <w:r>
                  <w:rPr>
                    <w:rStyle w:val="PlaceholderText"/>
                    <w:rFonts w:cs="Arial"/>
                  </w:rPr>
                  <w:t>European Association of Corporate Treasurers</w:t>
                </w:r>
              </w:p>
            </w:tc>
            <w:permEnd w:id="1493633476" w:displacedByCustomXml="next"/>
          </w:sdtContent>
        </w:sdt>
      </w:tr>
      <w:tr w:rsidR="00B327E9" w:rsidRPr="00AB6D88" w14:paraId="0D2401D8" w14:textId="77777777" w:rsidTr="00091846">
        <w:tc>
          <w:tcPr>
            <w:tcW w:w="3929" w:type="dxa"/>
            <w:shd w:val="clear" w:color="auto" w:fill="auto"/>
          </w:tcPr>
          <w:p w14:paraId="6C0EFE39" w14:textId="77777777" w:rsidR="00B327E9" w:rsidRPr="00E40A5C" w:rsidRDefault="00B327E9" w:rsidP="00091846">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3C85CA54" w:rsidR="00B327E9" w:rsidRPr="00AB6D88" w:rsidRDefault="00243D8D" w:rsidP="00091846">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342E4A">
                  <w:rPr>
                    <w:rFonts w:cs="Arial"/>
                  </w:rPr>
                  <w:t>Issuer Association</w:t>
                </w:r>
              </w:sdtContent>
            </w:sdt>
          </w:p>
        </w:tc>
      </w:tr>
      <w:permEnd w:id="438450997"/>
      <w:tr w:rsidR="00B327E9" w:rsidRPr="00AB6D88" w14:paraId="1A153F17" w14:textId="77777777" w:rsidTr="00091846">
        <w:tc>
          <w:tcPr>
            <w:tcW w:w="3929" w:type="dxa"/>
            <w:shd w:val="clear" w:color="auto" w:fill="auto"/>
          </w:tcPr>
          <w:p w14:paraId="396772EB" w14:textId="77777777" w:rsidR="00B327E9" w:rsidRPr="00E40A5C" w:rsidRDefault="00B327E9" w:rsidP="00091846">
            <w:pPr>
              <w:rPr>
                <w:rFonts w:cs="Arial"/>
                <w:sz w:val="22"/>
              </w:rPr>
            </w:pPr>
            <w:r w:rsidRPr="00E40A5C">
              <w:rPr>
                <w:rFonts w:cs="Arial"/>
                <w:sz w:val="22"/>
              </w:rPr>
              <w:t>Are you representing an association?</w:t>
            </w:r>
          </w:p>
        </w:tc>
        <w:tc>
          <w:tcPr>
            <w:tcW w:w="5595" w:type="dxa"/>
            <w:shd w:val="clear" w:color="auto" w:fill="auto"/>
          </w:tcPr>
          <w:p w14:paraId="50B064BB" w14:textId="4EE99E15" w:rsidR="00B327E9" w:rsidRPr="00AB6D88" w:rsidRDefault="009142B9" w:rsidP="00091846">
            <w:pPr>
              <w:rPr>
                <w:rFonts w:cs="Arial"/>
              </w:rPr>
            </w:pPr>
            <w:permStart w:id="728653664" w:edGrp="everyone"/>
            <w:r>
              <w:rPr>
                <w:rFonts w:ascii="MS Gothic" w:eastAsia="MS Gothic" w:hAnsi="MS Gothic" w:cs="Arial" w:hint="eastAsia"/>
              </w:rPr>
              <w:t>☒</w:t>
            </w:r>
            <w:permEnd w:id="728653664"/>
          </w:p>
        </w:tc>
      </w:tr>
      <w:tr w:rsidR="00B327E9" w:rsidRPr="00AB6D88" w14:paraId="4F3F3D16" w14:textId="77777777" w:rsidTr="00091846">
        <w:tc>
          <w:tcPr>
            <w:tcW w:w="3929" w:type="dxa"/>
            <w:shd w:val="clear" w:color="auto" w:fill="auto"/>
          </w:tcPr>
          <w:p w14:paraId="3C221113" w14:textId="77777777" w:rsidR="00B327E9" w:rsidRPr="00E40A5C" w:rsidRDefault="00B327E9" w:rsidP="00091846">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6FE58D0D" w:rsidR="00B327E9" w:rsidRPr="00AB6D88" w:rsidRDefault="00342E4A" w:rsidP="00091846">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60E4A24A" w14:textId="56C85145" w:rsidR="00DD18DB" w:rsidRDefault="009142B9" w:rsidP="00FF67ED">
      <w:pPr>
        <w:jc w:val="both"/>
      </w:pPr>
      <w:permStart w:id="44765448" w:edGrp="everyone"/>
      <w:r>
        <w:t>The EACT welcomes the opportunity to provide input to ESMA’s technical advice to the European Commission on a review of the EU’s Money Market Fund Regulation.</w:t>
      </w:r>
      <w:r w:rsidR="00DD18DB">
        <w:t xml:space="preserve"> Money Market Funds are an important cash management tool for businesses as they allow corporates to deposit their short-term cash balances in a secure manner and with quick access to their funds when needed. In addition, MMFs have the advantage of allowing diversification of corporates’ cash deposits, thereby reducing counterparty</w:t>
      </w:r>
    </w:p>
    <w:p w14:paraId="3EC00E6D" w14:textId="26A9689B" w:rsidR="00B327E9" w:rsidRDefault="00DD18DB" w:rsidP="00FF67ED">
      <w:pPr>
        <w:jc w:val="both"/>
      </w:pPr>
      <w:r>
        <w:t>risk. With a reluctance in the banking community to accept short-term corporate deposits due to regulatory constraints, it is critical to ensure that corporates have viable options for managing their cash balances</w:t>
      </w:r>
      <w:r w:rsidR="007D488C">
        <w:t>.</w:t>
      </w:r>
    </w:p>
    <w:p w14:paraId="4C1ED75A" w14:textId="6F47543E" w:rsidR="007D488C" w:rsidRDefault="007D488C" w:rsidP="00FF67ED">
      <w:pPr>
        <w:jc w:val="both"/>
      </w:pPr>
    </w:p>
    <w:p w14:paraId="27756335" w14:textId="2B5FA7F1" w:rsidR="00BC06C7" w:rsidRDefault="00BC06C7" w:rsidP="00FF67ED">
      <w:pPr>
        <w:jc w:val="both"/>
      </w:pPr>
      <w:r>
        <w:t>Maintaining the LVNAV and CNAV fund structure for all European corporates is extremely</w:t>
      </w:r>
    </w:p>
    <w:p w14:paraId="2DDCF22C" w14:textId="5283943C" w:rsidR="007D488C" w:rsidRDefault="00BC06C7" w:rsidP="00FF67ED">
      <w:pPr>
        <w:jc w:val="both"/>
      </w:pPr>
      <w:r>
        <w:t xml:space="preserve">Important in light of the specific structural characteristics that these funds have, which VNAV funds do </w:t>
      </w:r>
      <w:proofErr w:type="gramStart"/>
      <w:r>
        <w:t>not</w:t>
      </w:r>
      <w:proofErr w:type="gramEnd"/>
      <w:r>
        <w:t xml:space="preserve"> and which make LVNAV and pub</w:t>
      </w:r>
      <w:r w:rsidR="00B34886">
        <w:t>l</w:t>
      </w:r>
      <w:r>
        <w:t xml:space="preserve">ic debt CNAV funds </w:t>
      </w:r>
      <w:r w:rsidR="00626129">
        <w:t xml:space="preserve">viable as cash management structures for corporates – i.e. same day redemption, high quality liquid assets </w:t>
      </w:r>
      <w:r w:rsidR="00DE17EC">
        <w:t>composition, as well as a credit rating</w:t>
      </w:r>
      <w:r>
        <w:t>.</w:t>
      </w:r>
    </w:p>
    <w:p w14:paraId="285D9EA3" w14:textId="467078AB" w:rsidR="00230E86" w:rsidRDefault="00230E86" w:rsidP="00BC06C7"/>
    <w:p w14:paraId="58067C3B" w14:textId="5ED2BDE6" w:rsidR="003E2D25" w:rsidRPr="00FF67ED" w:rsidRDefault="00C519D6" w:rsidP="00FF67ED">
      <w:pPr>
        <w:jc w:val="both"/>
        <w:rPr>
          <w:rFonts w:ascii="Calibri" w:hAnsi="Calibri"/>
          <w:szCs w:val="22"/>
          <w:lang w:eastAsia="en-BE"/>
        </w:rPr>
      </w:pPr>
      <w:r w:rsidRPr="00FF67ED">
        <w:rPr>
          <w:highlight w:val="yellow"/>
        </w:rPr>
        <w:t>The EACT understands the need to avoid systemic risk and the danger of underestimating the change of value of funds when liquidity dries up.</w:t>
      </w:r>
      <w:r w:rsidR="003E2D25" w:rsidRPr="00FF67ED">
        <w:rPr>
          <w:highlight w:val="yellow"/>
        </w:rPr>
        <w:t xml:space="preserve"> </w:t>
      </w:r>
      <w:r w:rsidR="003E2D25" w:rsidRPr="00FF67ED">
        <w:t>MMFs provide non-financial corporations a mechanism to invest short term liquidity and manage working capital. MMFs unique structure offers a diversified short term investment opportunity with low credit risk compared to single name commercial paper</w:t>
      </w:r>
      <w:r w:rsidR="003E2D25" w:rsidRPr="00FF67ED">
        <w:rPr>
          <w:strike/>
        </w:rPr>
        <w:t>s</w:t>
      </w:r>
      <w:r w:rsidR="003E2D25" w:rsidRPr="00FF67ED">
        <w:t xml:space="preserve"> or bank deposits. MMFs combine quick redemption and low credit risk. Should a new regulatory framework make redemptions too difficult, corporate users would likely turn to instruments with potentially higher credit risk, less diversified counterparty exposures and/or liquidity issues in times of market stress.</w:t>
      </w:r>
    </w:p>
    <w:p w14:paraId="0BD8C73E" w14:textId="77777777" w:rsidR="003E2D25" w:rsidRPr="00FF67ED" w:rsidRDefault="003E2D25" w:rsidP="00FF67ED">
      <w:pPr>
        <w:jc w:val="both"/>
      </w:pPr>
      <w:r w:rsidRPr="00FF67ED">
        <w:t>Short duration of assets MMFs hold limit the potential MtM fluctuations even during extreme market stress.</w:t>
      </w:r>
    </w:p>
    <w:p w14:paraId="1CF8458E" w14:textId="61DE78EF" w:rsidR="00C519D6" w:rsidRPr="00FF67ED" w:rsidRDefault="003E2D25" w:rsidP="00FF67ED">
      <w:pPr>
        <w:jc w:val="both"/>
      </w:pPr>
      <w:r w:rsidRPr="00FF67ED">
        <w:t xml:space="preserve">Having corporates invest in well-diversified funds with low credit risk reduces systemic risk as </w:t>
      </w:r>
      <w:proofErr w:type="gramStart"/>
      <w:r w:rsidRPr="00FF67ED">
        <w:t>it’s</w:t>
      </w:r>
      <w:proofErr w:type="gramEnd"/>
      <w:r w:rsidRPr="00FF67ED">
        <w:t xml:space="preserve"> unlikely a single corporate would face material losses versus the scenario where in-house portfolios of corporates are less diversified and potentially carry higher credit risk, and a single default in the portfolio might impact liquidity position of the investor materially and start a domino effect</w:t>
      </w:r>
      <w:r w:rsidR="00FF67ED" w:rsidRPr="00FF67ED">
        <w:t>.</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292DE159" w14:textId="77777777" w:rsidR="000A10D1" w:rsidRDefault="00FA7717" w:rsidP="00492B3A">
      <w:permStart w:id="1576605906" w:edGrp="everyone"/>
      <w:r>
        <w:t xml:space="preserve">During the market stress in </w:t>
      </w:r>
      <w:proofErr w:type="gramStart"/>
      <w:r>
        <w:t>March 2020</w:t>
      </w:r>
      <w:proofErr w:type="gramEnd"/>
      <w:r>
        <w:t xml:space="preserve"> it could be observed that several MMF faced liquidity issues (especially certain LVNAV MMFs in USD and some VNAV MMFs in EUR). Besides the severe deterioration of the liquidity of the underlying money market instruments, it seemed that investors feared to be harmed by potential gates. They might have kicked in if the relevant regulatory thresholds were reached (esp. the weekly liquidity level of 30% for LVNAV funds) thus reducing the capacity to provide liquidity to investors who really need cash. </w:t>
      </w:r>
      <w:proofErr w:type="gramStart"/>
      <w:r>
        <w:t>Therefore</w:t>
      </w:r>
      <w:proofErr w:type="gramEnd"/>
      <w:r>
        <w:t xml:space="preserve"> </w:t>
      </w:r>
      <w:r w:rsidR="000A10D1">
        <w:t xml:space="preserve">there may be merit in a </w:t>
      </w:r>
      <w:r>
        <w:t>removal of the tie between MMF liquidity and gates</w:t>
      </w:r>
    </w:p>
    <w:p w14:paraId="689D50E1" w14:textId="77777777" w:rsidR="000A10D1" w:rsidRDefault="000A10D1" w:rsidP="00492B3A"/>
    <w:p w14:paraId="741FADC4" w14:textId="695AA154" w:rsidR="00492B3A" w:rsidRDefault="005010E4" w:rsidP="00492B3A">
      <w:r>
        <w:t xml:space="preserve">Regarding the use of ratings, corporate investors find ratings important as they facilitate an assessment of </w:t>
      </w:r>
      <w:r w:rsidR="00FA432D">
        <w:t xml:space="preserve">the credit quality of a given MMF above the internal credit quality assessments at fund </w:t>
      </w:r>
      <w:proofErr w:type="gramStart"/>
      <w:r w:rsidR="00FA432D">
        <w:t>level.</w:t>
      </w:r>
      <w:r w:rsidR="00FA7717">
        <w:t>.</w:t>
      </w:r>
      <w:permEnd w:id="1576605906"/>
      <w:proofErr w:type="gramEnd"/>
    </w:p>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45694F8F" w14:textId="2562D187" w:rsidR="00492B3A" w:rsidRDefault="00ED7640" w:rsidP="00243C74">
      <w:permStart w:id="1123047147" w:edGrp="everyone"/>
      <w:r>
        <w:t xml:space="preserve">We disagree with the proposal </w:t>
      </w:r>
      <w:r w:rsidR="00243C74">
        <w:t xml:space="preserve">to Eliminate stable NAV MMFs / Convert Public debt CNAV and LVNAV funds to Public Debt VNAV and VNAV / Convert only LVNAV funds to VNAV </w:t>
      </w:r>
      <w:r w:rsidR="00E26CC6">
        <w:t xml:space="preserve">with the objective of limiting a dash for liquidity in stressed market conditions. For non-financial corporate investors in the money market, an important criterion is the cash-equivalence </w:t>
      </w:r>
      <w:r w:rsidR="00B31824">
        <w:t xml:space="preserve">or cash-like liquidity that LVNAV and CNAV funds offer. This turns these specific fund structures into genuine alternatives to corporate short-term bank deposits. </w:t>
      </w:r>
      <w:r w:rsidR="00643081">
        <w:t>As ESMA observes, there was a high level of redemption at LVNAV and CNAV funds in the March 2020 crisis</w:t>
      </w:r>
      <w:r w:rsidR="00150304">
        <w:t xml:space="preserve">, yet ESMA also observes that no funds breached their regulatory liquidity thresholds. The increase in </w:t>
      </w:r>
      <w:r w:rsidR="00A26313">
        <w:t xml:space="preserve">observable outflows is unsurprising as it corresponds largely to a significant </w:t>
      </w:r>
      <w:r w:rsidR="007E2213">
        <w:t xml:space="preserve">temporary </w:t>
      </w:r>
      <w:r w:rsidR="00A26313">
        <w:t xml:space="preserve">increase in corporate short-term liquidity needs that required </w:t>
      </w:r>
      <w:r w:rsidR="00286B93">
        <w:t xml:space="preserve">a quick redemption of cash-like instruments to meet corporate funding needs. </w:t>
      </w:r>
      <w:r w:rsidR="007E2213">
        <w:t>Ultimately this would suggest that the relevant fund structures performed as needed from a corporate cash management perspective</w:t>
      </w:r>
      <w:r w:rsidR="000711E1">
        <w:t xml:space="preserve"> and their use as an alternative to short-term bank deposits. Eliminating the only fund structures that exclusively contain high quality liquid assets and offer intra-day redemption and settlement </w:t>
      </w:r>
      <w:r w:rsidR="000218D8">
        <w:t xml:space="preserve">could </w:t>
      </w:r>
      <w:r w:rsidR="00AE6375">
        <w:t>render</w:t>
      </w:r>
      <w:r w:rsidR="00DD081E">
        <w:t xml:space="preserve"> large proportions of the money market </w:t>
      </w:r>
      <w:r w:rsidR="00AE6375">
        <w:t>unattractive</w:t>
      </w:r>
      <w:r w:rsidR="00DD081E">
        <w:t xml:space="preserve"> for corporate investors.</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383E5893" w14:textId="5B0CEE19" w:rsidR="00492B3A" w:rsidRDefault="00B00D24" w:rsidP="00492B3A">
      <w:permStart w:id="1823616926" w:edGrp="everyone"/>
      <w:r>
        <w:t>Decoupling suspension gates from regulatory thresholds would remove the first move</w:t>
      </w:r>
      <w:r w:rsidR="00AE6375">
        <w:t>r</w:t>
      </w:r>
      <w:r>
        <w:t xml:space="preserve"> advantage for redemption in stressed market conditions</w:t>
      </w:r>
      <w:permEnd w:id="1823616926"/>
      <w:r w:rsidR="00492B3A">
        <w:t>&lt;ESMA_QUESTION_</w:t>
      </w:r>
      <w:r w:rsidR="00DC1B3F">
        <w:t>MMFR</w:t>
      </w:r>
      <w:r w:rsidR="00492B3A">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 xml:space="preserve">require MMFs to use swing pricing and / or ADL / liquidity fees and the corresponding proposal of amendment of the MMF </w:t>
      </w:r>
      <w:r w:rsidRPr="00F43E30">
        <w:rPr>
          <w:lang w:val="en-US"/>
        </w:rPr>
        <w:lastRenderedPageBreak/>
        <w:t>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4CC0988" w14:textId="2AE352A7" w:rsidR="00492B3A" w:rsidRDefault="00756371" w:rsidP="00492B3A">
      <w:permStart w:id="910372547" w:edGrp="everyone"/>
      <w:r w:rsidRPr="00FF67ED">
        <w:t>Should a new regulatory framework make redemptions too difficult, corporate users would likely turn to instruments with potentially higher credit risk, less diversified counterparty exposures and/or liquidity issues in times of market stress</w:t>
      </w:r>
      <w:r>
        <w:t>.</w:t>
      </w:r>
      <w:r w:rsidR="00464E66">
        <w:t xml:space="preserve"> </w:t>
      </w:r>
      <w:r w:rsidR="005A60FE">
        <w:t>Swing pricing could be a good alternative to equally distribute portfolio restructuring costs between investors (also during stressed market conditions)</w:t>
      </w:r>
      <w:r w:rsidR="00E577FD">
        <w:t xml:space="preserve">, without restricting market liquidity in the same way that redemption gates would. Any swing pricing mechanism would need to be designed in such a way </w:t>
      </w:r>
      <w:proofErr w:type="gramStart"/>
      <w:r w:rsidR="00E577FD">
        <w:t>so as to</w:t>
      </w:r>
      <w:proofErr w:type="gramEnd"/>
      <w:r w:rsidR="00E577FD">
        <w:t xml:space="preserve"> not disincentivise MM</w:t>
      </w:r>
      <w:r w:rsidR="00C27135">
        <w:t>Fs as investment opportunities for corporates.</w:t>
      </w:r>
      <w:r w:rsidR="00C84EEE">
        <w:t xml:space="preserve"> </w:t>
      </w:r>
      <w:permEnd w:id="910372547"/>
      <w:r w:rsidR="00492B3A">
        <w:t>&lt;ESMA_QUESTION_</w:t>
      </w:r>
      <w:r w:rsidR="00DC1B3F">
        <w:t>MMFR</w:t>
      </w:r>
      <w:r w:rsidR="00492B3A">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709F0B8A" w14:textId="77777777" w:rsidR="00492B3A" w:rsidRDefault="00492B3A" w:rsidP="00492B3A">
      <w:permStart w:id="1454397300" w:edGrp="everyone"/>
      <w:r>
        <w:t>TYPE YOUR TEXT HERE</w:t>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7A0C7BD5" w14:textId="3975679C" w:rsidR="00492B3A" w:rsidRDefault="00F94A7D" w:rsidP="00492B3A">
      <w:permStart w:id="164587406" w:edGrp="everyone"/>
      <w:r>
        <w:t xml:space="preserve">As indicated in the answer to question 2, </w:t>
      </w:r>
      <w:r w:rsidR="00932FB9">
        <w:t xml:space="preserve">we would caution against eliminating these fund </w:t>
      </w:r>
      <w:proofErr w:type="gramStart"/>
      <w:r w:rsidR="00932FB9">
        <w:t>structures.</w:t>
      </w:r>
      <w:permEnd w:id="164587406"/>
      <w:r w:rsidR="00492B3A">
        <w:t>&lt;</w:t>
      </w:r>
      <w:proofErr w:type="gramEnd"/>
      <w:r w:rsidR="00492B3A">
        <w:t>ESMA_QUESTION_</w:t>
      </w:r>
      <w:r w:rsidR="00DC1B3F">
        <w:t>MMFR</w:t>
      </w:r>
      <w:r w:rsidR="00492B3A">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77777777" w:rsidR="00492B3A" w:rsidRDefault="00492B3A" w:rsidP="00492B3A">
      <w:permStart w:id="1191210126" w:edGrp="everyone"/>
      <w:r>
        <w:t>TYPE YOUR TEXT HERE</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xml:space="preserve">? ii) In your view, based on your experience, what are the benefits of MMF rating from investors’ perspective, having in mind that rules applying to MMFs are already very stringent? What would be the likely consequence on </w:t>
      </w:r>
      <w:r w:rsidRPr="00F43E30">
        <w:rPr>
          <w:color w:val="201F1E"/>
          <w:bdr w:val="none" w:sz="0" w:space="0" w:color="auto" w:frame="1"/>
          <w:lang w:val="en-IE"/>
        </w:rPr>
        <w:lastRenderedPageBreak/>
        <w:t>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6B8BC859" w14:textId="77777777" w:rsidR="00492B3A" w:rsidRDefault="00492B3A" w:rsidP="00492B3A">
      <w:permStart w:id="21103909" w:edGrp="everyone"/>
      <w:r>
        <w:t>TYPE YOUR TEXT HERE</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77777777" w:rsidR="00492B3A" w:rsidRDefault="00492B3A" w:rsidP="00492B3A">
      <w:permStart w:id="70807355" w:edGrp="everyone"/>
      <w:r>
        <w:t>TYPE YOUR TEXT HERE</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729D6FDA" w14:textId="77777777" w:rsidR="00492B3A" w:rsidRDefault="00492B3A" w:rsidP="00492B3A">
      <w:permStart w:id="1969951227" w:edGrp="everyone"/>
      <w:r>
        <w:t>TYPE YOUR TEXT HERE</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6B29EBB" w14:textId="77777777" w:rsidR="00492B3A" w:rsidRDefault="00492B3A" w:rsidP="00492B3A">
      <w:permStart w:id="947678092" w:edGrp="everyone"/>
      <w:r>
        <w:t>TYPE YOUR TEXT HERE</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F50FA92" w14:textId="77777777" w:rsidR="00492B3A" w:rsidRDefault="00492B3A" w:rsidP="00492B3A">
      <w:permStart w:id="575285207" w:edGrp="everyone"/>
      <w:r>
        <w:t>TYPE YOUR TEXT HERE</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lastRenderedPageBreak/>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77777777" w:rsidR="00492B3A" w:rsidRDefault="00492B3A" w:rsidP="00492B3A">
      <w:permStart w:id="384379543" w:edGrp="everyone"/>
      <w:r>
        <w:t>TYPE YOUR TEXT HERE</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9895" w14:textId="77777777" w:rsidR="00EF46A3" w:rsidRDefault="00EF46A3">
      <w:r>
        <w:separator/>
      </w:r>
    </w:p>
    <w:p w14:paraId="22918358" w14:textId="77777777" w:rsidR="00EF46A3" w:rsidRDefault="00EF46A3"/>
  </w:endnote>
  <w:endnote w:type="continuationSeparator" w:id="0">
    <w:p w14:paraId="1A22B99B" w14:textId="77777777" w:rsidR="00EF46A3" w:rsidRDefault="00EF46A3">
      <w:r>
        <w:continuationSeparator/>
      </w:r>
    </w:p>
    <w:p w14:paraId="413732D2" w14:textId="77777777" w:rsidR="00EF46A3" w:rsidRDefault="00EF46A3"/>
  </w:endnote>
  <w:endnote w:type="continuationNotice" w:id="1">
    <w:p w14:paraId="4EA0C64B" w14:textId="77777777" w:rsidR="00EF46A3" w:rsidRDefault="00EF4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BF40" w14:textId="77777777" w:rsidR="00EF46A3" w:rsidRDefault="00EF46A3">
      <w:r>
        <w:separator/>
      </w:r>
    </w:p>
    <w:p w14:paraId="1094A8EF" w14:textId="77777777" w:rsidR="00EF46A3" w:rsidRDefault="00EF46A3"/>
  </w:footnote>
  <w:footnote w:type="continuationSeparator" w:id="0">
    <w:p w14:paraId="4CFECCE9" w14:textId="77777777" w:rsidR="00EF46A3" w:rsidRDefault="00EF46A3">
      <w:r>
        <w:continuationSeparator/>
      </w:r>
    </w:p>
    <w:p w14:paraId="6607E341" w14:textId="77777777" w:rsidR="00EF46A3" w:rsidRDefault="00EF46A3"/>
  </w:footnote>
  <w:footnote w:type="continuationNotice" w:id="1">
    <w:p w14:paraId="1B70A831" w14:textId="77777777" w:rsidR="00EF46A3" w:rsidRDefault="00EF4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C29" w14:textId="662C5463"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2F4">
      <w:rPr>
        <w:noProof/>
      </w:rPr>
      <mc:AlternateContent>
        <mc:Choice Requires="wps">
          <w:drawing>
            <wp:anchor distT="0" distB="0" distL="114294" distR="114294" simplePos="0" relativeHeight="251656192" behindDoc="0" locked="0" layoutInCell="1" allowOverlap="1" wp14:anchorId="24805FED" wp14:editId="5A541166">
              <wp:simplePos x="0" y="0"/>
              <wp:positionH relativeFrom="page">
                <wp:posOffset>1548129</wp:posOffset>
              </wp:positionH>
              <wp:positionV relativeFrom="page">
                <wp:posOffset>612140</wp:posOffset>
              </wp:positionV>
              <wp:extent cx="0" cy="558165"/>
              <wp:effectExtent l="0" t="0" r="19050" b="1333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1671AD"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58A3FD9C" w:rsidR="00811EDA" w:rsidRDefault="00B422F4">
    <w:pPr>
      <w:pStyle w:val="Header"/>
    </w:pPr>
    <w:r>
      <w:rPr>
        <w:noProof/>
      </w:rPr>
      <mc:AlternateContent>
        <mc:Choice Requires="wps">
          <w:drawing>
            <wp:anchor distT="0" distB="0" distL="114298" distR="114298" simplePos="0" relativeHeight="251660288" behindDoc="0" locked="0" layoutInCell="1" allowOverlap="1" wp14:anchorId="44F297E1" wp14:editId="5920C149">
              <wp:simplePos x="0" y="0"/>
              <wp:positionH relativeFrom="page">
                <wp:posOffset>5040629</wp:posOffset>
              </wp:positionH>
              <wp:positionV relativeFrom="page">
                <wp:posOffset>612140</wp:posOffset>
              </wp:positionV>
              <wp:extent cx="0" cy="899795"/>
              <wp:effectExtent l="0" t="0" r="19050" b="14605"/>
              <wp:wrapNone/>
              <wp:docPr id="3"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CF7E5D"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L3Ds9zQEAAHk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DE66EB">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1"/>
  </w:num>
  <w:num w:numId="27">
    <w:abstractNumId w:val="36"/>
  </w:num>
  <w:num w:numId="28">
    <w:abstractNumId w:val="43"/>
  </w:num>
  <w:num w:numId="29">
    <w:abstractNumId w:val="6"/>
  </w:num>
  <w:num w:numId="30">
    <w:abstractNumId w:val="3"/>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8D8"/>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1E1"/>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1846"/>
    <w:rsid w:val="000921AE"/>
    <w:rsid w:val="000921D7"/>
    <w:rsid w:val="000925FF"/>
    <w:rsid w:val="000932E0"/>
    <w:rsid w:val="00094C4C"/>
    <w:rsid w:val="00096762"/>
    <w:rsid w:val="000969C8"/>
    <w:rsid w:val="0009752D"/>
    <w:rsid w:val="00097AEE"/>
    <w:rsid w:val="000A014A"/>
    <w:rsid w:val="000A04B6"/>
    <w:rsid w:val="000A0E36"/>
    <w:rsid w:val="000A10D1"/>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6958"/>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0304"/>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0E86"/>
    <w:rsid w:val="00232F90"/>
    <w:rsid w:val="00233B08"/>
    <w:rsid w:val="00233C3B"/>
    <w:rsid w:val="0023499C"/>
    <w:rsid w:val="00235CE3"/>
    <w:rsid w:val="0023636A"/>
    <w:rsid w:val="00236F34"/>
    <w:rsid w:val="002372F7"/>
    <w:rsid w:val="00240651"/>
    <w:rsid w:val="00240803"/>
    <w:rsid w:val="00241178"/>
    <w:rsid w:val="00243C74"/>
    <w:rsid w:val="00243D8D"/>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6B93"/>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0AB"/>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2E4A"/>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2D25"/>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E66"/>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0E4"/>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0F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6129"/>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3081"/>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371"/>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488C"/>
    <w:rsid w:val="007D5915"/>
    <w:rsid w:val="007D5B4F"/>
    <w:rsid w:val="007D5C30"/>
    <w:rsid w:val="007E0660"/>
    <w:rsid w:val="007E090C"/>
    <w:rsid w:val="007E1411"/>
    <w:rsid w:val="007E1882"/>
    <w:rsid w:val="007E1BB4"/>
    <w:rsid w:val="007E2213"/>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2B9"/>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2FB9"/>
    <w:rsid w:val="009360F6"/>
    <w:rsid w:val="009371DC"/>
    <w:rsid w:val="0093759D"/>
    <w:rsid w:val="00937E76"/>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13"/>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375"/>
    <w:rsid w:val="00AE68A2"/>
    <w:rsid w:val="00AF0029"/>
    <w:rsid w:val="00AF0354"/>
    <w:rsid w:val="00AF1236"/>
    <w:rsid w:val="00AF1E2F"/>
    <w:rsid w:val="00AF201E"/>
    <w:rsid w:val="00AF38AF"/>
    <w:rsid w:val="00AF3C29"/>
    <w:rsid w:val="00AF4401"/>
    <w:rsid w:val="00AF4463"/>
    <w:rsid w:val="00AF53CB"/>
    <w:rsid w:val="00AF65C5"/>
    <w:rsid w:val="00B00D24"/>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824"/>
    <w:rsid w:val="00B327E9"/>
    <w:rsid w:val="00B33294"/>
    <w:rsid w:val="00B33657"/>
    <w:rsid w:val="00B34885"/>
    <w:rsid w:val="00B34886"/>
    <w:rsid w:val="00B34D68"/>
    <w:rsid w:val="00B36117"/>
    <w:rsid w:val="00B362E3"/>
    <w:rsid w:val="00B37C73"/>
    <w:rsid w:val="00B4009B"/>
    <w:rsid w:val="00B400A1"/>
    <w:rsid w:val="00B40A2B"/>
    <w:rsid w:val="00B420CB"/>
    <w:rsid w:val="00B422F4"/>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06C7"/>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35"/>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19D6"/>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4EEE"/>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081E"/>
    <w:rsid w:val="00DD18DB"/>
    <w:rsid w:val="00DD2D92"/>
    <w:rsid w:val="00DD3026"/>
    <w:rsid w:val="00DD33DC"/>
    <w:rsid w:val="00DD3BB0"/>
    <w:rsid w:val="00DD4A46"/>
    <w:rsid w:val="00DD61F5"/>
    <w:rsid w:val="00DE17EC"/>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6CC6"/>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7FD"/>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640"/>
    <w:rsid w:val="00ED7DA7"/>
    <w:rsid w:val="00EE0598"/>
    <w:rsid w:val="00EE311C"/>
    <w:rsid w:val="00EE56FF"/>
    <w:rsid w:val="00EE5886"/>
    <w:rsid w:val="00EE5FBF"/>
    <w:rsid w:val="00EE6472"/>
    <w:rsid w:val="00EE76F2"/>
    <w:rsid w:val="00EF0769"/>
    <w:rsid w:val="00EF0D7C"/>
    <w:rsid w:val="00EF40E2"/>
    <w:rsid w:val="00EF46A3"/>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4A7D"/>
    <w:rsid w:val="00F9580B"/>
    <w:rsid w:val="00F95F15"/>
    <w:rsid w:val="00F968C6"/>
    <w:rsid w:val="00F975CA"/>
    <w:rsid w:val="00FA0B60"/>
    <w:rsid w:val="00FA2528"/>
    <w:rsid w:val="00FA432D"/>
    <w:rsid w:val="00FA5535"/>
    <w:rsid w:val="00FA7206"/>
    <w:rsid w:val="00FA7717"/>
    <w:rsid w:val="00FA7E01"/>
    <w:rsid w:val="00FA7EFB"/>
    <w:rsid w:val="00FB0816"/>
    <w:rsid w:val="00FB08C2"/>
    <w:rsid w:val="00FB3DD1"/>
    <w:rsid w:val="00FB51FD"/>
    <w:rsid w:val="00FB5667"/>
    <w:rsid w:val="00FB69B4"/>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7ED"/>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8CD27"/>
  <w15:docId w15:val="{00F63F1F-9324-4130-8A5A-179A9116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35770317">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2.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3.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EC5773D7-C2BB-4D87-8953-46CB848F19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2177</Words>
  <Characters>12414</Characters>
  <Application>Microsoft Office Word</Application>
  <DocSecurity>8</DocSecurity>
  <Lines>103</Lines>
  <Paragraphs>29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14562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subject/>
  <dc:creator>ESMA</dc:creator>
  <cp:keywords/>
  <dc:description/>
  <cp:lastModifiedBy>Tarek Tranberg</cp:lastModifiedBy>
  <cp:revision>18</cp:revision>
  <cp:lastPrinted>2015-02-18T11:01:00Z</cp:lastPrinted>
  <dcterms:created xsi:type="dcterms:W3CDTF">2021-06-09T04:23:00Z</dcterms:created>
  <dcterms:modified xsi:type="dcterms:W3CDTF">2021-06-21T07:01:00Z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