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5"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6"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7"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8"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004FB3D4" w:rsidR="00B327E9" w:rsidRPr="00AB6D88" w:rsidRDefault="00CB3C27" w:rsidP="00F136AD">
                <w:pPr>
                  <w:rPr>
                    <w:rStyle w:val="PlaceholderText"/>
                    <w:rFonts w:cs="Arial"/>
                  </w:rPr>
                </w:pPr>
                <w:r>
                  <w:rPr>
                    <w:rStyle w:val="PlaceholderText"/>
                    <w:rFonts w:cs="Arial"/>
                  </w:rPr>
                  <w:t>CCLA Investment Management Limited</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4DC264E4" w:rsidR="00B327E9" w:rsidRPr="00AB6D88" w:rsidRDefault="00647DB1"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301D0A">
                  <w:rPr>
                    <w:rFonts w:cs="Arial"/>
                  </w:rPr>
                  <w:t>UCITS Management Company / AIFM</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40A2922E" w:rsidR="00B327E9" w:rsidRPr="00AB6D88" w:rsidRDefault="00301D0A"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7F3C9AD1" w:rsidR="00B327E9" w:rsidRPr="00AB6D88" w:rsidRDefault="00CB3C27" w:rsidP="00F136AD">
                <w:pPr>
                  <w:rPr>
                    <w:rFonts w:cs="Arial"/>
                  </w:rPr>
                </w:pPr>
                <w:r>
                  <w:rPr>
                    <w:rFonts w:cs="Arial"/>
                  </w:rPr>
                  <w:t>UK</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14FB52F2" w14:textId="77777777" w:rsidR="00522F2E" w:rsidRDefault="00522F2E" w:rsidP="00522F2E">
      <w:permStart w:id="44765448" w:edGrp="everyone"/>
    </w:p>
    <w:p w14:paraId="08A9C5AA" w14:textId="2B66C0FC" w:rsidR="00522F2E" w:rsidRDefault="00522F2E" w:rsidP="00355E71">
      <w:pPr>
        <w:jc w:val="both"/>
      </w:pPr>
      <w:r>
        <w:t xml:space="preserve">I write to you in the capacity as Director, Investments (Cash) at CCLA Investment Management Limited (CCLA). CCLA is a </w:t>
      </w:r>
      <w:r w:rsidR="005E0C10">
        <w:t>UK Financial Conduct Autho</w:t>
      </w:r>
      <w:r w:rsidR="004D355B">
        <w:t>rity</w:t>
      </w:r>
      <w:r>
        <w:t xml:space="preserve"> regulated specialist investment manager for charities, faith organisations, and UK public sector bodies providing the broadest range of funds designed specifically for them. We are owned by our charity, faith and public sector clients and manage our activities for their benefit. Our ownership and structure enable us to help charities and public sector organisations achieve their aspirations and helps trustees and officers meet their obligations. We are a leader in ethical and responsible investment, a ‘Tier One’ signatory to the UK Stewardship Code, we are also committed to help our clients push forward a positive agenda for change. </w:t>
      </w:r>
    </w:p>
    <w:p w14:paraId="7410C3A0" w14:textId="77777777" w:rsidR="00522F2E" w:rsidRDefault="00522F2E" w:rsidP="00355E71">
      <w:pPr>
        <w:jc w:val="both"/>
      </w:pPr>
    </w:p>
    <w:p w14:paraId="5DD3282E" w14:textId="5F06A138" w:rsidR="00522F2E" w:rsidRDefault="00522F2E" w:rsidP="00355E71">
      <w:pPr>
        <w:jc w:val="both"/>
      </w:pPr>
      <w:r>
        <w:t xml:space="preserve">Within in our product range we manage two UK domiciled Common Deposit Funds, The CBF Church of England Deposit Fund and The COIF Charities Deposit Fund and a UK Qualifying Money Market Fund </w:t>
      </w:r>
      <w:r w:rsidR="00191AF7">
        <w:t>, t</w:t>
      </w:r>
      <w:r>
        <w:t>he Public Sector Deposit Fund. The value of these three funds is currently £3.6 billion, utilised by approximately 21,000 charity and public sector bodies, with an average deposit of  about £170,000, per organisation</w:t>
      </w:r>
      <w:r w:rsidR="00E17295">
        <w:t>.</w:t>
      </w:r>
    </w:p>
    <w:p w14:paraId="152057B7" w14:textId="14D1B32B" w:rsidR="00956899" w:rsidRDefault="00956899" w:rsidP="00355E71">
      <w:pPr>
        <w:jc w:val="both"/>
      </w:pPr>
    </w:p>
    <w:p w14:paraId="4BD32820" w14:textId="32CA67B7" w:rsidR="00956899" w:rsidRDefault="00956899" w:rsidP="00355E71">
      <w:pPr>
        <w:jc w:val="both"/>
      </w:pPr>
      <w:r>
        <w:t xml:space="preserve">CCLA welcomes the opportunity </w:t>
      </w:r>
      <w:r w:rsidR="0056583D">
        <w:t>to provide comment o</w:t>
      </w:r>
      <w:r w:rsidR="005C04DE">
        <w:t>n this</w:t>
      </w:r>
      <w:r w:rsidR="0056583D" w:rsidRPr="0056583D">
        <w:t xml:space="preserve"> legislative review</w:t>
      </w:r>
      <w:r w:rsidR="005C04DE">
        <w:t xml:space="preserve"> of the EU Money Market Fund Regulation</w:t>
      </w:r>
      <w:r w:rsidR="00093AF8">
        <w:t xml:space="preserve"> at a time </w:t>
      </w:r>
      <w:r w:rsidR="00A36B23">
        <w:t>when the</w:t>
      </w:r>
      <w:r w:rsidR="00252D19">
        <w:t xml:space="preserve"> G-20,</w:t>
      </w:r>
      <w:r w:rsidR="00A36B23">
        <w:t xml:space="preserve"> </w:t>
      </w:r>
      <w:r w:rsidR="00252D19">
        <w:t xml:space="preserve">the </w:t>
      </w:r>
      <w:r w:rsidR="00A36B23">
        <w:t>Financial Stability Board</w:t>
      </w:r>
      <w:r w:rsidR="00252D19">
        <w:t>,</w:t>
      </w:r>
      <w:r w:rsidR="00A36B23">
        <w:t xml:space="preserve"> </w:t>
      </w:r>
      <w:r w:rsidR="001A432C">
        <w:t>and International Organisation of Securities Commissions</w:t>
      </w:r>
      <w:r w:rsidR="00252D19">
        <w:t xml:space="preserve"> </w:t>
      </w:r>
      <w:r w:rsidR="007B5527">
        <w:t xml:space="preserve">are undertaking </w:t>
      </w:r>
      <w:r w:rsidR="004536F5">
        <w:t>similar reviews of the global Money Market Fund sector.</w:t>
      </w:r>
    </w:p>
    <w:p w14:paraId="48D6E9BF" w14:textId="77777777" w:rsidR="00522F2E" w:rsidRDefault="00522F2E" w:rsidP="00355E71">
      <w:pPr>
        <w:jc w:val="both"/>
      </w:pPr>
    </w:p>
    <w:p w14:paraId="22C7D24B" w14:textId="327A2529" w:rsidR="00522F2E" w:rsidRDefault="00522F2E" w:rsidP="00355E71">
      <w:pPr>
        <w:jc w:val="both"/>
      </w:pPr>
      <w:r>
        <w:t>In the eight days between 12 and 20 March 2020 when there</w:t>
      </w:r>
      <w:r w:rsidR="008B7C77">
        <w:t xml:space="preserve"> appeared to be</w:t>
      </w:r>
      <w:r>
        <w:t xml:space="preserve"> a serious threat to the stability of the financial </w:t>
      </w:r>
      <w:proofErr w:type="gramStart"/>
      <w:r>
        <w:t>system</w:t>
      </w:r>
      <w:proofErr w:type="gramEnd"/>
      <w:r w:rsidR="00355E71">
        <w:t xml:space="preserve"> we note m</w:t>
      </w:r>
      <w:r>
        <w:t xml:space="preserve">arket conditions certainly </w:t>
      </w:r>
      <w:r w:rsidR="008B7C77">
        <w:t xml:space="preserve">did </w:t>
      </w:r>
      <w:r>
        <w:t>deteriorate</w:t>
      </w:r>
      <w:r w:rsidR="00D97C6D">
        <w:t>d</w:t>
      </w:r>
      <w:r w:rsidR="00355E71">
        <w:t>. I</w:t>
      </w:r>
      <w:r>
        <w:t xml:space="preserve">t was our experience that </w:t>
      </w:r>
      <w:r w:rsidR="008B7C77">
        <w:t xml:space="preserve">some </w:t>
      </w:r>
      <w:r>
        <w:t xml:space="preserve">of the financial institutions on our approved lending lists withdrew from issuing primary instruments and importantly making secondary prices.  As widely acknowledged in that week revenue streams for corporates globally were drying up, needing cash urgently to pay short-term obligations, such as wages, and generally to keep afloat. That cash demand ultimately fell on the global money market funds, as a consequence, because of significant lack of market pricing, </w:t>
      </w:r>
      <w:r w:rsidR="00355E71">
        <w:t xml:space="preserve">some of </w:t>
      </w:r>
      <w:r w:rsidR="003E1124">
        <w:t xml:space="preserve">our competitor </w:t>
      </w:r>
      <w:r>
        <w:t xml:space="preserve">MMF managers were selling assets at very heavily discounted prices.  </w:t>
      </w:r>
    </w:p>
    <w:p w14:paraId="039F3A6D" w14:textId="77777777" w:rsidR="00522F2E" w:rsidRDefault="00522F2E" w:rsidP="00355E71">
      <w:pPr>
        <w:jc w:val="both"/>
      </w:pPr>
    </w:p>
    <w:p w14:paraId="517CD8A6" w14:textId="0423CBB8" w:rsidR="00522F2E" w:rsidRDefault="00522F2E" w:rsidP="00355E71">
      <w:pPr>
        <w:jc w:val="both"/>
      </w:pPr>
      <w:r>
        <w:t>Though the pandemic was a once in century event our sixty-year company experience in cash management and understanding of our</w:t>
      </w:r>
      <w:r w:rsidR="003E1124">
        <w:t xml:space="preserve"> own</w:t>
      </w:r>
      <w:r>
        <w:t xml:space="preserve"> client base demands we were confident that we would not have an immediate and unusually large number of redemption requests; especially as the client average balances are all relatively very low.  This gave us, as </w:t>
      </w:r>
      <w:r w:rsidR="00191AF7">
        <w:t xml:space="preserve">the </w:t>
      </w:r>
      <w:r>
        <w:t xml:space="preserve">manager, confidence that we could </w:t>
      </w:r>
      <w:r w:rsidR="00B90CFE">
        <w:t>initially</w:t>
      </w:r>
      <w:r w:rsidR="00175B89">
        <w:t xml:space="preserve"> </w:t>
      </w:r>
      <w:r>
        <w:t>reduce our short-term liquidity and acquire longer tenure instruments at yields that had not been achievable in over a decade</w:t>
      </w:r>
      <w:r w:rsidR="00B81F23">
        <w:t xml:space="preserve">, </w:t>
      </w:r>
      <w:r w:rsidR="006E6E0E">
        <w:t>this</w:t>
      </w:r>
      <w:r w:rsidR="003E5626">
        <w:t xml:space="preserve"> </w:t>
      </w:r>
      <w:r w:rsidR="004A4B3F">
        <w:t xml:space="preserve">provided additional income </w:t>
      </w:r>
      <w:r w:rsidR="006E6E0E">
        <w:t xml:space="preserve">for our clients, </w:t>
      </w:r>
      <w:r w:rsidR="004A4B3F">
        <w:t xml:space="preserve">at a time </w:t>
      </w:r>
      <w:r w:rsidR="006E6E0E">
        <w:t>when it was really needed</w:t>
      </w:r>
      <w:r>
        <w:t>. Importantly</w:t>
      </w:r>
      <w:r w:rsidR="00C5569C">
        <w:t>,</w:t>
      </w:r>
      <w:r>
        <w:t xml:space="preserve"> we did not have to make any fire sales from our three fund portfolios and all the funds </w:t>
      </w:r>
      <w:r w:rsidR="00355E71">
        <w:t xml:space="preserve">successfully </w:t>
      </w:r>
      <w:r>
        <w:t>functioned in accordance with their relevant scheme rules</w:t>
      </w:r>
      <w:r w:rsidR="00355E71">
        <w:t xml:space="preserve"> and regulatory requirements</w:t>
      </w:r>
      <w:r>
        <w:t>.</w:t>
      </w:r>
      <w:r w:rsidR="009A154F">
        <w:t xml:space="preserve"> In the one year period to the end of March 2021, our Deposit Funds grew</w:t>
      </w:r>
      <w:r w:rsidR="00175B89">
        <w:t xml:space="preserve"> by</w:t>
      </w:r>
      <w:r w:rsidR="009A154F">
        <w:t xml:space="preserve"> over 25%.</w:t>
      </w:r>
    </w:p>
    <w:p w14:paraId="1347CD6A" w14:textId="44A01C2C" w:rsidR="000E6098" w:rsidRDefault="000E6098" w:rsidP="00355E71">
      <w:pPr>
        <w:jc w:val="both"/>
      </w:pPr>
    </w:p>
    <w:p w14:paraId="4D659475" w14:textId="7EFED686" w:rsidR="000E6098" w:rsidRDefault="000E6098" w:rsidP="00355E71">
      <w:pPr>
        <w:jc w:val="both"/>
      </w:pPr>
      <w:r>
        <w:t>Stuart Freeman</w:t>
      </w:r>
    </w:p>
    <w:p w14:paraId="1178D2F6" w14:textId="30C1A7DC" w:rsidR="000E6098" w:rsidRDefault="000E6098" w:rsidP="00355E71">
      <w:pPr>
        <w:jc w:val="both"/>
      </w:pPr>
      <w:r>
        <w:t>Director, Investment (Cash)</w:t>
      </w:r>
    </w:p>
    <w:p w14:paraId="10516B61" w14:textId="79022693" w:rsidR="000E6098" w:rsidRDefault="000E6098" w:rsidP="00355E71">
      <w:pPr>
        <w:jc w:val="both"/>
      </w:pPr>
      <w:r>
        <w:t>CCLA Investment Management</w:t>
      </w:r>
      <w:r w:rsidR="00A8761B">
        <w:t xml:space="preserve"> Limited</w:t>
      </w:r>
    </w:p>
    <w:p w14:paraId="1981554E" w14:textId="77777777" w:rsidR="005C3FFA" w:rsidRDefault="005C3FFA" w:rsidP="00355E71">
      <w:pPr>
        <w:jc w:val="both"/>
      </w:pPr>
    </w:p>
    <w:p w14:paraId="09A5C6AF" w14:textId="2A36F5D2" w:rsidR="000E6098" w:rsidRDefault="00190D80" w:rsidP="00355E71">
      <w:pPr>
        <w:jc w:val="both"/>
      </w:pPr>
      <w:r>
        <w:lastRenderedPageBreak/>
        <w:t>Senator House</w:t>
      </w:r>
    </w:p>
    <w:p w14:paraId="19174446" w14:textId="00FF0F37" w:rsidR="00190D80" w:rsidRDefault="00190D80" w:rsidP="00355E71">
      <w:pPr>
        <w:jc w:val="both"/>
      </w:pPr>
      <w:r>
        <w:t>85 Queen Victoria Street</w:t>
      </w:r>
    </w:p>
    <w:p w14:paraId="53F774A4" w14:textId="384B105D" w:rsidR="00190D80" w:rsidRDefault="00190D80" w:rsidP="00355E71">
      <w:pPr>
        <w:jc w:val="both"/>
      </w:pPr>
      <w:r>
        <w:t>City of London</w:t>
      </w:r>
    </w:p>
    <w:p w14:paraId="32BF8AF0" w14:textId="0FC29740" w:rsidR="00190D80" w:rsidRDefault="00190D80" w:rsidP="00355E71">
      <w:pPr>
        <w:jc w:val="both"/>
      </w:pPr>
      <w:r>
        <w:t>London</w:t>
      </w:r>
      <w:r w:rsidR="00380F0F">
        <w:t>, UK.</w:t>
      </w:r>
    </w:p>
    <w:p w14:paraId="373131F1" w14:textId="78DF4619" w:rsidR="00380F0F" w:rsidRDefault="00380F0F" w:rsidP="00355E71">
      <w:pPr>
        <w:jc w:val="both"/>
      </w:pPr>
      <w:r>
        <w:t>EC4V 4ET</w:t>
      </w:r>
    </w:p>
    <w:p w14:paraId="289117DC" w14:textId="324DCC49" w:rsidR="00C401BA" w:rsidRDefault="00D4387D" w:rsidP="00355E71">
      <w:pPr>
        <w:jc w:val="both"/>
      </w:pPr>
      <w:r>
        <w:t xml:space="preserve">Tel: </w:t>
      </w:r>
      <w:r w:rsidR="00C401BA">
        <w:t xml:space="preserve">02074 896051 </w:t>
      </w:r>
      <w:r>
        <w:t xml:space="preserve">– email: </w:t>
      </w:r>
      <w:hyperlink r:id="rId19" w:history="1">
        <w:r w:rsidRPr="000B1451">
          <w:rPr>
            <w:rStyle w:val="Hyperlink"/>
          </w:rPr>
          <w:t>stuart.freeman@ccla.co.uk</w:t>
        </w:r>
      </w:hyperlink>
    </w:p>
    <w:p w14:paraId="4595CDF8" w14:textId="6DA2CBFB" w:rsidR="00D4387D" w:rsidRDefault="00D4387D" w:rsidP="00355E71">
      <w:pPr>
        <w:jc w:val="both"/>
      </w:pPr>
    </w:p>
    <w:p w14:paraId="1978569E" w14:textId="4C379BA5" w:rsidR="00D4387D" w:rsidRDefault="00A8761B" w:rsidP="00355E71">
      <w:pPr>
        <w:jc w:val="both"/>
      </w:pPr>
      <w:r>
        <w:t>29 June 2021</w:t>
      </w:r>
    </w:p>
    <w:p w14:paraId="60161721" w14:textId="77777777" w:rsidR="00190D80" w:rsidRDefault="00190D80" w:rsidP="00355E71">
      <w:pPr>
        <w:jc w:val="both"/>
      </w:pPr>
    </w:p>
    <w:p w14:paraId="610B79A9" w14:textId="77777777" w:rsidR="00522F2E" w:rsidRDefault="00522F2E" w:rsidP="00FE6577"/>
    <w:permEnd w:id="44765448"/>
    <w:p w14:paraId="68F63540" w14:textId="3D9039F0"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9"/>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6105CDC7" w14:textId="1D3D3444" w:rsidR="00DC795A" w:rsidRDefault="00FC46B0" w:rsidP="00787EF6">
      <w:pPr>
        <w:jc w:val="both"/>
      </w:pPr>
      <w:permStart w:id="1576605906" w:edGrp="everyone"/>
      <w:r>
        <w:br/>
      </w:r>
      <w:r w:rsidR="00BA7A80">
        <w:t>T</w:t>
      </w:r>
      <w:r w:rsidR="00491407">
        <w:t xml:space="preserve">he </w:t>
      </w:r>
      <w:r w:rsidR="00D30989">
        <w:t xml:space="preserve">catastrophic </w:t>
      </w:r>
      <w:r w:rsidR="00491407">
        <w:t xml:space="preserve">economic collapse </w:t>
      </w:r>
      <w:r w:rsidR="00267F75">
        <w:t xml:space="preserve">in March 2020 </w:t>
      </w:r>
      <w:r w:rsidR="00491407">
        <w:t>was</w:t>
      </w:r>
      <w:r w:rsidR="00491407" w:rsidRPr="00491407">
        <w:t xml:space="preserve"> due to </w:t>
      </w:r>
      <w:r w:rsidR="00BA7A80">
        <w:t xml:space="preserve">an </w:t>
      </w:r>
      <w:r w:rsidR="00491407" w:rsidRPr="00491407">
        <w:t xml:space="preserve">unexpected external shock </w:t>
      </w:r>
      <w:r w:rsidR="00D30989">
        <w:t>from</w:t>
      </w:r>
      <w:r w:rsidR="00491407" w:rsidRPr="00491407">
        <w:t xml:space="preserve"> a</w:t>
      </w:r>
      <w:r w:rsidR="00491407">
        <w:t xml:space="preserve"> once</w:t>
      </w:r>
      <w:r w:rsidR="00D30989">
        <w:t xml:space="preserve"> in a </w:t>
      </w:r>
      <w:r w:rsidR="00A72ABE">
        <w:t>century</w:t>
      </w:r>
      <w:r w:rsidR="00491407" w:rsidRPr="00491407">
        <w:t xml:space="preserve"> pandemic</w:t>
      </w:r>
      <w:r w:rsidR="00BA7A80">
        <w:t>,</w:t>
      </w:r>
      <w:r w:rsidR="00267F75">
        <w:t xml:space="preserve"> rather</w:t>
      </w:r>
      <w:r w:rsidR="00023D48">
        <w:t xml:space="preserve"> than a </w:t>
      </w:r>
      <w:r w:rsidR="001E75F6">
        <w:t xml:space="preserve">major </w:t>
      </w:r>
      <w:r w:rsidR="00023D48">
        <w:t xml:space="preserve">credit </w:t>
      </w:r>
      <w:r w:rsidR="001E75F6">
        <w:t>event</w:t>
      </w:r>
      <w:r w:rsidR="0082505D">
        <w:t xml:space="preserve"> that occurred in 2008/09 </w:t>
      </w:r>
      <w:r w:rsidR="006A37D8">
        <w:t xml:space="preserve">and other </w:t>
      </w:r>
      <w:r w:rsidR="0082505D">
        <w:t>financial c</w:t>
      </w:r>
      <w:r w:rsidR="0082505D" w:rsidRPr="00491407">
        <w:t>ris</w:t>
      </w:r>
      <w:r w:rsidR="006A37D8">
        <w:t>es</w:t>
      </w:r>
      <w:r w:rsidR="00D30989">
        <w:t xml:space="preserve">. </w:t>
      </w:r>
      <w:r w:rsidR="001E75F6">
        <w:t>The se</w:t>
      </w:r>
      <w:r w:rsidR="00AD14EB">
        <w:t>izure</w:t>
      </w:r>
      <w:r w:rsidR="000E1D3C">
        <w:t xml:space="preserve"> </w:t>
      </w:r>
      <w:r w:rsidR="007C3ECC">
        <w:t xml:space="preserve">that transpired </w:t>
      </w:r>
      <w:r w:rsidR="000E1D3C">
        <w:t>from a</w:t>
      </w:r>
      <w:r w:rsidR="00EC41B7">
        <w:t>n immediate</w:t>
      </w:r>
      <w:r w:rsidR="000E1D3C">
        <w:t xml:space="preserve"> global lockdown caused</w:t>
      </w:r>
      <w:r w:rsidR="00491407" w:rsidRPr="00491407">
        <w:t xml:space="preserve"> government intervention</w:t>
      </w:r>
      <w:r w:rsidR="00EC41B7">
        <w:t>s</w:t>
      </w:r>
      <w:r w:rsidR="00491407" w:rsidRPr="00491407">
        <w:t xml:space="preserve"> at every level of the economy, the financial system and society itself.</w:t>
      </w:r>
      <w:r w:rsidR="00D30989">
        <w:t xml:space="preserve"> As the difficulties faced were from</w:t>
      </w:r>
      <w:r w:rsidR="00D30989" w:rsidRPr="00D30989">
        <w:t xml:space="preserve"> an external shock, </w:t>
      </w:r>
      <w:r w:rsidR="00D30989">
        <w:t xml:space="preserve">we believe that caution should be taken by </w:t>
      </w:r>
      <w:r w:rsidR="00355E71">
        <w:t>ESMA</w:t>
      </w:r>
      <w:r w:rsidR="00D30989">
        <w:t xml:space="preserve"> and </w:t>
      </w:r>
      <w:r w:rsidR="00A72ABE">
        <w:t xml:space="preserve">the </w:t>
      </w:r>
      <w:r w:rsidR="00D30989">
        <w:t>other</w:t>
      </w:r>
      <w:r w:rsidR="00A72ABE">
        <w:t xml:space="preserve"> global</w:t>
      </w:r>
      <w:r w:rsidR="00D30989" w:rsidRPr="00D30989">
        <w:t xml:space="preserve"> authorities to find </w:t>
      </w:r>
      <w:r w:rsidR="00D30989">
        <w:t xml:space="preserve">immediate fixes to resolve the various situations exposed in the </w:t>
      </w:r>
      <w:r w:rsidR="00D30989" w:rsidRPr="00D30989">
        <w:t>financial system</w:t>
      </w:r>
      <w:r w:rsidR="002109FE">
        <w:t xml:space="preserve">. </w:t>
      </w:r>
      <w:r w:rsidR="00FD45BD">
        <w:t xml:space="preserve">No European </w:t>
      </w:r>
      <w:r w:rsidR="00EC41B7">
        <w:t>MMF</w:t>
      </w:r>
      <w:r w:rsidR="00393937">
        <w:t>s, that we aware of, broke the LVNAV NAV</w:t>
      </w:r>
      <w:r w:rsidR="003B71B8">
        <w:t xml:space="preserve"> pricing</w:t>
      </w:r>
      <w:r w:rsidR="00393937">
        <w:t xml:space="preserve"> collar, duration or </w:t>
      </w:r>
      <w:r w:rsidR="007C4FFC">
        <w:t xml:space="preserve">liquidity rules, </w:t>
      </w:r>
      <w:r w:rsidR="007430F6">
        <w:t>and none</w:t>
      </w:r>
      <w:r w:rsidR="007C4FFC">
        <w:t xml:space="preserve"> had to be gate</w:t>
      </w:r>
      <w:r w:rsidR="00DC795A">
        <w:t>d</w:t>
      </w:r>
      <w:r w:rsidR="003B71B8">
        <w:t>.</w:t>
      </w:r>
      <w:r w:rsidR="00131666">
        <w:t xml:space="preserve"> </w:t>
      </w:r>
      <w:proofErr w:type="gramStart"/>
      <w:r w:rsidR="00131666">
        <w:t>Yes</w:t>
      </w:r>
      <w:proofErr w:type="gramEnd"/>
      <w:r w:rsidR="00131666">
        <w:t xml:space="preserve"> there was stress in the system</w:t>
      </w:r>
      <w:r w:rsidR="0027244A">
        <w:t>, but there should be in such a once in a lifetime event</w:t>
      </w:r>
      <w:r w:rsidR="00C52329">
        <w:t>.</w:t>
      </w:r>
    </w:p>
    <w:p w14:paraId="741FADC4" w14:textId="36B44115" w:rsidR="00492B3A" w:rsidRDefault="00794F24" w:rsidP="00787EF6">
      <w:pPr>
        <w:jc w:val="both"/>
      </w:pPr>
      <w:r>
        <w:br/>
      </w:r>
      <w:r w:rsidR="002109FE">
        <w:t xml:space="preserve">Having </w:t>
      </w:r>
      <w:r w:rsidR="00F6561E">
        <w:t xml:space="preserve">proven </w:t>
      </w:r>
      <w:r w:rsidR="002109FE">
        <w:t>that CNAV and LVANV MMF</w:t>
      </w:r>
      <w:r w:rsidR="00FC46B0">
        <w:t xml:space="preserve">s </w:t>
      </w:r>
      <w:r w:rsidR="002109FE">
        <w:t xml:space="preserve">fulfil a very important role in the day-to-day funding of the real economy, there should </w:t>
      </w:r>
      <w:r w:rsidR="00FC46B0">
        <w:t>not be any gung-ho solutions</w:t>
      </w:r>
      <w:r w:rsidR="00787EF6">
        <w:t>,</w:t>
      </w:r>
      <w:r w:rsidR="00FC46B0">
        <w:t xml:space="preserve"> but open</w:t>
      </w:r>
      <w:r w:rsidR="002109FE">
        <w:t xml:space="preserve"> discussions with industry </w:t>
      </w:r>
      <w:r w:rsidR="00FC46B0">
        <w:t>about</w:t>
      </w:r>
      <w:r w:rsidR="00787EF6">
        <w:t xml:space="preserve"> ensuring</w:t>
      </w:r>
      <w:r w:rsidR="00FC46B0">
        <w:t xml:space="preserve"> the structure of the short-term capital markets</w:t>
      </w:r>
      <w:r w:rsidR="00787EF6">
        <w:t xml:space="preserve"> is more resilient</w:t>
      </w:r>
      <w:r w:rsidR="00692E34">
        <w:t xml:space="preserve"> in the future</w:t>
      </w:r>
      <w:r w:rsidR="0064232C">
        <w:t>,</w:t>
      </w:r>
      <w:r w:rsidR="00787EF6">
        <w:t xml:space="preserve"> rather than</w:t>
      </w:r>
      <w:r w:rsidR="00355E71">
        <w:t xml:space="preserve"> solely focusing on MMFs</w:t>
      </w:r>
      <w:r w:rsidR="00D30989">
        <w:t>.</w:t>
      </w:r>
      <w:r w:rsidR="00D30989">
        <w:br/>
      </w:r>
      <w:r w:rsidR="002109FE">
        <w:br/>
      </w:r>
      <w:r w:rsidR="00D30989">
        <w:t>As for MMF ratings almost all our Public Sector clients have</w:t>
      </w:r>
      <w:r w:rsidR="0064232C">
        <w:t xml:space="preserve"> a</w:t>
      </w:r>
      <w:r w:rsidR="00D30989">
        <w:t xml:space="preserve"> rating requirement</w:t>
      </w:r>
      <w:r w:rsidR="0064232C">
        <w:t xml:space="preserve"> </w:t>
      </w:r>
      <w:r w:rsidR="00D30989">
        <w:t>written into their Treasury Management Policies</w:t>
      </w:r>
      <w:r w:rsidR="002109FE">
        <w:t>; while our charity clients take comfort from the external ratings.</w:t>
      </w:r>
      <w:r w:rsidR="00491407">
        <w:t xml:space="preserve"> </w:t>
      </w:r>
    </w:p>
    <w:permEnd w:id="1576605906"/>
    <w:p w14:paraId="3C155733" w14:textId="77777777" w:rsidR="00492B3A" w:rsidRDefault="00492B3A" w:rsidP="00492B3A"/>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45694F8F" w14:textId="6410EAEF" w:rsidR="00492B3A" w:rsidRDefault="007E6847" w:rsidP="00492B3A">
      <w:permStart w:id="1123047147" w:edGrp="everyone"/>
      <w:r>
        <w:br/>
        <w:t xml:space="preserve">While it is timely to have a review of the EU regulation 2017/1131 as we note in our answer to question 1 any review should also </w:t>
      </w:r>
      <w:proofErr w:type="gramStart"/>
      <w:r>
        <w:t>take into account</w:t>
      </w:r>
      <w:proofErr w:type="gramEnd"/>
      <w:r>
        <w:t xml:space="preserve"> the capabilities and structure of the short-term capital markets in each jurisdiction. The UK money markets for example has very different nuances and characteristics to say the Euro market</w:t>
      </w:r>
      <w:r w:rsidR="00AC2E97">
        <w:t>.</w:t>
      </w:r>
    </w:p>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48597905" w14:textId="77777777" w:rsidR="00CE125F" w:rsidRDefault="00CE125F" w:rsidP="00492B3A">
      <w:permStart w:id="1823616926" w:edGrp="everyone"/>
    </w:p>
    <w:p w14:paraId="17955261" w14:textId="237D1DFA" w:rsidR="00CE125F" w:rsidRDefault="00CE125F" w:rsidP="00492B3A">
      <w:r>
        <w:t>What has become very apparent is that since the introduction of EU regulation 2017/1131 we are holding substantially more liquidity so that we are comfortable in meeting the regulatory commitment</w:t>
      </w:r>
      <w:r w:rsidR="00F60464">
        <w:t xml:space="preserve">, this </w:t>
      </w:r>
      <w:r w:rsidR="00F60464" w:rsidRPr="00F60464">
        <w:t>is well in excess of our daily operational requirements</w:t>
      </w:r>
      <w:r>
        <w:t>. We</w:t>
      </w:r>
      <w:r w:rsidR="0054727E">
        <w:t xml:space="preserve"> would therefore see it beneficial </w:t>
      </w:r>
      <w:r>
        <w:t xml:space="preserve">removing the linkage between the overnight and weekly requirements and gate thresholds. </w:t>
      </w:r>
    </w:p>
    <w:p w14:paraId="7F38EDC8" w14:textId="77777777" w:rsidR="00AB2ADD" w:rsidRDefault="00AB2ADD" w:rsidP="00492B3A"/>
    <w:p w14:paraId="6F0CE887" w14:textId="14E53919" w:rsidR="00CE125F" w:rsidRDefault="00CE125F" w:rsidP="00492B3A">
      <w:r>
        <w:lastRenderedPageBreak/>
        <w:t>We certainly are against obtaining permission from the regulatory authority or notifying them prior to introducing gates</w:t>
      </w:r>
      <w:r w:rsidR="00B14D80">
        <w:t>,</w:t>
      </w:r>
      <w:r w:rsidR="00220516">
        <w:t xml:space="preserve"> especially in times of stress</w:t>
      </w:r>
      <w:r w:rsidR="00B14D80">
        <w:t>,</w:t>
      </w:r>
      <w:r w:rsidR="00220516">
        <w:t xml:space="preserve"> </w:t>
      </w:r>
      <w:r w:rsidR="00B14D80">
        <w:t xml:space="preserve">as this may result in undue delay and </w:t>
      </w:r>
      <w:r w:rsidR="003D647B">
        <w:t>create further difficulties</w:t>
      </w:r>
      <w:r w:rsidR="00E529FF">
        <w:t xml:space="preserve"> for investors</w:t>
      </w:r>
      <w:r>
        <w:t>.</w:t>
      </w:r>
    </w:p>
    <w:p w14:paraId="35381AED" w14:textId="446DD94E" w:rsidR="00CE125F" w:rsidRDefault="00CE125F" w:rsidP="00492B3A"/>
    <w:permEnd w:id="1823616926"/>
    <w:p w14:paraId="383E5893" w14:textId="5D41827F"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require MMFs to use swing pricing and / or ADL / liquidity fees and the corresponding proposal of amendment of the MMF 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446E05F6" w14:textId="78A3EB9F" w:rsidR="006773F9" w:rsidRDefault="00F21005" w:rsidP="00787EF6">
      <w:pPr>
        <w:jc w:val="both"/>
      </w:pPr>
      <w:permStart w:id="910372547" w:edGrp="everyone"/>
      <w:r>
        <w:br/>
      </w:r>
      <w:r w:rsidR="00C106C7">
        <w:t>The suggestion of swing pricing would not work, as</w:t>
      </w:r>
      <w:r>
        <w:t xml:space="preserve"> the valuation methodology </w:t>
      </w:r>
      <w:r w:rsidR="00C106C7" w:rsidRPr="00F21005">
        <w:t xml:space="preserve">would eliminate the intraday/same day liquidity – a key </w:t>
      </w:r>
      <w:r w:rsidR="00C106C7">
        <w:t xml:space="preserve">requirement from </w:t>
      </w:r>
      <w:r w:rsidR="00602FB3">
        <w:t xml:space="preserve">our </w:t>
      </w:r>
      <w:r w:rsidR="00C106C7">
        <w:t>clients</w:t>
      </w:r>
      <w:r w:rsidR="00722920">
        <w:t xml:space="preserve"> when utilising</w:t>
      </w:r>
      <w:r w:rsidR="00C106C7" w:rsidRPr="00F21005">
        <w:t xml:space="preserve"> </w:t>
      </w:r>
      <w:r w:rsidR="00602FB3">
        <w:t>the</w:t>
      </w:r>
      <w:r w:rsidR="00C106C7">
        <w:t xml:space="preserve"> </w:t>
      </w:r>
      <w:r>
        <w:t xml:space="preserve">CNAV and LVNAV </w:t>
      </w:r>
      <w:r w:rsidRPr="00F21005">
        <w:t>MMFs</w:t>
      </w:r>
      <w:r w:rsidR="00C106C7">
        <w:t>.</w:t>
      </w:r>
      <w:r w:rsidR="00787EF6">
        <w:t xml:space="preserve"> </w:t>
      </w:r>
    </w:p>
    <w:p w14:paraId="0BD45144" w14:textId="77777777" w:rsidR="006773F9" w:rsidRDefault="006773F9" w:rsidP="00787EF6">
      <w:pPr>
        <w:jc w:val="both"/>
      </w:pPr>
    </w:p>
    <w:p w14:paraId="06381584" w14:textId="3BC17833" w:rsidR="00F21005" w:rsidRDefault="00787EF6" w:rsidP="00787EF6">
      <w:pPr>
        <w:jc w:val="both"/>
      </w:pPr>
      <w:r>
        <w:t>Additionally, there would be difficulties in calculating costs for clients redeeming/withdrawing funds as they change over time and are more volatile at certain times of the year (month, quarter and year-ends), plus in times of stress.</w:t>
      </w:r>
    </w:p>
    <w:p w14:paraId="082D17CB" w14:textId="44F6835D" w:rsidR="004207FD" w:rsidRDefault="004207FD" w:rsidP="00787EF6">
      <w:pPr>
        <w:jc w:val="both"/>
      </w:pPr>
    </w:p>
    <w:p w14:paraId="4EAC0F4A" w14:textId="5EAAA943" w:rsidR="004207FD" w:rsidRDefault="004207FD" w:rsidP="004207FD">
      <w:pPr>
        <w:jc w:val="both"/>
      </w:pPr>
      <w:r>
        <w:t xml:space="preserve">There could also be merits in removing the rule in Article 12 that only permits non-negotiable term deposits on an overnight basis and amend it to allow deposits up to five business days. There are very few financial institutions that issue one week Certificates of Deposit or other financial instruments, presently MMF managers are therefore having to </w:t>
      </w:r>
      <w:proofErr w:type="gramStart"/>
      <w:r>
        <w:t>almost entirely rely on overnight deposit facilities</w:t>
      </w:r>
      <w:proofErr w:type="gramEnd"/>
      <w:r>
        <w:t xml:space="preserve"> for their overnight and weekly liquidity requirements. The overnight market can be very illiquid at certain times of the calendar month; the ability for Managers to structure their portfolios to have rolling weekly term-deposits would help alleviate some of the difficulties we have experienced in the past, provide timely liquidity without having to sell instruments and more importantly ease pressures in the money market itself.</w:t>
      </w:r>
    </w:p>
    <w:p w14:paraId="6A536A17" w14:textId="77777777" w:rsidR="006773F9" w:rsidRDefault="006773F9" w:rsidP="00787EF6">
      <w:pPr>
        <w:jc w:val="both"/>
      </w:pPr>
    </w:p>
    <w:permEnd w:id="910372547"/>
    <w:p w14:paraId="44CC0988" w14:textId="083F7A00"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006F6B95" w14:textId="1525BF3B" w:rsidR="00E10942" w:rsidRDefault="00827395" w:rsidP="00251F70">
      <w:pPr>
        <w:jc w:val="both"/>
      </w:pPr>
      <w:permStart w:id="1454397300" w:edGrp="everyone"/>
      <w:r>
        <w:br/>
        <w:t>As we said in our answer to question 3</w:t>
      </w:r>
      <w:r w:rsidR="00204C31">
        <w:t>,</w:t>
      </w:r>
      <w:r>
        <w:t xml:space="preserve"> our funds already </w:t>
      </w:r>
      <w:r w:rsidR="00204C31">
        <w:t>have</w:t>
      </w:r>
      <w:r>
        <w:t xml:space="preserve"> to hold excess liquidity which weighs on </w:t>
      </w:r>
      <w:r w:rsidR="00204C31">
        <w:t xml:space="preserve">overall </w:t>
      </w:r>
      <w:r>
        <w:t>returns, adding additional liquidity buffers would increase costs and probably make most of them financially unviable. This would</w:t>
      </w:r>
      <w:r w:rsidR="007E098B">
        <w:t xml:space="preserve"> then</w:t>
      </w:r>
      <w:r>
        <w:t xml:space="preserve"> increase the risks of </w:t>
      </w:r>
      <w:r w:rsidR="007E098B">
        <w:t>destabilising</w:t>
      </w:r>
      <w:r>
        <w:t xml:space="preserve"> an already fragmented </w:t>
      </w:r>
      <w:r w:rsidR="007E098B">
        <w:t>money market</w:t>
      </w:r>
      <w:r w:rsidR="00A215A3">
        <w:t xml:space="preserve"> as participants with</w:t>
      </w:r>
      <w:r w:rsidR="00E10942">
        <w:t>d</w:t>
      </w:r>
      <w:r w:rsidR="00A215A3">
        <w:t xml:space="preserve">raw from the </w:t>
      </w:r>
      <w:proofErr w:type="gramStart"/>
      <w:r w:rsidR="00A215A3">
        <w:t>market place</w:t>
      </w:r>
      <w:proofErr w:type="gramEnd"/>
      <w:r w:rsidR="00E10942">
        <w:t>.</w:t>
      </w:r>
    </w:p>
    <w:p w14:paraId="28022692" w14:textId="04B5526A" w:rsidR="007E098B" w:rsidRDefault="007E098B" w:rsidP="00251F70">
      <w:pPr>
        <w:jc w:val="both"/>
      </w:pPr>
      <w:r>
        <w:br/>
        <w:t>It may</w:t>
      </w:r>
      <w:r w:rsidR="00E10942">
        <w:t xml:space="preserve"> </w:t>
      </w:r>
      <w:r>
        <w:t xml:space="preserve">be helpful, </w:t>
      </w:r>
      <w:r w:rsidRPr="007E098B">
        <w:rPr>
          <w:i/>
          <w:iCs/>
        </w:rPr>
        <w:t>in times of stress</w:t>
      </w:r>
      <w:r>
        <w:t xml:space="preserve">, when an ACD Board is considering imposing gates, </w:t>
      </w:r>
      <w:r w:rsidR="00E10942">
        <w:t>they have</w:t>
      </w:r>
      <w:r>
        <w:t xml:space="preserve"> the ability to actually lower</w:t>
      </w:r>
      <w:r w:rsidR="00DA5BEB">
        <w:t xml:space="preserve"> these</w:t>
      </w:r>
      <w:r>
        <w:t xml:space="preserve"> liquidity requirements.</w:t>
      </w:r>
      <w:r w:rsidR="00827395">
        <w:t xml:space="preserve"> </w:t>
      </w:r>
    </w:p>
    <w:p w14:paraId="74C1D877" w14:textId="77777777" w:rsidR="007E098B" w:rsidRDefault="007E098B" w:rsidP="00251F70">
      <w:pPr>
        <w:jc w:val="both"/>
      </w:pPr>
    </w:p>
    <w:p w14:paraId="709F0B8A" w14:textId="51657189" w:rsidR="00492B3A" w:rsidRDefault="00251F70" w:rsidP="00251F70">
      <w:pPr>
        <w:jc w:val="both"/>
      </w:pPr>
      <w:r>
        <w:lastRenderedPageBreak/>
        <w:br/>
      </w:r>
    </w:p>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101DE604" w14:textId="1E4C9D71" w:rsidR="00BD3224" w:rsidRDefault="00BD3224" w:rsidP="00787EF6">
      <w:pPr>
        <w:jc w:val="both"/>
      </w:pPr>
      <w:permStart w:id="164587406" w:edGrp="everyone"/>
      <w:r>
        <w:br/>
      </w:r>
      <w:r w:rsidRPr="00BD3224">
        <w:t>If our funds were forced to close or convert from LVNAV/CNAV to VNAV the product would be very una</w:t>
      </w:r>
      <w:r w:rsidR="00286EDD">
        <w:t>t</w:t>
      </w:r>
      <w:r w:rsidRPr="00BD3224">
        <w:t xml:space="preserve">tractive for </w:t>
      </w:r>
      <w:r w:rsidR="00C14677">
        <w:t xml:space="preserve">our </w:t>
      </w:r>
      <w:r w:rsidRPr="00BD3224">
        <w:t xml:space="preserve">charities and public sector bodies. At the moment, they use </w:t>
      </w:r>
      <w:r w:rsidR="00C14677">
        <w:t>our</w:t>
      </w:r>
      <w:r w:rsidR="00C61346">
        <w:t xml:space="preserve"> products to complement their </w:t>
      </w:r>
      <w:r w:rsidR="0013078C">
        <w:t>high street bank account</w:t>
      </w:r>
      <w:r w:rsidRPr="00BD3224">
        <w:t xml:space="preserve">. </w:t>
      </w:r>
      <w:r w:rsidR="00F53101">
        <w:t>A</w:t>
      </w:r>
      <w:r w:rsidRPr="00BD3224">
        <w:t xml:space="preserve"> move from </w:t>
      </w:r>
      <w:r w:rsidR="00F53101">
        <w:t>LVNAV/</w:t>
      </w:r>
      <w:r w:rsidRPr="00BD3224">
        <w:t xml:space="preserve">CNAV to VNAV would mean that any holding would no longer be considered to be "cash equivalent" from an accounting point of </w:t>
      </w:r>
      <w:proofErr w:type="gramStart"/>
      <w:r w:rsidRPr="00BD3224">
        <w:t>view, and</w:t>
      </w:r>
      <w:proofErr w:type="gramEnd"/>
      <w:r w:rsidRPr="00BD3224">
        <w:t xml:space="preserve"> would significantly increase the practical complexity of using the funds compared with a deposit account. In addition, the concept of a VNAV MMF is complex and will be difficult for many charity and public sector organisations to get comfortable with. As a </w:t>
      </w:r>
      <w:proofErr w:type="gramStart"/>
      <w:r w:rsidRPr="00BD3224">
        <w:t>result</w:t>
      </w:r>
      <w:proofErr w:type="gramEnd"/>
      <w:r w:rsidRPr="00BD3224">
        <w:t xml:space="preserve"> many current users would revert to using a single or a small number of bank accounts, resulting in a significant concentration of counterparty risk</w:t>
      </w:r>
      <w:r>
        <w:t>.</w:t>
      </w:r>
    </w:p>
    <w:p w14:paraId="7C40B291" w14:textId="77777777" w:rsidR="003441C0" w:rsidRDefault="003441C0" w:rsidP="00787EF6">
      <w:pPr>
        <w:jc w:val="both"/>
      </w:pPr>
    </w:p>
    <w:permEnd w:id="164587406"/>
    <w:p w14:paraId="7A0C7BD5" w14:textId="296483B8" w:rsidR="00492B3A" w:rsidRDefault="00492B3A" w:rsidP="00492B3A">
      <w:r>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0F6B4017" w14:textId="27184818" w:rsidR="00492B3A" w:rsidRDefault="004B06F7" w:rsidP="00492B3A">
      <w:permStart w:id="1191210126" w:edGrp="everyone"/>
      <w:r>
        <w:br/>
        <w:t>Article 35 is clear and does not need to be amended.</w:t>
      </w:r>
      <w:r>
        <w:br/>
      </w:r>
    </w:p>
    <w:permEnd w:id="1191210126"/>
    <w:p w14:paraId="20867D23" w14:textId="1CC6B07A" w:rsidR="00492B3A" w:rsidRDefault="00492B3A" w:rsidP="00492B3A">
      <w:r>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4655C3FC" w14:textId="635977D6" w:rsidR="004B06F7" w:rsidRDefault="004B06F7" w:rsidP="00C452CE">
      <w:pPr>
        <w:jc w:val="both"/>
      </w:pPr>
      <w:permStart w:id="21103909" w:edGrp="everyone"/>
      <w:r>
        <w:br/>
        <w:t>A</w:t>
      </w:r>
      <w:r w:rsidRPr="004B06F7">
        <w:t>lmost all our Public Sector clients have requirements written into their Treasury Management Policies</w:t>
      </w:r>
      <w:r>
        <w:t xml:space="preserve"> that any Money Market Fund must have the highest </w:t>
      </w:r>
      <w:r w:rsidR="00E243AD">
        <w:t xml:space="preserve">fund </w:t>
      </w:r>
      <w:r>
        <w:t>rating available</w:t>
      </w:r>
      <w:r w:rsidRPr="004B06F7">
        <w:t>; while our charity clients take comfort from the external ratings</w:t>
      </w:r>
      <w:r>
        <w:t>.</w:t>
      </w:r>
    </w:p>
    <w:p w14:paraId="6D35401B" w14:textId="77777777" w:rsidR="009A154F" w:rsidRDefault="009A154F" w:rsidP="00C452CE">
      <w:pPr>
        <w:jc w:val="both"/>
      </w:pPr>
    </w:p>
    <w:p w14:paraId="438245A9" w14:textId="1EBF570A" w:rsidR="009A154F" w:rsidRDefault="004B06F7" w:rsidP="00C452CE">
      <w:pPr>
        <w:jc w:val="both"/>
      </w:pPr>
      <w:r>
        <w:t>If the downgrad</w:t>
      </w:r>
      <w:r w:rsidR="008E32E8">
        <w:t>e</w:t>
      </w:r>
      <w:r>
        <w:t xml:space="preserve"> related t</w:t>
      </w:r>
      <w:r w:rsidR="007E3F9F">
        <w:t xml:space="preserve">o the mis-management of the </w:t>
      </w:r>
      <w:r>
        <w:t>Fund then we would expect to see withdrawals/redemptions quite</w:t>
      </w:r>
      <w:r w:rsidR="007E3F9F">
        <w:t xml:space="preserve"> </w:t>
      </w:r>
      <w:r>
        <w:t>quickly</w:t>
      </w:r>
      <w:r w:rsidR="007E3F9F">
        <w:t>, if it was a Sector downgrad</w:t>
      </w:r>
      <w:r w:rsidR="009A154F">
        <w:t>e</w:t>
      </w:r>
      <w:r w:rsidR="007E3F9F">
        <w:t xml:space="preserve"> the redemptions could be much more limited. Our charity funds would probably not experience many withdrawals initially, though it </w:t>
      </w:r>
      <w:r w:rsidR="006E6CC4">
        <w:t>may eventually</w:t>
      </w:r>
      <w:r w:rsidR="007E3F9F">
        <w:t xml:space="preserve"> have negative consequences</w:t>
      </w:r>
      <w:r w:rsidR="009A154F">
        <w:t xml:space="preserve"> in the long run</w:t>
      </w:r>
      <w:r w:rsidR="007E3F9F">
        <w:t>.</w:t>
      </w:r>
    </w:p>
    <w:p w14:paraId="4C541009" w14:textId="77777777" w:rsidR="009A154F" w:rsidRDefault="009A154F" w:rsidP="00C452CE">
      <w:pPr>
        <w:jc w:val="both"/>
      </w:pPr>
    </w:p>
    <w:p w14:paraId="45D29151" w14:textId="20B4D1E2" w:rsidR="004C166A" w:rsidRDefault="009A154F" w:rsidP="00C452CE">
      <w:pPr>
        <w:jc w:val="both"/>
      </w:pPr>
      <w:r>
        <w:lastRenderedPageBreak/>
        <w:t xml:space="preserve">A change in the Sector Outlook during 2020 did not have any adverse effects, in fact </w:t>
      </w:r>
      <w:r w:rsidR="004C166A">
        <w:t>as noted in our introduction, our Deposit Funds grew by over 25%, in the one year period to the end of March 2021.</w:t>
      </w:r>
      <w:r w:rsidR="007E3F9F">
        <w:br/>
      </w:r>
    </w:p>
    <w:permEnd w:id="21103909"/>
    <w:p w14:paraId="6C91EF19" w14:textId="0C201501"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0AB3A7A1" w14:textId="397D791C" w:rsidR="00492B3A" w:rsidRDefault="00BD6311" w:rsidP="00C452CE">
      <w:pPr>
        <w:jc w:val="both"/>
      </w:pPr>
      <w:permStart w:id="70807355" w:edGrp="everyone"/>
      <w:r>
        <w:br/>
      </w:r>
      <w:r w:rsidR="00E63393">
        <w:t xml:space="preserve">While stress testing is helpful it should be remembered that some funds do have unique client bases </w:t>
      </w:r>
      <w:r>
        <w:t>with</w:t>
      </w:r>
      <w:r w:rsidR="00E63393">
        <w:t xml:space="preserve"> varying behaviours. We note that ESMA significantly changed the risk factors used in the latest reporting which makes comparisons with the previous years difficult. Despite substantially increasing liquidity and de-risking </w:t>
      </w:r>
      <w:r>
        <w:t>our</w:t>
      </w:r>
      <w:r w:rsidR="00E63393">
        <w:t xml:space="preserve"> portfolios the stress test results </w:t>
      </w:r>
      <w:r>
        <w:t xml:space="preserve">appeared </w:t>
      </w:r>
      <w:r w:rsidR="00E63393">
        <w:t xml:space="preserve">worse due to the fact that the Risk Factors used in the calculation are now considerably higher. It would be </w:t>
      </w:r>
      <w:r>
        <w:t>desirable if these</w:t>
      </w:r>
      <w:r w:rsidR="00E63393">
        <w:t xml:space="preserve"> </w:t>
      </w:r>
      <w:r w:rsidR="001B0B13">
        <w:t>F</w:t>
      </w:r>
      <w:r w:rsidR="00E63393">
        <w:t>actors</w:t>
      </w:r>
      <w:r>
        <w:t xml:space="preserve"> were not modified on a regular basis and maybe it would be more beneficial on permitting managers to use their own systems to calculate</w:t>
      </w:r>
      <w:r w:rsidR="00D15E75">
        <w:t>,</w:t>
      </w:r>
      <w:r>
        <w:t xml:space="preserve"> instead of a</w:t>
      </w:r>
      <w:r w:rsidR="00D15E75">
        <w:t>n</w:t>
      </w:r>
      <w:r>
        <w:t xml:space="preserve"> industry-wide approach.</w:t>
      </w:r>
    </w:p>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7A8F8A81" w14:textId="1BB97B70" w:rsidR="00C452CE" w:rsidRDefault="00C452CE" w:rsidP="00C452CE">
      <w:pPr>
        <w:jc w:val="both"/>
      </w:pPr>
      <w:permStart w:id="1969951227" w:edGrp="everyone"/>
      <w:r>
        <w:br/>
      </w:r>
      <w:r w:rsidR="004A140A">
        <w:t xml:space="preserve">We ensure </w:t>
      </w:r>
      <w:r>
        <w:t xml:space="preserve">on a </w:t>
      </w:r>
      <w:r w:rsidR="00D15E75">
        <w:t>d</w:t>
      </w:r>
      <w:r>
        <w:t xml:space="preserve">aily </w:t>
      </w:r>
      <w:r w:rsidR="004E4BD2">
        <w:t>b</w:t>
      </w:r>
      <w:r>
        <w:t xml:space="preserve">asis </w:t>
      </w:r>
      <w:r w:rsidR="004A140A">
        <w:t xml:space="preserve">that our depositors/shareholders have the ability to </w:t>
      </w:r>
      <w:r w:rsidR="00666AA5">
        <w:t>see</w:t>
      </w:r>
      <w:r w:rsidR="004A140A">
        <w:t xml:space="preserve"> all the </w:t>
      </w:r>
      <w:r w:rsidR="00B843D7">
        <w:t xml:space="preserve">latest </w:t>
      </w:r>
      <w:r>
        <w:t xml:space="preserve">liquidity </w:t>
      </w:r>
      <w:r w:rsidR="00B843D7">
        <w:t xml:space="preserve">data </w:t>
      </w:r>
      <w:r>
        <w:t xml:space="preserve">and portfolio </w:t>
      </w:r>
      <w:r w:rsidR="00B843D7">
        <w:t>holdings</w:t>
      </w:r>
      <w:r>
        <w:t xml:space="preserve"> via the website. </w:t>
      </w:r>
    </w:p>
    <w:p w14:paraId="35204C22" w14:textId="77777777" w:rsidR="004E4BD2" w:rsidRDefault="004E4BD2" w:rsidP="00C452CE">
      <w:pPr>
        <w:jc w:val="both"/>
      </w:pPr>
    </w:p>
    <w:p w14:paraId="6E58B013" w14:textId="7E82015B" w:rsidR="00C452CE" w:rsidRDefault="00C452CE" w:rsidP="00C452CE">
      <w:pPr>
        <w:jc w:val="both"/>
      </w:pPr>
      <w:r>
        <w:t>Since March 2020</w:t>
      </w:r>
      <w:r w:rsidR="004E4BD2">
        <w:t xml:space="preserve"> we have</w:t>
      </w:r>
      <w:r>
        <w:t xml:space="preserve"> also</w:t>
      </w:r>
      <w:r w:rsidR="004E4BD2">
        <w:t xml:space="preserve"> been </w:t>
      </w:r>
      <w:r>
        <w:t>report</w:t>
      </w:r>
      <w:r w:rsidR="004E4BD2">
        <w:t>ing</w:t>
      </w:r>
      <w:r>
        <w:t xml:space="preserve"> net flows, overnight liquidity and fund size of our UCIT MMF to our regulatory authority, this we believe is a useful additional measure. </w:t>
      </w:r>
    </w:p>
    <w:p w14:paraId="35F08F34" w14:textId="77777777" w:rsidR="009D6022" w:rsidRDefault="009D6022" w:rsidP="00C452CE">
      <w:pPr>
        <w:jc w:val="both"/>
      </w:pPr>
    </w:p>
    <w:p w14:paraId="729D6FDA" w14:textId="4C6ABD64" w:rsidR="00492B3A" w:rsidRDefault="00C452CE" w:rsidP="00C452CE">
      <w:pPr>
        <w:jc w:val="both"/>
      </w:pPr>
      <w:r>
        <w:t>Internally we run portfolio stress testing daily and report formally at least monthly and publish publicly every six months.</w:t>
      </w:r>
    </w:p>
    <w:permEnd w:id="1969951227"/>
    <w:p w14:paraId="1CD8F45C" w14:textId="2E80969C"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t>&lt;ESMA_QUESTION_</w:t>
      </w:r>
      <w:r w:rsidR="00DC1B3F">
        <w:t>MMFR</w:t>
      </w:r>
      <w:r>
        <w:t>_11&gt;</w:t>
      </w:r>
    </w:p>
    <w:p w14:paraId="16B29EBB" w14:textId="7A9B53E4" w:rsidR="00492B3A" w:rsidRDefault="00145466" w:rsidP="00492B3A">
      <w:permStart w:id="947678092" w:edGrp="everyone"/>
      <w:r>
        <w:br/>
      </w:r>
      <w:r w:rsidR="00903FEF">
        <w:t xml:space="preserve">We do not see the </w:t>
      </w:r>
      <w:r>
        <w:t xml:space="preserve">additional need for MMF managers to report size of issuance of money market instruments, if required then this should be sourced from other providers, like </w:t>
      </w:r>
      <w:r w:rsidR="0097323E">
        <w:t xml:space="preserve">the </w:t>
      </w:r>
      <w:r>
        <w:t xml:space="preserve">ISIN organisation. </w:t>
      </w:r>
      <w:r w:rsidR="000D2B98">
        <w:t>We suggest</w:t>
      </w:r>
      <w:r w:rsidR="007D7A99">
        <w:t xml:space="preserve"> in the present set-up practically this may prove difficult to attain from the issuing body</w:t>
      </w:r>
      <w:r w:rsidR="008A714E">
        <w:t>.</w:t>
      </w:r>
    </w:p>
    <w:p w14:paraId="4D487BDB" w14:textId="38F2F961" w:rsidR="00145466" w:rsidRDefault="00145466" w:rsidP="00492B3A"/>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w:t>
      </w:r>
      <w:r w:rsidRPr="00F43E30">
        <w:rPr>
          <w:bCs/>
          <w:color w:val="201F1E"/>
          <w:bdr w:val="none" w:sz="0" w:space="0" w:color="auto" w:frame="1"/>
          <w:lang w:val="en-IE"/>
        </w:rPr>
        <w:lastRenderedPageBreak/>
        <w:t>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5F50FA92" w14:textId="630C2EDE" w:rsidR="00492B3A" w:rsidRDefault="008A1A92" w:rsidP="008A1A92">
      <w:pPr>
        <w:jc w:val="both"/>
      </w:pPr>
      <w:permStart w:id="575285207" w:edGrp="everyone"/>
      <w:r>
        <w:br/>
      </w:r>
      <w:r w:rsidR="00EC06D9">
        <w:t>MMF</w:t>
      </w:r>
      <w:r w:rsidR="005C3FFA">
        <w:t>s</w:t>
      </w:r>
      <w:r w:rsidR="00EC06D9">
        <w:t xml:space="preserve"> are very low margin products, t</w:t>
      </w:r>
      <w:r>
        <w:t xml:space="preserve">o structure a Liquidity Exchange Facility would be so costly, difficult in maintaining and outweigh any potential benefit, so we believe should not be considered. </w:t>
      </w:r>
    </w:p>
    <w:p w14:paraId="483C788D" w14:textId="77777777" w:rsidR="00A90A56" w:rsidRDefault="00A90A56" w:rsidP="008A1A92">
      <w:pPr>
        <w:jc w:val="both"/>
      </w:pP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5C061E34" w14:textId="77777777" w:rsidR="003A0506" w:rsidRDefault="003A0506" w:rsidP="00492B3A">
      <w:permStart w:id="384379543" w:edGrp="everyone"/>
    </w:p>
    <w:p w14:paraId="7A9A50C5" w14:textId="5952978A" w:rsidR="00492B3A" w:rsidRDefault="00DC2379" w:rsidP="003A0506">
      <w:pPr>
        <w:jc w:val="both"/>
      </w:pPr>
      <w:r>
        <w:t xml:space="preserve">Yes, </w:t>
      </w:r>
      <w:r w:rsidR="00B843D7">
        <w:t>further clarification</w:t>
      </w:r>
      <w:r>
        <w:t xml:space="preserve"> should be made in particular looking </w:t>
      </w:r>
      <w:r w:rsidR="005C3FFA">
        <w:t xml:space="preserve">at </w:t>
      </w:r>
      <w:r w:rsidR="001547F4">
        <w:t xml:space="preserve">funds that </w:t>
      </w:r>
      <w:r>
        <w:t>are currently captured but don’t issue shares or units. We operate a deposit</w:t>
      </w:r>
      <w:r w:rsidR="001547F4">
        <w:t>-</w:t>
      </w:r>
      <w:r>
        <w:t>taking charity fund that does have objectives like a short-term CNAV/LVNAV (under Article 1)</w:t>
      </w:r>
      <w:r w:rsidR="001547F4">
        <w:t>,</w:t>
      </w:r>
      <w:r>
        <w:t xml:space="preserve"> but does not have shares</w:t>
      </w:r>
      <w:r w:rsidR="007D4271">
        <w:t>,</w:t>
      </w:r>
      <w:r>
        <w:t xml:space="preserve"> though it has been designated an AIF by the authorities</w:t>
      </w:r>
      <w:r w:rsidR="009C352A">
        <w:t xml:space="preserve"> and follows</w:t>
      </w:r>
      <w:r w:rsidR="005400F1">
        <w:t xml:space="preserve"> the MMF regulation methodology</w:t>
      </w:r>
      <w:r>
        <w:t xml:space="preserve">. Somewhat confusingly for </w:t>
      </w:r>
      <w:r w:rsidR="00997864">
        <w:t>the</w:t>
      </w:r>
      <w:r>
        <w:t xml:space="preserve"> depositors, under Article 6 it has </w:t>
      </w:r>
      <w:r w:rsidR="00307A06">
        <w:t>to use the designation “money market fund”</w:t>
      </w:r>
      <w:r w:rsidR="007D4271">
        <w:t xml:space="preserve">, </w:t>
      </w:r>
      <w:r w:rsidR="00307A06">
        <w:t xml:space="preserve">when in fact it’s a Common Deposit Fund under UK charity law. We would suggest such </w:t>
      </w:r>
      <w:r w:rsidR="00AA278B">
        <w:t xml:space="preserve">a Fund </w:t>
      </w:r>
      <w:r w:rsidR="00307A06">
        <w:t>type should be considered for exclusion from the regulation</w:t>
      </w:r>
      <w:r w:rsidR="009E277B">
        <w:t>,</w:t>
      </w:r>
      <w:r w:rsidR="00307A06">
        <w:t xml:space="preserve"> especially if the</w:t>
      </w:r>
      <w:r w:rsidR="003C330E" w:rsidRPr="003C330E">
        <w:t xml:space="preserve"> </w:t>
      </w:r>
      <w:r w:rsidR="003C330E">
        <w:t xml:space="preserve">Article 46 </w:t>
      </w:r>
      <w:r w:rsidR="00307A06">
        <w:t>sunset clause</w:t>
      </w:r>
      <w:r w:rsidR="00C57232">
        <w:t xml:space="preserve"> review then prohibits</w:t>
      </w:r>
      <w:r w:rsidR="00307A06">
        <w:t xml:space="preserve"> CNAV/LVNAV funds</w:t>
      </w:r>
      <w:r w:rsidR="00D82A44">
        <w:t xml:space="preserve">. </w:t>
      </w:r>
      <w:r w:rsidR="00307A06">
        <w:t xml:space="preserve"> </w:t>
      </w:r>
      <w:r w:rsidR="00C57232">
        <w:t>Our charity clients</w:t>
      </w:r>
      <w:r w:rsidR="002F23FA">
        <w:t xml:space="preserve"> are very unlikely to</w:t>
      </w:r>
      <w:r w:rsidR="002F23FA" w:rsidRPr="00C57232">
        <w:t xml:space="preserve"> invest in a VNAV MMF, for reasons noted </w:t>
      </w:r>
      <w:r w:rsidR="002F23FA">
        <w:t>earlier</w:t>
      </w:r>
      <w:r w:rsidR="00F510AD">
        <w:t>. They</w:t>
      </w:r>
      <w:r w:rsidR="00C57232" w:rsidRPr="00C57232">
        <w:t xml:space="preserve"> </w:t>
      </w:r>
      <w:r w:rsidR="009E277B">
        <w:t>c</w:t>
      </w:r>
      <w:r w:rsidR="00C57232" w:rsidRPr="00C57232">
        <w:t>ould be forced to move their funds to one or more individual banks, with the associated increase in counterparty risk, and with the likelihood of a loss of liquidity</w:t>
      </w:r>
      <w:r w:rsidR="00CF3EC7">
        <w:t xml:space="preserve"> and/</w:t>
      </w:r>
      <w:r w:rsidR="00C57232" w:rsidRPr="00C57232">
        <w:t>or yield</w:t>
      </w:r>
      <w:r w:rsidR="003A0506">
        <w:t>. UK s</w:t>
      </w:r>
      <w:r w:rsidR="00C57232" w:rsidRPr="00C57232">
        <w:t>mal</w:t>
      </w:r>
      <w:r w:rsidR="005D4A4E">
        <w:t>ler</w:t>
      </w:r>
      <w:r w:rsidR="00C57232" w:rsidRPr="00C57232">
        <w:t xml:space="preserve"> charities and public sector bodies are amongst those who have the most to gain from the professional management and increased security offered by </w:t>
      </w:r>
      <w:r w:rsidR="003A0506">
        <w:t>our Deposit Funds</w:t>
      </w:r>
      <w:r w:rsidR="00C57232" w:rsidRPr="00C57232">
        <w:t xml:space="preserve">, and </w:t>
      </w:r>
      <w:r w:rsidR="003A0506">
        <w:t>any</w:t>
      </w:r>
      <w:r w:rsidR="00C57232" w:rsidRPr="00C57232">
        <w:t xml:space="preserve"> restriction would result in </w:t>
      </w:r>
      <w:r w:rsidR="00B76643">
        <w:t xml:space="preserve">a </w:t>
      </w:r>
      <w:r w:rsidR="00C57232" w:rsidRPr="00C57232">
        <w:t xml:space="preserve">significant </w:t>
      </w:r>
      <w:r w:rsidR="00B76643">
        <w:t xml:space="preserve">detriment </w:t>
      </w:r>
      <w:r w:rsidR="00C57232" w:rsidRPr="00C57232">
        <w:t>t</w:t>
      </w:r>
      <w:r w:rsidR="00B76643">
        <w:t>o them</w:t>
      </w:r>
      <w:r w:rsidR="003A0506">
        <w:t>.</w:t>
      </w:r>
    </w:p>
    <w:p w14:paraId="53DF4000" w14:textId="77777777" w:rsidR="00F45D44" w:rsidRDefault="00F45D44" w:rsidP="003A0506">
      <w:pPr>
        <w:jc w:val="both"/>
      </w:pP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77B07" w14:textId="77777777" w:rsidR="00647DB1" w:rsidRDefault="00647DB1">
      <w:r>
        <w:separator/>
      </w:r>
    </w:p>
    <w:p w14:paraId="29F79695" w14:textId="77777777" w:rsidR="00647DB1" w:rsidRDefault="00647DB1"/>
  </w:endnote>
  <w:endnote w:type="continuationSeparator" w:id="0">
    <w:p w14:paraId="5506CF12" w14:textId="77777777" w:rsidR="00647DB1" w:rsidRDefault="00647DB1">
      <w:r>
        <w:continuationSeparator/>
      </w:r>
    </w:p>
    <w:p w14:paraId="0142B9C3" w14:textId="77777777" w:rsidR="00647DB1" w:rsidRDefault="00647DB1"/>
  </w:endnote>
  <w:endnote w:type="continuationNotice" w:id="1">
    <w:p w14:paraId="7A45673B" w14:textId="77777777" w:rsidR="00647DB1" w:rsidRDefault="00647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0A54F" w14:textId="77777777" w:rsidR="00647DB1" w:rsidRDefault="00647DB1">
      <w:r>
        <w:separator/>
      </w:r>
    </w:p>
    <w:p w14:paraId="7062A5E2" w14:textId="77777777" w:rsidR="00647DB1" w:rsidRDefault="00647DB1"/>
  </w:footnote>
  <w:footnote w:type="continuationSeparator" w:id="0">
    <w:p w14:paraId="187241E3" w14:textId="77777777" w:rsidR="00647DB1" w:rsidRDefault="00647DB1">
      <w:r>
        <w:continuationSeparator/>
      </w:r>
    </w:p>
    <w:p w14:paraId="72565F0E" w14:textId="77777777" w:rsidR="00647DB1" w:rsidRDefault="00647DB1"/>
  </w:footnote>
  <w:footnote w:type="continuationNotice" w:id="1">
    <w:p w14:paraId="1444026A" w14:textId="77777777" w:rsidR="00647DB1" w:rsidRDefault="00647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D2E4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9A9CF"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8"/>
  </w:num>
  <w:num w:numId="24">
    <w:abstractNumId w:val="32"/>
  </w:num>
  <w:num w:numId="25">
    <w:abstractNumId w:val="31"/>
  </w:num>
  <w:num w:numId="26">
    <w:abstractNumId w:val="21"/>
  </w:num>
  <w:num w:numId="27">
    <w:abstractNumId w:val="36"/>
  </w:num>
  <w:num w:numId="28">
    <w:abstractNumId w:val="43"/>
  </w:num>
  <w:num w:numId="29">
    <w:abstractNumId w:val="6"/>
  </w:num>
  <w:num w:numId="30">
    <w:abstractNumId w:val="3"/>
  </w:num>
  <w:num w:numId="31">
    <w:abstractNumId w:val="23"/>
  </w:num>
  <w:num w:numId="32">
    <w:abstractNumId w:val="22"/>
  </w:num>
  <w:num w:numId="33">
    <w:abstractNumId w:val="39"/>
  </w:num>
  <w:num w:numId="34">
    <w:abstractNumId w:val="38"/>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14"/>
  </w:num>
  <w:num w:numId="40">
    <w:abstractNumId w:val="11"/>
  </w:num>
  <w:num w:numId="41">
    <w:abstractNumId w:val="14"/>
  </w:num>
  <w:num w:numId="42">
    <w:abstractNumId w:val="42"/>
  </w:num>
  <w:num w:numId="43">
    <w:abstractNumId w:val="37"/>
  </w:num>
  <w:num w:numId="44">
    <w:abstractNumId w:val="14"/>
    <w:lvlOverride w:ilvl="0">
      <w:startOverride w:val="1"/>
    </w:lvlOverride>
  </w:num>
  <w:num w:numId="45">
    <w:abstractNumId w:val="14"/>
    <w:lvlOverride w:ilvl="0">
      <w:startOverride w:val="1"/>
    </w:lvlOverride>
  </w:num>
  <w:num w:numId="46">
    <w:abstractNumId w:val="14"/>
  </w:num>
  <w:num w:numId="47">
    <w:abstractNumId w:val="34"/>
  </w:num>
  <w:num w:numId="48">
    <w:abstractNumId w:val="14"/>
    <w:lvlOverride w:ilvl="0">
      <w:startOverride w:val="1"/>
    </w:lvlOverride>
  </w:num>
  <w:num w:numId="49">
    <w:abstractNumId w:val="14"/>
    <w:lvlOverride w:ilvl="0">
      <w:startOverride w:val="1"/>
    </w:lvlOverride>
  </w:num>
  <w:num w:numId="50">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3D48"/>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C61"/>
    <w:rsid w:val="00054DE6"/>
    <w:rsid w:val="000569D7"/>
    <w:rsid w:val="000576D7"/>
    <w:rsid w:val="00060F72"/>
    <w:rsid w:val="00062592"/>
    <w:rsid w:val="000636A1"/>
    <w:rsid w:val="000649D9"/>
    <w:rsid w:val="000652BE"/>
    <w:rsid w:val="00066479"/>
    <w:rsid w:val="00066D3C"/>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3AF8"/>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BA7"/>
    <w:rsid w:val="000C1DCC"/>
    <w:rsid w:val="000C1FBC"/>
    <w:rsid w:val="000C2B6A"/>
    <w:rsid w:val="000C2F88"/>
    <w:rsid w:val="000C55C8"/>
    <w:rsid w:val="000C57C4"/>
    <w:rsid w:val="000C5FD3"/>
    <w:rsid w:val="000C701D"/>
    <w:rsid w:val="000C7C4A"/>
    <w:rsid w:val="000D17AA"/>
    <w:rsid w:val="000D2B98"/>
    <w:rsid w:val="000D2D0B"/>
    <w:rsid w:val="000D340A"/>
    <w:rsid w:val="000D4660"/>
    <w:rsid w:val="000D5D1A"/>
    <w:rsid w:val="000D705D"/>
    <w:rsid w:val="000D7EB9"/>
    <w:rsid w:val="000E0223"/>
    <w:rsid w:val="000E0CF3"/>
    <w:rsid w:val="000E18A8"/>
    <w:rsid w:val="000E1AEC"/>
    <w:rsid w:val="000E1D3C"/>
    <w:rsid w:val="000E3937"/>
    <w:rsid w:val="000E4926"/>
    <w:rsid w:val="000E5F7F"/>
    <w:rsid w:val="000E6098"/>
    <w:rsid w:val="000E667A"/>
    <w:rsid w:val="000E7086"/>
    <w:rsid w:val="000E7C65"/>
    <w:rsid w:val="000F04D2"/>
    <w:rsid w:val="000F0F99"/>
    <w:rsid w:val="000F3C5C"/>
    <w:rsid w:val="000F55B7"/>
    <w:rsid w:val="000F604F"/>
    <w:rsid w:val="000F7399"/>
    <w:rsid w:val="000F746C"/>
    <w:rsid w:val="001021EF"/>
    <w:rsid w:val="001027F1"/>
    <w:rsid w:val="0010417E"/>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78C"/>
    <w:rsid w:val="00130F41"/>
    <w:rsid w:val="00130FAF"/>
    <w:rsid w:val="00131666"/>
    <w:rsid w:val="00135F2B"/>
    <w:rsid w:val="001372DD"/>
    <w:rsid w:val="001405BA"/>
    <w:rsid w:val="00141497"/>
    <w:rsid w:val="0014253A"/>
    <w:rsid w:val="001425C8"/>
    <w:rsid w:val="001431AE"/>
    <w:rsid w:val="00143B87"/>
    <w:rsid w:val="0014451A"/>
    <w:rsid w:val="00145466"/>
    <w:rsid w:val="001459E3"/>
    <w:rsid w:val="00146A0B"/>
    <w:rsid w:val="00146A6C"/>
    <w:rsid w:val="0014761E"/>
    <w:rsid w:val="00151907"/>
    <w:rsid w:val="001544C8"/>
    <w:rsid w:val="001547F4"/>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5B89"/>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D80"/>
    <w:rsid w:val="00190FF8"/>
    <w:rsid w:val="00191AF7"/>
    <w:rsid w:val="0019311A"/>
    <w:rsid w:val="0019508A"/>
    <w:rsid w:val="00195BFF"/>
    <w:rsid w:val="001960D8"/>
    <w:rsid w:val="001A1642"/>
    <w:rsid w:val="001A371B"/>
    <w:rsid w:val="001A432C"/>
    <w:rsid w:val="001A4766"/>
    <w:rsid w:val="001A5E5C"/>
    <w:rsid w:val="001A6A0D"/>
    <w:rsid w:val="001A6C51"/>
    <w:rsid w:val="001A6FAA"/>
    <w:rsid w:val="001A7D73"/>
    <w:rsid w:val="001B0363"/>
    <w:rsid w:val="001B0B1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E75F6"/>
    <w:rsid w:val="001F0F63"/>
    <w:rsid w:val="001F3996"/>
    <w:rsid w:val="001F44A4"/>
    <w:rsid w:val="001F579D"/>
    <w:rsid w:val="001F65EF"/>
    <w:rsid w:val="001F697B"/>
    <w:rsid w:val="002005A6"/>
    <w:rsid w:val="00201005"/>
    <w:rsid w:val="00204C31"/>
    <w:rsid w:val="00204CBC"/>
    <w:rsid w:val="002051F1"/>
    <w:rsid w:val="002067BA"/>
    <w:rsid w:val="0021058D"/>
    <w:rsid w:val="002109FE"/>
    <w:rsid w:val="00211E2F"/>
    <w:rsid w:val="00211E9E"/>
    <w:rsid w:val="00214FB4"/>
    <w:rsid w:val="00215940"/>
    <w:rsid w:val="00217C23"/>
    <w:rsid w:val="00220516"/>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0A1D"/>
    <w:rsid w:val="00251EA9"/>
    <w:rsid w:val="00251F70"/>
    <w:rsid w:val="00252843"/>
    <w:rsid w:val="00252D19"/>
    <w:rsid w:val="002543F8"/>
    <w:rsid w:val="002551A4"/>
    <w:rsid w:val="002559F3"/>
    <w:rsid w:val="00256DFE"/>
    <w:rsid w:val="00261D56"/>
    <w:rsid w:val="00261FD3"/>
    <w:rsid w:val="00264077"/>
    <w:rsid w:val="00266B9A"/>
    <w:rsid w:val="00267F75"/>
    <w:rsid w:val="00270E54"/>
    <w:rsid w:val="0027244A"/>
    <w:rsid w:val="00273681"/>
    <w:rsid w:val="002754B5"/>
    <w:rsid w:val="002764C5"/>
    <w:rsid w:val="002772AE"/>
    <w:rsid w:val="00280613"/>
    <w:rsid w:val="0028274D"/>
    <w:rsid w:val="00282B96"/>
    <w:rsid w:val="00282DFB"/>
    <w:rsid w:val="002833D6"/>
    <w:rsid w:val="00283F51"/>
    <w:rsid w:val="00286064"/>
    <w:rsid w:val="002867B1"/>
    <w:rsid w:val="00286EDD"/>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23FA"/>
    <w:rsid w:val="002F4139"/>
    <w:rsid w:val="00300624"/>
    <w:rsid w:val="00300F56"/>
    <w:rsid w:val="00301006"/>
    <w:rsid w:val="00301D0A"/>
    <w:rsid w:val="00303565"/>
    <w:rsid w:val="00304A71"/>
    <w:rsid w:val="003066C8"/>
    <w:rsid w:val="0030739D"/>
    <w:rsid w:val="00307A06"/>
    <w:rsid w:val="00307AFB"/>
    <w:rsid w:val="00311184"/>
    <w:rsid w:val="0031127F"/>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1C0"/>
    <w:rsid w:val="00344496"/>
    <w:rsid w:val="00345968"/>
    <w:rsid w:val="00347667"/>
    <w:rsid w:val="003507E2"/>
    <w:rsid w:val="00351983"/>
    <w:rsid w:val="003522B2"/>
    <w:rsid w:val="0035455E"/>
    <w:rsid w:val="00354A6F"/>
    <w:rsid w:val="00354B48"/>
    <w:rsid w:val="00355789"/>
    <w:rsid w:val="003557F4"/>
    <w:rsid w:val="00355E71"/>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0F"/>
    <w:rsid w:val="00380FEC"/>
    <w:rsid w:val="00381226"/>
    <w:rsid w:val="00381B1B"/>
    <w:rsid w:val="00381FF6"/>
    <w:rsid w:val="00383D7D"/>
    <w:rsid w:val="00384CCE"/>
    <w:rsid w:val="003851C1"/>
    <w:rsid w:val="003865E5"/>
    <w:rsid w:val="00386BB8"/>
    <w:rsid w:val="003926C1"/>
    <w:rsid w:val="00392900"/>
    <w:rsid w:val="00393357"/>
    <w:rsid w:val="00393937"/>
    <w:rsid w:val="00394CE6"/>
    <w:rsid w:val="00395E7B"/>
    <w:rsid w:val="00395F4C"/>
    <w:rsid w:val="003A0506"/>
    <w:rsid w:val="003A0A78"/>
    <w:rsid w:val="003A5DAC"/>
    <w:rsid w:val="003A6591"/>
    <w:rsid w:val="003A6E9A"/>
    <w:rsid w:val="003B08C8"/>
    <w:rsid w:val="003B2567"/>
    <w:rsid w:val="003B381A"/>
    <w:rsid w:val="003B4976"/>
    <w:rsid w:val="003B4B3F"/>
    <w:rsid w:val="003B6258"/>
    <w:rsid w:val="003B71B8"/>
    <w:rsid w:val="003B7A99"/>
    <w:rsid w:val="003C0343"/>
    <w:rsid w:val="003C0E87"/>
    <w:rsid w:val="003C1C32"/>
    <w:rsid w:val="003C330E"/>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47B"/>
    <w:rsid w:val="003D6780"/>
    <w:rsid w:val="003D6FCB"/>
    <w:rsid w:val="003D7C66"/>
    <w:rsid w:val="003E0F84"/>
    <w:rsid w:val="003E1124"/>
    <w:rsid w:val="003E1FF3"/>
    <w:rsid w:val="003E39F0"/>
    <w:rsid w:val="003E3ACA"/>
    <w:rsid w:val="003E50EA"/>
    <w:rsid w:val="003E5626"/>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5688"/>
    <w:rsid w:val="0041634D"/>
    <w:rsid w:val="00417EF7"/>
    <w:rsid w:val="004207FD"/>
    <w:rsid w:val="00422A7D"/>
    <w:rsid w:val="00422BFC"/>
    <w:rsid w:val="00423834"/>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6C8"/>
    <w:rsid w:val="00437929"/>
    <w:rsid w:val="00437A4A"/>
    <w:rsid w:val="00440541"/>
    <w:rsid w:val="0044162D"/>
    <w:rsid w:val="0044277A"/>
    <w:rsid w:val="004456DC"/>
    <w:rsid w:val="00447FBE"/>
    <w:rsid w:val="0045035E"/>
    <w:rsid w:val="0045175A"/>
    <w:rsid w:val="00451ED9"/>
    <w:rsid w:val="00452180"/>
    <w:rsid w:val="00453072"/>
    <w:rsid w:val="004536F5"/>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6A6"/>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407"/>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140A"/>
    <w:rsid w:val="004A357F"/>
    <w:rsid w:val="004A3DAD"/>
    <w:rsid w:val="004A4AC0"/>
    <w:rsid w:val="004A4B3F"/>
    <w:rsid w:val="004A7C22"/>
    <w:rsid w:val="004B0335"/>
    <w:rsid w:val="004B06F7"/>
    <w:rsid w:val="004B0F1C"/>
    <w:rsid w:val="004B1E61"/>
    <w:rsid w:val="004B21AB"/>
    <w:rsid w:val="004B59E0"/>
    <w:rsid w:val="004B667B"/>
    <w:rsid w:val="004B71C7"/>
    <w:rsid w:val="004C03AA"/>
    <w:rsid w:val="004C0B9A"/>
    <w:rsid w:val="004C14E7"/>
    <w:rsid w:val="004C166A"/>
    <w:rsid w:val="004C1D89"/>
    <w:rsid w:val="004C2A94"/>
    <w:rsid w:val="004C3DAB"/>
    <w:rsid w:val="004C50FC"/>
    <w:rsid w:val="004C5766"/>
    <w:rsid w:val="004C5F54"/>
    <w:rsid w:val="004C6E76"/>
    <w:rsid w:val="004C77DD"/>
    <w:rsid w:val="004C7826"/>
    <w:rsid w:val="004C7B33"/>
    <w:rsid w:val="004D1410"/>
    <w:rsid w:val="004D1478"/>
    <w:rsid w:val="004D19EE"/>
    <w:rsid w:val="004D1CF2"/>
    <w:rsid w:val="004D2D3A"/>
    <w:rsid w:val="004D355B"/>
    <w:rsid w:val="004D374D"/>
    <w:rsid w:val="004D3DEC"/>
    <w:rsid w:val="004D42C8"/>
    <w:rsid w:val="004D4F57"/>
    <w:rsid w:val="004D50F6"/>
    <w:rsid w:val="004D5A0D"/>
    <w:rsid w:val="004D7910"/>
    <w:rsid w:val="004D7DEA"/>
    <w:rsid w:val="004E0A28"/>
    <w:rsid w:val="004E1A0F"/>
    <w:rsid w:val="004E2E89"/>
    <w:rsid w:val="004E33C2"/>
    <w:rsid w:val="004E3B9A"/>
    <w:rsid w:val="004E3DA2"/>
    <w:rsid w:val="004E477A"/>
    <w:rsid w:val="004E49B0"/>
    <w:rsid w:val="004E4BD2"/>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2E"/>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0F1"/>
    <w:rsid w:val="00540191"/>
    <w:rsid w:val="00540A2A"/>
    <w:rsid w:val="00541F27"/>
    <w:rsid w:val="00541F47"/>
    <w:rsid w:val="00542297"/>
    <w:rsid w:val="005424BC"/>
    <w:rsid w:val="00542A28"/>
    <w:rsid w:val="00542F53"/>
    <w:rsid w:val="005441D4"/>
    <w:rsid w:val="0054672D"/>
    <w:rsid w:val="0054727E"/>
    <w:rsid w:val="00550F4E"/>
    <w:rsid w:val="005532B5"/>
    <w:rsid w:val="005534DB"/>
    <w:rsid w:val="00554609"/>
    <w:rsid w:val="00554A05"/>
    <w:rsid w:val="00555849"/>
    <w:rsid w:val="005559A8"/>
    <w:rsid w:val="00557048"/>
    <w:rsid w:val="00557FB5"/>
    <w:rsid w:val="00561AED"/>
    <w:rsid w:val="005648A8"/>
    <w:rsid w:val="00564DE3"/>
    <w:rsid w:val="00564E44"/>
    <w:rsid w:val="0056583D"/>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14C5"/>
    <w:rsid w:val="00592318"/>
    <w:rsid w:val="00592C04"/>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4DE"/>
    <w:rsid w:val="005C0FB2"/>
    <w:rsid w:val="005C1169"/>
    <w:rsid w:val="005C16E2"/>
    <w:rsid w:val="005C24EF"/>
    <w:rsid w:val="005C2796"/>
    <w:rsid w:val="005C3C6C"/>
    <w:rsid w:val="005C3F4C"/>
    <w:rsid w:val="005C3FFA"/>
    <w:rsid w:val="005C43AA"/>
    <w:rsid w:val="005C48C8"/>
    <w:rsid w:val="005C4E0E"/>
    <w:rsid w:val="005C6485"/>
    <w:rsid w:val="005C663C"/>
    <w:rsid w:val="005D0594"/>
    <w:rsid w:val="005D1023"/>
    <w:rsid w:val="005D148F"/>
    <w:rsid w:val="005D2AD2"/>
    <w:rsid w:val="005D4A4E"/>
    <w:rsid w:val="005D4A86"/>
    <w:rsid w:val="005D5EB1"/>
    <w:rsid w:val="005D6A29"/>
    <w:rsid w:val="005D6C8C"/>
    <w:rsid w:val="005E0481"/>
    <w:rsid w:val="005E0C10"/>
    <w:rsid w:val="005E10BF"/>
    <w:rsid w:val="005E136E"/>
    <w:rsid w:val="005E1834"/>
    <w:rsid w:val="005E49E5"/>
    <w:rsid w:val="005E5481"/>
    <w:rsid w:val="005E55E4"/>
    <w:rsid w:val="005E6C5F"/>
    <w:rsid w:val="005E7636"/>
    <w:rsid w:val="005F028E"/>
    <w:rsid w:val="005F04B4"/>
    <w:rsid w:val="005F11A4"/>
    <w:rsid w:val="005F12CD"/>
    <w:rsid w:val="005F19F8"/>
    <w:rsid w:val="005F3A40"/>
    <w:rsid w:val="005F3FB1"/>
    <w:rsid w:val="005F5ACF"/>
    <w:rsid w:val="005F60DC"/>
    <w:rsid w:val="005F6F7F"/>
    <w:rsid w:val="006000DD"/>
    <w:rsid w:val="00600F63"/>
    <w:rsid w:val="006012E1"/>
    <w:rsid w:val="00602253"/>
    <w:rsid w:val="006023E1"/>
    <w:rsid w:val="00602FB3"/>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32C"/>
    <w:rsid w:val="00642972"/>
    <w:rsid w:val="00644F4D"/>
    <w:rsid w:val="006469B1"/>
    <w:rsid w:val="00646C0D"/>
    <w:rsid w:val="0064728D"/>
    <w:rsid w:val="006476F7"/>
    <w:rsid w:val="0064779E"/>
    <w:rsid w:val="00647DB1"/>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A5"/>
    <w:rsid w:val="00666F74"/>
    <w:rsid w:val="00667FEA"/>
    <w:rsid w:val="006706E1"/>
    <w:rsid w:val="006710D2"/>
    <w:rsid w:val="00671A8B"/>
    <w:rsid w:val="00671F53"/>
    <w:rsid w:val="006725A0"/>
    <w:rsid w:val="0067555E"/>
    <w:rsid w:val="006773F9"/>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E34"/>
    <w:rsid w:val="00694B73"/>
    <w:rsid w:val="00694DF2"/>
    <w:rsid w:val="00695F80"/>
    <w:rsid w:val="006966CD"/>
    <w:rsid w:val="00696735"/>
    <w:rsid w:val="006975D4"/>
    <w:rsid w:val="0069780E"/>
    <w:rsid w:val="00697D13"/>
    <w:rsid w:val="006A24D5"/>
    <w:rsid w:val="006A2CA2"/>
    <w:rsid w:val="006A37D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E0A4F"/>
    <w:rsid w:val="006E0C8A"/>
    <w:rsid w:val="006E2A23"/>
    <w:rsid w:val="006E35E5"/>
    <w:rsid w:val="006E3C72"/>
    <w:rsid w:val="006E4F20"/>
    <w:rsid w:val="006E649A"/>
    <w:rsid w:val="006E6CC4"/>
    <w:rsid w:val="006E6E0E"/>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042"/>
    <w:rsid w:val="007209DD"/>
    <w:rsid w:val="00722920"/>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0F6"/>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87EF6"/>
    <w:rsid w:val="00791EB4"/>
    <w:rsid w:val="007928F1"/>
    <w:rsid w:val="0079357D"/>
    <w:rsid w:val="007937CC"/>
    <w:rsid w:val="00793A31"/>
    <w:rsid w:val="00794979"/>
    <w:rsid w:val="00794F24"/>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3944"/>
    <w:rsid w:val="007B399A"/>
    <w:rsid w:val="007B43E8"/>
    <w:rsid w:val="007B4740"/>
    <w:rsid w:val="007B502C"/>
    <w:rsid w:val="007B5527"/>
    <w:rsid w:val="007B5F3B"/>
    <w:rsid w:val="007C02B0"/>
    <w:rsid w:val="007C063E"/>
    <w:rsid w:val="007C068C"/>
    <w:rsid w:val="007C1901"/>
    <w:rsid w:val="007C3ECC"/>
    <w:rsid w:val="007C49C0"/>
    <w:rsid w:val="007C4FFC"/>
    <w:rsid w:val="007C55C1"/>
    <w:rsid w:val="007C5738"/>
    <w:rsid w:val="007C5772"/>
    <w:rsid w:val="007C5AC3"/>
    <w:rsid w:val="007C7233"/>
    <w:rsid w:val="007D10EE"/>
    <w:rsid w:val="007D1193"/>
    <w:rsid w:val="007D21D5"/>
    <w:rsid w:val="007D3E8D"/>
    <w:rsid w:val="007D4271"/>
    <w:rsid w:val="007D5915"/>
    <w:rsid w:val="007D5B4F"/>
    <w:rsid w:val="007D5C30"/>
    <w:rsid w:val="007D7A99"/>
    <w:rsid w:val="007E0660"/>
    <w:rsid w:val="007E090C"/>
    <w:rsid w:val="007E098B"/>
    <w:rsid w:val="007E1411"/>
    <w:rsid w:val="007E1882"/>
    <w:rsid w:val="007E1BB4"/>
    <w:rsid w:val="007E3514"/>
    <w:rsid w:val="007E3F9F"/>
    <w:rsid w:val="007E4AAA"/>
    <w:rsid w:val="007E4BD2"/>
    <w:rsid w:val="007E4C29"/>
    <w:rsid w:val="007E5E44"/>
    <w:rsid w:val="007E6847"/>
    <w:rsid w:val="007F0DDA"/>
    <w:rsid w:val="007F1939"/>
    <w:rsid w:val="007F365C"/>
    <w:rsid w:val="007F4A2A"/>
    <w:rsid w:val="007F5066"/>
    <w:rsid w:val="007F621C"/>
    <w:rsid w:val="007F712D"/>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05D"/>
    <w:rsid w:val="008253A6"/>
    <w:rsid w:val="00825A6B"/>
    <w:rsid w:val="00825C50"/>
    <w:rsid w:val="00826577"/>
    <w:rsid w:val="00827395"/>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818"/>
    <w:rsid w:val="008A1A92"/>
    <w:rsid w:val="008A2585"/>
    <w:rsid w:val="008A2718"/>
    <w:rsid w:val="008A4CF6"/>
    <w:rsid w:val="008A4E42"/>
    <w:rsid w:val="008A51AA"/>
    <w:rsid w:val="008A6A12"/>
    <w:rsid w:val="008A714E"/>
    <w:rsid w:val="008B0DC6"/>
    <w:rsid w:val="008B2B9E"/>
    <w:rsid w:val="008B31F5"/>
    <w:rsid w:val="008B4C79"/>
    <w:rsid w:val="008B5D2D"/>
    <w:rsid w:val="008B6022"/>
    <w:rsid w:val="008B6361"/>
    <w:rsid w:val="008B7C77"/>
    <w:rsid w:val="008C0320"/>
    <w:rsid w:val="008C1A51"/>
    <w:rsid w:val="008C2A81"/>
    <w:rsid w:val="008C3863"/>
    <w:rsid w:val="008C4BDC"/>
    <w:rsid w:val="008C50FF"/>
    <w:rsid w:val="008C5435"/>
    <w:rsid w:val="008C6BD1"/>
    <w:rsid w:val="008D2DB5"/>
    <w:rsid w:val="008D3F10"/>
    <w:rsid w:val="008D611D"/>
    <w:rsid w:val="008E1B6A"/>
    <w:rsid w:val="008E3054"/>
    <w:rsid w:val="008E32E8"/>
    <w:rsid w:val="008E32FF"/>
    <w:rsid w:val="008E5625"/>
    <w:rsid w:val="008E5C5B"/>
    <w:rsid w:val="008E6A37"/>
    <w:rsid w:val="008F0354"/>
    <w:rsid w:val="008F085A"/>
    <w:rsid w:val="008F1462"/>
    <w:rsid w:val="008F2413"/>
    <w:rsid w:val="008F248D"/>
    <w:rsid w:val="008F4B2C"/>
    <w:rsid w:val="008F4C08"/>
    <w:rsid w:val="008F6851"/>
    <w:rsid w:val="008F7BC4"/>
    <w:rsid w:val="008F7D8D"/>
    <w:rsid w:val="00900E7A"/>
    <w:rsid w:val="00903E11"/>
    <w:rsid w:val="00903EBE"/>
    <w:rsid w:val="00903FEF"/>
    <w:rsid w:val="009041DE"/>
    <w:rsid w:val="00905D59"/>
    <w:rsid w:val="009062CA"/>
    <w:rsid w:val="00907631"/>
    <w:rsid w:val="00907776"/>
    <w:rsid w:val="00913401"/>
    <w:rsid w:val="00913567"/>
    <w:rsid w:val="009137B6"/>
    <w:rsid w:val="00914518"/>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6899"/>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323E"/>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97864"/>
    <w:rsid w:val="009A053D"/>
    <w:rsid w:val="009A07A6"/>
    <w:rsid w:val="009A0D56"/>
    <w:rsid w:val="009A154F"/>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352A"/>
    <w:rsid w:val="009C6091"/>
    <w:rsid w:val="009C634F"/>
    <w:rsid w:val="009C6C20"/>
    <w:rsid w:val="009D0219"/>
    <w:rsid w:val="009D0D55"/>
    <w:rsid w:val="009D2295"/>
    <w:rsid w:val="009D2511"/>
    <w:rsid w:val="009D291D"/>
    <w:rsid w:val="009D3E7C"/>
    <w:rsid w:val="009D55CA"/>
    <w:rsid w:val="009D5EF0"/>
    <w:rsid w:val="009D6022"/>
    <w:rsid w:val="009D6401"/>
    <w:rsid w:val="009E0711"/>
    <w:rsid w:val="009E1917"/>
    <w:rsid w:val="009E277B"/>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15A3"/>
    <w:rsid w:val="00A24269"/>
    <w:rsid w:val="00A243E4"/>
    <w:rsid w:val="00A25ED4"/>
    <w:rsid w:val="00A263DA"/>
    <w:rsid w:val="00A26C5C"/>
    <w:rsid w:val="00A276D4"/>
    <w:rsid w:val="00A30BDE"/>
    <w:rsid w:val="00A3131C"/>
    <w:rsid w:val="00A31F14"/>
    <w:rsid w:val="00A324DC"/>
    <w:rsid w:val="00A32B5A"/>
    <w:rsid w:val="00A33CCC"/>
    <w:rsid w:val="00A33ECB"/>
    <w:rsid w:val="00A34DE0"/>
    <w:rsid w:val="00A35728"/>
    <w:rsid w:val="00A36B23"/>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5964"/>
    <w:rsid w:val="00A66BEE"/>
    <w:rsid w:val="00A671C9"/>
    <w:rsid w:val="00A67DFD"/>
    <w:rsid w:val="00A70762"/>
    <w:rsid w:val="00A72ABE"/>
    <w:rsid w:val="00A74F9F"/>
    <w:rsid w:val="00A750B3"/>
    <w:rsid w:val="00A75559"/>
    <w:rsid w:val="00A7623D"/>
    <w:rsid w:val="00A824A7"/>
    <w:rsid w:val="00A83644"/>
    <w:rsid w:val="00A83C07"/>
    <w:rsid w:val="00A83F40"/>
    <w:rsid w:val="00A84945"/>
    <w:rsid w:val="00A85226"/>
    <w:rsid w:val="00A85543"/>
    <w:rsid w:val="00A8728B"/>
    <w:rsid w:val="00A8761B"/>
    <w:rsid w:val="00A903D3"/>
    <w:rsid w:val="00A90A56"/>
    <w:rsid w:val="00A91682"/>
    <w:rsid w:val="00A92E4A"/>
    <w:rsid w:val="00A958CA"/>
    <w:rsid w:val="00A966B6"/>
    <w:rsid w:val="00A96B46"/>
    <w:rsid w:val="00A96C55"/>
    <w:rsid w:val="00AA003B"/>
    <w:rsid w:val="00AA016B"/>
    <w:rsid w:val="00AA15DD"/>
    <w:rsid w:val="00AA1C09"/>
    <w:rsid w:val="00AA278B"/>
    <w:rsid w:val="00AA2F67"/>
    <w:rsid w:val="00AA3569"/>
    <w:rsid w:val="00AA41AE"/>
    <w:rsid w:val="00AA5F4C"/>
    <w:rsid w:val="00AA615C"/>
    <w:rsid w:val="00AA6711"/>
    <w:rsid w:val="00AB2ADD"/>
    <w:rsid w:val="00AB2AEC"/>
    <w:rsid w:val="00AB2DC1"/>
    <w:rsid w:val="00AB3102"/>
    <w:rsid w:val="00AB3D9A"/>
    <w:rsid w:val="00AB4B1D"/>
    <w:rsid w:val="00AB6B5E"/>
    <w:rsid w:val="00AC047F"/>
    <w:rsid w:val="00AC2E97"/>
    <w:rsid w:val="00AC3934"/>
    <w:rsid w:val="00AC50C8"/>
    <w:rsid w:val="00AC5581"/>
    <w:rsid w:val="00AC56AD"/>
    <w:rsid w:val="00AC61BD"/>
    <w:rsid w:val="00AC61BE"/>
    <w:rsid w:val="00AC62D6"/>
    <w:rsid w:val="00AD0CB4"/>
    <w:rsid w:val="00AD11E9"/>
    <w:rsid w:val="00AD14EB"/>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1068"/>
    <w:rsid w:val="00B03CE2"/>
    <w:rsid w:val="00B059A9"/>
    <w:rsid w:val="00B06544"/>
    <w:rsid w:val="00B105F2"/>
    <w:rsid w:val="00B10991"/>
    <w:rsid w:val="00B12128"/>
    <w:rsid w:val="00B12945"/>
    <w:rsid w:val="00B12C1E"/>
    <w:rsid w:val="00B14D80"/>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4654"/>
    <w:rsid w:val="00B6517B"/>
    <w:rsid w:val="00B65E71"/>
    <w:rsid w:val="00B66C26"/>
    <w:rsid w:val="00B705C4"/>
    <w:rsid w:val="00B71FB3"/>
    <w:rsid w:val="00B73492"/>
    <w:rsid w:val="00B7512A"/>
    <w:rsid w:val="00B76548"/>
    <w:rsid w:val="00B76643"/>
    <w:rsid w:val="00B76BED"/>
    <w:rsid w:val="00B806E6"/>
    <w:rsid w:val="00B81F23"/>
    <w:rsid w:val="00B82DC1"/>
    <w:rsid w:val="00B835D5"/>
    <w:rsid w:val="00B84028"/>
    <w:rsid w:val="00B84307"/>
    <w:rsid w:val="00B8430D"/>
    <w:rsid w:val="00B843D7"/>
    <w:rsid w:val="00B8541E"/>
    <w:rsid w:val="00B85661"/>
    <w:rsid w:val="00B85C8A"/>
    <w:rsid w:val="00B86FBD"/>
    <w:rsid w:val="00B90CFE"/>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65CF"/>
    <w:rsid w:val="00BA7228"/>
    <w:rsid w:val="00BA754A"/>
    <w:rsid w:val="00BA7820"/>
    <w:rsid w:val="00BA794C"/>
    <w:rsid w:val="00BA7A80"/>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224"/>
    <w:rsid w:val="00BD3C97"/>
    <w:rsid w:val="00BD45A4"/>
    <w:rsid w:val="00BD4A5F"/>
    <w:rsid w:val="00BD59AA"/>
    <w:rsid w:val="00BD6311"/>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3C17"/>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6C7"/>
    <w:rsid w:val="00C10BE6"/>
    <w:rsid w:val="00C11296"/>
    <w:rsid w:val="00C11905"/>
    <w:rsid w:val="00C1234A"/>
    <w:rsid w:val="00C12661"/>
    <w:rsid w:val="00C126E3"/>
    <w:rsid w:val="00C1330F"/>
    <w:rsid w:val="00C13ED7"/>
    <w:rsid w:val="00C14615"/>
    <w:rsid w:val="00C14677"/>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25"/>
    <w:rsid w:val="00C368D7"/>
    <w:rsid w:val="00C36FD1"/>
    <w:rsid w:val="00C371A5"/>
    <w:rsid w:val="00C372AF"/>
    <w:rsid w:val="00C400B0"/>
    <w:rsid w:val="00C401BA"/>
    <w:rsid w:val="00C40F4E"/>
    <w:rsid w:val="00C413FC"/>
    <w:rsid w:val="00C422C5"/>
    <w:rsid w:val="00C4245C"/>
    <w:rsid w:val="00C43D33"/>
    <w:rsid w:val="00C44407"/>
    <w:rsid w:val="00C452CE"/>
    <w:rsid w:val="00C456E8"/>
    <w:rsid w:val="00C46630"/>
    <w:rsid w:val="00C47A2F"/>
    <w:rsid w:val="00C50D18"/>
    <w:rsid w:val="00C51179"/>
    <w:rsid w:val="00C52329"/>
    <w:rsid w:val="00C5282C"/>
    <w:rsid w:val="00C52FBE"/>
    <w:rsid w:val="00C5355E"/>
    <w:rsid w:val="00C535E2"/>
    <w:rsid w:val="00C539FF"/>
    <w:rsid w:val="00C53FC1"/>
    <w:rsid w:val="00C5569C"/>
    <w:rsid w:val="00C56438"/>
    <w:rsid w:val="00C570B3"/>
    <w:rsid w:val="00C57232"/>
    <w:rsid w:val="00C6009F"/>
    <w:rsid w:val="00C60417"/>
    <w:rsid w:val="00C6046F"/>
    <w:rsid w:val="00C61346"/>
    <w:rsid w:val="00C638C2"/>
    <w:rsid w:val="00C651D4"/>
    <w:rsid w:val="00C6669E"/>
    <w:rsid w:val="00C672B0"/>
    <w:rsid w:val="00C70415"/>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0E38"/>
    <w:rsid w:val="00CB12A5"/>
    <w:rsid w:val="00CB17FA"/>
    <w:rsid w:val="00CB23D8"/>
    <w:rsid w:val="00CB2ED9"/>
    <w:rsid w:val="00CB36A5"/>
    <w:rsid w:val="00CB3C27"/>
    <w:rsid w:val="00CB56B4"/>
    <w:rsid w:val="00CB7286"/>
    <w:rsid w:val="00CB7947"/>
    <w:rsid w:val="00CC065B"/>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D742D"/>
    <w:rsid w:val="00CE08D1"/>
    <w:rsid w:val="00CE125F"/>
    <w:rsid w:val="00CE157F"/>
    <w:rsid w:val="00CE1966"/>
    <w:rsid w:val="00CE1ED4"/>
    <w:rsid w:val="00CE2216"/>
    <w:rsid w:val="00CE3014"/>
    <w:rsid w:val="00CE30E5"/>
    <w:rsid w:val="00CE6FC6"/>
    <w:rsid w:val="00CF2056"/>
    <w:rsid w:val="00CF3EC7"/>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5E75"/>
    <w:rsid w:val="00D16EDC"/>
    <w:rsid w:val="00D17FDE"/>
    <w:rsid w:val="00D201CB"/>
    <w:rsid w:val="00D22786"/>
    <w:rsid w:val="00D228B4"/>
    <w:rsid w:val="00D25AC4"/>
    <w:rsid w:val="00D305F6"/>
    <w:rsid w:val="00D30989"/>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87D"/>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67E0C"/>
    <w:rsid w:val="00D7106D"/>
    <w:rsid w:val="00D71B45"/>
    <w:rsid w:val="00D71F8A"/>
    <w:rsid w:val="00D75603"/>
    <w:rsid w:val="00D75FEE"/>
    <w:rsid w:val="00D76933"/>
    <w:rsid w:val="00D76D88"/>
    <w:rsid w:val="00D77CC9"/>
    <w:rsid w:val="00D82A44"/>
    <w:rsid w:val="00D83D4B"/>
    <w:rsid w:val="00D871C6"/>
    <w:rsid w:val="00D91010"/>
    <w:rsid w:val="00D97C6D"/>
    <w:rsid w:val="00DA0FA7"/>
    <w:rsid w:val="00DA12B0"/>
    <w:rsid w:val="00DA2BA0"/>
    <w:rsid w:val="00DA39AD"/>
    <w:rsid w:val="00DA5523"/>
    <w:rsid w:val="00DA5B13"/>
    <w:rsid w:val="00DA5BEB"/>
    <w:rsid w:val="00DA6917"/>
    <w:rsid w:val="00DA6926"/>
    <w:rsid w:val="00DB0965"/>
    <w:rsid w:val="00DB0E47"/>
    <w:rsid w:val="00DB2BDD"/>
    <w:rsid w:val="00DB2DEA"/>
    <w:rsid w:val="00DB4121"/>
    <w:rsid w:val="00DB46C3"/>
    <w:rsid w:val="00DB5742"/>
    <w:rsid w:val="00DB5EDF"/>
    <w:rsid w:val="00DB650B"/>
    <w:rsid w:val="00DB6C46"/>
    <w:rsid w:val="00DB72B8"/>
    <w:rsid w:val="00DC16AF"/>
    <w:rsid w:val="00DC1B3F"/>
    <w:rsid w:val="00DC2379"/>
    <w:rsid w:val="00DC2A9A"/>
    <w:rsid w:val="00DC2E2E"/>
    <w:rsid w:val="00DC4D68"/>
    <w:rsid w:val="00DC6463"/>
    <w:rsid w:val="00DC7822"/>
    <w:rsid w:val="00DC795A"/>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337"/>
    <w:rsid w:val="00DF7EA7"/>
    <w:rsid w:val="00E04548"/>
    <w:rsid w:val="00E0484E"/>
    <w:rsid w:val="00E063F8"/>
    <w:rsid w:val="00E079AF"/>
    <w:rsid w:val="00E10942"/>
    <w:rsid w:val="00E114D6"/>
    <w:rsid w:val="00E1166E"/>
    <w:rsid w:val="00E11DBD"/>
    <w:rsid w:val="00E13211"/>
    <w:rsid w:val="00E16FB5"/>
    <w:rsid w:val="00E17295"/>
    <w:rsid w:val="00E179D6"/>
    <w:rsid w:val="00E21407"/>
    <w:rsid w:val="00E22668"/>
    <w:rsid w:val="00E227D3"/>
    <w:rsid w:val="00E22BFF"/>
    <w:rsid w:val="00E22CB0"/>
    <w:rsid w:val="00E23798"/>
    <w:rsid w:val="00E243AD"/>
    <w:rsid w:val="00E247F7"/>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29FF"/>
    <w:rsid w:val="00E53C15"/>
    <w:rsid w:val="00E54EE6"/>
    <w:rsid w:val="00E56715"/>
    <w:rsid w:val="00E56C2C"/>
    <w:rsid w:val="00E57F8E"/>
    <w:rsid w:val="00E611C8"/>
    <w:rsid w:val="00E63256"/>
    <w:rsid w:val="00E63393"/>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6D9"/>
    <w:rsid w:val="00EC078B"/>
    <w:rsid w:val="00EC07A0"/>
    <w:rsid w:val="00EC08E4"/>
    <w:rsid w:val="00EC1A23"/>
    <w:rsid w:val="00EC3CB4"/>
    <w:rsid w:val="00EC41B7"/>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0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5D44"/>
    <w:rsid w:val="00F47121"/>
    <w:rsid w:val="00F4775D"/>
    <w:rsid w:val="00F504DD"/>
    <w:rsid w:val="00F50874"/>
    <w:rsid w:val="00F510AD"/>
    <w:rsid w:val="00F516C6"/>
    <w:rsid w:val="00F52221"/>
    <w:rsid w:val="00F52B28"/>
    <w:rsid w:val="00F53101"/>
    <w:rsid w:val="00F536BB"/>
    <w:rsid w:val="00F53755"/>
    <w:rsid w:val="00F53E59"/>
    <w:rsid w:val="00F5475B"/>
    <w:rsid w:val="00F551CC"/>
    <w:rsid w:val="00F574D0"/>
    <w:rsid w:val="00F6031F"/>
    <w:rsid w:val="00F60464"/>
    <w:rsid w:val="00F61664"/>
    <w:rsid w:val="00F61B99"/>
    <w:rsid w:val="00F61BA8"/>
    <w:rsid w:val="00F64C45"/>
    <w:rsid w:val="00F6502B"/>
    <w:rsid w:val="00F6561E"/>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97E27"/>
    <w:rsid w:val="00FA0B60"/>
    <w:rsid w:val="00FA2528"/>
    <w:rsid w:val="00FA5535"/>
    <w:rsid w:val="00FA7206"/>
    <w:rsid w:val="00FA7E01"/>
    <w:rsid w:val="00FA7EFB"/>
    <w:rsid w:val="00FB0816"/>
    <w:rsid w:val="00FB08C2"/>
    <w:rsid w:val="00FB3DD1"/>
    <w:rsid w:val="00FB51FD"/>
    <w:rsid w:val="00FB5667"/>
    <w:rsid w:val="00FB7A97"/>
    <w:rsid w:val="00FC0CC1"/>
    <w:rsid w:val="00FC1B9B"/>
    <w:rsid w:val="00FC318D"/>
    <w:rsid w:val="00FC36CF"/>
    <w:rsid w:val="00FC40BC"/>
    <w:rsid w:val="00FC41FC"/>
    <w:rsid w:val="00FC46B0"/>
    <w:rsid w:val="00FC4F6E"/>
    <w:rsid w:val="00FC506C"/>
    <w:rsid w:val="00FC578C"/>
    <w:rsid w:val="00FC5A37"/>
    <w:rsid w:val="00FC7223"/>
    <w:rsid w:val="00FD0F60"/>
    <w:rsid w:val="00FD13EA"/>
    <w:rsid w:val="00FD45BD"/>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 w:type="character" w:styleId="UnresolvedMention">
    <w:name w:val="Unresolved Mention"/>
    <w:basedOn w:val="DefaultParagraphFont"/>
    <w:uiPriority w:val="99"/>
    <w:semiHidden/>
    <w:unhideWhenUsed/>
    <w:rsid w:val="00D4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087074650">
      <w:bodyDiv w:val="1"/>
      <w:marLeft w:val="0"/>
      <w:marRight w:val="0"/>
      <w:marTop w:val="0"/>
      <w:marBottom w:val="0"/>
      <w:divBdr>
        <w:top w:val="none" w:sz="0" w:space="0" w:color="auto"/>
        <w:left w:val="none" w:sz="0" w:space="0" w:color="auto"/>
        <w:bottom w:val="none" w:sz="0" w:space="0" w:color="auto"/>
        <w:right w:val="none" w:sz="0" w:space="0" w:color="auto"/>
      </w:divBdr>
      <w:divsChild>
        <w:div w:id="443310859">
          <w:marLeft w:val="0"/>
          <w:marRight w:val="0"/>
          <w:marTop w:val="0"/>
          <w:marBottom w:val="0"/>
          <w:divBdr>
            <w:top w:val="none" w:sz="0" w:space="0" w:color="auto"/>
            <w:left w:val="none" w:sz="0" w:space="0" w:color="auto"/>
            <w:bottom w:val="none" w:sz="0" w:space="0" w:color="auto"/>
            <w:right w:val="none" w:sz="0" w:space="0" w:color="auto"/>
          </w:divBdr>
          <w:divsChild>
            <w:div w:id="1012339742">
              <w:marLeft w:val="300"/>
              <w:marRight w:val="300"/>
              <w:marTop w:val="0"/>
              <w:marBottom w:val="0"/>
              <w:divBdr>
                <w:top w:val="none" w:sz="0" w:space="0" w:color="auto"/>
                <w:left w:val="none" w:sz="0" w:space="0" w:color="auto"/>
                <w:bottom w:val="none" w:sz="0" w:space="0" w:color="auto"/>
                <w:right w:val="none" w:sz="0" w:space="0" w:color="auto"/>
              </w:divBdr>
              <w:divsChild>
                <w:div w:id="1641425634">
                  <w:marLeft w:val="0"/>
                  <w:marRight w:val="0"/>
                  <w:marTop w:val="0"/>
                  <w:marBottom w:val="0"/>
                  <w:divBdr>
                    <w:top w:val="none" w:sz="0" w:space="0" w:color="auto"/>
                    <w:left w:val="none" w:sz="0" w:space="0" w:color="auto"/>
                    <w:bottom w:val="none" w:sz="0" w:space="0" w:color="auto"/>
                    <w:right w:val="none" w:sz="0" w:space="0" w:color="auto"/>
                  </w:divBdr>
                  <w:divsChild>
                    <w:div w:id="1798452033">
                      <w:marLeft w:val="0"/>
                      <w:marRight w:val="0"/>
                      <w:marTop w:val="0"/>
                      <w:marBottom w:val="0"/>
                      <w:divBdr>
                        <w:top w:val="none" w:sz="0" w:space="0" w:color="auto"/>
                        <w:left w:val="none" w:sz="0" w:space="0" w:color="auto"/>
                        <w:bottom w:val="none" w:sz="0" w:space="0" w:color="auto"/>
                        <w:right w:val="none" w:sz="0" w:space="0" w:color="auto"/>
                      </w:divBdr>
                      <w:divsChild>
                        <w:div w:id="12951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533294">
              <w:marLeft w:val="0"/>
              <w:marRight w:val="495"/>
              <w:marTop w:val="0"/>
              <w:marBottom w:val="0"/>
              <w:divBdr>
                <w:top w:val="none" w:sz="0" w:space="0" w:color="auto"/>
                <w:left w:val="none" w:sz="0" w:space="0" w:color="auto"/>
                <w:bottom w:val="none" w:sz="0" w:space="0" w:color="auto"/>
                <w:right w:val="none" w:sz="0" w:space="0" w:color="auto"/>
              </w:divBdr>
              <w:divsChild>
                <w:div w:id="782502024">
                  <w:marLeft w:val="0"/>
                  <w:marRight w:val="0"/>
                  <w:marTop w:val="0"/>
                  <w:marBottom w:val="0"/>
                  <w:divBdr>
                    <w:top w:val="none" w:sz="0" w:space="0" w:color="auto"/>
                    <w:left w:val="none" w:sz="0" w:space="0" w:color="auto"/>
                    <w:bottom w:val="none" w:sz="0" w:space="0" w:color="auto"/>
                    <w:right w:val="none" w:sz="0" w:space="0" w:color="auto"/>
                  </w:divBdr>
                  <w:divsChild>
                    <w:div w:id="16179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36716">
          <w:marLeft w:val="0"/>
          <w:marRight w:val="0"/>
          <w:marTop w:val="0"/>
          <w:marBottom w:val="0"/>
          <w:divBdr>
            <w:top w:val="none" w:sz="0" w:space="0" w:color="auto"/>
            <w:left w:val="none" w:sz="0" w:space="0" w:color="auto"/>
            <w:bottom w:val="none" w:sz="0" w:space="0" w:color="auto"/>
            <w:right w:val="none" w:sz="0" w:space="0" w:color="auto"/>
          </w:divBdr>
          <w:divsChild>
            <w:div w:id="1110710418">
              <w:marLeft w:val="0"/>
              <w:marRight w:val="0"/>
              <w:marTop w:val="0"/>
              <w:marBottom w:val="0"/>
              <w:divBdr>
                <w:top w:val="none" w:sz="0" w:space="0" w:color="auto"/>
                <w:left w:val="none" w:sz="0" w:space="0" w:color="auto"/>
                <w:bottom w:val="none" w:sz="0" w:space="0" w:color="auto"/>
                <w:right w:val="none" w:sz="0" w:space="0" w:color="auto"/>
              </w:divBdr>
              <w:divsChild>
                <w:div w:id="1598710692">
                  <w:marLeft w:val="0"/>
                  <w:marRight w:val="0"/>
                  <w:marTop w:val="0"/>
                  <w:marBottom w:val="0"/>
                  <w:divBdr>
                    <w:top w:val="none" w:sz="0" w:space="0" w:color="auto"/>
                    <w:left w:val="none" w:sz="0" w:space="0" w:color="auto"/>
                    <w:bottom w:val="none" w:sz="0" w:space="0" w:color="auto"/>
                    <w:right w:val="none" w:sz="0" w:space="0" w:color="auto"/>
                  </w:divBdr>
                  <w:divsChild>
                    <w:div w:id="1823889126">
                      <w:marLeft w:val="0"/>
                      <w:marRight w:val="0"/>
                      <w:marTop w:val="0"/>
                      <w:marBottom w:val="0"/>
                      <w:divBdr>
                        <w:top w:val="none" w:sz="0" w:space="0" w:color="auto"/>
                        <w:left w:val="none" w:sz="0" w:space="0" w:color="auto"/>
                        <w:bottom w:val="none" w:sz="0" w:space="0" w:color="auto"/>
                        <w:right w:val="none" w:sz="0" w:space="0" w:color="auto"/>
                      </w:divBdr>
                      <w:divsChild>
                        <w:div w:id="402992017">
                          <w:marLeft w:val="0"/>
                          <w:marRight w:val="0"/>
                          <w:marTop w:val="0"/>
                          <w:marBottom w:val="0"/>
                          <w:divBdr>
                            <w:top w:val="none" w:sz="0" w:space="0" w:color="auto"/>
                            <w:left w:val="none" w:sz="0" w:space="0" w:color="auto"/>
                            <w:bottom w:val="none" w:sz="0" w:space="0" w:color="auto"/>
                            <w:right w:val="none" w:sz="0" w:space="0" w:color="auto"/>
                          </w:divBdr>
                          <w:divsChild>
                            <w:div w:id="883061335">
                              <w:marLeft w:val="120"/>
                              <w:marRight w:val="300"/>
                              <w:marTop w:val="0"/>
                              <w:marBottom w:val="120"/>
                              <w:divBdr>
                                <w:top w:val="none" w:sz="0" w:space="0" w:color="auto"/>
                                <w:left w:val="none" w:sz="0" w:space="0" w:color="auto"/>
                                <w:bottom w:val="none" w:sz="0" w:space="0" w:color="auto"/>
                                <w:right w:val="none" w:sz="0" w:space="0" w:color="auto"/>
                              </w:divBdr>
                              <w:divsChild>
                                <w:div w:id="707803318">
                                  <w:marLeft w:val="0"/>
                                  <w:marRight w:val="0"/>
                                  <w:marTop w:val="0"/>
                                  <w:marBottom w:val="0"/>
                                  <w:divBdr>
                                    <w:top w:val="none" w:sz="0" w:space="0" w:color="auto"/>
                                    <w:left w:val="none" w:sz="0" w:space="0" w:color="auto"/>
                                    <w:bottom w:val="none" w:sz="0" w:space="0" w:color="auto"/>
                                    <w:right w:val="none" w:sz="0" w:space="0" w:color="auto"/>
                                  </w:divBdr>
                                  <w:divsChild>
                                    <w:div w:id="1766417409">
                                      <w:marLeft w:val="0"/>
                                      <w:marRight w:val="120"/>
                                      <w:marTop w:val="0"/>
                                      <w:marBottom w:val="0"/>
                                      <w:divBdr>
                                        <w:top w:val="none" w:sz="0" w:space="0" w:color="auto"/>
                                        <w:left w:val="none" w:sz="0" w:space="0" w:color="auto"/>
                                        <w:bottom w:val="none" w:sz="0" w:space="0" w:color="auto"/>
                                        <w:right w:val="none" w:sz="0" w:space="0" w:color="auto"/>
                                      </w:divBdr>
                                      <w:divsChild>
                                        <w:div w:id="507335241">
                                          <w:marLeft w:val="0"/>
                                          <w:marRight w:val="0"/>
                                          <w:marTop w:val="0"/>
                                          <w:marBottom w:val="0"/>
                                          <w:divBdr>
                                            <w:top w:val="none" w:sz="0" w:space="0" w:color="auto"/>
                                            <w:left w:val="none" w:sz="0" w:space="0" w:color="auto"/>
                                            <w:bottom w:val="none" w:sz="0" w:space="0" w:color="auto"/>
                                            <w:right w:val="none" w:sz="0" w:space="0" w:color="auto"/>
                                          </w:divBdr>
                                          <w:divsChild>
                                            <w:div w:id="9242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tuart.freeman@ccla.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ecf026e-b0a4-4248-a8b3-c8925b47ff3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564855CECE684DBD91E00F0CE16D08" ma:contentTypeVersion="7" ma:contentTypeDescription="Create a new document." ma:contentTypeScope="" ma:versionID="fb815d76689c38ddff0cfcbe7322f45a">
  <xsd:schema xmlns:xsd="http://www.w3.org/2001/XMLSchema" xmlns:xs="http://www.w3.org/2001/XMLSchema" xmlns:p="http://schemas.microsoft.com/office/2006/metadata/properties" xmlns:ns2="0c91af12-43fc-4325-863c-03240462b470" xmlns:ns3="5ecf026e-b0a4-4248-a8b3-c8925b47ff30" targetNamespace="http://schemas.microsoft.com/office/2006/metadata/properties" ma:root="true" ma:fieldsID="baa01240f96b139cbc908b0b5642c902" ns2:_="" ns3:_="">
    <xsd:import namespace="0c91af12-43fc-4325-863c-03240462b470"/>
    <xsd:import namespace="5ecf026e-b0a4-4248-a8b3-c8925b47ff30"/>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1af12-43fc-4325-863c-03240462b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f026e-b0a4-4248-a8b3-c8925b47ff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5ecf026e-b0a4-4248-a8b3-c8925b47ff30"/>
  </ds:schemaRefs>
</ds:datastoreItem>
</file>

<file path=customXml/itemProps3.xml><?xml version="1.0" encoding="utf-8"?>
<ds:datastoreItem xmlns:ds="http://schemas.openxmlformats.org/officeDocument/2006/customXml" ds:itemID="{8893A8DC-DF41-49F0-9CDC-089404859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1af12-43fc-4325-863c-03240462b470"/>
    <ds:schemaRef ds:uri="5ecf026e-b0a4-4248-a8b3-c8925b47f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5.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10</Pages>
  <Words>3159</Words>
  <Characters>18010</Characters>
  <Application>Microsoft Office Word</Application>
  <DocSecurity>8</DocSecurity>
  <Lines>150</Lines>
  <Paragraphs>42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21127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Stuart Freeman</cp:lastModifiedBy>
  <cp:revision>137</cp:revision>
  <cp:lastPrinted>2015-02-18T11:01:00Z</cp:lastPrinted>
  <dcterms:created xsi:type="dcterms:W3CDTF">2021-06-29T13:38:00Z</dcterms:created>
  <dcterms:modified xsi:type="dcterms:W3CDTF">2021-06-29T20:31:00Z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0x010100A4564855CECE684DBD91E00F0CE16D08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y fmtid="{D5CDD505-2E9C-101B-9397-08002B2CF9AE}" pid="20" name="ComplianceAssetId">
    <vt:lpwstr/>
  </property>
  <property fmtid="{D5CDD505-2E9C-101B-9397-08002B2CF9AE}" pid="21" name="_ExtendedDescription">
    <vt:lpwstr/>
  </property>
</Properties>
</file>