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F10D35" w14:paraId="3A1CEF39" w14:textId="77777777" w:rsidTr="00315E96">
        <w:trPr>
          <w:trHeight w:val="284"/>
        </w:trPr>
        <w:tc>
          <w:tcPr>
            <w:tcW w:w="9412" w:type="dxa"/>
          </w:tcPr>
          <w:p w14:paraId="4CE64CCB" w14:textId="13B365A4" w:rsidR="00C2094B" w:rsidRPr="00F10D35" w:rsidRDefault="0031127F" w:rsidP="00AF38AF">
            <w:pPr>
              <w:pStyle w:val="00bDBInfo"/>
              <w:rPr>
                <w:rFonts w:cs="Arial"/>
              </w:rPr>
            </w:pPr>
            <w:r>
              <w:rPr>
                <w:rFonts w:cs="Arial"/>
              </w:rPr>
              <w:t>29</w:t>
            </w:r>
            <w:r w:rsidR="00FE40D3" w:rsidRPr="00FE40D3">
              <w:rPr>
                <w:rFonts w:cs="Arial"/>
              </w:rPr>
              <w:t xml:space="preserve"> </w:t>
            </w:r>
            <w:r>
              <w:rPr>
                <w:rFonts w:cs="Arial"/>
              </w:rPr>
              <w:t>March</w:t>
            </w:r>
            <w:r w:rsidR="002C27F9" w:rsidRPr="00FE40D3">
              <w:rPr>
                <w:rFonts w:cs="Arial"/>
              </w:rPr>
              <w:t xml:space="preserve"> 202</w:t>
            </w:r>
            <w:r w:rsidR="00F87631">
              <w:rPr>
                <w:rFonts w:cs="Arial"/>
              </w:rPr>
              <w:t>1</w:t>
            </w:r>
          </w:p>
        </w:tc>
      </w:tr>
    </w:tbl>
    <w:p w14:paraId="031231A1" w14:textId="68FE125F" w:rsidR="00FD7A8D" w:rsidRPr="00616B9B" w:rsidRDefault="00FD7A8D" w:rsidP="00FD7A8D">
      <w:pPr>
        <w:rPr>
          <w:rFonts w:cs="Arial"/>
          <w:vanish/>
        </w:rPr>
      </w:pPr>
    </w:p>
    <w:tbl>
      <w:tblPr>
        <w:tblpPr w:leftFromText="8505" w:vertAnchor="page" w:horzAnchor="margin" w:tblpY="3556"/>
        <w:tblW w:w="9646" w:type="dxa"/>
        <w:tblLayout w:type="fixed"/>
        <w:tblCellMar>
          <w:left w:w="0" w:type="dxa"/>
          <w:right w:w="0" w:type="dxa"/>
        </w:tblCellMar>
        <w:tblLook w:val="01E0" w:firstRow="1" w:lastRow="1" w:firstColumn="1" w:lastColumn="1" w:noHBand="0" w:noVBand="0"/>
      </w:tblPr>
      <w:tblGrid>
        <w:gridCol w:w="9646"/>
      </w:tblGrid>
      <w:tr w:rsidR="00146A6C" w:rsidRPr="00616B9B" w14:paraId="117904A3" w14:textId="77777777" w:rsidTr="00146A6C">
        <w:trPr>
          <w:trHeight w:hRule="exact" w:val="2137"/>
        </w:trPr>
        <w:tc>
          <w:tcPr>
            <w:tcW w:w="9646" w:type="dxa"/>
            <w:vAlign w:val="bottom"/>
          </w:tcPr>
          <w:p w14:paraId="4956832E" w14:textId="364B7A29" w:rsidR="00146A6C" w:rsidRPr="00201005" w:rsidRDefault="00146A6C" w:rsidP="00146A6C">
            <w:pPr>
              <w:pStyle w:val="01aDBTitle"/>
              <w:jc w:val="left"/>
              <w:rPr>
                <w:szCs w:val="40"/>
              </w:rPr>
            </w:pPr>
            <w:r w:rsidRPr="00201005">
              <w:rPr>
                <w:rFonts w:cs="Arial"/>
                <w:szCs w:val="40"/>
              </w:rPr>
              <w:t>Response form for the Consultation Paper on</w:t>
            </w:r>
            <w:r w:rsidRPr="00201005">
              <w:rPr>
                <w:szCs w:val="40"/>
              </w:rPr>
              <w:t xml:space="preserve"> </w:t>
            </w:r>
            <w:r w:rsidR="00DC1B3F">
              <w:rPr>
                <w:szCs w:val="40"/>
              </w:rPr>
              <w:t xml:space="preserve">the </w:t>
            </w:r>
            <w:r w:rsidR="00DC1B3F" w:rsidRPr="00DC1B3F">
              <w:rPr>
                <w:szCs w:val="40"/>
              </w:rPr>
              <w:t>EU Money Market Fund Regulation – legislative review</w:t>
            </w:r>
          </w:p>
          <w:p w14:paraId="16F35E65" w14:textId="77777777" w:rsidR="00146A6C" w:rsidRPr="00146A6C" w:rsidRDefault="00146A6C" w:rsidP="00146A6C">
            <w:pPr>
              <w:pStyle w:val="01aDBTitle"/>
              <w:jc w:val="left"/>
              <w:rPr>
                <w:rFonts w:cs="Arial"/>
                <w:sz w:val="32"/>
                <w:szCs w:val="32"/>
              </w:rPr>
            </w:pPr>
          </w:p>
        </w:tc>
      </w:tr>
      <w:tr w:rsidR="00146A6C" w:rsidRPr="00616B9B" w14:paraId="28EA853F" w14:textId="77777777" w:rsidTr="00146A6C">
        <w:trPr>
          <w:trHeight w:hRule="exact" w:val="1237"/>
        </w:trPr>
        <w:tc>
          <w:tcPr>
            <w:tcW w:w="9646" w:type="dxa"/>
            <w:tcMar>
              <w:top w:w="142" w:type="dxa"/>
            </w:tcMar>
          </w:tcPr>
          <w:p w14:paraId="6AB3A0AD" w14:textId="77777777" w:rsidR="00146A6C" w:rsidRDefault="00146A6C" w:rsidP="00146A6C">
            <w:pPr>
              <w:pStyle w:val="01bDBSubtitle"/>
              <w:rPr>
                <w:rFonts w:ascii="Arial" w:hAnsi="Arial" w:cs="Arial"/>
                <w:sz w:val="32"/>
              </w:rPr>
            </w:pPr>
            <w:r w:rsidRPr="009A053D">
              <w:rPr>
                <w:rFonts w:ascii="Arial" w:hAnsi="Arial" w:cs="Arial"/>
                <w:sz w:val="32"/>
              </w:rPr>
              <w:t xml:space="preserve"> </w:t>
            </w:r>
          </w:p>
          <w:p w14:paraId="08280749" w14:textId="77777777" w:rsidR="00146A6C" w:rsidRDefault="00146A6C" w:rsidP="00146A6C"/>
          <w:p w14:paraId="02AC275B" w14:textId="77777777" w:rsidR="00146A6C" w:rsidRDefault="00146A6C" w:rsidP="00146A6C">
            <w:pPr>
              <w:jc w:val="center"/>
            </w:pPr>
          </w:p>
          <w:p w14:paraId="216E8B81" w14:textId="77777777" w:rsidR="00146A6C" w:rsidRPr="002C27F9" w:rsidRDefault="00146A6C" w:rsidP="00146A6C">
            <w:pPr>
              <w:jc w:val="right"/>
            </w:pPr>
          </w:p>
        </w:tc>
      </w:tr>
    </w:tbl>
    <w:p w14:paraId="156768A1" w14:textId="77777777"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14:paraId="2EF98C17" w14:textId="77777777" w:rsidTr="00315E96">
        <w:trPr>
          <w:trHeight w:hRule="exact" w:val="964"/>
        </w:trPr>
        <w:tc>
          <w:tcPr>
            <w:tcW w:w="2325" w:type="dxa"/>
          </w:tcPr>
          <w:p w14:paraId="3B25AA0D" w14:textId="0F392077" w:rsidR="00620D7C" w:rsidRPr="004E49B0" w:rsidRDefault="00620D7C" w:rsidP="00FE40D3">
            <w:pPr>
              <w:pStyle w:val="02Date"/>
              <w:jc w:val="right"/>
              <w:rPr>
                <w:rFonts w:cs="Arial"/>
              </w:rPr>
            </w:pPr>
            <w:r w:rsidRPr="00F10D35">
              <w:rPr>
                <w:rFonts w:cs="Arial"/>
              </w:rPr>
              <w:lastRenderedPageBreak/>
              <w:t xml:space="preserve">Date: </w:t>
            </w:r>
            <w:r w:rsidR="0031127F">
              <w:rPr>
                <w:rFonts w:cs="Arial"/>
              </w:rPr>
              <w:t>29</w:t>
            </w:r>
            <w:r w:rsidR="00FE40D3" w:rsidRPr="00FE40D3">
              <w:rPr>
                <w:rFonts w:cs="Arial"/>
              </w:rPr>
              <w:t xml:space="preserve"> </w:t>
            </w:r>
            <w:r w:rsidR="0031127F">
              <w:rPr>
                <w:rFonts w:cs="Arial"/>
              </w:rPr>
              <w:t>March</w:t>
            </w:r>
            <w:r w:rsidR="00F87631">
              <w:rPr>
                <w:rFonts w:cs="Arial"/>
              </w:rPr>
              <w:t xml:space="preserve"> </w:t>
            </w:r>
            <w:r w:rsidR="005738DE" w:rsidRPr="00FE40D3">
              <w:rPr>
                <w:rFonts w:cs="Arial"/>
              </w:rPr>
              <w:t>20</w:t>
            </w:r>
            <w:r w:rsidR="002C27F9" w:rsidRPr="00FE40D3">
              <w:rPr>
                <w:rFonts w:cs="Arial"/>
              </w:rPr>
              <w:t>2</w:t>
            </w:r>
            <w:r w:rsidR="00F87631">
              <w:rPr>
                <w:rFonts w:cs="Arial"/>
              </w:rPr>
              <w:t>1</w:t>
            </w:r>
          </w:p>
        </w:tc>
      </w:tr>
    </w:tbl>
    <w:p w14:paraId="3B583CC6" w14:textId="72105B2D" w:rsidR="00FE40D3" w:rsidRPr="00FE40D3" w:rsidRDefault="00FE40D3" w:rsidP="00FE40D3">
      <w:pPr>
        <w:numPr>
          <w:ilvl w:val="1"/>
          <w:numId w:val="0"/>
        </w:numPr>
        <w:spacing w:after="240"/>
        <w:jc w:val="both"/>
        <w:rPr>
          <w:b/>
          <w:sz w:val="28"/>
          <w:highlight w:val="yellow"/>
          <w:lang w:eastAsia="en-US"/>
        </w:rPr>
      </w:pPr>
      <w:r w:rsidRPr="00FE40D3">
        <w:rPr>
          <w:b/>
          <w:sz w:val="28"/>
          <w:lang w:eastAsia="en-US"/>
        </w:rPr>
        <w:t>Responding to this paper</w:t>
      </w:r>
    </w:p>
    <w:p w14:paraId="432053DE" w14:textId="3B77BB49" w:rsidR="00FE40D3" w:rsidRPr="00FE40D3" w:rsidRDefault="00FE40D3" w:rsidP="00FE40D3">
      <w:pPr>
        <w:spacing w:after="240" w:line="276" w:lineRule="auto"/>
        <w:jc w:val="both"/>
        <w:rPr>
          <w:sz w:val="22"/>
          <w:szCs w:val="20"/>
          <w:lang w:eastAsia="en-US"/>
        </w:rPr>
      </w:pPr>
      <w:r w:rsidRPr="00FE40D3">
        <w:rPr>
          <w:sz w:val="22"/>
          <w:szCs w:val="20"/>
          <w:lang w:eastAsia="en-US"/>
        </w:rPr>
        <w:t xml:space="preserve">ESMA invites responses to the questions set out throughout this Consultation Paper and summarised in Annex </w:t>
      </w:r>
      <w:r w:rsidR="00DC1B3F">
        <w:rPr>
          <w:sz w:val="22"/>
          <w:szCs w:val="20"/>
          <w:lang w:eastAsia="en-US"/>
        </w:rPr>
        <w:t>3</w:t>
      </w:r>
      <w:r w:rsidRPr="00FE40D3">
        <w:rPr>
          <w:sz w:val="22"/>
          <w:szCs w:val="20"/>
          <w:lang w:eastAsia="en-US"/>
        </w:rPr>
        <w:t>. Responses are most helpful if they:</w:t>
      </w:r>
    </w:p>
    <w:p w14:paraId="4A3E409E" w14:textId="77777777" w:rsidR="00FE40D3" w:rsidRPr="00FE40D3" w:rsidRDefault="00FE40D3" w:rsidP="00FE40D3">
      <w:pPr>
        <w:numPr>
          <w:ilvl w:val="0"/>
          <w:numId w:val="43"/>
        </w:numPr>
        <w:spacing w:after="240" w:line="276" w:lineRule="auto"/>
        <w:jc w:val="both"/>
        <w:rPr>
          <w:sz w:val="22"/>
          <w:szCs w:val="22"/>
          <w:lang w:eastAsia="en-GB"/>
        </w:rPr>
      </w:pPr>
      <w:r w:rsidRPr="00FE40D3">
        <w:rPr>
          <w:sz w:val="22"/>
          <w:szCs w:val="22"/>
          <w:lang w:eastAsia="en-GB"/>
        </w:rPr>
        <w:t>respond to the question stated and indicate the specific question to which they relate;</w:t>
      </w:r>
    </w:p>
    <w:p w14:paraId="5141C67D" w14:textId="77777777" w:rsidR="00FE40D3" w:rsidRPr="00FE40D3" w:rsidRDefault="00FE40D3" w:rsidP="00FE40D3">
      <w:pPr>
        <w:numPr>
          <w:ilvl w:val="0"/>
          <w:numId w:val="43"/>
        </w:numPr>
        <w:spacing w:after="240" w:line="276" w:lineRule="auto"/>
        <w:jc w:val="both"/>
        <w:rPr>
          <w:sz w:val="22"/>
          <w:szCs w:val="22"/>
          <w:lang w:eastAsia="en-GB"/>
        </w:rPr>
      </w:pPr>
      <w:r w:rsidRPr="00FE40D3">
        <w:rPr>
          <w:sz w:val="22"/>
          <w:szCs w:val="22"/>
          <w:lang w:eastAsia="en-GB"/>
        </w:rPr>
        <w:t>contain a clear rationale; and</w:t>
      </w:r>
    </w:p>
    <w:p w14:paraId="63688220" w14:textId="77777777" w:rsidR="00FE40D3" w:rsidRPr="00FE40D3" w:rsidRDefault="00FE40D3" w:rsidP="00FE40D3">
      <w:pPr>
        <w:numPr>
          <w:ilvl w:val="0"/>
          <w:numId w:val="43"/>
        </w:numPr>
        <w:spacing w:after="240" w:line="276" w:lineRule="auto"/>
        <w:jc w:val="both"/>
        <w:rPr>
          <w:sz w:val="22"/>
          <w:szCs w:val="22"/>
          <w:lang w:eastAsia="en-GB"/>
        </w:rPr>
      </w:pPr>
      <w:r w:rsidRPr="00FE40D3">
        <w:rPr>
          <w:sz w:val="22"/>
          <w:szCs w:val="22"/>
          <w:lang w:eastAsia="en-GB"/>
        </w:rPr>
        <w:t>describe any alternatives ESMA should consider.</w:t>
      </w:r>
    </w:p>
    <w:p w14:paraId="3B54E1DD" w14:textId="064AB0E7" w:rsidR="00FE40D3" w:rsidRPr="00FE40D3" w:rsidRDefault="00FE40D3" w:rsidP="00FE40D3">
      <w:pPr>
        <w:spacing w:after="240" w:line="276" w:lineRule="auto"/>
        <w:jc w:val="both"/>
        <w:rPr>
          <w:sz w:val="22"/>
          <w:szCs w:val="20"/>
          <w:lang w:eastAsia="en-US"/>
        </w:rPr>
      </w:pPr>
      <w:r w:rsidRPr="00FE40D3">
        <w:rPr>
          <w:sz w:val="22"/>
          <w:szCs w:val="20"/>
          <w:lang w:eastAsia="en-US"/>
        </w:rPr>
        <w:t xml:space="preserve">ESMA will consider all comments received by </w:t>
      </w:r>
      <w:r w:rsidR="00DC1B3F">
        <w:rPr>
          <w:b/>
        </w:rPr>
        <w:t>Wednesday</w:t>
      </w:r>
      <w:r w:rsidR="00F87631" w:rsidRPr="002A7128">
        <w:rPr>
          <w:b/>
        </w:rPr>
        <w:t xml:space="preserve"> </w:t>
      </w:r>
      <w:r w:rsidR="00DC1B3F">
        <w:rPr>
          <w:b/>
        </w:rPr>
        <w:t>30</w:t>
      </w:r>
      <w:r w:rsidR="00DC1B3F" w:rsidRPr="00DC1B3F">
        <w:rPr>
          <w:b/>
          <w:vertAlign w:val="superscript"/>
        </w:rPr>
        <w:t>th</w:t>
      </w:r>
      <w:r w:rsidR="00DC1B3F">
        <w:rPr>
          <w:b/>
        </w:rPr>
        <w:t xml:space="preserve"> June</w:t>
      </w:r>
      <w:r w:rsidR="00F87631" w:rsidRPr="002A7128">
        <w:rPr>
          <w:b/>
        </w:rPr>
        <w:t xml:space="preserve"> 2021.</w:t>
      </w:r>
    </w:p>
    <w:p w14:paraId="4269A5C4" w14:textId="77777777" w:rsidR="00FE40D3" w:rsidRPr="00FE40D3" w:rsidRDefault="00FE40D3" w:rsidP="00FE40D3">
      <w:pPr>
        <w:spacing w:after="240" w:line="276" w:lineRule="auto"/>
        <w:jc w:val="both"/>
        <w:rPr>
          <w:sz w:val="22"/>
          <w:szCs w:val="20"/>
          <w:lang w:eastAsia="en-US"/>
        </w:rPr>
      </w:pPr>
      <w:bookmarkStart w:id="0" w:name="_Hlk65069037"/>
      <w:r w:rsidRPr="00FE40D3">
        <w:rPr>
          <w:sz w:val="22"/>
          <w:szCs w:val="20"/>
          <w:lang w:eastAsia="en-US"/>
        </w:rPr>
        <w:t xml:space="preserve">All contributions should be submitted online at </w:t>
      </w:r>
      <w:hyperlink r:id="rId16" w:history="1">
        <w:r w:rsidRPr="00FE40D3">
          <w:rPr>
            <w:color w:val="0563C1"/>
            <w:sz w:val="22"/>
            <w:szCs w:val="20"/>
            <w:u w:val="single"/>
            <w:lang w:eastAsia="en-US"/>
          </w:rPr>
          <w:t>www.esma.europa.eu</w:t>
        </w:r>
      </w:hyperlink>
      <w:r w:rsidRPr="00FE40D3">
        <w:rPr>
          <w:sz w:val="22"/>
          <w:szCs w:val="20"/>
          <w:lang w:eastAsia="en-US"/>
        </w:rPr>
        <w:t xml:space="preserve"> under the heading ‘Your input - Consultations’. </w:t>
      </w:r>
    </w:p>
    <w:bookmarkEnd w:id="0"/>
    <w:p w14:paraId="6A0918CE" w14:textId="77777777" w:rsidR="00FE40D3" w:rsidRPr="00241178" w:rsidRDefault="00FE40D3" w:rsidP="00FE40D3">
      <w:pPr>
        <w:spacing w:after="120" w:line="276" w:lineRule="auto"/>
        <w:jc w:val="both"/>
        <w:rPr>
          <w:b/>
          <w:sz w:val="22"/>
          <w:szCs w:val="20"/>
          <w:lang w:eastAsia="en-US"/>
        </w:rPr>
      </w:pPr>
      <w:r w:rsidRPr="00241178">
        <w:rPr>
          <w:b/>
          <w:sz w:val="22"/>
          <w:szCs w:val="20"/>
          <w:lang w:eastAsia="en-US"/>
        </w:rPr>
        <w:t>Instructions</w:t>
      </w:r>
    </w:p>
    <w:p w14:paraId="7A099769" w14:textId="77777777" w:rsidR="00FE40D3" w:rsidRPr="00241178" w:rsidRDefault="00FE40D3" w:rsidP="00FE40D3">
      <w:pPr>
        <w:spacing w:after="240" w:line="276" w:lineRule="auto"/>
        <w:jc w:val="both"/>
        <w:rPr>
          <w:sz w:val="22"/>
          <w:szCs w:val="20"/>
          <w:lang w:eastAsia="en-US"/>
        </w:rPr>
      </w:pPr>
      <w:r w:rsidRPr="00241178">
        <w:rPr>
          <w:sz w:val="22"/>
          <w:szCs w:val="20"/>
          <w:lang w:eastAsia="en-US"/>
        </w:rPr>
        <w:t xml:space="preserve">In order to facilitate analysis of responses to the Consultation Paper, respondents are requested to follow the steps below when preparing and submitting their response: </w:t>
      </w:r>
    </w:p>
    <w:p w14:paraId="5D028BA8" w14:textId="01FEDD0D" w:rsidR="00FE40D3" w:rsidRPr="00241178" w:rsidRDefault="00FE40D3" w:rsidP="00FE40D3">
      <w:pPr>
        <w:numPr>
          <w:ilvl w:val="0"/>
          <w:numId w:val="43"/>
        </w:numPr>
        <w:spacing w:after="240" w:line="276" w:lineRule="auto"/>
        <w:jc w:val="both"/>
        <w:rPr>
          <w:sz w:val="22"/>
          <w:szCs w:val="22"/>
          <w:lang w:eastAsia="en-GB"/>
        </w:rPr>
      </w:pPr>
      <w:bookmarkStart w:id="1" w:name="_Hlk65154841"/>
      <w:r w:rsidRPr="00241178">
        <w:rPr>
          <w:sz w:val="22"/>
          <w:szCs w:val="22"/>
          <w:lang w:eastAsia="en-GB"/>
        </w:rPr>
        <w:t>Insert your responses to the consultation questions in th</w:t>
      </w:r>
      <w:r w:rsidR="006D0D0A">
        <w:rPr>
          <w:sz w:val="22"/>
          <w:szCs w:val="22"/>
          <w:lang w:eastAsia="en-GB"/>
        </w:rPr>
        <w:t>is</w:t>
      </w:r>
      <w:r w:rsidRPr="00241178">
        <w:rPr>
          <w:sz w:val="22"/>
          <w:szCs w:val="22"/>
          <w:lang w:eastAsia="en-GB"/>
        </w:rPr>
        <w:t xml:space="preserve"> form</w:t>
      </w:r>
      <w:r w:rsidR="006D0D0A">
        <w:rPr>
          <w:sz w:val="22"/>
          <w:szCs w:val="22"/>
          <w:lang w:eastAsia="en-GB"/>
        </w:rPr>
        <w:t>.</w:t>
      </w:r>
    </w:p>
    <w:bookmarkEnd w:id="1"/>
    <w:p w14:paraId="45B49741" w14:textId="0FB476EF" w:rsidR="00FE40D3" w:rsidRPr="00241178" w:rsidRDefault="00FE40D3" w:rsidP="00FE40D3">
      <w:pPr>
        <w:numPr>
          <w:ilvl w:val="0"/>
          <w:numId w:val="43"/>
        </w:numPr>
        <w:spacing w:after="240" w:line="276" w:lineRule="auto"/>
        <w:jc w:val="both"/>
        <w:rPr>
          <w:sz w:val="22"/>
          <w:szCs w:val="22"/>
          <w:lang w:eastAsia="en-GB"/>
        </w:rPr>
      </w:pPr>
      <w:r w:rsidRPr="00241178">
        <w:rPr>
          <w:sz w:val="22"/>
          <w:szCs w:val="22"/>
          <w:lang w:eastAsia="en-GB"/>
        </w:rPr>
        <w:t>Please do not remove tags of the type &lt;ESMA_QUESTION_</w:t>
      </w:r>
      <w:r w:rsidR="00DC1B3F">
        <w:rPr>
          <w:sz w:val="22"/>
          <w:szCs w:val="22"/>
          <w:lang w:eastAsia="en-GB"/>
        </w:rPr>
        <w:t>MMFR</w:t>
      </w:r>
      <w:r w:rsidRPr="00241178">
        <w:rPr>
          <w:sz w:val="22"/>
          <w:szCs w:val="22"/>
          <w:lang w:eastAsia="en-GB"/>
        </w:rPr>
        <w:t xml:space="preserve">_1&gt;. Your response to each question has to be framed by the two tags corresponding to the question. </w:t>
      </w:r>
    </w:p>
    <w:p w14:paraId="3C1B6FAE" w14:textId="77777777" w:rsidR="00FE40D3" w:rsidRPr="00241178" w:rsidRDefault="00FE40D3" w:rsidP="00FE40D3">
      <w:pPr>
        <w:numPr>
          <w:ilvl w:val="0"/>
          <w:numId w:val="43"/>
        </w:numPr>
        <w:spacing w:after="240" w:line="276" w:lineRule="auto"/>
        <w:jc w:val="both"/>
        <w:rPr>
          <w:sz w:val="22"/>
          <w:szCs w:val="22"/>
          <w:lang w:eastAsia="en-GB"/>
        </w:rPr>
      </w:pPr>
      <w:r w:rsidRPr="00241178">
        <w:rPr>
          <w:sz w:val="22"/>
          <w:szCs w:val="22"/>
          <w:lang w:eastAsia="en-GB"/>
        </w:rPr>
        <w:t>If you do not wish to respond to a given question, please do not delete it but simply leave the text “TYPE YOUR TEXT HERE” between the tags.</w:t>
      </w:r>
    </w:p>
    <w:p w14:paraId="0398429A" w14:textId="51B65C69" w:rsidR="00FE40D3" w:rsidRPr="00241178" w:rsidRDefault="00FE40D3" w:rsidP="00FE40D3">
      <w:pPr>
        <w:numPr>
          <w:ilvl w:val="0"/>
          <w:numId w:val="43"/>
        </w:numPr>
        <w:spacing w:after="240" w:line="276" w:lineRule="auto"/>
        <w:jc w:val="both"/>
        <w:rPr>
          <w:sz w:val="22"/>
          <w:szCs w:val="22"/>
          <w:lang w:eastAsia="en-GB"/>
        </w:rPr>
      </w:pPr>
      <w:r w:rsidRPr="00241178">
        <w:rPr>
          <w:sz w:val="22"/>
          <w:szCs w:val="22"/>
          <w:lang w:eastAsia="en-GB"/>
        </w:rPr>
        <w:t>When you have drafted your response, name your response form according to the following convention: ESMA_</w:t>
      </w:r>
      <w:r w:rsidR="00DC1B3F">
        <w:rPr>
          <w:sz w:val="22"/>
          <w:szCs w:val="22"/>
          <w:lang w:eastAsia="en-GB"/>
        </w:rPr>
        <w:t>MMFR</w:t>
      </w:r>
      <w:r w:rsidRPr="00241178">
        <w:rPr>
          <w:sz w:val="22"/>
          <w:szCs w:val="22"/>
          <w:lang w:eastAsia="en-GB"/>
        </w:rPr>
        <w:t>_nameofrespondent_RESPONSEFORM. For example, for a respondent named ABCD, the response form would be entitled ESMA_</w:t>
      </w:r>
      <w:r w:rsidR="00DC1B3F">
        <w:rPr>
          <w:sz w:val="22"/>
          <w:szCs w:val="22"/>
          <w:lang w:eastAsia="en-GB"/>
        </w:rPr>
        <w:t>MMFR</w:t>
      </w:r>
      <w:r w:rsidRPr="00241178">
        <w:rPr>
          <w:sz w:val="22"/>
          <w:szCs w:val="22"/>
          <w:lang w:eastAsia="en-GB"/>
        </w:rPr>
        <w:t>_ABCD_RESPONSEFORM.</w:t>
      </w:r>
    </w:p>
    <w:p w14:paraId="033FC000" w14:textId="6DB58D5C" w:rsidR="00FE40D3" w:rsidRPr="00241178" w:rsidRDefault="00FE40D3" w:rsidP="00FE40D3">
      <w:pPr>
        <w:numPr>
          <w:ilvl w:val="0"/>
          <w:numId w:val="43"/>
        </w:numPr>
        <w:spacing w:after="240" w:line="276" w:lineRule="auto"/>
        <w:jc w:val="both"/>
        <w:rPr>
          <w:sz w:val="22"/>
          <w:szCs w:val="22"/>
          <w:lang w:eastAsia="en-GB"/>
        </w:rPr>
      </w:pPr>
      <w:r w:rsidRPr="00241178">
        <w:rPr>
          <w:sz w:val="22"/>
          <w:szCs w:val="22"/>
          <w:lang w:eastAsia="en-GB"/>
        </w:rPr>
        <w:t>Upload the form containing your responses, in Word format, to ESMA’s website (</w:t>
      </w:r>
      <w:hyperlink r:id="rId17" w:history="1">
        <w:r w:rsidRPr="00241178">
          <w:rPr>
            <w:color w:val="0563C1"/>
            <w:sz w:val="22"/>
            <w:szCs w:val="22"/>
            <w:u w:val="single"/>
            <w:lang w:eastAsia="en-GB"/>
          </w:rPr>
          <w:t>www.esma.europa.eu</w:t>
        </w:r>
      </w:hyperlink>
      <w:r w:rsidRPr="00241178">
        <w:rPr>
          <w:sz w:val="22"/>
          <w:szCs w:val="22"/>
          <w:lang w:eastAsia="en-GB"/>
        </w:rPr>
        <w:t xml:space="preserve"> under the heading ‘Your input – Open consultations’ → ‘</w:t>
      </w:r>
      <w:r w:rsidR="00DC1B3F" w:rsidRPr="00DC1B3F">
        <w:rPr>
          <w:sz w:val="22"/>
          <w:szCs w:val="22"/>
          <w:lang w:eastAsia="en-GB"/>
        </w:rPr>
        <w:t>Consultation on EU Money Market Fund Regulation – legislative review</w:t>
      </w:r>
      <w:r w:rsidR="00DC1B3F">
        <w:rPr>
          <w:sz w:val="22"/>
          <w:szCs w:val="22"/>
          <w:lang w:eastAsia="en-GB"/>
        </w:rPr>
        <w:t>’</w:t>
      </w:r>
      <w:r w:rsidRPr="00241178">
        <w:rPr>
          <w:sz w:val="22"/>
          <w:szCs w:val="22"/>
          <w:lang w:eastAsia="en-GB"/>
        </w:rPr>
        <w:t>).</w:t>
      </w:r>
    </w:p>
    <w:p w14:paraId="3FB5805D" w14:textId="77777777" w:rsidR="00FE40D3" w:rsidRPr="00FE40D3" w:rsidRDefault="00FE40D3" w:rsidP="00FE40D3">
      <w:pPr>
        <w:spacing w:after="120" w:line="264" w:lineRule="auto"/>
        <w:rPr>
          <w:b/>
          <w:sz w:val="22"/>
          <w:szCs w:val="20"/>
          <w:lang w:eastAsia="en-US"/>
        </w:rPr>
      </w:pPr>
      <w:r w:rsidRPr="00FE40D3">
        <w:rPr>
          <w:b/>
          <w:sz w:val="22"/>
          <w:szCs w:val="20"/>
          <w:lang w:eastAsia="en-US"/>
        </w:rPr>
        <w:br w:type="page"/>
      </w:r>
    </w:p>
    <w:p w14:paraId="310A4AC0" w14:textId="77777777" w:rsidR="00FE40D3" w:rsidRPr="00FE40D3" w:rsidRDefault="00FE40D3" w:rsidP="00FE40D3">
      <w:pPr>
        <w:keepNext/>
        <w:spacing w:after="120" w:line="276" w:lineRule="auto"/>
        <w:jc w:val="both"/>
        <w:rPr>
          <w:b/>
          <w:sz w:val="22"/>
          <w:szCs w:val="20"/>
          <w:lang w:eastAsia="en-US"/>
        </w:rPr>
      </w:pPr>
      <w:r w:rsidRPr="00FE40D3">
        <w:rPr>
          <w:b/>
          <w:sz w:val="22"/>
          <w:szCs w:val="20"/>
          <w:lang w:eastAsia="en-US"/>
        </w:rPr>
        <w:lastRenderedPageBreak/>
        <w:t>Publication of responses</w:t>
      </w:r>
    </w:p>
    <w:p w14:paraId="72E285DB" w14:textId="77777777" w:rsidR="00FE40D3" w:rsidRPr="00FE40D3" w:rsidRDefault="00FE40D3" w:rsidP="00FE40D3">
      <w:pPr>
        <w:spacing w:after="240" w:line="276" w:lineRule="auto"/>
        <w:jc w:val="both"/>
        <w:rPr>
          <w:sz w:val="22"/>
          <w:szCs w:val="20"/>
          <w:lang w:eastAsia="en-US"/>
        </w:rPr>
      </w:pPr>
      <w:r w:rsidRPr="00FE40D3">
        <w:rPr>
          <w:sz w:val="22"/>
          <w:szCs w:val="20"/>
          <w:lang w:eastAsia="en-US"/>
        </w:rPr>
        <w:t xml:space="preserve">All contributions received will be published following the close of the consultation, unless you request otherwise. </w:t>
      </w:r>
      <w:r w:rsidRPr="00FE40D3">
        <w:rPr>
          <w:sz w:val="22"/>
          <w:szCs w:val="20"/>
          <w:u w:val="single"/>
          <w:lang w:eastAsia="en-US"/>
        </w:rPr>
        <w:t>If you do not wish for your response to be publicly disclosed, please clearly indicate this by ticking the appropriate box on the website submission page</w:t>
      </w:r>
      <w:r w:rsidRPr="00FE40D3">
        <w:rPr>
          <w:sz w:val="22"/>
          <w:szCs w:val="20"/>
          <w:lang w:eastAsia="en-US"/>
        </w:rPr>
        <w:t>.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77362827" w14:textId="77777777" w:rsidR="00FE40D3" w:rsidRPr="00FE40D3" w:rsidRDefault="00FE40D3" w:rsidP="00FE40D3">
      <w:pPr>
        <w:spacing w:after="120" w:line="276" w:lineRule="auto"/>
        <w:jc w:val="both"/>
        <w:rPr>
          <w:b/>
          <w:sz w:val="22"/>
          <w:szCs w:val="20"/>
          <w:lang w:eastAsia="en-US"/>
        </w:rPr>
      </w:pPr>
      <w:r w:rsidRPr="00FE40D3">
        <w:rPr>
          <w:b/>
          <w:sz w:val="22"/>
          <w:szCs w:val="20"/>
          <w:lang w:eastAsia="en-US"/>
        </w:rPr>
        <w:t>Data protection</w:t>
      </w:r>
    </w:p>
    <w:p w14:paraId="73AF5B46" w14:textId="77777777" w:rsidR="00FE40D3" w:rsidRPr="00FE40D3" w:rsidRDefault="00FE40D3" w:rsidP="00FE40D3">
      <w:pPr>
        <w:spacing w:after="240" w:line="276" w:lineRule="auto"/>
        <w:jc w:val="both"/>
        <w:rPr>
          <w:sz w:val="22"/>
          <w:szCs w:val="20"/>
          <w:lang w:eastAsia="en-US"/>
        </w:rPr>
      </w:pPr>
      <w:r w:rsidRPr="00FE40D3">
        <w:rPr>
          <w:sz w:val="22"/>
          <w:szCs w:val="20"/>
          <w:lang w:eastAsia="en-US"/>
        </w:rPr>
        <w:t xml:space="preserve">Information on data protection can be found at </w:t>
      </w:r>
      <w:hyperlink r:id="rId18" w:history="1">
        <w:r w:rsidRPr="00FE40D3">
          <w:rPr>
            <w:color w:val="0563C1"/>
            <w:sz w:val="22"/>
            <w:szCs w:val="20"/>
            <w:u w:val="single"/>
            <w:lang w:eastAsia="en-US"/>
          </w:rPr>
          <w:t>www.esma.europa.eu</w:t>
        </w:r>
      </w:hyperlink>
      <w:r w:rsidRPr="00FE40D3">
        <w:rPr>
          <w:sz w:val="22"/>
          <w:szCs w:val="20"/>
          <w:lang w:eastAsia="en-US"/>
        </w:rPr>
        <w:t xml:space="preserve"> under the heading </w:t>
      </w:r>
      <w:r w:rsidRPr="00FE40D3">
        <w:rPr>
          <w:color w:val="0563C1"/>
          <w:sz w:val="22"/>
          <w:szCs w:val="20"/>
          <w:u w:val="single"/>
          <w:lang w:eastAsia="en-US"/>
        </w:rPr>
        <w:t>‘</w:t>
      </w:r>
      <w:hyperlink r:id="rId19" w:history="1">
        <w:r w:rsidRPr="00FE40D3">
          <w:rPr>
            <w:color w:val="0563C1"/>
            <w:sz w:val="22"/>
            <w:szCs w:val="20"/>
            <w:u w:val="single"/>
            <w:lang w:eastAsia="en-US"/>
          </w:rPr>
          <w:t>Data protection</w:t>
        </w:r>
      </w:hyperlink>
      <w:r w:rsidRPr="00FE40D3">
        <w:rPr>
          <w:color w:val="0563C1"/>
          <w:sz w:val="22"/>
          <w:szCs w:val="20"/>
          <w:u w:val="single"/>
          <w:lang w:eastAsia="en-US"/>
        </w:rPr>
        <w:t>’</w:t>
      </w:r>
      <w:r w:rsidRPr="00FE40D3">
        <w:rPr>
          <w:sz w:val="22"/>
          <w:szCs w:val="20"/>
          <w:lang w:eastAsia="en-US"/>
        </w:rPr>
        <w:t>.</w:t>
      </w:r>
    </w:p>
    <w:p w14:paraId="294D770E" w14:textId="77777777" w:rsidR="00FE40D3" w:rsidRPr="00FE40D3" w:rsidRDefault="00FE40D3" w:rsidP="00FE40D3">
      <w:pPr>
        <w:spacing w:after="120" w:line="276" w:lineRule="auto"/>
        <w:jc w:val="both"/>
        <w:rPr>
          <w:b/>
          <w:sz w:val="22"/>
          <w:szCs w:val="20"/>
          <w:lang w:eastAsia="en-US"/>
        </w:rPr>
      </w:pPr>
      <w:r w:rsidRPr="00FE40D3">
        <w:rPr>
          <w:b/>
          <w:sz w:val="22"/>
          <w:szCs w:val="20"/>
          <w:lang w:eastAsia="en-US"/>
        </w:rPr>
        <w:t>Who should read this paper?</w:t>
      </w:r>
    </w:p>
    <w:p w14:paraId="3FADC208" w14:textId="7BC4D991" w:rsidR="00332304" w:rsidRPr="001021EF" w:rsidRDefault="00976448" w:rsidP="00FE40D3">
      <w:pPr>
        <w:spacing w:after="240"/>
        <w:jc w:val="both"/>
        <w:rPr>
          <w:b/>
          <w:bCs/>
        </w:rPr>
      </w:pPr>
      <w:r>
        <w:rPr>
          <w:sz w:val="22"/>
          <w:szCs w:val="22"/>
        </w:rPr>
        <w:t xml:space="preserve">This document will be of interest to (i) MMF managers and their trade associations, as well as (ii) institutional and retail investors (and associations of such investors) investing in MMF. </w:t>
      </w:r>
      <w:r w:rsidR="00332304" w:rsidRPr="001021EF">
        <w:rPr>
          <w:b/>
          <w:bCs/>
        </w:rPr>
        <w:br w:type="page"/>
      </w:r>
    </w:p>
    <w:p w14:paraId="07F9766A" w14:textId="77777777" w:rsidR="00B327E9" w:rsidRPr="00AB6D88" w:rsidRDefault="00B327E9" w:rsidP="00B327E9">
      <w:pPr>
        <w:pStyle w:val="Titre1"/>
        <w:numPr>
          <w:ilvl w:val="0"/>
          <w:numId w:val="0"/>
        </w:numPr>
      </w:pPr>
      <w:r w:rsidRPr="00AB6D88">
        <w:t>General information about respondent</w:t>
      </w:r>
    </w:p>
    <w:p w14:paraId="08407B41" w14:textId="77777777"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B327E9" w:rsidRPr="00AB6D88" w14:paraId="02AAC332" w14:textId="77777777" w:rsidTr="00F136AD">
        <w:tc>
          <w:tcPr>
            <w:tcW w:w="3929" w:type="dxa"/>
            <w:shd w:val="clear" w:color="auto" w:fill="auto"/>
          </w:tcPr>
          <w:p w14:paraId="2CC52FAD" w14:textId="77777777" w:rsidR="00B327E9" w:rsidRPr="00E40A5C" w:rsidRDefault="00B327E9" w:rsidP="00F136AD">
            <w:pPr>
              <w:rPr>
                <w:rFonts w:cs="Arial"/>
                <w:sz w:val="22"/>
              </w:rPr>
            </w:pPr>
            <w:r w:rsidRPr="00E40A5C">
              <w:rPr>
                <w:rFonts w:cs="Arial"/>
                <w:sz w:val="22"/>
              </w:rPr>
              <w:t>Name of the company / organisation</w:t>
            </w:r>
          </w:p>
        </w:tc>
        <w:sdt>
          <w:sdtPr>
            <w:rPr>
              <w:rStyle w:val="Textedelespacerserv"/>
              <w:rFonts w:cs="Arial"/>
            </w:rPr>
            <w:id w:val="-1905066999"/>
            <w:text/>
          </w:sdtPr>
          <w:sdtEndPr>
            <w:rPr>
              <w:rStyle w:val="Textedelespacerserv"/>
            </w:rPr>
          </w:sdtEndPr>
          <w:sdtContent>
            <w:permStart w:id="1493633476" w:edGrp="everyone" w:displacedByCustomXml="prev"/>
            <w:tc>
              <w:tcPr>
                <w:tcW w:w="5595" w:type="dxa"/>
                <w:shd w:val="clear" w:color="auto" w:fill="auto"/>
              </w:tcPr>
              <w:p w14:paraId="23C2C921" w14:textId="27FF8434" w:rsidR="00B327E9" w:rsidRPr="00AB6D88" w:rsidRDefault="005921B2" w:rsidP="00F136AD">
                <w:pPr>
                  <w:rPr>
                    <w:rStyle w:val="Textedelespacerserv"/>
                    <w:rFonts w:cs="Arial"/>
                  </w:rPr>
                </w:pPr>
                <w:r>
                  <w:rPr>
                    <w:rStyle w:val="Textedelespacerserv"/>
                    <w:rFonts w:cs="Arial"/>
                  </w:rPr>
                  <w:t>AMUNDI Asset Managemen</w:t>
                </w:r>
                <w:r w:rsidR="00E045D4">
                  <w:rPr>
                    <w:rStyle w:val="Textedelespacerserv"/>
                    <w:rFonts w:cs="Arial"/>
                  </w:rPr>
                  <w:t>t</w:t>
                </w:r>
              </w:p>
            </w:tc>
            <w:permEnd w:id="1493633476" w:displacedByCustomXml="next"/>
          </w:sdtContent>
        </w:sdt>
      </w:tr>
      <w:tr w:rsidR="00B327E9" w:rsidRPr="00AB6D88" w14:paraId="0D2401D8" w14:textId="77777777" w:rsidTr="00F136AD">
        <w:tc>
          <w:tcPr>
            <w:tcW w:w="3929" w:type="dxa"/>
            <w:shd w:val="clear" w:color="auto" w:fill="auto"/>
          </w:tcPr>
          <w:p w14:paraId="6C0EFE39" w14:textId="77777777" w:rsidR="00B327E9" w:rsidRPr="00E40A5C" w:rsidRDefault="00B327E9" w:rsidP="00F136AD">
            <w:pPr>
              <w:rPr>
                <w:rFonts w:cs="Arial"/>
                <w:sz w:val="22"/>
              </w:rPr>
            </w:pPr>
            <w:permStart w:id="438450997" w:edGrp="everyone" w:colFirst="1" w:colLast="1"/>
            <w:r w:rsidRPr="00E40A5C">
              <w:rPr>
                <w:rFonts w:cs="Arial"/>
                <w:sz w:val="22"/>
              </w:rPr>
              <w:t>Activity</w:t>
            </w:r>
          </w:p>
        </w:tc>
        <w:tc>
          <w:tcPr>
            <w:tcW w:w="5595" w:type="dxa"/>
            <w:shd w:val="clear" w:color="auto" w:fill="auto"/>
          </w:tcPr>
          <w:p w14:paraId="163BBF3B" w14:textId="29FBA291" w:rsidR="00B327E9" w:rsidRPr="00AB6D88" w:rsidRDefault="002B3FD2" w:rsidP="00F136AD">
            <w:pPr>
              <w:rPr>
                <w:rFonts w:cs="Arial"/>
              </w:rPr>
            </w:pPr>
            <w:sdt>
              <w:sdtPr>
                <w:rPr>
                  <w:rFonts w:cs="Arial"/>
                </w:rPr>
                <w:alias w:val="Activity"/>
                <w:tag w:val="Activity"/>
                <w:id w:val="-476845391"/>
                <w:comboBox>
                  <w:listItem w:value="Choose an item."/>
                  <w:listItem w:displayText="AIFM" w:value="AIFM"/>
                  <w:listItem w:displayText="Asset Manager Association" w:value="Asset Manager Association"/>
                  <w:listItem w:displayText="Data/ Ratings Provider" w:value="Data/ Ratings Provider"/>
                  <w:listItem w:displayText="Exchange or Trading System" w:value="Exchange or Trading System"/>
                  <w:listItem w:displayText="Investment Analyst" w:value="Investment Analyst"/>
                  <w:listItem w:displayText="Investor" w:value="Investor"/>
                  <w:listItem w:displayText="Investor/ Consumer Association" w:value="Investor/ Consumer Association"/>
                  <w:listItem w:displayText="Issuer/ Non-Financial Undertaking" w:value="Issuer/ Non-Financial Undertaking"/>
                  <w:listItem w:displayText="Issuer Association" w:value="Issuer Association"/>
                  <w:listItem w:displayText="Legal and Accountancy" w:value="Legal and Accountancy"/>
                  <w:listItem w:displayText="Non-governmental Organisation and Other Associations" w:value="Non-governmental Organisation and Other Associations"/>
                  <w:listItem w:displayText="Regulated Market" w:value="Regulated Market"/>
                  <w:listItem w:displayText="Self-managed UCITS Investment Company/ Internally-managed AIF" w:value="Self-managed UCITS Investment Company/ Internally-managed AIF"/>
                  <w:listItem w:displayText="Standard Setter" w:value="Standard Setter"/>
                  <w:listItem w:displayText="UCITS Management Company / AIFM" w:value="UCITS Management Company / AIFM"/>
                  <w:listItem w:displayText="Other" w:value="Other"/>
                </w:comboBox>
              </w:sdtPr>
              <w:sdtEndPr/>
              <w:sdtContent>
                <w:r w:rsidR="005921B2">
                  <w:rPr>
                    <w:rFonts w:cs="Arial"/>
                  </w:rPr>
                  <w:t>UCITS Management Company / AIFM</w:t>
                </w:r>
              </w:sdtContent>
            </w:sdt>
          </w:p>
        </w:tc>
      </w:tr>
      <w:permEnd w:id="438450997"/>
      <w:tr w:rsidR="00B327E9" w:rsidRPr="00AB6D88" w14:paraId="1A153F17" w14:textId="77777777" w:rsidTr="00F136AD">
        <w:tc>
          <w:tcPr>
            <w:tcW w:w="3929" w:type="dxa"/>
            <w:shd w:val="clear" w:color="auto" w:fill="auto"/>
          </w:tcPr>
          <w:p w14:paraId="396772EB" w14:textId="77777777" w:rsidR="00B327E9" w:rsidRPr="00E40A5C" w:rsidRDefault="00B327E9" w:rsidP="00F136AD">
            <w:pPr>
              <w:rPr>
                <w:rFonts w:cs="Arial"/>
                <w:sz w:val="22"/>
              </w:rPr>
            </w:pPr>
            <w:r w:rsidRPr="00E40A5C">
              <w:rPr>
                <w:rFonts w:cs="Arial"/>
                <w:sz w:val="22"/>
              </w:rPr>
              <w:t>Are you representing an association?</w:t>
            </w:r>
          </w:p>
        </w:tc>
        <w:permStart w:id="728653664" w:edGrp="everyone" w:displacedByCustomXml="next"/>
        <w:sdt>
          <w:sdtPr>
            <w:rPr>
              <w:rFonts w:cs="Arial"/>
            </w:rPr>
            <w:id w:val="-242871467"/>
            <w14:checkbox>
              <w14:checked w14:val="0"/>
              <w14:checkedState w14:val="2612" w14:font="MS Gothic"/>
              <w14:uncheckedState w14:val="2610" w14:font="MS Gothic"/>
            </w14:checkbox>
          </w:sdtPr>
          <w:sdtEndPr/>
          <w:sdtContent>
            <w:tc>
              <w:tcPr>
                <w:tcW w:w="5595" w:type="dxa"/>
                <w:shd w:val="clear" w:color="auto" w:fill="auto"/>
              </w:tcPr>
              <w:p w14:paraId="50B064BB" w14:textId="14638E19" w:rsidR="00B327E9" w:rsidRPr="00AB6D88" w:rsidRDefault="0085130A" w:rsidP="00F136AD">
                <w:pPr>
                  <w:rPr>
                    <w:rFonts w:cs="Arial"/>
                  </w:rPr>
                </w:pPr>
                <w:r>
                  <w:rPr>
                    <w:rFonts w:ascii="MS Gothic" w:eastAsia="MS Gothic" w:hAnsi="MS Gothic" w:cs="Arial" w:hint="eastAsia"/>
                  </w:rPr>
                  <w:t>☐</w:t>
                </w:r>
              </w:p>
            </w:tc>
          </w:sdtContent>
        </w:sdt>
        <w:permEnd w:id="728653664" w:displacedByCustomXml="prev"/>
      </w:tr>
      <w:tr w:rsidR="00B327E9" w:rsidRPr="00AB6D88" w14:paraId="4F3F3D16" w14:textId="77777777" w:rsidTr="00F136AD">
        <w:tc>
          <w:tcPr>
            <w:tcW w:w="3929" w:type="dxa"/>
            <w:shd w:val="clear" w:color="auto" w:fill="auto"/>
          </w:tcPr>
          <w:p w14:paraId="3C221113" w14:textId="77777777" w:rsidR="00B327E9" w:rsidRPr="00E40A5C" w:rsidRDefault="00B327E9" w:rsidP="00F136AD">
            <w:pPr>
              <w:rPr>
                <w:rFonts w:cs="Arial"/>
                <w:sz w:val="22"/>
              </w:rPr>
            </w:pPr>
            <w:r w:rsidRPr="00E40A5C">
              <w:rPr>
                <w:rFonts w:cs="Arial"/>
                <w:sz w:val="22"/>
              </w:rPr>
              <w:t>Country/Region</w:t>
            </w:r>
          </w:p>
        </w:tc>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permStart w:id="2146979738" w:edGrp="everyone" w:displacedByCustomXml="prev"/>
            <w:tc>
              <w:tcPr>
                <w:tcW w:w="5595" w:type="dxa"/>
                <w:shd w:val="clear" w:color="auto" w:fill="auto"/>
              </w:tcPr>
              <w:p w14:paraId="01F5D6D4" w14:textId="5BDF4FFA" w:rsidR="00B327E9" w:rsidRPr="00AB6D88" w:rsidRDefault="005921B2" w:rsidP="00F136AD">
                <w:pPr>
                  <w:rPr>
                    <w:rFonts w:cs="Arial"/>
                  </w:rPr>
                </w:pPr>
                <w:r>
                  <w:rPr>
                    <w:rFonts w:cs="Arial"/>
                  </w:rPr>
                  <w:t>France</w:t>
                </w:r>
              </w:p>
            </w:tc>
            <w:permEnd w:id="2146979738" w:displacedByCustomXml="next"/>
          </w:sdtContent>
        </w:sdt>
      </w:tr>
    </w:tbl>
    <w:p w14:paraId="48174611" w14:textId="77777777" w:rsidR="00B327E9" w:rsidRDefault="00B327E9" w:rsidP="00B327E9">
      <w:pPr>
        <w:spacing w:after="120" w:line="264" w:lineRule="auto"/>
      </w:pPr>
    </w:p>
    <w:p w14:paraId="3FE7D92F" w14:textId="77777777" w:rsidR="00B327E9" w:rsidRDefault="00B327E9" w:rsidP="00FE6577">
      <w:pPr>
        <w:pStyle w:val="Titre1"/>
        <w:numPr>
          <w:ilvl w:val="0"/>
          <w:numId w:val="0"/>
        </w:numPr>
        <w:ind w:left="431" w:hanging="431"/>
      </w:pPr>
      <w:r>
        <w:t>Introduction</w:t>
      </w:r>
    </w:p>
    <w:p w14:paraId="3C83C634" w14:textId="77777777" w:rsidR="00B327E9" w:rsidRPr="00E40A5C" w:rsidRDefault="00B327E9" w:rsidP="00FE6577">
      <w:pPr>
        <w:rPr>
          <w:rStyle w:val="Emphaseintense"/>
          <w:sz w:val="22"/>
        </w:rPr>
      </w:pPr>
      <w:r w:rsidRPr="00E40A5C">
        <w:rPr>
          <w:rStyle w:val="Emphaseintense"/>
          <w:sz w:val="22"/>
        </w:rPr>
        <w:t>Please make your introductory comments below, if any:</w:t>
      </w:r>
    </w:p>
    <w:p w14:paraId="26578279" w14:textId="77777777" w:rsidR="00B327E9" w:rsidRPr="00BF28DA" w:rsidRDefault="00B327E9" w:rsidP="00FE6577"/>
    <w:p w14:paraId="06351DAC" w14:textId="7D89D591" w:rsidR="00B327E9" w:rsidRPr="006F4535" w:rsidRDefault="00B327E9" w:rsidP="00FE6577">
      <w:r w:rsidRPr="006F4535">
        <w:t>&lt;ESMA_COMMENT_</w:t>
      </w:r>
      <w:r w:rsidR="00DC1B3F">
        <w:t>MMFR</w:t>
      </w:r>
      <w:r w:rsidRPr="006F4535">
        <w:t>_1&gt;</w:t>
      </w:r>
    </w:p>
    <w:p w14:paraId="7919DE55" w14:textId="77777777" w:rsidR="00077D89" w:rsidRDefault="00077D89" w:rsidP="00077D89">
      <w:pPr>
        <w:jc w:val="both"/>
        <w:rPr>
          <w:lang w:val="en-US"/>
        </w:rPr>
      </w:pPr>
      <w:permStart w:id="44765448" w:edGrp="everyone"/>
      <w:r w:rsidRPr="001D06AE">
        <w:rPr>
          <w:lang w:val="en-US"/>
        </w:rPr>
        <w:t xml:space="preserve">Amundi is the European largest asset manager by assets under management and ranks in the top 10 globally. It manages 1,729 billion euros of assets, as of end of 2020, across six main investment hubs in Boston, Dublin, London, Milan, Paris and Tokyo. Amundi offers its clients in Europe, Asia-Pacific, the Middle East and the Americas a wealth of market expertise and a full range of capabilities across the active, passive and real assets investment universes. Clients also have access to a complete set of services and tools. Headquartered in Paris, Amundi </w:t>
      </w:r>
      <w:proofErr w:type="gramStart"/>
      <w:r w:rsidRPr="001D06AE">
        <w:rPr>
          <w:lang w:val="en-US"/>
        </w:rPr>
        <w:t>was listed</w:t>
      </w:r>
      <w:proofErr w:type="gramEnd"/>
      <w:r w:rsidRPr="001D06AE">
        <w:rPr>
          <w:lang w:val="en-US"/>
        </w:rPr>
        <w:t xml:space="preserve"> in November 2015.</w:t>
      </w:r>
    </w:p>
    <w:p w14:paraId="7073609B" w14:textId="77777777" w:rsidR="00077D89" w:rsidRPr="001D06AE" w:rsidRDefault="00077D89" w:rsidP="00077D89">
      <w:pPr>
        <w:jc w:val="both"/>
        <w:rPr>
          <w:lang w:val="en-US"/>
        </w:rPr>
      </w:pPr>
      <w:r w:rsidRPr="00C27DEF">
        <w:rPr>
          <w:lang w:val="en-US"/>
        </w:rPr>
        <w:t>Amundi is also</w:t>
      </w:r>
      <w:r>
        <w:rPr>
          <w:b/>
          <w:lang w:val="en-US"/>
        </w:rPr>
        <w:t xml:space="preserve"> </w:t>
      </w:r>
      <w:r w:rsidRPr="001D06AE">
        <w:rPr>
          <w:lang w:val="en-US"/>
        </w:rPr>
        <w:t>a leading</w:t>
      </w:r>
      <w:r>
        <w:rPr>
          <w:lang w:val="en-US"/>
        </w:rPr>
        <w:t xml:space="preserve"> and longstanding</w:t>
      </w:r>
      <w:r w:rsidRPr="001D06AE">
        <w:rPr>
          <w:lang w:val="en-US"/>
        </w:rPr>
        <w:t xml:space="preserve"> ac</w:t>
      </w:r>
      <w:r>
        <w:rPr>
          <w:lang w:val="en-US"/>
        </w:rPr>
        <w:t xml:space="preserve">tor in managing liquidity funds, with </w:t>
      </w:r>
      <w:r w:rsidRPr="001D06AE">
        <w:rPr>
          <w:lang w:val="en-US"/>
        </w:rPr>
        <w:t>222 billion euros</w:t>
      </w:r>
      <w:r>
        <w:rPr>
          <w:lang w:val="en-US"/>
        </w:rPr>
        <w:t xml:space="preserve"> of assets</w:t>
      </w:r>
      <w:r w:rsidRPr="001D06AE">
        <w:rPr>
          <w:lang w:val="en-US"/>
        </w:rPr>
        <w:t xml:space="preserve"> as of end of 2020, out of which 180 billion euros of money market funds (MMFs)</w:t>
      </w:r>
      <w:r>
        <w:rPr>
          <w:lang w:val="en-US"/>
        </w:rPr>
        <w:t xml:space="preserve">. </w:t>
      </w:r>
      <w:r w:rsidRPr="009D3500">
        <w:rPr>
          <w:b/>
          <w:lang w:val="en-US"/>
        </w:rPr>
        <w:t xml:space="preserve">Amundi is </w:t>
      </w:r>
      <w:r>
        <w:rPr>
          <w:b/>
          <w:lang w:val="en-US"/>
        </w:rPr>
        <w:t xml:space="preserve">notably </w:t>
      </w:r>
      <w:r w:rsidRPr="009D3500">
        <w:rPr>
          <w:b/>
          <w:lang w:val="en-US"/>
        </w:rPr>
        <w:t>the world largest manager of euro-denominated MMFs, with 175.4 billion euros of assets as of end of 2020</w:t>
      </w:r>
      <w:r>
        <w:rPr>
          <w:b/>
          <w:lang w:val="en-US"/>
        </w:rPr>
        <w:t xml:space="preserve">. </w:t>
      </w:r>
      <w:r>
        <w:rPr>
          <w:lang w:val="en-US"/>
        </w:rPr>
        <w:t xml:space="preserve">Most MMFs under its management belong to the VNAV (Variable Net Asset Value) type category and </w:t>
      </w:r>
      <w:proofErr w:type="gramStart"/>
      <w:r>
        <w:rPr>
          <w:lang w:val="en-US"/>
        </w:rPr>
        <w:t>are domiciled</w:t>
      </w:r>
      <w:proofErr w:type="gramEnd"/>
      <w:r>
        <w:rPr>
          <w:lang w:val="en-US"/>
        </w:rPr>
        <w:t xml:space="preserve"> in France. It also operates in the LVNAV (Low Volatility NAV) MMF market by offering two Luxembourg-domiciled, AAA-rated funds, denominated in euro and USD respectively.</w:t>
      </w:r>
    </w:p>
    <w:p w14:paraId="154E12B9" w14:textId="2904D0E2" w:rsidR="00077D89" w:rsidRPr="001D06AE" w:rsidRDefault="00077D89" w:rsidP="00077D89">
      <w:pPr>
        <w:jc w:val="both"/>
        <w:rPr>
          <w:lang w:val="en-US"/>
        </w:rPr>
      </w:pPr>
      <w:r>
        <w:rPr>
          <w:lang w:val="en-US"/>
        </w:rPr>
        <w:t>W</w:t>
      </w:r>
      <w:r w:rsidRPr="001D06AE">
        <w:rPr>
          <w:lang w:val="en-US"/>
        </w:rPr>
        <w:t>e</w:t>
      </w:r>
      <w:r>
        <w:rPr>
          <w:lang w:val="en-US"/>
        </w:rPr>
        <w:t xml:space="preserve"> then</w:t>
      </w:r>
      <w:r w:rsidRPr="001D06AE">
        <w:rPr>
          <w:lang w:val="en-US"/>
        </w:rPr>
        <w:t xml:space="preserve"> welcome the opportunity to provide a response to this Consultation Report on </w:t>
      </w:r>
      <w:r>
        <w:rPr>
          <w:lang w:val="en-US"/>
        </w:rPr>
        <w:t xml:space="preserve">the </w:t>
      </w:r>
      <w:r w:rsidRPr="001D06AE">
        <w:rPr>
          <w:lang w:val="en-US"/>
        </w:rPr>
        <w:t>EU Money Market Fund Regulation</w:t>
      </w:r>
      <w:r>
        <w:rPr>
          <w:lang w:val="en-US"/>
        </w:rPr>
        <w:t xml:space="preserve"> (MMFR)</w:t>
      </w:r>
      <w:r w:rsidRPr="001D06AE">
        <w:rPr>
          <w:lang w:val="en-US"/>
        </w:rPr>
        <w:t>.</w:t>
      </w:r>
      <w:r>
        <w:rPr>
          <w:lang w:val="en-US"/>
        </w:rPr>
        <w:t xml:space="preserve"> </w:t>
      </w:r>
      <w:r w:rsidRPr="001D06AE">
        <w:rPr>
          <w:lang w:val="en-US"/>
        </w:rPr>
        <w:t xml:space="preserve">MMFR, published in June 2017, entered into application in July 2018 for newly created MMFs, and early 2019, for already existing ones, i.e. only months before the </w:t>
      </w:r>
      <w:r>
        <w:rPr>
          <w:lang w:val="en-US"/>
        </w:rPr>
        <w:t>outbreak of the COVID-19 crisis</w:t>
      </w:r>
      <w:r w:rsidRPr="001D06AE">
        <w:rPr>
          <w:lang w:val="en-US"/>
        </w:rPr>
        <w:t xml:space="preserve">. </w:t>
      </w:r>
    </w:p>
    <w:p w14:paraId="6F30F2C9" w14:textId="2D2FC9FA" w:rsidR="00077D89" w:rsidRPr="001D06AE" w:rsidRDefault="00077D89" w:rsidP="00077D89">
      <w:pPr>
        <w:jc w:val="both"/>
        <w:rPr>
          <w:lang w:val="en-US"/>
        </w:rPr>
      </w:pPr>
      <w:r>
        <w:rPr>
          <w:lang w:val="en-US"/>
        </w:rPr>
        <w:t>This new regulation, which is the outcome of intense discussions between number of stakeholders,</w:t>
      </w:r>
      <w:r w:rsidR="0085130A">
        <w:rPr>
          <w:lang w:val="en-US"/>
        </w:rPr>
        <w:t xml:space="preserve"> </w:t>
      </w:r>
      <w:r>
        <w:rPr>
          <w:lang w:val="en-US"/>
        </w:rPr>
        <w:t xml:space="preserve">has </w:t>
      </w:r>
      <w:r w:rsidRPr="001D06AE">
        <w:rPr>
          <w:lang w:val="en-US"/>
        </w:rPr>
        <w:t>succeeded in providing a well-balanced set of rules adapted to the unique features of European MMF market, such as:</w:t>
      </w:r>
    </w:p>
    <w:p w14:paraId="43DEEFF9" w14:textId="77777777" w:rsidR="00077D89" w:rsidRPr="00C90FD7" w:rsidRDefault="00077D89" w:rsidP="002E0DCD">
      <w:pPr>
        <w:pStyle w:val="Pieddepage"/>
        <w:numPr>
          <w:ilvl w:val="0"/>
          <w:numId w:val="41"/>
        </w:numPr>
        <w:rPr>
          <w:lang w:val="en-US"/>
        </w:rPr>
      </w:pPr>
      <w:r>
        <w:rPr>
          <w:lang w:val="en-US"/>
        </w:rPr>
        <w:t>T</w:t>
      </w:r>
      <w:r w:rsidRPr="001D06AE">
        <w:rPr>
          <w:lang w:val="en-US"/>
        </w:rPr>
        <w:t>wo different, but comparable in size, formats</w:t>
      </w:r>
      <w:r>
        <w:rPr>
          <w:lang w:val="en-US"/>
        </w:rPr>
        <w:t xml:space="preserve">: </w:t>
      </w:r>
      <w:r w:rsidRPr="00142418">
        <w:rPr>
          <w:b/>
          <w:lang w:val="en-US"/>
        </w:rPr>
        <w:t>VNAV and LVNAV</w:t>
      </w:r>
      <w:r>
        <w:rPr>
          <w:lang w:val="en-US"/>
        </w:rPr>
        <w:t xml:space="preserve"> (ex-CNAV), accounting for nearly 94% of the market</w:t>
      </w:r>
      <w:r>
        <w:rPr>
          <w:rStyle w:val="Appelnotedebasdep"/>
          <w:lang w:val="en-US"/>
        </w:rPr>
        <w:footnoteReference w:id="2"/>
      </w:r>
      <w:r>
        <w:rPr>
          <w:lang w:val="en-US"/>
        </w:rPr>
        <w:t xml:space="preserve">. </w:t>
      </w:r>
    </w:p>
    <w:p w14:paraId="5AA8ED1C" w14:textId="77777777" w:rsidR="00077D89" w:rsidRPr="001D06AE" w:rsidRDefault="00077D89" w:rsidP="002E0DCD">
      <w:pPr>
        <w:pStyle w:val="Paragraphedeliste"/>
        <w:numPr>
          <w:ilvl w:val="0"/>
          <w:numId w:val="41"/>
        </w:numPr>
        <w:spacing w:after="160" w:line="259" w:lineRule="auto"/>
        <w:jc w:val="both"/>
        <w:rPr>
          <w:lang w:val="en-US"/>
        </w:rPr>
      </w:pPr>
      <w:r>
        <w:rPr>
          <w:lang w:val="en-US"/>
        </w:rPr>
        <w:t>T</w:t>
      </w:r>
      <w:r w:rsidRPr="001D06AE">
        <w:rPr>
          <w:lang w:val="en-US"/>
        </w:rPr>
        <w:t>hree currencies significantly represented (EUR, USD and GBP)</w:t>
      </w:r>
      <w:r>
        <w:rPr>
          <w:lang w:val="en-US"/>
        </w:rPr>
        <w:t>,</w:t>
      </w:r>
      <w:r w:rsidRPr="001D06AE">
        <w:rPr>
          <w:lang w:val="en-US"/>
        </w:rPr>
        <w:t xml:space="preserve"> with </w:t>
      </w:r>
      <w:r>
        <w:rPr>
          <w:lang w:val="en-US"/>
        </w:rPr>
        <w:t xml:space="preserve">now </w:t>
      </w:r>
      <w:r w:rsidRPr="00142418">
        <w:rPr>
          <w:b/>
          <w:lang w:val="en-US"/>
        </w:rPr>
        <w:t>two of them outside of the European System of Central Banks supervision</w:t>
      </w:r>
      <w:r>
        <w:rPr>
          <w:lang w:val="en-US"/>
        </w:rPr>
        <w:t>.</w:t>
      </w:r>
    </w:p>
    <w:p w14:paraId="1D9D3A38" w14:textId="77777777" w:rsidR="00077D89" w:rsidRPr="001D06AE" w:rsidRDefault="00077D89" w:rsidP="002E0DCD">
      <w:pPr>
        <w:pStyle w:val="Paragraphedeliste"/>
        <w:numPr>
          <w:ilvl w:val="0"/>
          <w:numId w:val="41"/>
        </w:numPr>
        <w:spacing w:after="160" w:line="259" w:lineRule="auto"/>
        <w:jc w:val="both"/>
        <w:rPr>
          <w:lang w:val="en-US"/>
        </w:rPr>
      </w:pPr>
      <w:r>
        <w:rPr>
          <w:lang w:val="en-US"/>
        </w:rPr>
        <w:t>T</w:t>
      </w:r>
      <w:r w:rsidRPr="001D06AE">
        <w:rPr>
          <w:lang w:val="en-US"/>
        </w:rPr>
        <w:t>hree countries (Luxembourg, Ireland and France) domiciling most of the MMFs</w:t>
      </w:r>
      <w:r>
        <w:rPr>
          <w:lang w:val="en-US"/>
        </w:rPr>
        <w:t>.</w:t>
      </w:r>
    </w:p>
    <w:p w14:paraId="33CF312A" w14:textId="77777777" w:rsidR="00077D89" w:rsidRPr="009D3500" w:rsidRDefault="00077D89" w:rsidP="00077D89">
      <w:pPr>
        <w:jc w:val="both"/>
        <w:rPr>
          <w:b/>
          <w:lang w:val="en-US"/>
        </w:rPr>
      </w:pPr>
      <w:r w:rsidRPr="009D3500">
        <w:rPr>
          <w:b/>
          <w:lang w:val="en-US"/>
        </w:rPr>
        <w:t>We are convinced that MMFR helped European MMFs to face the COVID-19 crisis in a strong and resilient shape.</w:t>
      </w:r>
    </w:p>
    <w:p w14:paraId="2E9DE24A" w14:textId="77777777" w:rsidR="00077D89" w:rsidRPr="001D06AE" w:rsidRDefault="00077D89" w:rsidP="00077D89">
      <w:pPr>
        <w:jc w:val="both"/>
        <w:rPr>
          <w:lang w:val="en-US"/>
        </w:rPr>
      </w:pPr>
      <w:r w:rsidRPr="001D06AE">
        <w:rPr>
          <w:lang w:val="en-US"/>
        </w:rPr>
        <w:t>T</w:t>
      </w:r>
      <w:r>
        <w:rPr>
          <w:lang w:val="en-US"/>
        </w:rPr>
        <w:t xml:space="preserve">his </w:t>
      </w:r>
      <w:proofErr w:type="gramStart"/>
      <w:r>
        <w:rPr>
          <w:lang w:val="en-US"/>
        </w:rPr>
        <w:t>being said</w:t>
      </w:r>
      <w:proofErr w:type="gramEnd"/>
      <w:r>
        <w:rPr>
          <w:lang w:val="en-US"/>
        </w:rPr>
        <w:t>, t</w:t>
      </w:r>
      <w:r w:rsidRPr="001D06AE">
        <w:rPr>
          <w:lang w:val="en-US"/>
        </w:rPr>
        <w:t xml:space="preserve">he COVID-19 crisis and its aftermath have clearly changed the context of MMFR reviewing process, as provided in its article 46. With little doubt, </w:t>
      </w:r>
      <w:r>
        <w:rPr>
          <w:lang w:val="en-US"/>
        </w:rPr>
        <w:t>in the absence</w:t>
      </w:r>
      <w:r w:rsidRPr="001D06AE">
        <w:rPr>
          <w:lang w:val="en-US"/>
        </w:rPr>
        <w:t xml:space="preserve"> </w:t>
      </w:r>
      <w:r>
        <w:rPr>
          <w:lang w:val="en-US"/>
        </w:rPr>
        <w:t xml:space="preserve">of </w:t>
      </w:r>
      <w:r w:rsidRPr="001D06AE">
        <w:rPr>
          <w:lang w:val="en-US"/>
        </w:rPr>
        <w:t>this tremendous,</w:t>
      </w:r>
      <w:r>
        <w:rPr>
          <w:lang w:val="en-US"/>
        </w:rPr>
        <w:t xml:space="preserve"> unprecedented, exogenous shock</w:t>
      </w:r>
      <w:r w:rsidRPr="001D06AE">
        <w:rPr>
          <w:lang w:val="en-US"/>
        </w:rPr>
        <w:t xml:space="preserve">, much less attention </w:t>
      </w:r>
      <w:proofErr w:type="gramStart"/>
      <w:r w:rsidRPr="001D06AE">
        <w:rPr>
          <w:lang w:val="en-US"/>
        </w:rPr>
        <w:t xml:space="preserve">would </w:t>
      </w:r>
      <w:r>
        <w:rPr>
          <w:lang w:val="en-US"/>
        </w:rPr>
        <w:t>have been given</w:t>
      </w:r>
      <w:proofErr w:type="gramEnd"/>
      <w:r>
        <w:rPr>
          <w:lang w:val="en-US"/>
        </w:rPr>
        <w:t xml:space="preserve"> to MMFs.</w:t>
      </w:r>
    </w:p>
    <w:p w14:paraId="79FEF60A" w14:textId="2510BEF6" w:rsidR="00077D89" w:rsidRDefault="00077D89" w:rsidP="00077D89">
      <w:pPr>
        <w:jc w:val="both"/>
        <w:rPr>
          <w:u w:val="single"/>
          <w:lang w:val="en-US"/>
        </w:rPr>
      </w:pPr>
      <w:r w:rsidRPr="001D06AE">
        <w:rPr>
          <w:lang w:val="en-US"/>
        </w:rPr>
        <w:t xml:space="preserve">Hence, </w:t>
      </w:r>
      <w:r w:rsidRPr="009D3500">
        <w:rPr>
          <w:u w:val="single"/>
          <w:lang w:val="en-US"/>
        </w:rPr>
        <w:t>we strongly believe that no efficient step will be taken in the area of MMFR or, more generally, in the money market space, if the specificity of the pandemic is not factored in during this crucial process.</w:t>
      </w:r>
    </w:p>
    <w:p w14:paraId="0E7A99B2" w14:textId="77777777" w:rsidR="00735DDC" w:rsidRPr="001D06AE" w:rsidRDefault="00735DDC" w:rsidP="00077D89">
      <w:pPr>
        <w:jc w:val="both"/>
        <w:rPr>
          <w:lang w:val="en-US"/>
        </w:rPr>
      </w:pPr>
    </w:p>
    <w:p w14:paraId="4531D093" w14:textId="77777777" w:rsidR="00077D89" w:rsidRPr="001D06AE" w:rsidRDefault="00077D89" w:rsidP="00077D89">
      <w:pPr>
        <w:jc w:val="both"/>
        <w:rPr>
          <w:lang w:val="en-US"/>
        </w:rPr>
      </w:pPr>
      <w:r>
        <w:rPr>
          <w:lang w:val="en-US"/>
        </w:rPr>
        <w:t xml:space="preserve">First, we would like to recall the </w:t>
      </w:r>
      <w:r w:rsidRPr="001D06AE">
        <w:rPr>
          <w:lang w:val="en-US"/>
        </w:rPr>
        <w:t xml:space="preserve">strong benefits unanimously granted to MMFs as key players in the economic and financial environment: </w:t>
      </w:r>
    </w:p>
    <w:p w14:paraId="231B6375" w14:textId="77777777" w:rsidR="00077D89" w:rsidRPr="001D06AE" w:rsidRDefault="00077D89" w:rsidP="002E0DCD">
      <w:pPr>
        <w:pStyle w:val="Paragraphedeliste"/>
        <w:numPr>
          <w:ilvl w:val="0"/>
          <w:numId w:val="40"/>
        </w:numPr>
        <w:spacing w:after="160" w:line="259" w:lineRule="auto"/>
        <w:jc w:val="both"/>
        <w:rPr>
          <w:lang w:val="en-US"/>
        </w:rPr>
      </w:pPr>
      <w:r w:rsidRPr="001D06AE">
        <w:rPr>
          <w:lang w:val="en-US"/>
        </w:rPr>
        <w:t xml:space="preserve">By purchasing and, most of the time, rolling, a significant part of money market instruments (including financial and non-financial Commercial Papers), MMFs represent a key, stable, reliable, </w:t>
      </w:r>
      <w:proofErr w:type="gramStart"/>
      <w:r w:rsidRPr="001D06AE">
        <w:rPr>
          <w:lang w:val="en-US"/>
        </w:rPr>
        <w:t>strongly-regulated</w:t>
      </w:r>
      <w:proofErr w:type="gramEnd"/>
      <w:r w:rsidRPr="001D06AE">
        <w:rPr>
          <w:lang w:val="en-US"/>
        </w:rPr>
        <w:t xml:space="preserve"> source of funding for real economy, particularly in the private sector.</w:t>
      </w:r>
    </w:p>
    <w:p w14:paraId="6CC340FD" w14:textId="77777777" w:rsidR="00077D89" w:rsidRPr="001D06AE" w:rsidRDefault="00077D89" w:rsidP="002E0DCD">
      <w:pPr>
        <w:pStyle w:val="Paragraphedeliste"/>
        <w:numPr>
          <w:ilvl w:val="0"/>
          <w:numId w:val="40"/>
        </w:numPr>
        <w:spacing w:after="160" w:line="259" w:lineRule="auto"/>
        <w:jc w:val="both"/>
        <w:rPr>
          <w:lang w:val="en-US"/>
        </w:rPr>
      </w:pPr>
      <w:r w:rsidRPr="001D06AE">
        <w:rPr>
          <w:lang w:val="en-US"/>
        </w:rPr>
        <w:t xml:space="preserve">By providing their shareholders with diversified, low volatile, competitive collective schemes, MMFs </w:t>
      </w:r>
      <w:proofErr w:type="gramStart"/>
      <w:r w:rsidRPr="001D06AE">
        <w:rPr>
          <w:lang w:val="en-US"/>
        </w:rPr>
        <w:t>are seen</w:t>
      </w:r>
      <w:proofErr w:type="gramEnd"/>
      <w:r w:rsidRPr="001D06AE">
        <w:rPr>
          <w:lang w:val="en-US"/>
        </w:rPr>
        <w:t xml:space="preserve"> as the most efficient means to invest excess liquidity.</w:t>
      </w:r>
    </w:p>
    <w:p w14:paraId="19A120AD" w14:textId="77777777" w:rsidR="00077D89" w:rsidRDefault="00077D89" w:rsidP="00077D89">
      <w:pPr>
        <w:jc w:val="both"/>
        <w:rPr>
          <w:lang w:val="en-US"/>
        </w:rPr>
      </w:pPr>
      <w:r>
        <w:rPr>
          <w:lang w:val="en-US"/>
        </w:rPr>
        <w:t>Second</w:t>
      </w:r>
      <w:r w:rsidRPr="001D06AE">
        <w:rPr>
          <w:lang w:val="en-US"/>
        </w:rPr>
        <w:t xml:space="preserve">, it </w:t>
      </w:r>
      <w:proofErr w:type="gramStart"/>
      <w:r w:rsidRPr="001D06AE">
        <w:rPr>
          <w:lang w:val="en-US"/>
        </w:rPr>
        <w:t>is admitted</w:t>
      </w:r>
      <w:proofErr w:type="gramEnd"/>
      <w:r w:rsidRPr="001D06AE">
        <w:rPr>
          <w:lang w:val="en-US"/>
        </w:rPr>
        <w:t xml:space="preserve"> that the COVID-19 pandemic has triggered a </w:t>
      </w:r>
      <w:r w:rsidRPr="008565CC">
        <w:rPr>
          <w:b/>
          <w:lang w:val="en-US"/>
        </w:rPr>
        <w:t>liquidity crisis</w:t>
      </w:r>
      <w:r w:rsidRPr="001D06AE">
        <w:rPr>
          <w:lang w:val="en-US"/>
        </w:rPr>
        <w:t xml:space="preserve">, not a credit crisis, which makes a huge difference when compared with the </w:t>
      </w:r>
      <w:r>
        <w:rPr>
          <w:lang w:val="en-US"/>
        </w:rPr>
        <w:t>Great Financial Crisis (</w:t>
      </w:r>
      <w:r w:rsidRPr="001D06AE">
        <w:rPr>
          <w:lang w:val="en-US"/>
        </w:rPr>
        <w:t>GFC</w:t>
      </w:r>
      <w:r>
        <w:rPr>
          <w:lang w:val="en-US"/>
        </w:rPr>
        <w:t>) of 2007-2008</w:t>
      </w:r>
      <w:r w:rsidRPr="001D06AE">
        <w:rPr>
          <w:lang w:val="en-US"/>
        </w:rPr>
        <w:t>. This</w:t>
      </w:r>
      <w:r>
        <w:rPr>
          <w:lang w:val="en-US"/>
        </w:rPr>
        <w:t xml:space="preserve"> fundamental point</w:t>
      </w:r>
      <w:r w:rsidRPr="001D06AE">
        <w:rPr>
          <w:lang w:val="en-US"/>
        </w:rPr>
        <w:t xml:space="preserve"> </w:t>
      </w:r>
      <w:proofErr w:type="gramStart"/>
      <w:r w:rsidRPr="001D06AE">
        <w:rPr>
          <w:lang w:val="en-US"/>
        </w:rPr>
        <w:t>should be taken</w:t>
      </w:r>
      <w:proofErr w:type="gramEnd"/>
      <w:r w:rsidRPr="001D06AE">
        <w:rPr>
          <w:lang w:val="en-US"/>
        </w:rPr>
        <w:t xml:space="preserve"> into account when </w:t>
      </w:r>
      <w:r>
        <w:rPr>
          <w:lang w:val="en-US"/>
        </w:rPr>
        <w:t>reflecting on</w:t>
      </w:r>
      <w:r w:rsidRPr="001D06AE">
        <w:rPr>
          <w:lang w:val="en-US"/>
        </w:rPr>
        <w:t xml:space="preserve"> what will have to be </w:t>
      </w:r>
      <w:r>
        <w:rPr>
          <w:lang w:val="en-US"/>
        </w:rPr>
        <w:t xml:space="preserve">reviewed </w:t>
      </w:r>
      <w:r w:rsidRPr="001D06AE">
        <w:rPr>
          <w:lang w:val="en-US"/>
        </w:rPr>
        <w:t>in MMFR.</w:t>
      </w:r>
    </w:p>
    <w:p w14:paraId="556F3C93" w14:textId="77777777" w:rsidR="00077D89" w:rsidRPr="001D06AE" w:rsidRDefault="00077D89" w:rsidP="00077D89">
      <w:pPr>
        <w:jc w:val="both"/>
        <w:rPr>
          <w:lang w:val="en-US"/>
        </w:rPr>
      </w:pPr>
      <w:r>
        <w:rPr>
          <w:lang w:val="en-US"/>
        </w:rPr>
        <w:t>In light of this, we would like to stress the following points:</w:t>
      </w:r>
    </w:p>
    <w:p w14:paraId="2773C84B" w14:textId="77777777" w:rsidR="00077D89" w:rsidRPr="002E2D92" w:rsidRDefault="00077D89" w:rsidP="00077D89">
      <w:pPr>
        <w:jc w:val="both"/>
        <w:rPr>
          <w:lang w:val="en-US"/>
        </w:rPr>
      </w:pPr>
      <w:r>
        <w:rPr>
          <w:lang w:val="en-US"/>
        </w:rPr>
        <w:t xml:space="preserve">1. </w:t>
      </w:r>
      <w:r w:rsidRPr="009D3500">
        <w:rPr>
          <w:u w:val="single"/>
          <w:lang w:val="en-US"/>
        </w:rPr>
        <w:t xml:space="preserve">No defiance </w:t>
      </w:r>
      <w:proofErr w:type="gramStart"/>
      <w:r w:rsidRPr="009D3500">
        <w:rPr>
          <w:u w:val="single"/>
          <w:lang w:val="en-US"/>
        </w:rPr>
        <w:t>has been addressed</w:t>
      </w:r>
      <w:proofErr w:type="gramEnd"/>
      <w:r w:rsidRPr="009D3500">
        <w:rPr>
          <w:u w:val="single"/>
          <w:lang w:val="en-US"/>
        </w:rPr>
        <w:t xml:space="preserve"> towards MMF industry</w:t>
      </w:r>
      <w:r w:rsidRPr="002E2D92">
        <w:rPr>
          <w:lang w:val="en-US"/>
        </w:rPr>
        <w:t>:</w:t>
      </w:r>
    </w:p>
    <w:p w14:paraId="1FD7A683" w14:textId="77777777" w:rsidR="00077D89" w:rsidRDefault="00077D89" w:rsidP="002E0DCD">
      <w:pPr>
        <w:pStyle w:val="Paragraphedeliste"/>
        <w:numPr>
          <w:ilvl w:val="0"/>
          <w:numId w:val="40"/>
        </w:numPr>
        <w:spacing w:after="160" w:line="259" w:lineRule="auto"/>
        <w:jc w:val="both"/>
        <w:rPr>
          <w:lang w:val="en-US"/>
        </w:rPr>
      </w:pPr>
      <w:r>
        <w:rPr>
          <w:lang w:val="en-US"/>
        </w:rPr>
        <w:t>We saw a s</w:t>
      </w:r>
      <w:r w:rsidRPr="001D06AE">
        <w:rPr>
          <w:lang w:val="en-US"/>
        </w:rPr>
        <w:t xml:space="preserve">ignificant bounce of MMF market size once the measures to support economy and </w:t>
      </w:r>
      <w:r>
        <w:rPr>
          <w:lang w:val="en-US"/>
        </w:rPr>
        <w:t xml:space="preserve">to </w:t>
      </w:r>
      <w:r w:rsidRPr="001D06AE">
        <w:rPr>
          <w:lang w:val="en-US"/>
        </w:rPr>
        <w:t xml:space="preserve">provide funding relief </w:t>
      </w:r>
      <w:proofErr w:type="gramStart"/>
      <w:r w:rsidRPr="001D06AE">
        <w:rPr>
          <w:lang w:val="en-US"/>
        </w:rPr>
        <w:t>were decided and implemented by both political and financial authorities</w:t>
      </w:r>
      <w:proofErr w:type="gramEnd"/>
      <w:r w:rsidRPr="001D06AE">
        <w:rPr>
          <w:lang w:val="en-US"/>
        </w:rPr>
        <w:t>.</w:t>
      </w:r>
    </w:p>
    <w:p w14:paraId="2F1BAB16" w14:textId="77777777" w:rsidR="00077D89" w:rsidRPr="001D06AE" w:rsidRDefault="00077D89" w:rsidP="00077D89">
      <w:pPr>
        <w:pStyle w:val="Paragraphedeliste"/>
        <w:jc w:val="both"/>
        <w:rPr>
          <w:lang w:val="en-US"/>
        </w:rPr>
      </w:pPr>
    </w:p>
    <w:p w14:paraId="537F2702" w14:textId="77777777" w:rsidR="00077D89" w:rsidRPr="008C17A7" w:rsidRDefault="00077D89" w:rsidP="002E0DCD">
      <w:pPr>
        <w:pStyle w:val="Paragraphedeliste"/>
        <w:numPr>
          <w:ilvl w:val="0"/>
          <w:numId w:val="40"/>
        </w:numPr>
        <w:spacing w:after="160" w:line="259" w:lineRule="auto"/>
        <w:jc w:val="both"/>
        <w:rPr>
          <w:lang w:val="en-US"/>
        </w:rPr>
      </w:pPr>
      <w:r w:rsidRPr="001D06AE">
        <w:rPr>
          <w:lang w:val="en-US"/>
        </w:rPr>
        <w:t>As an example, French Corporate Association (AFTE) have continuously expressed t</w:t>
      </w:r>
      <w:r>
        <w:rPr>
          <w:lang w:val="en-US"/>
        </w:rPr>
        <w:t>heir confidence in French MMFs</w:t>
      </w:r>
      <w:r w:rsidRPr="001D06AE">
        <w:rPr>
          <w:lang w:val="en-US"/>
        </w:rPr>
        <w:t xml:space="preserve"> and confirmed that the sole and vital need for cash justified the sizeable redemptions that occurred in March / April 2020.</w:t>
      </w:r>
    </w:p>
    <w:p w14:paraId="50086486" w14:textId="77777777" w:rsidR="00077D89" w:rsidRPr="008C17A7" w:rsidRDefault="00077D89" w:rsidP="00077D89">
      <w:pPr>
        <w:jc w:val="both"/>
        <w:rPr>
          <w:lang w:val="en-US"/>
        </w:rPr>
      </w:pPr>
      <w:r>
        <w:rPr>
          <w:lang w:val="en-US"/>
        </w:rPr>
        <w:t xml:space="preserve">2. </w:t>
      </w:r>
      <w:r w:rsidRPr="009D3500">
        <w:rPr>
          <w:u w:val="single"/>
          <w:lang w:val="en-US"/>
        </w:rPr>
        <w:t>Money Markets practically stopped functioning in the course of March 2020, dried up by the sudden and massive need for cash</w:t>
      </w:r>
      <w:r w:rsidRPr="00585F77">
        <w:rPr>
          <w:lang w:val="en-US"/>
        </w:rPr>
        <w:t>, triggered</w:t>
      </w:r>
      <w:r w:rsidRPr="002E2D92">
        <w:rPr>
          <w:lang w:val="en-US"/>
        </w:rPr>
        <w:t xml:space="preserve"> by the drop – if not the overnight disappearance - in revenues that numerous economic actors (mostly, but not only, corporations) had to cope with. This unprecedented situation generated a rapid domino effect, where: </w:t>
      </w:r>
    </w:p>
    <w:p w14:paraId="6D0538A0" w14:textId="77777777" w:rsidR="00077D89" w:rsidRDefault="00077D89" w:rsidP="002E0DCD">
      <w:pPr>
        <w:pStyle w:val="Paragraphedeliste"/>
        <w:numPr>
          <w:ilvl w:val="0"/>
          <w:numId w:val="42"/>
        </w:numPr>
        <w:spacing w:after="160" w:line="259" w:lineRule="auto"/>
        <w:jc w:val="both"/>
        <w:rPr>
          <w:lang w:val="en-US"/>
        </w:rPr>
      </w:pPr>
      <w:r w:rsidRPr="00585F77">
        <w:rPr>
          <w:lang w:val="en-US"/>
        </w:rPr>
        <w:t>Shareholders massively withdrew their money from MMFs and/or drew down credit facilities they had contracted with banks.</w:t>
      </w:r>
      <w:r>
        <w:rPr>
          <w:lang w:val="en-US"/>
        </w:rPr>
        <w:t xml:space="preserve"> </w:t>
      </w:r>
      <w:r w:rsidRPr="00585F77">
        <w:rPr>
          <w:lang w:val="en-US"/>
        </w:rPr>
        <w:t>In a very short period, MMFs stopped playing their usual role as a structural purchaser of C</w:t>
      </w:r>
      <w:r>
        <w:rPr>
          <w:lang w:val="en-US"/>
        </w:rPr>
        <w:t xml:space="preserve">ommercial </w:t>
      </w:r>
      <w:r w:rsidRPr="00585F77">
        <w:rPr>
          <w:lang w:val="en-US"/>
        </w:rPr>
        <w:t>P</w:t>
      </w:r>
      <w:r>
        <w:rPr>
          <w:lang w:val="en-US"/>
        </w:rPr>
        <w:t>aper</w:t>
      </w:r>
      <w:r w:rsidRPr="00585F77">
        <w:rPr>
          <w:lang w:val="en-US"/>
        </w:rPr>
        <w:t>s</w:t>
      </w:r>
      <w:r>
        <w:rPr>
          <w:lang w:val="en-US"/>
        </w:rPr>
        <w:t xml:space="preserve"> (CPs)</w:t>
      </w:r>
      <w:r w:rsidRPr="00585F77">
        <w:rPr>
          <w:lang w:val="en-US"/>
        </w:rPr>
        <w:t>. At the same time, banks refrained from providing bids in front of an inflating level of requests, as their liquidity and solvency ratios were swiftly deteriorating.</w:t>
      </w:r>
    </w:p>
    <w:p w14:paraId="7C5A4B0E" w14:textId="77777777" w:rsidR="00077D89" w:rsidRDefault="00077D89" w:rsidP="00077D89">
      <w:pPr>
        <w:pStyle w:val="Paragraphedeliste"/>
        <w:ind w:left="360"/>
        <w:jc w:val="both"/>
        <w:rPr>
          <w:lang w:val="en-US"/>
        </w:rPr>
      </w:pPr>
    </w:p>
    <w:p w14:paraId="2EFE5EE2" w14:textId="77777777" w:rsidR="00077D89" w:rsidRPr="00585F77" w:rsidRDefault="00077D89" w:rsidP="002E0DCD">
      <w:pPr>
        <w:pStyle w:val="Paragraphedeliste"/>
        <w:numPr>
          <w:ilvl w:val="0"/>
          <w:numId w:val="42"/>
        </w:numPr>
        <w:spacing w:after="160" w:line="259" w:lineRule="auto"/>
        <w:jc w:val="both"/>
        <w:rPr>
          <w:lang w:val="en-US"/>
        </w:rPr>
      </w:pPr>
      <w:r w:rsidRPr="00585F77">
        <w:rPr>
          <w:lang w:val="en-US"/>
        </w:rPr>
        <w:t xml:space="preserve"> An additional wave of sales amplified the market stress, as MMFs had to rebuild their liquidity buffers, which </w:t>
      </w:r>
      <w:proofErr w:type="gramStart"/>
      <w:r w:rsidRPr="00585F77">
        <w:rPr>
          <w:lang w:val="en-US"/>
        </w:rPr>
        <w:t>had been lowered</w:t>
      </w:r>
      <w:proofErr w:type="gramEnd"/>
      <w:r w:rsidRPr="00585F77">
        <w:rPr>
          <w:lang w:val="en-US"/>
        </w:rPr>
        <w:t xml:space="preserve"> by initial, non-expected, redemptions.</w:t>
      </w:r>
    </w:p>
    <w:p w14:paraId="6F8AD53F" w14:textId="7F910B79" w:rsidR="00077D89" w:rsidRDefault="00077D89" w:rsidP="00077D89">
      <w:pPr>
        <w:jc w:val="both"/>
        <w:rPr>
          <w:lang w:val="en-US"/>
        </w:rPr>
      </w:pPr>
      <w:r w:rsidRPr="00585F77">
        <w:rPr>
          <w:lang w:val="en-US"/>
        </w:rPr>
        <w:t xml:space="preserve">3. Consequently, </w:t>
      </w:r>
      <w:r w:rsidRPr="009D3500">
        <w:rPr>
          <w:u w:val="single"/>
          <w:lang w:val="en-US"/>
        </w:rPr>
        <w:t>we share the very common view that the whole ecosystem of money markets faced its most serious liquidity challenge during the COVID-19 crisis</w:t>
      </w:r>
      <w:r w:rsidRPr="00585F77">
        <w:rPr>
          <w:lang w:val="en-US"/>
        </w:rPr>
        <w:t>. The</w:t>
      </w:r>
      <w:r>
        <w:rPr>
          <w:lang w:val="en-US"/>
        </w:rPr>
        <w:t>n, had this</w:t>
      </w:r>
      <w:r w:rsidRPr="00585F77">
        <w:rPr>
          <w:lang w:val="en-US"/>
        </w:rPr>
        <w:t xml:space="preserve"> revealed any vulnerabilities, it would be more than useful to find and fix them at the money market level, rather than in the sole area of MMFR.</w:t>
      </w:r>
    </w:p>
    <w:p w14:paraId="7A720F9F" w14:textId="77777777" w:rsidR="00B91F25" w:rsidRPr="00585F77" w:rsidRDefault="00B91F25" w:rsidP="00077D89">
      <w:pPr>
        <w:jc w:val="both"/>
        <w:rPr>
          <w:lang w:val="en-US"/>
        </w:rPr>
      </w:pPr>
    </w:p>
    <w:p w14:paraId="3C23C73A" w14:textId="77777777" w:rsidR="00077D89" w:rsidRDefault="00077D89" w:rsidP="00077D89">
      <w:pPr>
        <w:jc w:val="both"/>
        <w:rPr>
          <w:lang w:val="en-US"/>
        </w:rPr>
      </w:pPr>
      <w:r>
        <w:rPr>
          <w:lang w:val="en-US"/>
        </w:rPr>
        <w:t xml:space="preserve">Lastly, Central Bank interventions, though important in the resolution of the situation, have to </w:t>
      </w:r>
      <w:proofErr w:type="gramStart"/>
      <w:r>
        <w:rPr>
          <w:lang w:val="en-US"/>
        </w:rPr>
        <w:t>be deeply analyzed</w:t>
      </w:r>
      <w:proofErr w:type="gramEnd"/>
      <w:r>
        <w:rPr>
          <w:lang w:val="en-US"/>
        </w:rPr>
        <w:t xml:space="preserve"> in order to dissipate any interpretation that could lead to unfitted, if not dangerous, reforms.</w:t>
      </w:r>
    </w:p>
    <w:p w14:paraId="439EC0EE" w14:textId="77777777" w:rsidR="00077D89" w:rsidRDefault="00077D89" w:rsidP="00077D89">
      <w:pPr>
        <w:jc w:val="both"/>
        <w:rPr>
          <w:lang w:val="en-US"/>
        </w:rPr>
      </w:pPr>
      <w:r>
        <w:rPr>
          <w:lang w:val="en-US"/>
        </w:rPr>
        <w:t>Therefore and in light of the above:</w:t>
      </w:r>
    </w:p>
    <w:p w14:paraId="3C5C4187" w14:textId="4581C162" w:rsidR="00077D89" w:rsidRDefault="00077D89" w:rsidP="00077D89">
      <w:pPr>
        <w:pStyle w:val="Paragraphedeliste"/>
        <w:ind w:left="0"/>
        <w:jc w:val="both"/>
        <w:rPr>
          <w:lang w:val="en-US"/>
        </w:rPr>
      </w:pPr>
      <w:r>
        <w:rPr>
          <w:lang w:val="en-US"/>
        </w:rPr>
        <w:t>1. It should be reminded that the decision by ECB, announced in March 2020, to purchase money market instruments (MMIs) with less than 6-month maturity, appeared as an additional layer of its Quantitative Easing Policy (Asset Purchasing Program) implemented long before COVID-19 crisis occurred. Indeed,</w:t>
      </w:r>
      <w:r w:rsidRPr="002858C4">
        <w:rPr>
          <w:lang w:val="en-US"/>
        </w:rPr>
        <w:t xml:space="preserve"> </w:t>
      </w:r>
      <w:r>
        <w:rPr>
          <w:lang w:val="en-US"/>
        </w:rPr>
        <w:t xml:space="preserve">Asset Back Securities Purchasing Program (ABSPP), Public Sector Purchasing Program (PSPP) and Credit Sector Purchasing Program (PSPP) </w:t>
      </w:r>
      <w:proofErr w:type="gramStart"/>
      <w:r>
        <w:rPr>
          <w:lang w:val="en-US"/>
        </w:rPr>
        <w:t>were launched</w:t>
      </w:r>
      <w:proofErr w:type="gramEnd"/>
      <w:r>
        <w:rPr>
          <w:lang w:val="en-US"/>
        </w:rPr>
        <w:t xml:space="preserve"> respectively in 2014, 2015 and 2016. It means that practically all the segments of the f</w:t>
      </w:r>
      <w:r w:rsidR="0085130A">
        <w:rPr>
          <w:lang w:val="en-US"/>
        </w:rPr>
        <w:t>ixed income non-financial, high-</w:t>
      </w:r>
      <w:r>
        <w:rPr>
          <w:lang w:val="en-US"/>
        </w:rPr>
        <w:t xml:space="preserve">quality instruments </w:t>
      </w:r>
      <w:proofErr w:type="gramStart"/>
      <w:r>
        <w:rPr>
          <w:lang w:val="en-US"/>
        </w:rPr>
        <w:t>had already been targeted</w:t>
      </w:r>
      <w:proofErr w:type="gramEnd"/>
      <w:r>
        <w:rPr>
          <w:lang w:val="en-US"/>
        </w:rPr>
        <w:t xml:space="preserve"> by the QE non-standard policy when the COVID-19 financial crisis broke up. Money markets had been until this traumatic event, “spared” by the APP (Asset Purchase Program) and proved they had not required any support during the different market turmoil episodes that had occurred since the GFC.</w:t>
      </w:r>
    </w:p>
    <w:p w14:paraId="3A4AB46E" w14:textId="77777777" w:rsidR="00077D89" w:rsidRDefault="00077D89" w:rsidP="00077D89">
      <w:pPr>
        <w:pStyle w:val="Paragraphedeliste"/>
        <w:jc w:val="both"/>
        <w:rPr>
          <w:lang w:val="en-US"/>
        </w:rPr>
      </w:pPr>
    </w:p>
    <w:p w14:paraId="5EF8B860" w14:textId="77777777" w:rsidR="00077D89" w:rsidRDefault="00077D89" w:rsidP="00077D89">
      <w:pPr>
        <w:pStyle w:val="Paragraphedeliste"/>
        <w:ind w:left="0"/>
        <w:jc w:val="both"/>
        <w:rPr>
          <w:lang w:val="en-US"/>
        </w:rPr>
      </w:pPr>
      <w:r>
        <w:rPr>
          <w:lang w:val="en-US"/>
        </w:rPr>
        <w:t xml:space="preserve">2. The specificity of operational transaction chains that characterize MMIs, especially commercial papers, explains that it took some time for the different NCBs to implement this part of the Pandemic Emergency Purchasing Program (PEPP). The emergency of the situation then prevailing, combined with the need to step in an unexplored market (compared with bonds) can justify a </w:t>
      </w:r>
      <w:r w:rsidRPr="009D3500">
        <w:rPr>
          <w:lang w:val="en-US"/>
        </w:rPr>
        <w:t>perception</w:t>
      </w:r>
      <w:r w:rsidRPr="00651AFB">
        <w:rPr>
          <w:b/>
          <w:lang w:val="en-US"/>
        </w:rPr>
        <w:t xml:space="preserve"> </w:t>
      </w:r>
      <w:r>
        <w:rPr>
          <w:lang w:val="en-US"/>
        </w:rPr>
        <w:t>of excessive stress which surrounded this unusual intervention.</w:t>
      </w:r>
    </w:p>
    <w:p w14:paraId="06C6219B" w14:textId="77777777" w:rsidR="00077D89" w:rsidRPr="00D73427" w:rsidRDefault="00077D89" w:rsidP="00077D89">
      <w:pPr>
        <w:pStyle w:val="Paragraphedeliste"/>
        <w:jc w:val="both"/>
        <w:rPr>
          <w:lang w:val="en-US"/>
        </w:rPr>
      </w:pPr>
    </w:p>
    <w:p w14:paraId="7A03EBE8" w14:textId="77777777" w:rsidR="00077D89" w:rsidRPr="006A7436" w:rsidRDefault="00077D89" w:rsidP="00077D89">
      <w:pPr>
        <w:pStyle w:val="Paragraphedeliste"/>
        <w:ind w:left="0"/>
        <w:jc w:val="both"/>
        <w:rPr>
          <w:lang w:val="en-US"/>
        </w:rPr>
      </w:pPr>
      <w:r>
        <w:rPr>
          <w:lang w:val="en-US"/>
        </w:rPr>
        <w:t>3. We thus consider that the operational issues that ECB and NCBs had to face when implementing their purchases of CPs, may have negatively impacted the assessment of the vulnerabilities identified throughout the different studies published in the aftermath of March / April 2020 crisis;</w:t>
      </w:r>
    </w:p>
    <w:p w14:paraId="037E10C1" w14:textId="77777777" w:rsidR="00077D89" w:rsidRPr="005A040B" w:rsidRDefault="00077D89" w:rsidP="00077D89">
      <w:pPr>
        <w:jc w:val="both"/>
        <w:rPr>
          <w:b/>
          <w:lang w:val="en-US"/>
        </w:rPr>
      </w:pPr>
      <w:r w:rsidRPr="005A040B">
        <w:rPr>
          <w:b/>
          <w:lang w:val="en-US"/>
        </w:rPr>
        <w:t xml:space="preserve">Consequently, we believe that the regulatory response to COVID-19 crisis should pursue two objectives: </w:t>
      </w:r>
    </w:p>
    <w:p w14:paraId="16557E21" w14:textId="77777777" w:rsidR="00077D89" w:rsidRPr="00B05E9D" w:rsidRDefault="00077D89" w:rsidP="00077D89">
      <w:pPr>
        <w:jc w:val="both"/>
        <w:rPr>
          <w:lang w:val="en-US"/>
        </w:rPr>
      </w:pPr>
      <w:r w:rsidRPr="00B05E9D">
        <w:rPr>
          <w:lang w:val="en-US"/>
        </w:rPr>
        <w:t xml:space="preserve">1. </w:t>
      </w:r>
      <w:r>
        <w:rPr>
          <w:u w:val="single"/>
          <w:lang w:val="en-US"/>
        </w:rPr>
        <w:t>Improve</w:t>
      </w:r>
      <w:r w:rsidRPr="009D3500">
        <w:rPr>
          <w:u w:val="single"/>
          <w:lang w:val="en-US"/>
        </w:rPr>
        <w:t xml:space="preserve"> money markets liquidity</w:t>
      </w:r>
      <w:r w:rsidRPr="00B05E9D">
        <w:rPr>
          <w:lang w:val="en-US"/>
        </w:rPr>
        <w:t xml:space="preserve"> on the front of both actors and instruments, acting on</w:t>
      </w:r>
      <w:r>
        <w:rPr>
          <w:lang w:val="en-US"/>
        </w:rPr>
        <w:t>:</w:t>
      </w:r>
    </w:p>
    <w:p w14:paraId="68D46C70" w14:textId="77777777" w:rsidR="00077D89" w:rsidRDefault="00077D89" w:rsidP="002E0DCD">
      <w:pPr>
        <w:pStyle w:val="Paragraphedeliste"/>
        <w:numPr>
          <w:ilvl w:val="1"/>
          <w:numId w:val="40"/>
        </w:numPr>
        <w:spacing w:after="160" w:line="259" w:lineRule="auto"/>
        <w:jc w:val="both"/>
        <w:rPr>
          <w:lang w:val="en-US"/>
        </w:rPr>
      </w:pPr>
      <w:r>
        <w:rPr>
          <w:lang w:val="en-US"/>
        </w:rPr>
        <w:t>Market transparency,</w:t>
      </w:r>
    </w:p>
    <w:p w14:paraId="3850E439" w14:textId="77777777" w:rsidR="00077D89" w:rsidRDefault="00077D89" w:rsidP="002E0DCD">
      <w:pPr>
        <w:pStyle w:val="Paragraphedeliste"/>
        <w:numPr>
          <w:ilvl w:val="1"/>
          <w:numId w:val="40"/>
        </w:numPr>
        <w:spacing w:after="160" w:line="259" w:lineRule="auto"/>
        <w:jc w:val="both"/>
        <w:rPr>
          <w:lang w:val="en-US"/>
        </w:rPr>
      </w:pPr>
      <w:r>
        <w:rPr>
          <w:lang w:val="en-US"/>
        </w:rPr>
        <w:t>Instruments standardization,</w:t>
      </w:r>
    </w:p>
    <w:p w14:paraId="125028E4" w14:textId="77777777" w:rsidR="00077D89" w:rsidRDefault="00077D89" w:rsidP="002E0DCD">
      <w:pPr>
        <w:pStyle w:val="Paragraphedeliste"/>
        <w:numPr>
          <w:ilvl w:val="1"/>
          <w:numId w:val="40"/>
        </w:numPr>
        <w:spacing w:after="160" w:line="259" w:lineRule="auto"/>
        <w:jc w:val="both"/>
        <w:rPr>
          <w:lang w:val="en-US"/>
        </w:rPr>
      </w:pPr>
      <w:r>
        <w:rPr>
          <w:lang w:val="en-US"/>
        </w:rPr>
        <w:t xml:space="preserve">Eligibility to ECB refinancing operations, </w:t>
      </w:r>
    </w:p>
    <w:p w14:paraId="283D5F90" w14:textId="77777777" w:rsidR="00077D89" w:rsidRDefault="00077D89" w:rsidP="002E0DCD">
      <w:pPr>
        <w:pStyle w:val="Paragraphedeliste"/>
        <w:numPr>
          <w:ilvl w:val="1"/>
          <w:numId w:val="40"/>
        </w:numPr>
        <w:spacing w:after="160" w:line="259" w:lineRule="auto"/>
        <w:jc w:val="both"/>
        <w:rPr>
          <w:lang w:val="en-US"/>
        </w:rPr>
      </w:pPr>
      <w:r>
        <w:rPr>
          <w:lang w:val="en-US"/>
        </w:rPr>
        <w:t>Favoring Dealers’ market making</w:t>
      </w:r>
    </w:p>
    <w:p w14:paraId="5587DBA5" w14:textId="77777777" w:rsidR="00077D89" w:rsidRDefault="00077D89" w:rsidP="002E0DCD">
      <w:pPr>
        <w:pStyle w:val="Paragraphedeliste"/>
        <w:numPr>
          <w:ilvl w:val="1"/>
          <w:numId w:val="40"/>
        </w:numPr>
        <w:spacing w:after="160" w:line="259" w:lineRule="auto"/>
        <w:jc w:val="both"/>
        <w:rPr>
          <w:lang w:val="en-US"/>
        </w:rPr>
      </w:pPr>
      <w:r>
        <w:rPr>
          <w:lang w:val="en-US"/>
        </w:rPr>
        <w:t xml:space="preserve">Contingency plan, </w:t>
      </w:r>
    </w:p>
    <w:p w14:paraId="58023BF5" w14:textId="77777777" w:rsidR="00077D89" w:rsidRPr="008C17A7" w:rsidRDefault="00077D89" w:rsidP="002E0DCD">
      <w:pPr>
        <w:pStyle w:val="Paragraphedeliste"/>
        <w:numPr>
          <w:ilvl w:val="1"/>
          <w:numId w:val="40"/>
        </w:numPr>
        <w:spacing w:after="160" w:line="259" w:lineRule="auto"/>
        <w:jc w:val="both"/>
        <w:rPr>
          <w:lang w:val="en-US"/>
        </w:rPr>
      </w:pPr>
      <w:r>
        <w:rPr>
          <w:lang w:val="en-US"/>
        </w:rPr>
        <w:t>Consolidation of the link between money market players and Central Banks.</w:t>
      </w:r>
    </w:p>
    <w:p w14:paraId="68C2F8DF" w14:textId="77777777" w:rsidR="00077D89" w:rsidRPr="00236BBA" w:rsidRDefault="00077D89" w:rsidP="00077D89">
      <w:pPr>
        <w:jc w:val="both"/>
        <w:rPr>
          <w:lang w:val="en-US"/>
        </w:rPr>
      </w:pPr>
      <w:r w:rsidRPr="00236BBA">
        <w:rPr>
          <w:lang w:val="en-US"/>
        </w:rPr>
        <w:t>2.</w:t>
      </w:r>
      <w:r>
        <w:rPr>
          <w:u w:val="single"/>
          <w:lang w:val="en-US"/>
        </w:rPr>
        <w:t xml:space="preserve"> Enhance</w:t>
      </w:r>
      <w:r w:rsidRPr="009D3500">
        <w:rPr>
          <w:u w:val="single"/>
          <w:lang w:val="en-US"/>
        </w:rPr>
        <w:t xml:space="preserve"> MMFs’ </w:t>
      </w:r>
      <w:r>
        <w:rPr>
          <w:u w:val="single"/>
          <w:lang w:val="en-US"/>
        </w:rPr>
        <w:t xml:space="preserve">resilience </w:t>
      </w:r>
      <w:r w:rsidRPr="009D3500">
        <w:rPr>
          <w:u w:val="single"/>
          <w:lang w:val="en-US"/>
        </w:rPr>
        <w:t>by providing targeted additional rules or adjustments to MMFR, with no need, in our view, to re-open the level 1 text.</w:t>
      </w:r>
      <w:r w:rsidRPr="00236BBA">
        <w:rPr>
          <w:lang w:val="en-US"/>
        </w:rPr>
        <w:t xml:space="preserve"> These actions should mostly focus on liability management of MMFs (Know Your Customer, Liquidity Management Tools). </w:t>
      </w:r>
    </w:p>
    <w:p w14:paraId="1AD27F2C" w14:textId="77777777" w:rsidR="00077D89" w:rsidRPr="00866C10" w:rsidRDefault="00077D89" w:rsidP="00077D89">
      <w:pPr>
        <w:jc w:val="both"/>
        <w:rPr>
          <w:lang w:val="en-US"/>
        </w:rPr>
      </w:pPr>
      <w:r>
        <w:rPr>
          <w:lang w:val="en-US"/>
        </w:rPr>
        <w:t>Against this background, we urge ESMA to recommend to the European Commission a very prudent and targeted approach in terms of pote</w:t>
      </w:r>
      <w:r w:rsidRPr="002B3FD2">
        <w:rPr>
          <w:lang w:val="en-US"/>
        </w:rPr>
        <w:t>nti</w:t>
      </w:r>
      <w:bookmarkStart w:id="2" w:name="_GoBack"/>
      <w:bookmarkEnd w:id="2"/>
      <w:r>
        <w:rPr>
          <w:lang w:val="en-US"/>
        </w:rPr>
        <w:t xml:space="preserve">al amendments to MMFR. We would also like to stress the </w:t>
      </w:r>
      <w:r w:rsidRPr="009D3500">
        <w:rPr>
          <w:b/>
          <w:lang w:val="en-US"/>
        </w:rPr>
        <w:t>key messages</w:t>
      </w:r>
      <w:r>
        <w:rPr>
          <w:lang w:val="en-US"/>
        </w:rPr>
        <w:t xml:space="preserve"> that </w:t>
      </w:r>
      <w:proofErr w:type="gramStart"/>
      <w:r>
        <w:rPr>
          <w:lang w:val="en-US"/>
        </w:rPr>
        <w:t>are further developed</w:t>
      </w:r>
      <w:proofErr w:type="gramEnd"/>
      <w:r>
        <w:rPr>
          <w:lang w:val="en-US"/>
        </w:rPr>
        <w:t xml:space="preserve"> in response to the questions below: </w:t>
      </w:r>
    </w:p>
    <w:p w14:paraId="18656DA3" w14:textId="77777777" w:rsidR="00077D89" w:rsidRDefault="00077D89" w:rsidP="002E0DCD">
      <w:pPr>
        <w:pStyle w:val="Paragraphedeliste"/>
        <w:numPr>
          <w:ilvl w:val="1"/>
          <w:numId w:val="40"/>
        </w:numPr>
        <w:spacing w:after="160" w:line="259" w:lineRule="auto"/>
        <w:jc w:val="both"/>
        <w:rPr>
          <w:b/>
          <w:lang w:val="en-US"/>
        </w:rPr>
      </w:pPr>
      <w:r w:rsidRPr="00EE3A93">
        <w:rPr>
          <w:b/>
          <w:lang w:val="en-US"/>
        </w:rPr>
        <w:t xml:space="preserve">Article </w:t>
      </w:r>
      <w:r>
        <w:rPr>
          <w:b/>
          <w:lang w:val="en-US"/>
        </w:rPr>
        <w:t xml:space="preserve">27, on Know Your Customer (KYC) </w:t>
      </w:r>
      <w:proofErr w:type="gramStart"/>
      <w:r>
        <w:rPr>
          <w:b/>
          <w:lang w:val="en-US"/>
        </w:rPr>
        <w:t>could be clarified and</w:t>
      </w:r>
      <w:r w:rsidRPr="00EE3A93">
        <w:rPr>
          <w:b/>
          <w:lang w:val="en-US"/>
        </w:rPr>
        <w:t xml:space="preserve"> enriched through level 2 or 3 additional texts</w:t>
      </w:r>
      <w:r>
        <w:rPr>
          <w:b/>
          <w:lang w:val="en-US"/>
        </w:rPr>
        <w:t>, as it is already the case for Credit Quality Assessment</w:t>
      </w:r>
      <w:proofErr w:type="gramEnd"/>
      <w:r>
        <w:rPr>
          <w:b/>
          <w:lang w:val="en-US"/>
        </w:rPr>
        <w:t>.</w:t>
      </w:r>
    </w:p>
    <w:p w14:paraId="062BD7F7" w14:textId="77777777" w:rsidR="00077D89" w:rsidRDefault="00077D89" w:rsidP="00077D89">
      <w:pPr>
        <w:pStyle w:val="Paragraphedeliste"/>
        <w:ind w:left="1440"/>
        <w:jc w:val="both"/>
        <w:rPr>
          <w:b/>
          <w:lang w:val="en-US"/>
        </w:rPr>
      </w:pPr>
    </w:p>
    <w:p w14:paraId="5B08D8B9" w14:textId="77777777" w:rsidR="00077D89" w:rsidRPr="00470261" w:rsidRDefault="00077D89" w:rsidP="002E0DCD">
      <w:pPr>
        <w:pStyle w:val="Paragraphedeliste"/>
        <w:numPr>
          <w:ilvl w:val="1"/>
          <w:numId w:val="40"/>
        </w:numPr>
        <w:spacing w:after="160" w:line="259" w:lineRule="auto"/>
        <w:jc w:val="both"/>
        <w:rPr>
          <w:b/>
          <w:lang w:val="en-US"/>
        </w:rPr>
      </w:pPr>
      <w:r>
        <w:rPr>
          <w:b/>
          <w:bCs/>
          <w:lang w:val="en-US"/>
        </w:rPr>
        <w:t xml:space="preserve">Under the above proposition, asset management companies would assess their own need for an </w:t>
      </w:r>
      <w:r w:rsidRPr="002A241B">
        <w:rPr>
          <w:b/>
          <w:bCs/>
          <w:lang w:val="en-US"/>
        </w:rPr>
        <w:t>additional bucket of liquid assets</w:t>
      </w:r>
      <w:r>
        <w:rPr>
          <w:b/>
          <w:bCs/>
          <w:lang w:val="en-US"/>
        </w:rPr>
        <w:t xml:space="preserve">. The </w:t>
      </w:r>
      <w:r w:rsidRPr="002A241B">
        <w:rPr>
          <w:b/>
          <w:bCs/>
          <w:lang w:val="en-US"/>
        </w:rPr>
        <w:t>level</w:t>
      </w:r>
      <w:r>
        <w:rPr>
          <w:b/>
          <w:bCs/>
          <w:lang w:val="en-US"/>
        </w:rPr>
        <w:t xml:space="preserve"> of this additional liquidity buffer would derive from each MMF’s stressed liability structure. Moreover, the assets to </w:t>
      </w:r>
      <w:proofErr w:type="gramStart"/>
      <w:r w:rsidRPr="001409B4">
        <w:rPr>
          <w:b/>
          <w:bCs/>
          <w:lang w:val="en-US"/>
        </w:rPr>
        <w:t>be</w:t>
      </w:r>
      <w:r w:rsidRPr="002A241B">
        <w:rPr>
          <w:b/>
          <w:bCs/>
          <w:u w:val="single"/>
          <w:lang w:val="en-US"/>
        </w:rPr>
        <w:t xml:space="preserve"> </w:t>
      </w:r>
      <w:r w:rsidRPr="001409B4">
        <w:rPr>
          <w:b/>
          <w:bCs/>
          <w:lang w:val="en-US"/>
        </w:rPr>
        <w:t>considered</w:t>
      </w:r>
      <w:proofErr w:type="gramEnd"/>
      <w:r>
        <w:rPr>
          <w:b/>
          <w:bCs/>
          <w:lang w:val="en-US"/>
        </w:rPr>
        <w:t xml:space="preserve"> as “liquid”, thus eligible to the </w:t>
      </w:r>
      <w:r w:rsidRPr="002A241B">
        <w:rPr>
          <w:b/>
          <w:bCs/>
          <w:lang w:val="en-US"/>
        </w:rPr>
        <w:t>composition</w:t>
      </w:r>
      <w:r>
        <w:rPr>
          <w:b/>
          <w:bCs/>
          <w:lang w:val="en-US"/>
        </w:rPr>
        <w:t xml:space="preserve"> of the liquidity buffer, would have to be defined. These evolutions could be specified through the aforementioned level </w:t>
      </w:r>
      <w:proofErr w:type="gramStart"/>
      <w:r>
        <w:rPr>
          <w:b/>
          <w:bCs/>
          <w:lang w:val="en-US"/>
        </w:rPr>
        <w:t>2</w:t>
      </w:r>
      <w:proofErr w:type="gramEnd"/>
      <w:r>
        <w:rPr>
          <w:b/>
          <w:bCs/>
          <w:lang w:val="en-US"/>
        </w:rPr>
        <w:t xml:space="preserve"> or 3 guidance.</w:t>
      </w:r>
    </w:p>
    <w:p w14:paraId="7D6F21AC" w14:textId="77777777" w:rsidR="00077D89" w:rsidRPr="00470261" w:rsidRDefault="00077D89" w:rsidP="00077D89">
      <w:pPr>
        <w:pStyle w:val="Paragraphedeliste"/>
        <w:ind w:left="1440"/>
        <w:jc w:val="both"/>
        <w:rPr>
          <w:b/>
          <w:lang w:val="en-US"/>
        </w:rPr>
      </w:pPr>
    </w:p>
    <w:p w14:paraId="2B6BB5FA" w14:textId="77777777" w:rsidR="00077D89" w:rsidRPr="00EE3A93" w:rsidRDefault="00077D89" w:rsidP="002E0DCD">
      <w:pPr>
        <w:pStyle w:val="Paragraphedeliste"/>
        <w:numPr>
          <w:ilvl w:val="1"/>
          <w:numId w:val="40"/>
        </w:numPr>
        <w:spacing w:after="160" w:line="259" w:lineRule="auto"/>
        <w:jc w:val="both"/>
        <w:rPr>
          <w:b/>
          <w:lang w:val="en-US"/>
        </w:rPr>
      </w:pPr>
      <w:r w:rsidRPr="00EE3A93">
        <w:rPr>
          <w:b/>
          <w:lang w:val="en-US"/>
        </w:rPr>
        <w:t xml:space="preserve">Adjustable </w:t>
      </w:r>
      <w:r>
        <w:rPr>
          <w:b/>
          <w:lang w:val="en-US"/>
        </w:rPr>
        <w:t xml:space="preserve">exit fees </w:t>
      </w:r>
      <w:proofErr w:type="gramStart"/>
      <w:r w:rsidRPr="00EE3A93">
        <w:rPr>
          <w:b/>
          <w:lang w:val="en-US"/>
        </w:rPr>
        <w:t>could be made</w:t>
      </w:r>
      <w:proofErr w:type="gramEnd"/>
      <w:r w:rsidRPr="00EE3A93">
        <w:rPr>
          <w:b/>
          <w:lang w:val="en-US"/>
        </w:rPr>
        <w:t xml:space="preserve"> mandatorily available for all MMFs, as a Liquidity Management Tool </w:t>
      </w:r>
      <w:r>
        <w:rPr>
          <w:b/>
          <w:lang w:val="en-US"/>
        </w:rPr>
        <w:t xml:space="preserve">(LMT) </w:t>
      </w:r>
      <w:r w:rsidRPr="00EE3A93">
        <w:rPr>
          <w:b/>
          <w:lang w:val="en-US"/>
        </w:rPr>
        <w:t>used in times of exceptionally stressed market conditions</w:t>
      </w:r>
      <w:r>
        <w:rPr>
          <w:b/>
          <w:lang w:val="en-US"/>
        </w:rPr>
        <w:t>.</w:t>
      </w:r>
    </w:p>
    <w:p w14:paraId="5E310046" w14:textId="77777777" w:rsidR="00077D89" w:rsidRDefault="00077D89" w:rsidP="00077D89">
      <w:pPr>
        <w:pStyle w:val="Paragraphedeliste"/>
        <w:ind w:left="1440"/>
        <w:jc w:val="both"/>
        <w:rPr>
          <w:b/>
          <w:lang w:val="en-US"/>
        </w:rPr>
      </w:pPr>
    </w:p>
    <w:p w14:paraId="213F7AFE" w14:textId="77777777" w:rsidR="00011C0F" w:rsidRDefault="00077D89" w:rsidP="00FE6577">
      <w:pPr>
        <w:pStyle w:val="Paragraphedeliste"/>
        <w:numPr>
          <w:ilvl w:val="1"/>
          <w:numId w:val="40"/>
        </w:numPr>
        <w:spacing w:after="160" w:line="259" w:lineRule="auto"/>
        <w:jc w:val="both"/>
        <w:rPr>
          <w:b/>
          <w:lang w:val="en-US"/>
        </w:rPr>
      </w:pPr>
      <w:r w:rsidRPr="00EE3A93">
        <w:rPr>
          <w:b/>
          <w:lang w:val="en-US"/>
        </w:rPr>
        <w:t xml:space="preserve">Article 35, on External Support, does not need to </w:t>
      </w:r>
      <w:proofErr w:type="gramStart"/>
      <w:r w:rsidRPr="00EE3A93">
        <w:rPr>
          <w:b/>
          <w:lang w:val="en-US"/>
        </w:rPr>
        <w:t>be re-opened</w:t>
      </w:r>
      <w:proofErr w:type="gramEnd"/>
      <w:r w:rsidRPr="00EE3A93">
        <w:rPr>
          <w:b/>
          <w:lang w:val="en-US"/>
        </w:rPr>
        <w:t>, despite</w:t>
      </w:r>
      <w:r>
        <w:rPr>
          <w:b/>
          <w:lang w:val="en-US"/>
        </w:rPr>
        <w:t xml:space="preserve"> the existence of</w:t>
      </w:r>
      <w:r w:rsidRPr="00EE3A93">
        <w:rPr>
          <w:b/>
          <w:lang w:val="en-US"/>
        </w:rPr>
        <w:t xml:space="preserve"> </w:t>
      </w:r>
      <w:r>
        <w:rPr>
          <w:b/>
          <w:lang w:val="en-US"/>
        </w:rPr>
        <w:t xml:space="preserve">an unlevel playing field between the EU and the US stemming from </w:t>
      </w:r>
      <w:r w:rsidRPr="00EE3A93">
        <w:rPr>
          <w:b/>
          <w:lang w:val="en-US"/>
        </w:rPr>
        <w:t>th</w:t>
      </w:r>
      <w:r>
        <w:rPr>
          <w:b/>
          <w:lang w:val="en-US"/>
        </w:rPr>
        <w:t>eir</w:t>
      </w:r>
      <w:r w:rsidRPr="00EE3A93">
        <w:rPr>
          <w:b/>
          <w:lang w:val="en-US"/>
        </w:rPr>
        <w:t xml:space="preserve"> different </w:t>
      </w:r>
      <w:r>
        <w:rPr>
          <w:b/>
          <w:lang w:val="en-US"/>
        </w:rPr>
        <w:t xml:space="preserve">regulatory </w:t>
      </w:r>
      <w:r w:rsidRPr="00EE3A93">
        <w:rPr>
          <w:b/>
          <w:lang w:val="en-US"/>
        </w:rPr>
        <w:t>approach</w:t>
      </w:r>
      <w:r>
        <w:rPr>
          <w:b/>
          <w:lang w:val="en-US"/>
        </w:rPr>
        <w:t>es.</w:t>
      </w:r>
      <w:r w:rsidRPr="00EE3A93">
        <w:rPr>
          <w:b/>
          <w:lang w:val="en-US"/>
        </w:rPr>
        <w:t xml:space="preserve"> </w:t>
      </w:r>
    </w:p>
    <w:p w14:paraId="3B031F51" w14:textId="77777777" w:rsidR="00011C0F" w:rsidRPr="00011C0F" w:rsidRDefault="00011C0F" w:rsidP="00011C0F">
      <w:pPr>
        <w:pStyle w:val="Paragraphedeliste"/>
        <w:rPr>
          <w:b/>
          <w:lang w:val="en-US"/>
        </w:rPr>
      </w:pPr>
    </w:p>
    <w:p w14:paraId="574C2EDD" w14:textId="3F32F721" w:rsidR="00077D89" w:rsidRPr="00011C0F" w:rsidRDefault="00077D89" w:rsidP="00FE6577">
      <w:pPr>
        <w:pStyle w:val="Paragraphedeliste"/>
        <w:numPr>
          <w:ilvl w:val="1"/>
          <w:numId w:val="40"/>
        </w:numPr>
        <w:spacing w:after="160" w:line="259" w:lineRule="auto"/>
        <w:jc w:val="both"/>
        <w:rPr>
          <w:b/>
          <w:lang w:val="en-US"/>
        </w:rPr>
      </w:pPr>
      <w:r w:rsidRPr="00011C0F">
        <w:rPr>
          <w:b/>
          <w:lang w:val="en-US"/>
        </w:rPr>
        <w:t>Any capital-requiring measure, such as the creation of a “Liquidity Exchange Facility” would be disruptive and deeply harmful to MMFs.</w:t>
      </w:r>
    </w:p>
    <w:permEnd w:id="44765448"/>
    <w:p w14:paraId="68F63540" w14:textId="0DD66690" w:rsidR="00B327E9" w:rsidRPr="00BF28DA" w:rsidRDefault="00B327E9" w:rsidP="00FE6577">
      <w:r w:rsidRPr="00BF28DA">
        <w:t>&lt;ESMA_COMMENT_</w:t>
      </w:r>
      <w:r w:rsidR="00DC1B3F">
        <w:t>MMFR</w:t>
      </w:r>
      <w:r w:rsidR="000A58BE">
        <w:t>_</w:t>
      </w:r>
      <w:r w:rsidRPr="00BF28DA">
        <w:t>1&gt;</w:t>
      </w:r>
    </w:p>
    <w:p w14:paraId="4865C74B" w14:textId="77777777" w:rsidR="002E7113" w:rsidRDefault="002E7113" w:rsidP="002E7113">
      <w:pPr>
        <w:pStyle w:val="Titre1"/>
        <w:numPr>
          <w:ilvl w:val="0"/>
          <w:numId w:val="0"/>
        </w:numPr>
      </w:pPr>
    </w:p>
    <w:p w14:paraId="039B696F" w14:textId="77777777" w:rsidR="00F31E57" w:rsidRPr="00BF28DA" w:rsidRDefault="00F31E57" w:rsidP="00D34282"/>
    <w:p w14:paraId="7C286AFD" w14:textId="77777777" w:rsidR="00CC49EE" w:rsidRDefault="00F31E57" w:rsidP="00492B3A">
      <w:pPr>
        <w:pStyle w:val="Questionstyle"/>
      </w:pPr>
      <w:r w:rsidRPr="0075015C">
        <w:br w:type="page"/>
      </w:r>
    </w:p>
    <w:p w14:paraId="4508D4FF" w14:textId="6FC4B515" w:rsidR="00492B3A" w:rsidRPr="00976448" w:rsidRDefault="00976448" w:rsidP="00976448">
      <w:pPr>
        <w:pStyle w:val="Questionstyle"/>
        <w:numPr>
          <w:ilvl w:val="0"/>
          <w:numId w:val="44"/>
        </w:numPr>
        <w:rPr>
          <w:rFonts w:ascii="Arial" w:hAnsi="Arial"/>
          <w:szCs w:val="22"/>
        </w:rPr>
      </w:pPr>
      <w:r>
        <w:rPr>
          <w:lang w:val="en-US"/>
        </w:rPr>
        <w:t xml:space="preserve"> i) </w:t>
      </w:r>
      <w:r w:rsidRPr="00F43E30">
        <w:rPr>
          <w:lang w:val="en-US"/>
        </w:rPr>
        <w:t>Do you agree with the above assessment of the difficulties faced by MMFs during the COVID-19 March crisis? Do you agree with the identification of vulnerabilities? ii) What are your views in particular on the use of MMF ratings by investors? Are you of the view that the use of such ratings has affected the behaviors of investors during the March crisis?</w:t>
      </w:r>
    </w:p>
    <w:p w14:paraId="2A3812AD" w14:textId="77777777" w:rsidR="00976448" w:rsidRDefault="00976448" w:rsidP="00492B3A"/>
    <w:p w14:paraId="7EE00B55" w14:textId="11D818B2" w:rsidR="00492B3A" w:rsidRDefault="00492B3A" w:rsidP="00492B3A">
      <w:r>
        <w:t>&lt;ESMA_QUESTION_</w:t>
      </w:r>
      <w:r w:rsidR="00DC1B3F">
        <w:t>MMFR</w:t>
      </w:r>
      <w:r>
        <w:t>_1&gt;</w:t>
      </w:r>
    </w:p>
    <w:p w14:paraId="741FADC4" w14:textId="51312A72" w:rsidR="00492B3A" w:rsidRDefault="00077D89" w:rsidP="00492B3A">
      <w:permStart w:id="1576605906" w:edGrp="everyone"/>
      <w:r w:rsidRPr="00077D89">
        <w:rPr>
          <w:b/>
        </w:rPr>
        <w:t xml:space="preserve">Response to Q1 </w:t>
      </w:r>
      <w:proofErr w:type="spellStart"/>
      <w:r w:rsidRPr="00077D89">
        <w:rPr>
          <w:b/>
        </w:rPr>
        <w:t>i</w:t>
      </w:r>
      <w:proofErr w:type="spellEnd"/>
      <w:r>
        <w:t>)</w:t>
      </w:r>
    </w:p>
    <w:p w14:paraId="66362CD5" w14:textId="60B3446B" w:rsidR="00492B3A" w:rsidRDefault="00492B3A" w:rsidP="00492B3A"/>
    <w:p w14:paraId="1D77BCE7" w14:textId="77777777" w:rsidR="00077D89" w:rsidRPr="008E53F3" w:rsidRDefault="00077D89" w:rsidP="00077D89">
      <w:pPr>
        <w:pStyle w:val="Default"/>
        <w:rPr>
          <w:rFonts w:asciiTheme="minorHAnsi" w:hAnsiTheme="minorHAnsi" w:cstheme="minorBidi"/>
          <w:color w:val="auto"/>
          <w:sz w:val="22"/>
          <w:szCs w:val="22"/>
          <w:u w:val="single"/>
          <w:lang w:val="en-US"/>
        </w:rPr>
      </w:pPr>
      <w:r w:rsidRPr="008E53F3">
        <w:rPr>
          <w:rFonts w:asciiTheme="minorHAnsi" w:hAnsiTheme="minorHAnsi" w:cstheme="minorBidi"/>
          <w:color w:val="auto"/>
          <w:sz w:val="22"/>
          <w:szCs w:val="22"/>
          <w:u w:val="single"/>
          <w:lang w:val="en-US"/>
        </w:rPr>
        <w:t>Points 22 to 37:</w:t>
      </w:r>
    </w:p>
    <w:p w14:paraId="1596A869" w14:textId="77777777" w:rsidR="00077D89" w:rsidRDefault="00077D89" w:rsidP="00077D89">
      <w:pPr>
        <w:pStyle w:val="Default"/>
        <w:rPr>
          <w:rFonts w:asciiTheme="minorHAnsi" w:hAnsiTheme="minorHAnsi" w:cstheme="minorBidi"/>
          <w:color w:val="auto"/>
          <w:sz w:val="22"/>
          <w:szCs w:val="22"/>
          <w:lang w:val="en-US"/>
        </w:rPr>
      </w:pPr>
    </w:p>
    <w:p w14:paraId="4FC78A5A" w14:textId="77777777" w:rsidR="00077D89" w:rsidRDefault="00077D89" w:rsidP="00077D89">
      <w:pPr>
        <w:pStyle w:val="Default"/>
        <w:rPr>
          <w:rFonts w:asciiTheme="minorHAnsi" w:hAnsiTheme="minorHAnsi" w:cstheme="minorBidi"/>
          <w:color w:val="auto"/>
          <w:sz w:val="22"/>
          <w:szCs w:val="22"/>
          <w:lang w:val="en-US"/>
        </w:rPr>
      </w:pPr>
      <w:r>
        <w:rPr>
          <w:rFonts w:asciiTheme="minorHAnsi" w:hAnsiTheme="minorHAnsi" w:cstheme="minorBidi"/>
          <w:color w:val="auto"/>
          <w:sz w:val="22"/>
          <w:szCs w:val="22"/>
          <w:lang w:val="en-US"/>
        </w:rPr>
        <w:t>We globally agree with most assessments made in the points 22 to 37 of the consultation document.</w:t>
      </w:r>
    </w:p>
    <w:p w14:paraId="3513801A" w14:textId="77777777" w:rsidR="00077D89" w:rsidRDefault="00077D89" w:rsidP="00077D89">
      <w:pPr>
        <w:pStyle w:val="Default"/>
        <w:rPr>
          <w:rFonts w:asciiTheme="minorHAnsi" w:hAnsiTheme="minorHAnsi" w:cstheme="minorBidi"/>
          <w:color w:val="auto"/>
          <w:sz w:val="22"/>
          <w:szCs w:val="22"/>
          <w:lang w:val="en-US"/>
        </w:rPr>
      </w:pPr>
      <w:r>
        <w:rPr>
          <w:rFonts w:asciiTheme="minorHAnsi" w:hAnsiTheme="minorHAnsi" w:cstheme="minorBidi"/>
          <w:color w:val="auto"/>
          <w:sz w:val="22"/>
          <w:szCs w:val="22"/>
          <w:lang w:val="en-US"/>
        </w:rPr>
        <w:t xml:space="preserve">However, it seems to us that all these elements have to </w:t>
      </w:r>
      <w:proofErr w:type="gramStart"/>
      <w:r>
        <w:rPr>
          <w:rFonts w:asciiTheme="minorHAnsi" w:hAnsiTheme="minorHAnsi" w:cstheme="minorBidi"/>
          <w:color w:val="auto"/>
          <w:sz w:val="22"/>
          <w:szCs w:val="22"/>
          <w:lang w:val="en-US"/>
        </w:rPr>
        <w:t>be put</w:t>
      </w:r>
      <w:proofErr w:type="gramEnd"/>
      <w:r>
        <w:rPr>
          <w:rFonts w:asciiTheme="minorHAnsi" w:hAnsiTheme="minorHAnsi" w:cstheme="minorBidi"/>
          <w:color w:val="auto"/>
          <w:sz w:val="22"/>
          <w:szCs w:val="22"/>
          <w:lang w:val="en-US"/>
        </w:rPr>
        <w:t xml:space="preserve"> into perspective: indeed, as a sub-category of fixed income market</w:t>
      </w:r>
      <w:r w:rsidRPr="000A3F94">
        <w:rPr>
          <w:rFonts w:asciiTheme="minorHAnsi" w:hAnsiTheme="minorHAnsi" w:cstheme="minorBidi"/>
          <w:b/>
          <w:color w:val="auto"/>
          <w:sz w:val="22"/>
          <w:szCs w:val="22"/>
          <w:lang w:val="en-US"/>
        </w:rPr>
        <w:t>, money markets differ from broader bond market</w:t>
      </w:r>
      <w:r>
        <w:rPr>
          <w:rFonts w:asciiTheme="minorHAnsi" w:hAnsiTheme="minorHAnsi" w:cstheme="minorBidi"/>
          <w:color w:val="auto"/>
          <w:sz w:val="22"/>
          <w:szCs w:val="22"/>
          <w:lang w:val="en-US"/>
        </w:rPr>
        <w:t xml:space="preserve"> in a number of structural and technical features, which are the following:</w:t>
      </w:r>
    </w:p>
    <w:p w14:paraId="48264461" w14:textId="77777777" w:rsidR="00077D89" w:rsidRDefault="00077D89" w:rsidP="00077D89">
      <w:pPr>
        <w:pStyle w:val="Default"/>
        <w:rPr>
          <w:rFonts w:asciiTheme="minorHAnsi" w:hAnsiTheme="minorHAnsi" w:cstheme="minorBidi"/>
          <w:color w:val="auto"/>
          <w:sz w:val="22"/>
          <w:szCs w:val="22"/>
          <w:lang w:val="en-US"/>
        </w:rPr>
      </w:pPr>
    </w:p>
    <w:p w14:paraId="7F1A1C65" w14:textId="77777777" w:rsidR="00077D89" w:rsidRPr="00DF54AA" w:rsidRDefault="00077D89" w:rsidP="002E0DCD">
      <w:pPr>
        <w:pStyle w:val="Default"/>
        <w:numPr>
          <w:ilvl w:val="0"/>
          <w:numId w:val="40"/>
        </w:numPr>
        <w:rPr>
          <w:b/>
          <w:bCs/>
          <w:sz w:val="22"/>
          <w:szCs w:val="22"/>
          <w:lang w:val="en-US"/>
        </w:rPr>
      </w:pPr>
      <w:r>
        <w:rPr>
          <w:rFonts w:asciiTheme="minorHAnsi" w:hAnsiTheme="minorHAnsi" w:cstheme="minorBidi"/>
          <w:color w:val="auto"/>
          <w:sz w:val="22"/>
          <w:szCs w:val="22"/>
          <w:lang w:val="en-US"/>
        </w:rPr>
        <w:t xml:space="preserve">Mostly buy-and-hold driven. </w:t>
      </w:r>
    </w:p>
    <w:p w14:paraId="27C042C2" w14:textId="77777777" w:rsidR="00077D89" w:rsidRPr="00493168" w:rsidRDefault="00077D89" w:rsidP="002E0DCD">
      <w:pPr>
        <w:pStyle w:val="Default"/>
        <w:numPr>
          <w:ilvl w:val="0"/>
          <w:numId w:val="40"/>
        </w:numPr>
        <w:rPr>
          <w:b/>
          <w:bCs/>
          <w:sz w:val="22"/>
          <w:szCs w:val="22"/>
          <w:lang w:val="en-US"/>
        </w:rPr>
      </w:pPr>
      <w:r>
        <w:rPr>
          <w:rFonts w:asciiTheme="minorHAnsi" w:hAnsiTheme="minorHAnsi" w:cstheme="minorBidi"/>
          <w:color w:val="auto"/>
          <w:sz w:val="22"/>
          <w:szCs w:val="22"/>
          <w:lang w:val="en-US"/>
        </w:rPr>
        <w:t>Low volumes on secondary market (most of the time).</w:t>
      </w:r>
    </w:p>
    <w:p w14:paraId="15CDCDE4" w14:textId="77777777" w:rsidR="00077D89" w:rsidRPr="00493168" w:rsidRDefault="00077D89" w:rsidP="002E0DCD">
      <w:pPr>
        <w:pStyle w:val="Default"/>
        <w:numPr>
          <w:ilvl w:val="0"/>
          <w:numId w:val="40"/>
        </w:numPr>
        <w:rPr>
          <w:b/>
          <w:bCs/>
          <w:sz w:val="22"/>
          <w:szCs w:val="22"/>
          <w:lang w:val="en-US"/>
        </w:rPr>
      </w:pPr>
      <w:r>
        <w:rPr>
          <w:rFonts w:asciiTheme="minorHAnsi" w:hAnsiTheme="minorHAnsi" w:cstheme="minorBidi"/>
          <w:color w:val="auto"/>
          <w:sz w:val="22"/>
          <w:szCs w:val="22"/>
          <w:lang w:val="en-US"/>
        </w:rPr>
        <w:t>Limited number of players.</w:t>
      </w:r>
    </w:p>
    <w:p w14:paraId="13606D43" w14:textId="77777777" w:rsidR="00077D89" w:rsidRPr="00493168" w:rsidRDefault="00077D89" w:rsidP="002E0DCD">
      <w:pPr>
        <w:pStyle w:val="Default"/>
        <w:numPr>
          <w:ilvl w:val="0"/>
          <w:numId w:val="40"/>
        </w:numPr>
        <w:rPr>
          <w:b/>
          <w:bCs/>
          <w:sz w:val="22"/>
          <w:szCs w:val="22"/>
          <w:lang w:val="en-US"/>
        </w:rPr>
      </w:pPr>
      <w:r>
        <w:rPr>
          <w:rFonts w:asciiTheme="minorHAnsi" w:hAnsiTheme="minorHAnsi" w:cstheme="minorBidi"/>
          <w:color w:val="auto"/>
          <w:sz w:val="22"/>
          <w:szCs w:val="22"/>
          <w:lang w:val="en-US"/>
        </w:rPr>
        <w:t>Specific settlement channels.</w:t>
      </w:r>
    </w:p>
    <w:p w14:paraId="754C571D" w14:textId="77777777" w:rsidR="00077D89" w:rsidRPr="00493168" w:rsidRDefault="00077D89" w:rsidP="002E0DCD">
      <w:pPr>
        <w:pStyle w:val="Default"/>
        <w:numPr>
          <w:ilvl w:val="0"/>
          <w:numId w:val="40"/>
        </w:numPr>
        <w:rPr>
          <w:b/>
          <w:bCs/>
          <w:sz w:val="22"/>
          <w:szCs w:val="22"/>
          <w:lang w:val="en-US"/>
        </w:rPr>
      </w:pPr>
      <w:r>
        <w:rPr>
          <w:rFonts w:asciiTheme="minorHAnsi" w:hAnsiTheme="minorHAnsi" w:cstheme="minorBidi"/>
          <w:color w:val="auto"/>
          <w:sz w:val="22"/>
          <w:szCs w:val="22"/>
          <w:lang w:val="en-US"/>
        </w:rPr>
        <w:t>Modest arbitrage opportunities.</w:t>
      </w:r>
    </w:p>
    <w:p w14:paraId="0CB6E115" w14:textId="77777777" w:rsidR="00077D89" w:rsidRPr="00DF54AA" w:rsidRDefault="00077D89" w:rsidP="002E0DCD">
      <w:pPr>
        <w:pStyle w:val="Default"/>
        <w:numPr>
          <w:ilvl w:val="0"/>
          <w:numId w:val="40"/>
        </w:numPr>
        <w:rPr>
          <w:b/>
          <w:bCs/>
          <w:sz w:val="22"/>
          <w:szCs w:val="22"/>
          <w:lang w:val="en-US"/>
        </w:rPr>
      </w:pPr>
      <w:r>
        <w:rPr>
          <w:rFonts w:asciiTheme="minorHAnsi" w:hAnsiTheme="minorHAnsi" w:cstheme="minorBidi"/>
          <w:color w:val="auto"/>
          <w:sz w:val="22"/>
          <w:szCs w:val="22"/>
          <w:lang w:val="en-US"/>
        </w:rPr>
        <w:t>Limited range of maturities.</w:t>
      </w:r>
    </w:p>
    <w:p w14:paraId="5EE5ABAF" w14:textId="77777777" w:rsidR="00077D89" w:rsidRDefault="00077D89" w:rsidP="00077D89">
      <w:pPr>
        <w:pStyle w:val="Default"/>
        <w:rPr>
          <w:rFonts w:asciiTheme="minorHAnsi" w:hAnsiTheme="minorHAnsi" w:cstheme="minorBidi"/>
          <w:color w:val="auto"/>
          <w:sz w:val="22"/>
          <w:szCs w:val="22"/>
          <w:lang w:val="en-US"/>
        </w:rPr>
      </w:pPr>
    </w:p>
    <w:p w14:paraId="2BF8363C" w14:textId="77777777" w:rsidR="00077D89" w:rsidRDefault="00077D89" w:rsidP="00077D89">
      <w:pPr>
        <w:pStyle w:val="Default"/>
        <w:rPr>
          <w:rFonts w:asciiTheme="minorHAnsi" w:hAnsiTheme="minorHAnsi" w:cstheme="minorBidi"/>
          <w:color w:val="auto"/>
          <w:sz w:val="22"/>
          <w:szCs w:val="22"/>
          <w:lang w:val="en-US"/>
        </w:rPr>
      </w:pPr>
      <w:r>
        <w:rPr>
          <w:rFonts w:asciiTheme="minorHAnsi" w:hAnsiTheme="minorHAnsi" w:cstheme="minorBidi"/>
          <w:color w:val="auto"/>
          <w:sz w:val="22"/>
          <w:szCs w:val="22"/>
          <w:lang w:val="en-US"/>
        </w:rPr>
        <w:t xml:space="preserve">In other words, any assessment and related recommendation on money market functioning should integrate these features. Notably, one should admit that during “normal” time, i.e. in the absence of market stress, </w:t>
      </w:r>
      <w:r w:rsidRPr="00EC2328">
        <w:rPr>
          <w:rFonts w:asciiTheme="minorHAnsi" w:hAnsiTheme="minorHAnsi" w:cstheme="minorBidi"/>
          <w:b/>
          <w:color w:val="auto"/>
          <w:sz w:val="22"/>
          <w:szCs w:val="22"/>
          <w:lang w:val="en-US"/>
        </w:rPr>
        <w:t>vo</w:t>
      </w:r>
      <w:r>
        <w:rPr>
          <w:rFonts w:asciiTheme="minorHAnsi" w:hAnsiTheme="minorHAnsi" w:cstheme="minorBidi"/>
          <w:b/>
          <w:color w:val="auto"/>
          <w:sz w:val="22"/>
          <w:szCs w:val="22"/>
          <w:lang w:val="en-US"/>
        </w:rPr>
        <w:t>lumes on secondary market are structurally</w:t>
      </w:r>
      <w:r w:rsidRPr="00EC2328">
        <w:rPr>
          <w:rFonts w:asciiTheme="minorHAnsi" w:hAnsiTheme="minorHAnsi" w:cstheme="minorBidi"/>
          <w:b/>
          <w:color w:val="auto"/>
          <w:sz w:val="22"/>
          <w:szCs w:val="22"/>
          <w:lang w:val="en-US"/>
        </w:rPr>
        <w:t xml:space="preserve"> low, while liquidity – defined as the rapidity and easiness to sell a position – remains high.</w:t>
      </w:r>
      <w:r>
        <w:rPr>
          <w:rFonts w:asciiTheme="minorHAnsi" w:hAnsiTheme="minorHAnsi" w:cstheme="minorBidi"/>
          <w:b/>
          <w:color w:val="auto"/>
          <w:sz w:val="22"/>
          <w:szCs w:val="22"/>
          <w:lang w:val="en-US"/>
        </w:rPr>
        <w:t xml:space="preserve"> </w:t>
      </w:r>
    </w:p>
    <w:p w14:paraId="6C457795" w14:textId="77777777" w:rsidR="00077D89" w:rsidRDefault="00077D89" w:rsidP="00077D89">
      <w:pPr>
        <w:pStyle w:val="Default"/>
        <w:rPr>
          <w:rFonts w:asciiTheme="minorHAnsi" w:hAnsiTheme="minorHAnsi" w:cstheme="minorBidi"/>
          <w:color w:val="auto"/>
          <w:sz w:val="22"/>
          <w:szCs w:val="22"/>
          <w:lang w:val="en-US"/>
        </w:rPr>
      </w:pPr>
      <w:r>
        <w:rPr>
          <w:rFonts w:asciiTheme="minorHAnsi" w:hAnsiTheme="minorHAnsi" w:cstheme="minorBidi"/>
          <w:color w:val="auto"/>
          <w:sz w:val="22"/>
          <w:szCs w:val="22"/>
          <w:lang w:val="en-US"/>
        </w:rPr>
        <w:t xml:space="preserve">As mentioned earlier, we do believe that Covid-19 crisis has revealed a need for improving money market </w:t>
      </w:r>
      <w:r w:rsidRPr="004128D7">
        <w:rPr>
          <w:rFonts w:asciiTheme="minorHAnsi" w:hAnsiTheme="minorHAnsi" w:cstheme="minorBidi"/>
          <w:b/>
          <w:color w:val="auto"/>
          <w:sz w:val="22"/>
          <w:szCs w:val="22"/>
          <w:lang w:val="en-US"/>
        </w:rPr>
        <w:t>liquidity</w:t>
      </w:r>
      <w:r>
        <w:rPr>
          <w:rFonts w:asciiTheme="minorHAnsi" w:hAnsiTheme="minorHAnsi" w:cstheme="minorBidi"/>
          <w:color w:val="auto"/>
          <w:sz w:val="22"/>
          <w:szCs w:val="22"/>
          <w:lang w:val="en-US"/>
        </w:rPr>
        <w:t>, not necessarily through a rise in daily volumes.</w:t>
      </w:r>
    </w:p>
    <w:p w14:paraId="40097C86" w14:textId="77777777" w:rsidR="00077D89" w:rsidRDefault="00077D89" w:rsidP="00077D89">
      <w:pPr>
        <w:pStyle w:val="Default"/>
        <w:rPr>
          <w:rFonts w:asciiTheme="minorHAnsi" w:hAnsiTheme="minorHAnsi" w:cstheme="minorBidi"/>
          <w:color w:val="auto"/>
          <w:sz w:val="22"/>
          <w:szCs w:val="22"/>
          <w:lang w:val="en-US"/>
        </w:rPr>
      </w:pPr>
      <w:r>
        <w:rPr>
          <w:rFonts w:asciiTheme="minorHAnsi" w:hAnsiTheme="minorHAnsi" w:cstheme="minorBidi"/>
          <w:color w:val="auto"/>
          <w:sz w:val="22"/>
          <w:szCs w:val="22"/>
          <w:lang w:val="en-US"/>
        </w:rPr>
        <w:t>In our view, money markets need to be better prepared to face a liquidity crisis. To reach this objective, we suggest acting on different fronts:</w:t>
      </w:r>
    </w:p>
    <w:p w14:paraId="46FB0203" w14:textId="77777777" w:rsidR="00077D89" w:rsidRDefault="00077D89" w:rsidP="00077D89">
      <w:pPr>
        <w:pStyle w:val="Default"/>
        <w:rPr>
          <w:rFonts w:asciiTheme="minorHAnsi" w:hAnsiTheme="minorHAnsi" w:cstheme="minorBidi"/>
          <w:color w:val="auto"/>
          <w:sz w:val="22"/>
          <w:szCs w:val="22"/>
          <w:lang w:val="en-US"/>
        </w:rPr>
      </w:pPr>
    </w:p>
    <w:p w14:paraId="2689050F" w14:textId="77777777" w:rsidR="00077D89" w:rsidRPr="00083CC6" w:rsidRDefault="00077D89" w:rsidP="002E0DCD">
      <w:pPr>
        <w:pStyle w:val="Default"/>
        <w:numPr>
          <w:ilvl w:val="0"/>
          <w:numId w:val="40"/>
        </w:numPr>
        <w:rPr>
          <w:bCs/>
          <w:sz w:val="22"/>
          <w:szCs w:val="22"/>
          <w:lang w:val="en-US"/>
        </w:rPr>
      </w:pPr>
      <w:r>
        <w:rPr>
          <w:rFonts w:asciiTheme="minorHAnsi" w:hAnsiTheme="minorHAnsi" w:cstheme="minorBidi"/>
          <w:color w:val="auto"/>
          <w:sz w:val="22"/>
          <w:szCs w:val="22"/>
          <w:lang w:val="en-US"/>
        </w:rPr>
        <w:t>Improve market transparency.</w:t>
      </w:r>
    </w:p>
    <w:p w14:paraId="7193CD5D" w14:textId="77777777" w:rsidR="00077D89" w:rsidRPr="00083CC6" w:rsidRDefault="00077D89" w:rsidP="002E0DCD">
      <w:pPr>
        <w:pStyle w:val="Default"/>
        <w:numPr>
          <w:ilvl w:val="0"/>
          <w:numId w:val="40"/>
        </w:numPr>
        <w:rPr>
          <w:bCs/>
          <w:sz w:val="22"/>
          <w:szCs w:val="22"/>
          <w:lang w:val="en-US"/>
        </w:rPr>
      </w:pPr>
      <w:r>
        <w:rPr>
          <w:rFonts w:asciiTheme="minorHAnsi" w:hAnsiTheme="minorHAnsi" w:cstheme="minorBidi"/>
          <w:color w:val="auto"/>
          <w:sz w:val="22"/>
          <w:szCs w:val="22"/>
          <w:lang w:val="en-US"/>
        </w:rPr>
        <w:t>Incentivize dealers to provide bids on a continuous basis.</w:t>
      </w:r>
    </w:p>
    <w:p w14:paraId="4E3A5C79" w14:textId="77777777" w:rsidR="00077D89" w:rsidRPr="00A25ABF" w:rsidRDefault="00077D89" w:rsidP="002E0DCD">
      <w:pPr>
        <w:pStyle w:val="Default"/>
        <w:numPr>
          <w:ilvl w:val="0"/>
          <w:numId w:val="40"/>
        </w:numPr>
        <w:rPr>
          <w:bCs/>
          <w:sz w:val="22"/>
          <w:szCs w:val="22"/>
          <w:lang w:val="en-US"/>
        </w:rPr>
      </w:pPr>
      <w:r>
        <w:rPr>
          <w:rFonts w:asciiTheme="minorHAnsi" w:hAnsiTheme="minorHAnsi" w:cstheme="minorBidi"/>
          <w:color w:val="auto"/>
          <w:sz w:val="22"/>
          <w:szCs w:val="22"/>
          <w:lang w:val="en-US"/>
        </w:rPr>
        <w:t>Facilitate the use of money market instruments as a means to access Central Bank’ liquidity, either through refi operations, or through Asset Purchase Program (APP).</w:t>
      </w:r>
    </w:p>
    <w:p w14:paraId="2FFA792E" w14:textId="77777777" w:rsidR="00077D89" w:rsidRDefault="00077D89" w:rsidP="00077D89">
      <w:pPr>
        <w:pStyle w:val="Default"/>
        <w:rPr>
          <w:rFonts w:asciiTheme="minorHAnsi" w:hAnsiTheme="minorHAnsi" w:cstheme="minorBidi"/>
          <w:color w:val="auto"/>
          <w:sz w:val="22"/>
          <w:szCs w:val="22"/>
          <w:lang w:val="en-US"/>
        </w:rPr>
      </w:pPr>
    </w:p>
    <w:p w14:paraId="3707B0C7" w14:textId="77777777" w:rsidR="00077D89" w:rsidRPr="008E53F3" w:rsidRDefault="00077D89" w:rsidP="00077D89">
      <w:pPr>
        <w:pStyle w:val="Default"/>
        <w:rPr>
          <w:rFonts w:asciiTheme="minorHAnsi" w:hAnsiTheme="minorHAnsi" w:cstheme="minorBidi"/>
          <w:color w:val="auto"/>
          <w:sz w:val="22"/>
          <w:szCs w:val="22"/>
          <w:u w:val="single"/>
          <w:lang w:val="en-US"/>
        </w:rPr>
      </w:pPr>
      <w:r w:rsidRPr="008E53F3">
        <w:rPr>
          <w:rFonts w:asciiTheme="minorHAnsi" w:hAnsiTheme="minorHAnsi" w:cstheme="minorBidi"/>
          <w:color w:val="auto"/>
          <w:sz w:val="22"/>
          <w:szCs w:val="22"/>
          <w:u w:val="single"/>
          <w:lang w:val="en-US"/>
        </w:rPr>
        <w:t xml:space="preserve">Point 38 to 49: </w:t>
      </w:r>
    </w:p>
    <w:p w14:paraId="3D159EAE" w14:textId="77777777" w:rsidR="00077D89" w:rsidRDefault="00077D89" w:rsidP="00077D89">
      <w:pPr>
        <w:pStyle w:val="Default"/>
        <w:rPr>
          <w:rFonts w:asciiTheme="minorHAnsi" w:hAnsiTheme="minorHAnsi" w:cstheme="minorBidi"/>
          <w:color w:val="auto"/>
          <w:sz w:val="22"/>
          <w:szCs w:val="22"/>
          <w:lang w:val="en-US"/>
        </w:rPr>
      </w:pPr>
    </w:p>
    <w:p w14:paraId="017551A1" w14:textId="77777777" w:rsidR="00077D89" w:rsidRDefault="00077D89" w:rsidP="00077D89">
      <w:pPr>
        <w:pStyle w:val="Default"/>
        <w:rPr>
          <w:rFonts w:asciiTheme="minorHAnsi" w:hAnsiTheme="minorHAnsi" w:cstheme="minorBidi"/>
          <w:color w:val="auto"/>
          <w:sz w:val="22"/>
          <w:szCs w:val="22"/>
          <w:lang w:val="en-US"/>
        </w:rPr>
      </w:pPr>
      <w:r>
        <w:rPr>
          <w:rFonts w:asciiTheme="minorHAnsi" w:hAnsiTheme="minorHAnsi" w:cstheme="minorBidi"/>
          <w:color w:val="auto"/>
          <w:sz w:val="22"/>
          <w:szCs w:val="22"/>
          <w:lang w:val="en-US"/>
        </w:rPr>
        <w:t>As described in the report on Trends, Risks and Vulnerabilities published by ESMA on March 2021 (n°1, 2021, p62, RA.4 “MMF size</w:t>
      </w:r>
      <w:r w:rsidRPr="00CE7C2E">
        <w:rPr>
          <w:rFonts w:asciiTheme="minorHAnsi" w:hAnsiTheme="minorHAnsi" w:cstheme="minorBidi"/>
          <w:b/>
          <w:color w:val="auto"/>
          <w:sz w:val="22"/>
          <w:szCs w:val="22"/>
          <w:lang w:val="en-US"/>
        </w:rPr>
        <w:t>”), a significant part, roughly 85%, of CNAV / LVNAV type of MMFs is denominated in non-EU currencies, i.e. USD and GBP.</w:t>
      </w:r>
    </w:p>
    <w:p w14:paraId="0CC94DDB" w14:textId="77777777" w:rsidR="00077D89" w:rsidRDefault="00077D89" w:rsidP="00077D89">
      <w:pPr>
        <w:pStyle w:val="Default"/>
        <w:rPr>
          <w:rFonts w:asciiTheme="minorHAnsi" w:hAnsiTheme="minorHAnsi" w:cstheme="minorBidi"/>
          <w:color w:val="auto"/>
          <w:sz w:val="22"/>
          <w:szCs w:val="22"/>
          <w:lang w:val="en-US"/>
        </w:rPr>
      </w:pPr>
    </w:p>
    <w:p w14:paraId="21BC7F29" w14:textId="77777777" w:rsidR="00077D89" w:rsidRDefault="00077D89" w:rsidP="00077D89">
      <w:pPr>
        <w:pStyle w:val="Default"/>
        <w:rPr>
          <w:rFonts w:asciiTheme="minorHAnsi" w:hAnsiTheme="minorHAnsi" w:cstheme="minorBidi"/>
          <w:color w:val="auto"/>
          <w:sz w:val="22"/>
          <w:szCs w:val="22"/>
          <w:lang w:val="en-US"/>
        </w:rPr>
      </w:pPr>
      <w:r>
        <w:rPr>
          <w:rFonts w:asciiTheme="minorHAnsi" w:hAnsiTheme="minorHAnsi" w:cstheme="minorBidi"/>
          <w:color w:val="auto"/>
          <w:sz w:val="22"/>
          <w:szCs w:val="22"/>
          <w:lang w:val="en-US"/>
        </w:rPr>
        <w:t>Amundi’s footprint on this market is quite modest (less than 2% of our MMFs’ assets). However, we would like to make a few general points regarding the regulatory constraints raised in this part of the consultation document:</w:t>
      </w:r>
    </w:p>
    <w:p w14:paraId="57671A80" w14:textId="77777777" w:rsidR="00077D89" w:rsidRDefault="00077D89" w:rsidP="00077D89">
      <w:pPr>
        <w:pStyle w:val="Default"/>
        <w:rPr>
          <w:rFonts w:asciiTheme="minorHAnsi" w:hAnsiTheme="minorHAnsi" w:cstheme="minorBidi"/>
          <w:color w:val="auto"/>
          <w:sz w:val="22"/>
          <w:szCs w:val="22"/>
          <w:lang w:val="en-US"/>
        </w:rPr>
      </w:pPr>
    </w:p>
    <w:p w14:paraId="29709773" w14:textId="77777777" w:rsidR="00077D89" w:rsidRPr="00621903" w:rsidRDefault="00077D89" w:rsidP="002E0DCD">
      <w:pPr>
        <w:pStyle w:val="Default"/>
        <w:numPr>
          <w:ilvl w:val="0"/>
          <w:numId w:val="40"/>
        </w:numPr>
        <w:rPr>
          <w:bCs/>
          <w:sz w:val="22"/>
          <w:szCs w:val="22"/>
          <w:u w:val="single"/>
          <w:lang w:val="en-US"/>
        </w:rPr>
      </w:pPr>
      <w:r>
        <w:rPr>
          <w:rFonts w:asciiTheme="minorHAnsi" w:hAnsiTheme="minorHAnsi" w:cstheme="minorBidi"/>
          <w:color w:val="auto"/>
          <w:sz w:val="22"/>
          <w:szCs w:val="22"/>
          <w:lang w:val="en-US"/>
        </w:rPr>
        <w:t xml:space="preserve">The introduction of both 20bp-collar and fees/gates set-up is the counterpart for maintaining the cost-amortization methodology in LVNAV-type MMFs and, as such, </w:t>
      </w:r>
      <w:r w:rsidRPr="00621903">
        <w:rPr>
          <w:rFonts w:asciiTheme="minorHAnsi" w:hAnsiTheme="minorHAnsi" w:cstheme="minorBidi"/>
          <w:color w:val="auto"/>
          <w:sz w:val="22"/>
          <w:szCs w:val="22"/>
          <w:u w:val="single"/>
          <w:lang w:val="en-US"/>
        </w:rPr>
        <w:t>is</w:t>
      </w:r>
      <w:r>
        <w:rPr>
          <w:rFonts w:asciiTheme="minorHAnsi" w:hAnsiTheme="minorHAnsi" w:cstheme="minorBidi"/>
          <w:color w:val="auto"/>
          <w:sz w:val="22"/>
          <w:szCs w:val="22"/>
          <w:u w:val="single"/>
          <w:lang w:val="en-US"/>
        </w:rPr>
        <w:t xml:space="preserve"> a</w:t>
      </w:r>
      <w:r w:rsidRPr="00621903">
        <w:rPr>
          <w:rFonts w:asciiTheme="minorHAnsi" w:hAnsiTheme="minorHAnsi" w:cstheme="minorBidi"/>
          <w:color w:val="auto"/>
          <w:sz w:val="22"/>
          <w:szCs w:val="22"/>
          <w:u w:val="single"/>
          <w:lang w:val="en-US"/>
        </w:rPr>
        <w:t xml:space="preserve"> key feature of the reform introduced by MMFR</w:t>
      </w:r>
      <w:r>
        <w:rPr>
          <w:rFonts w:asciiTheme="minorHAnsi" w:hAnsiTheme="minorHAnsi" w:cstheme="minorBidi"/>
          <w:color w:val="auto"/>
          <w:sz w:val="22"/>
          <w:szCs w:val="22"/>
          <w:u w:val="single"/>
          <w:lang w:val="en-US"/>
        </w:rPr>
        <w:t>.</w:t>
      </w:r>
    </w:p>
    <w:p w14:paraId="5F6EEAFF" w14:textId="77777777" w:rsidR="00077D89" w:rsidRPr="00CB74D3" w:rsidRDefault="00077D89" w:rsidP="002E0DCD">
      <w:pPr>
        <w:pStyle w:val="Default"/>
        <w:numPr>
          <w:ilvl w:val="0"/>
          <w:numId w:val="40"/>
        </w:numPr>
        <w:rPr>
          <w:bCs/>
          <w:sz w:val="22"/>
          <w:szCs w:val="22"/>
          <w:lang w:val="en-US"/>
        </w:rPr>
      </w:pPr>
      <w:r>
        <w:rPr>
          <w:rFonts w:asciiTheme="minorHAnsi" w:hAnsiTheme="minorHAnsi" w:cstheme="minorBidi"/>
          <w:color w:val="auto"/>
          <w:sz w:val="22"/>
          <w:szCs w:val="22"/>
          <w:lang w:val="en-US"/>
        </w:rPr>
        <w:t xml:space="preserve">While the points 46 and 47 raise the risk of a first-mover advantage, or pre-emptive runs driven by the fear of seeing either </w:t>
      </w:r>
      <w:r w:rsidRPr="00CB74D3">
        <w:rPr>
          <w:rFonts w:asciiTheme="minorHAnsi" w:hAnsiTheme="minorHAnsi" w:cstheme="minorBidi"/>
          <w:b/>
          <w:color w:val="auto"/>
          <w:sz w:val="22"/>
          <w:szCs w:val="22"/>
          <w:lang w:val="en-US"/>
        </w:rPr>
        <w:t>fees or gates</w:t>
      </w:r>
      <w:r>
        <w:rPr>
          <w:rFonts w:asciiTheme="minorHAnsi" w:hAnsiTheme="minorHAnsi" w:cstheme="minorBidi"/>
          <w:color w:val="auto"/>
          <w:sz w:val="22"/>
          <w:szCs w:val="22"/>
          <w:lang w:val="en-US"/>
        </w:rPr>
        <w:t xml:space="preserve"> activated, the following points 83 and 84 only deal with fear of </w:t>
      </w:r>
      <w:r w:rsidRPr="00CB74D3">
        <w:rPr>
          <w:rFonts w:asciiTheme="minorHAnsi" w:hAnsiTheme="minorHAnsi" w:cstheme="minorBidi"/>
          <w:b/>
          <w:color w:val="auto"/>
          <w:sz w:val="22"/>
          <w:szCs w:val="22"/>
          <w:lang w:val="en-US"/>
        </w:rPr>
        <w:t>“suspension/gates”.</w:t>
      </w:r>
    </w:p>
    <w:p w14:paraId="3D3A18C5" w14:textId="77777777" w:rsidR="00077D89" w:rsidRPr="00CB74D3" w:rsidRDefault="00077D89" w:rsidP="002E0DCD">
      <w:pPr>
        <w:pStyle w:val="Default"/>
        <w:numPr>
          <w:ilvl w:val="0"/>
          <w:numId w:val="40"/>
        </w:numPr>
        <w:rPr>
          <w:bCs/>
          <w:sz w:val="22"/>
          <w:szCs w:val="22"/>
          <w:lang w:val="en-US"/>
        </w:rPr>
      </w:pPr>
      <w:r>
        <w:rPr>
          <w:rFonts w:asciiTheme="minorHAnsi" w:hAnsiTheme="minorHAnsi" w:cstheme="minorBidi"/>
          <w:color w:val="auto"/>
          <w:sz w:val="22"/>
          <w:szCs w:val="22"/>
          <w:lang w:val="en-US"/>
        </w:rPr>
        <w:t xml:space="preserve">In our opinion, indeed, </w:t>
      </w:r>
      <w:r w:rsidRPr="00F307BC">
        <w:rPr>
          <w:rFonts w:asciiTheme="minorHAnsi" w:hAnsiTheme="minorHAnsi" w:cstheme="minorBidi"/>
          <w:b/>
          <w:color w:val="auto"/>
          <w:sz w:val="22"/>
          <w:szCs w:val="22"/>
          <w:lang w:val="en-US"/>
        </w:rPr>
        <w:t>suspensions and gates embed the same traumatic effects</w:t>
      </w:r>
      <w:r>
        <w:rPr>
          <w:rFonts w:asciiTheme="minorHAnsi" w:hAnsiTheme="minorHAnsi" w:cstheme="minorBidi"/>
          <w:color w:val="auto"/>
          <w:sz w:val="22"/>
          <w:szCs w:val="22"/>
          <w:lang w:val="en-US"/>
        </w:rPr>
        <w:t>, as they constitute an extremely disrupting weapon to address the liquidity of a collective scheme, especially when it comes to MMFs.</w:t>
      </w:r>
    </w:p>
    <w:p w14:paraId="78D51920" w14:textId="77777777" w:rsidR="00077D89" w:rsidRDefault="00077D89" w:rsidP="002E0DCD">
      <w:pPr>
        <w:pStyle w:val="Default"/>
        <w:numPr>
          <w:ilvl w:val="0"/>
          <w:numId w:val="40"/>
        </w:numPr>
        <w:rPr>
          <w:bCs/>
          <w:sz w:val="22"/>
          <w:szCs w:val="22"/>
          <w:lang w:val="en-US"/>
        </w:rPr>
      </w:pPr>
      <w:r>
        <w:rPr>
          <w:rFonts w:asciiTheme="minorHAnsi" w:hAnsiTheme="minorHAnsi" w:cstheme="minorBidi"/>
          <w:color w:val="auto"/>
          <w:sz w:val="22"/>
          <w:szCs w:val="22"/>
          <w:lang w:val="en-US"/>
        </w:rPr>
        <w:t xml:space="preserve">In other words, we believe that the risk of runs will materialize instantaneously should shareholders of a given MMF </w:t>
      </w:r>
      <w:r w:rsidRPr="001509CA">
        <w:rPr>
          <w:rFonts w:asciiTheme="minorHAnsi" w:hAnsiTheme="minorHAnsi" w:cstheme="minorBidi"/>
          <w:b/>
          <w:color w:val="auto"/>
          <w:sz w:val="22"/>
          <w:szCs w:val="22"/>
          <w:lang w:val="en-US"/>
        </w:rPr>
        <w:t xml:space="preserve">start anticipating that gates </w:t>
      </w:r>
      <w:proofErr w:type="gramStart"/>
      <w:r w:rsidRPr="001509CA">
        <w:rPr>
          <w:rFonts w:asciiTheme="minorHAnsi" w:hAnsiTheme="minorHAnsi" w:cstheme="minorBidi"/>
          <w:b/>
          <w:color w:val="auto"/>
          <w:sz w:val="22"/>
          <w:szCs w:val="22"/>
          <w:lang w:val="en-US"/>
        </w:rPr>
        <w:t>could be activated</w:t>
      </w:r>
      <w:proofErr w:type="gramEnd"/>
      <w:r w:rsidRPr="001509CA">
        <w:rPr>
          <w:rFonts w:asciiTheme="minorHAnsi" w:hAnsiTheme="minorHAnsi" w:cstheme="minorBidi"/>
          <w:b/>
          <w:color w:val="auto"/>
          <w:sz w:val="22"/>
          <w:szCs w:val="22"/>
          <w:lang w:val="en-US"/>
        </w:rPr>
        <w:t xml:space="preserve"> in a near future.</w:t>
      </w:r>
    </w:p>
    <w:p w14:paraId="2231DF7B" w14:textId="1915CEEB" w:rsidR="00077D89" w:rsidRPr="00077D89" w:rsidRDefault="00077D89" w:rsidP="002E0DCD">
      <w:pPr>
        <w:pStyle w:val="Default"/>
        <w:numPr>
          <w:ilvl w:val="0"/>
          <w:numId w:val="40"/>
        </w:numPr>
        <w:rPr>
          <w:bCs/>
          <w:sz w:val="22"/>
          <w:szCs w:val="22"/>
          <w:lang w:val="en-US"/>
        </w:rPr>
      </w:pPr>
      <w:r w:rsidRPr="001509CA">
        <w:rPr>
          <w:rFonts w:asciiTheme="minorHAnsi" w:hAnsiTheme="minorHAnsi" w:cstheme="minorBidi"/>
          <w:color w:val="auto"/>
          <w:sz w:val="22"/>
          <w:szCs w:val="22"/>
          <w:lang w:val="en-US"/>
        </w:rPr>
        <w:t>While the materialization of such an anticipation can be linked to several elements, the shrink of an LVNAV’s WLA (weekly liquid assets), publicly visible as required by article 36 of MMFR, can indeed be a key trigger.</w:t>
      </w:r>
    </w:p>
    <w:p w14:paraId="74AFD347" w14:textId="5FF3E6FB" w:rsidR="00077D89" w:rsidRDefault="00077D89" w:rsidP="00077D89">
      <w:pPr>
        <w:pStyle w:val="Default"/>
        <w:rPr>
          <w:rFonts w:asciiTheme="minorHAnsi" w:hAnsiTheme="minorHAnsi" w:cstheme="minorBidi"/>
          <w:color w:val="auto"/>
          <w:sz w:val="22"/>
          <w:szCs w:val="22"/>
          <w:lang w:val="en-US"/>
        </w:rPr>
      </w:pPr>
    </w:p>
    <w:p w14:paraId="2AF11FC6" w14:textId="5810C0D1" w:rsidR="00077D89" w:rsidRDefault="00077D89" w:rsidP="00077D89">
      <w:pPr>
        <w:pStyle w:val="Default"/>
        <w:rPr>
          <w:rFonts w:ascii="Arial" w:hAnsi="Arial" w:cs="Times New Roman"/>
          <w:b/>
          <w:color w:val="auto"/>
          <w:sz w:val="20"/>
          <w:lang w:val="en-GB" w:eastAsia="de-DE"/>
        </w:rPr>
      </w:pPr>
      <w:r w:rsidRPr="00077D89">
        <w:rPr>
          <w:rFonts w:ascii="Arial" w:hAnsi="Arial" w:cs="Times New Roman"/>
          <w:b/>
          <w:color w:val="auto"/>
          <w:sz w:val="20"/>
          <w:lang w:val="en-GB" w:eastAsia="de-DE"/>
        </w:rPr>
        <w:t>Response to Q1 ii)</w:t>
      </w:r>
    </w:p>
    <w:p w14:paraId="251BEAB0" w14:textId="77777777" w:rsidR="00077D89" w:rsidRDefault="00077D89" w:rsidP="00077D89">
      <w:pPr>
        <w:pStyle w:val="Default"/>
        <w:rPr>
          <w:rFonts w:asciiTheme="minorHAnsi" w:hAnsiTheme="minorHAnsi" w:cstheme="minorBidi"/>
          <w:color w:val="auto"/>
          <w:sz w:val="22"/>
          <w:szCs w:val="22"/>
          <w:lang w:val="en-US"/>
        </w:rPr>
      </w:pPr>
    </w:p>
    <w:p w14:paraId="430C5D45" w14:textId="5589DE24" w:rsidR="00077D89" w:rsidRPr="008E53F3" w:rsidRDefault="00077D89" w:rsidP="00077D89">
      <w:pPr>
        <w:pStyle w:val="Default"/>
        <w:rPr>
          <w:rFonts w:asciiTheme="minorHAnsi" w:hAnsiTheme="minorHAnsi" w:cstheme="minorBidi"/>
          <w:color w:val="auto"/>
          <w:sz w:val="22"/>
          <w:szCs w:val="22"/>
          <w:u w:val="single"/>
          <w:lang w:val="en-US"/>
        </w:rPr>
      </w:pPr>
      <w:r w:rsidRPr="008E53F3">
        <w:rPr>
          <w:rFonts w:asciiTheme="minorHAnsi" w:hAnsiTheme="minorHAnsi" w:cstheme="minorBidi"/>
          <w:color w:val="auto"/>
          <w:sz w:val="22"/>
          <w:szCs w:val="22"/>
          <w:u w:val="single"/>
          <w:lang w:val="en-US"/>
        </w:rPr>
        <w:t>Points 50 to 57:</w:t>
      </w:r>
    </w:p>
    <w:p w14:paraId="4C62EC91" w14:textId="77777777" w:rsidR="00077D89" w:rsidRDefault="00077D89" w:rsidP="00077D89">
      <w:pPr>
        <w:pStyle w:val="Default"/>
        <w:rPr>
          <w:rFonts w:asciiTheme="minorHAnsi" w:hAnsiTheme="minorHAnsi" w:cstheme="minorBidi"/>
          <w:color w:val="auto"/>
          <w:sz w:val="22"/>
          <w:szCs w:val="22"/>
          <w:lang w:val="en-US"/>
        </w:rPr>
      </w:pPr>
    </w:p>
    <w:p w14:paraId="0A1A61FA" w14:textId="2342DBDB" w:rsidR="00077D89" w:rsidRDefault="00077D89" w:rsidP="00077D89">
      <w:pPr>
        <w:pStyle w:val="Default"/>
        <w:rPr>
          <w:rFonts w:asciiTheme="minorHAnsi" w:hAnsiTheme="minorHAnsi" w:cstheme="minorBidi"/>
          <w:color w:val="auto"/>
          <w:sz w:val="22"/>
          <w:szCs w:val="22"/>
          <w:lang w:val="en-US"/>
        </w:rPr>
      </w:pPr>
      <w:r>
        <w:rPr>
          <w:rFonts w:asciiTheme="minorHAnsi" w:hAnsiTheme="minorHAnsi" w:cstheme="minorBidi"/>
          <w:color w:val="auto"/>
          <w:sz w:val="22"/>
          <w:szCs w:val="22"/>
          <w:lang w:val="en-US"/>
        </w:rPr>
        <w:t>Though we globally agree with these different points, we do not have a clear view on the possible impact of the constraints that CRAs impose in exchange of the AAA label. Inde</w:t>
      </w:r>
      <w:r w:rsidR="00B559B4">
        <w:rPr>
          <w:rFonts w:asciiTheme="minorHAnsi" w:hAnsiTheme="minorHAnsi" w:cstheme="minorBidi"/>
          <w:color w:val="auto"/>
          <w:sz w:val="22"/>
          <w:szCs w:val="22"/>
          <w:lang w:val="en-US"/>
        </w:rPr>
        <w:t>ed, as for topics covering CNAV</w:t>
      </w:r>
      <w:r>
        <w:rPr>
          <w:rFonts w:asciiTheme="minorHAnsi" w:hAnsiTheme="minorHAnsi" w:cstheme="minorBidi"/>
          <w:color w:val="auto"/>
          <w:sz w:val="22"/>
          <w:szCs w:val="22"/>
          <w:lang w:val="en-US"/>
        </w:rPr>
        <w:t xml:space="preserve">/LVNAV issues, only a tiny part of our MMFs </w:t>
      </w:r>
      <w:proofErr w:type="gramStart"/>
      <w:r>
        <w:rPr>
          <w:rFonts w:asciiTheme="minorHAnsi" w:hAnsiTheme="minorHAnsi" w:cstheme="minorBidi"/>
          <w:color w:val="auto"/>
          <w:sz w:val="22"/>
          <w:szCs w:val="22"/>
          <w:lang w:val="en-US"/>
        </w:rPr>
        <w:t>is rated</w:t>
      </w:r>
      <w:proofErr w:type="gramEnd"/>
      <w:r>
        <w:rPr>
          <w:rFonts w:asciiTheme="minorHAnsi" w:hAnsiTheme="minorHAnsi" w:cstheme="minorBidi"/>
          <w:color w:val="auto"/>
          <w:sz w:val="22"/>
          <w:szCs w:val="22"/>
          <w:lang w:val="en-US"/>
        </w:rPr>
        <w:t>, and an even tinier part is granted the AAA-rating label.</w:t>
      </w:r>
    </w:p>
    <w:p w14:paraId="312D6B7E" w14:textId="77777777" w:rsidR="00077D89" w:rsidRDefault="00077D89" w:rsidP="00077D89">
      <w:pPr>
        <w:pStyle w:val="Default"/>
        <w:rPr>
          <w:rFonts w:asciiTheme="minorHAnsi" w:hAnsiTheme="minorHAnsi" w:cstheme="minorBidi"/>
          <w:color w:val="auto"/>
          <w:sz w:val="22"/>
          <w:szCs w:val="22"/>
          <w:lang w:val="en-US"/>
        </w:rPr>
      </w:pPr>
    </w:p>
    <w:p w14:paraId="3681990A" w14:textId="77777777" w:rsidR="00077D89" w:rsidRDefault="00077D89" w:rsidP="00077D89">
      <w:pPr>
        <w:pStyle w:val="Default"/>
        <w:rPr>
          <w:rFonts w:asciiTheme="minorHAnsi" w:hAnsiTheme="minorHAnsi" w:cstheme="minorBidi"/>
          <w:color w:val="auto"/>
          <w:sz w:val="22"/>
          <w:szCs w:val="22"/>
          <w:lang w:val="en-US"/>
        </w:rPr>
      </w:pPr>
      <w:r>
        <w:rPr>
          <w:rFonts w:asciiTheme="minorHAnsi" w:hAnsiTheme="minorHAnsi" w:cstheme="minorBidi"/>
          <w:color w:val="auto"/>
          <w:sz w:val="22"/>
          <w:szCs w:val="22"/>
          <w:lang w:val="en-US"/>
        </w:rPr>
        <w:t>The only points we would like to make are the following:</w:t>
      </w:r>
    </w:p>
    <w:p w14:paraId="24D8ED6D" w14:textId="77777777" w:rsidR="00077D89" w:rsidRDefault="00077D89" w:rsidP="00077D89">
      <w:pPr>
        <w:pStyle w:val="Default"/>
        <w:rPr>
          <w:rFonts w:asciiTheme="minorHAnsi" w:hAnsiTheme="minorHAnsi" w:cstheme="minorBidi"/>
          <w:color w:val="auto"/>
          <w:sz w:val="22"/>
          <w:szCs w:val="22"/>
          <w:lang w:val="en-US"/>
        </w:rPr>
      </w:pPr>
    </w:p>
    <w:p w14:paraId="31192B71" w14:textId="77777777" w:rsidR="00077D89" w:rsidRPr="00301F12" w:rsidRDefault="00077D89" w:rsidP="002E0DCD">
      <w:pPr>
        <w:pStyle w:val="Default"/>
        <w:numPr>
          <w:ilvl w:val="0"/>
          <w:numId w:val="40"/>
        </w:numPr>
        <w:rPr>
          <w:lang w:val="en-US"/>
        </w:rPr>
      </w:pPr>
      <w:r>
        <w:rPr>
          <w:rFonts w:asciiTheme="minorHAnsi" w:hAnsiTheme="minorHAnsi" w:cstheme="minorBidi"/>
          <w:color w:val="auto"/>
          <w:sz w:val="22"/>
          <w:szCs w:val="22"/>
          <w:lang w:val="en-US"/>
        </w:rPr>
        <w:t>Again and obviously, any additional rule to comply with, especially during times of stressed markets, may diminish the number of options available to manage an MMF. CRAs’ constraints – not only the ones linked to the credit quality / ratings of MMF’s holdings – generate additional rules to follow.</w:t>
      </w:r>
    </w:p>
    <w:p w14:paraId="2DA45469" w14:textId="609DCF74" w:rsidR="00077D89" w:rsidRPr="00B559B4" w:rsidRDefault="00077D89" w:rsidP="002E0DCD">
      <w:pPr>
        <w:pStyle w:val="Default"/>
        <w:numPr>
          <w:ilvl w:val="0"/>
          <w:numId w:val="40"/>
        </w:numPr>
        <w:rPr>
          <w:lang w:val="en-US"/>
        </w:rPr>
      </w:pPr>
      <w:r w:rsidRPr="009D3500">
        <w:rPr>
          <w:rFonts w:asciiTheme="minorHAnsi" w:hAnsiTheme="minorHAnsi" w:cstheme="minorBidi"/>
          <w:color w:val="auto"/>
          <w:sz w:val="22"/>
          <w:szCs w:val="22"/>
          <w:lang w:val="en-US"/>
        </w:rPr>
        <w:t>As an example, basic operations like purchases or sales of assets may trigger some b</w:t>
      </w:r>
      <w:r>
        <w:rPr>
          <w:rFonts w:asciiTheme="minorHAnsi" w:hAnsiTheme="minorHAnsi" w:cstheme="minorBidi"/>
          <w:color w:val="auto"/>
          <w:sz w:val="22"/>
          <w:szCs w:val="22"/>
          <w:lang w:val="en-US"/>
        </w:rPr>
        <w:t>reaches to a CRA’s rules. While</w:t>
      </w:r>
      <w:r w:rsidRPr="009D3500">
        <w:rPr>
          <w:rFonts w:asciiTheme="minorHAnsi" w:hAnsiTheme="minorHAnsi" w:cstheme="minorBidi"/>
          <w:color w:val="auto"/>
          <w:sz w:val="22"/>
          <w:szCs w:val="22"/>
          <w:lang w:val="en-US"/>
        </w:rPr>
        <w:t xml:space="preserve"> in normal conditions alternatives </w:t>
      </w:r>
      <w:r>
        <w:rPr>
          <w:rFonts w:asciiTheme="minorHAnsi" w:hAnsiTheme="minorHAnsi" w:cstheme="minorBidi"/>
          <w:color w:val="auto"/>
          <w:sz w:val="22"/>
          <w:szCs w:val="22"/>
          <w:lang w:val="en-US"/>
        </w:rPr>
        <w:t>are easy to find, it may be</w:t>
      </w:r>
      <w:r w:rsidRPr="009D3500">
        <w:rPr>
          <w:rFonts w:asciiTheme="minorHAnsi" w:hAnsiTheme="minorHAnsi" w:cstheme="minorBidi"/>
          <w:color w:val="auto"/>
          <w:sz w:val="22"/>
          <w:szCs w:val="22"/>
          <w:lang w:val="en-US"/>
        </w:rPr>
        <w:t xml:space="preserve"> more challenging in time of market stress to comply with each piece of CRAs’ guid</w:t>
      </w:r>
      <w:r>
        <w:rPr>
          <w:rFonts w:asciiTheme="minorHAnsi" w:hAnsiTheme="minorHAnsi" w:cstheme="minorBidi"/>
          <w:color w:val="auto"/>
          <w:sz w:val="22"/>
          <w:szCs w:val="22"/>
          <w:lang w:val="en-US"/>
        </w:rPr>
        <w:t>elines</w:t>
      </w:r>
      <w:r w:rsidRPr="009D3500">
        <w:rPr>
          <w:rFonts w:asciiTheme="minorHAnsi" w:hAnsiTheme="minorHAnsi" w:cstheme="minorBidi"/>
          <w:color w:val="auto"/>
          <w:sz w:val="22"/>
          <w:szCs w:val="22"/>
          <w:lang w:val="en-US"/>
        </w:rPr>
        <w:t>.</w:t>
      </w:r>
    </w:p>
    <w:p w14:paraId="212C7B32" w14:textId="04D50165" w:rsidR="00B559B4" w:rsidRPr="001B4C43" w:rsidRDefault="001B4C43" w:rsidP="002E0DCD">
      <w:pPr>
        <w:pStyle w:val="Default"/>
        <w:numPr>
          <w:ilvl w:val="0"/>
          <w:numId w:val="40"/>
        </w:numPr>
        <w:rPr>
          <w:rFonts w:asciiTheme="minorHAnsi" w:hAnsiTheme="minorHAnsi" w:cstheme="minorBidi"/>
          <w:color w:val="auto"/>
          <w:sz w:val="22"/>
          <w:szCs w:val="22"/>
          <w:lang w:val="en-US"/>
        </w:rPr>
      </w:pPr>
      <w:r w:rsidRPr="00B559B4">
        <w:rPr>
          <w:rFonts w:asciiTheme="minorHAnsi" w:hAnsiTheme="minorHAnsi" w:cstheme="minorBidi"/>
          <w:sz w:val="22"/>
          <w:szCs w:val="22"/>
          <w:lang w:val="en-US"/>
        </w:rPr>
        <w:t xml:space="preserve">Cumulating several ratings, especially the “AAA” one, </w:t>
      </w:r>
      <w:r w:rsidRPr="00B559B4">
        <w:rPr>
          <w:rFonts w:asciiTheme="minorHAnsi" w:hAnsiTheme="minorHAnsi" w:cstheme="minorBidi"/>
          <w:sz w:val="22"/>
          <w:szCs w:val="22"/>
          <w:u w:val="single"/>
          <w:lang w:val="en-US"/>
        </w:rPr>
        <w:t>commonly seen as a label</w:t>
      </w:r>
      <w:r w:rsidRPr="00B559B4">
        <w:rPr>
          <w:rFonts w:asciiTheme="minorHAnsi" w:hAnsiTheme="minorHAnsi" w:cstheme="minorBidi"/>
          <w:sz w:val="22"/>
          <w:szCs w:val="22"/>
          <w:lang w:val="en-US"/>
        </w:rPr>
        <w:t xml:space="preserve"> where any downgrade is perceived as a withdrawal of this label, endangers, by nature, the stability of an MMF, as it constraints its capacity to react in periods of turmoil</w:t>
      </w:r>
      <w:r>
        <w:rPr>
          <w:rFonts w:asciiTheme="minorHAnsi" w:hAnsiTheme="minorHAnsi" w:cstheme="minorBidi"/>
          <w:sz w:val="22"/>
          <w:szCs w:val="22"/>
          <w:lang w:val="en-US"/>
        </w:rPr>
        <w:t>.</w:t>
      </w:r>
    </w:p>
    <w:permEnd w:id="1576605906"/>
    <w:p w14:paraId="5854A2B3" w14:textId="7B306F19" w:rsidR="00492B3A" w:rsidRDefault="00492B3A" w:rsidP="00492B3A"/>
    <w:p w14:paraId="7E5A3C00" w14:textId="3B098933" w:rsidR="00492B3A" w:rsidRDefault="00492B3A" w:rsidP="00492B3A">
      <w:r>
        <w:t>&lt;ESMA_QUESTION_</w:t>
      </w:r>
      <w:r w:rsidR="00DC1B3F">
        <w:t>MMFR</w:t>
      </w:r>
      <w:r>
        <w:t>_1&gt;</w:t>
      </w:r>
    </w:p>
    <w:p w14:paraId="66BCB951" w14:textId="77777777" w:rsidR="00492B3A" w:rsidRDefault="00492B3A" w:rsidP="00492B3A"/>
    <w:p w14:paraId="711E593A" w14:textId="3641F562" w:rsidR="00492B3A" w:rsidRDefault="00976448" w:rsidP="00492B3A">
      <w:pPr>
        <w:pStyle w:val="Questionstyle"/>
      </w:pPr>
      <w:r w:rsidRPr="00F43E30">
        <w:t xml:space="preserve">i) </w:t>
      </w:r>
      <w:r w:rsidRPr="00F43E30">
        <w:rPr>
          <w:bdr w:val="none" w:sz="0" w:space="0" w:color="auto" w:frame="1"/>
          <w:lang w:val="en-IE"/>
        </w:rPr>
        <w:t>Do you agree with the above assessment on the potential MMF reforms related to the review of the MMF Regulation? ii) What are your views on the abovementioned assessment of the interaction between potential MMF reforms and the behaviour of investors during the MMF March 2020 crisis</w:t>
      </w:r>
      <w:r w:rsidR="00A014B6" w:rsidRPr="00A014B6">
        <w:t>?</w:t>
      </w:r>
    </w:p>
    <w:p w14:paraId="3451E920" w14:textId="188057B6" w:rsidR="00492B3A" w:rsidRDefault="00492B3A" w:rsidP="00492B3A">
      <w:r>
        <w:t>&lt;ESMA_QUESTION_</w:t>
      </w:r>
      <w:r w:rsidR="00DC1B3F">
        <w:t>MMFR</w:t>
      </w:r>
      <w:r>
        <w:t>_2&gt;</w:t>
      </w:r>
    </w:p>
    <w:p w14:paraId="39F9E4D9" w14:textId="77777777" w:rsidR="00C4203B" w:rsidRDefault="00C4203B" w:rsidP="00077D89">
      <w:pPr>
        <w:pStyle w:val="Default"/>
        <w:rPr>
          <w:rFonts w:asciiTheme="minorHAnsi" w:hAnsiTheme="minorHAnsi" w:cstheme="minorBidi"/>
          <w:color w:val="auto"/>
          <w:sz w:val="22"/>
          <w:szCs w:val="22"/>
          <w:lang w:val="en-US"/>
        </w:rPr>
      </w:pPr>
      <w:permStart w:id="1123047147" w:edGrp="everyone"/>
    </w:p>
    <w:p w14:paraId="5982E188" w14:textId="6F4B61F5" w:rsidR="00077D89" w:rsidRPr="008E53F3" w:rsidRDefault="00077D89" w:rsidP="00077D89">
      <w:pPr>
        <w:pStyle w:val="Default"/>
        <w:rPr>
          <w:rFonts w:asciiTheme="minorHAnsi" w:hAnsiTheme="minorHAnsi" w:cstheme="minorBidi"/>
          <w:color w:val="auto"/>
          <w:sz w:val="22"/>
          <w:szCs w:val="22"/>
          <w:u w:val="single"/>
          <w:lang w:val="en-US"/>
        </w:rPr>
      </w:pPr>
      <w:r w:rsidRPr="008E53F3">
        <w:rPr>
          <w:rFonts w:asciiTheme="minorHAnsi" w:hAnsiTheme="minorHAnsi" w:cstheme="minorBidi"/>
          <w:color w:val="auto"/>
          <w:sz w:val="22"/>
          <w:szCs w:val="22"/>
          <w:u w:val="single"/>
          <w:lang w:val="en-US"/>
        </w:rPr>
        <w:t>Points 58 to 67:</w:t>
      </w:r>
    </w:p>
    <w:p w14:paraId="0D12FA92" w14:textId="77777777" w:rsidR="00077D89" w:rsidRDefault="00077D89" w:rsidP="00077D89">
      <w:pPr>
        <w:pStyle w:val="Default"/>
        <w:rPr>
          <w:rFonts w:asciiTheme="minorHAnsi" w:hAnsiTheme="minorHAnsi" w:cstheme="minorBidi"/>
          <w:color w:val="auto"/>
          <w:sz w:val="22"/>
          <w:szCs w:val="22"/>
          <w:lang w:val="en-US"/>
        </w:rPr>
      </w:pPr>
    </w:p>
    <w:p w14:paraId="2C23768D" w14:textId="77777777" w:rsidR="00077D89" w:rsidRDefault="00077D89" w:rsidP="00077D89">
      <w:pPr>
        <w:pStyle w:val="Default"/>
        <w:rPr>
          <w:rFonts w:asciiTheme="minorHAnsi" w:hAnsiTheme="minorHAnsi" w:cstheme="minorBidi"/>
          <w:color w:val="auto"/>
          <w:sz w:val="22"/>
          <w:szCs w:val="22"/>
          <w:lang w:val="en-US"/>
        </w:rPr>
      </w:pPr>
      <w:r>
        <w:rPr>
          <w:rFonts w:asciiTheme="minorHAnsi" w:hAnsiTheme="minorHAnsi" w:cstheme="minorBidi"/>
          <w:color w:val="auto"/>
          <w:sz w:val="22"/>
          <w:szCs w:val="22"/>
          <w:lang w:val="en-US"/>
        </w:rPr>
        <w:t>Though we globally agree with most points preceding this question, we would like to raise some concern regarding some assessments made in points 59, 63 and 72:</w:t>
      </w:r>
    </w:p>
    <w:p w14:paraId="6787CBF2" w14:textId="77777777" w:rsidR="00077D89" w:rsidRDefault="00077D89" w:rsidP="00077D89">
      <w:pPr>
        <w:pStyle w:val="Default"/>
        <w:rPr>
          <w:rFonts w:asciiTheme="minorHAnsi" w:hAnsiTheme="minorHAnsi" w:cstheme="minorBidi"/>
          <w:color w:val="auto"/>
          <w:sz w:val="22"/>
          <w:szCs w:val="22"/>
          <w:lang w:val="en-US"/>
        </w:rPr>
      </w:pPr>
    </w:p>
    <w:p w14:paraId="5FA8031D" w14:textId="77777777" w:rsidR="00077D89" w:rsidRPr="008E53F3" w:rsidRDefault="00077D89" w:rsidP="00077D89">
      <w:pPr>
        <w:pStyle w:val="Default"/>
        <w:rPr>
          <w:rFonts w:asciiTheme="minorHAnsi" w:hAnsiTheme="minorHAnsi" w:cstheme="minorBidi"/>
          <w:color w:val="auto"/>
          <w:sz w:val="22"/>
          <w:szCs w:val="22"/>
          <w:u w:val="single"/>
          <w:lang w:val="en-US"/>
        </w:rPr>
      </w:pPr>
      <w:r w:rsidRPr="008E53F3">
        <w:rPr>
          <w:rFonts w:asciiTheme="minorHAnsi" w:hAnsiTheme="minorHAnsi" w:cstheme="minorBidi"/>
          <w:color w:val="auto"/>
          <w:sz w:val="22"/>
          <w:szCs w:val="22"/>
          <w:u w:val="single"/>
          <w:lang w:val="en-US"/>
        </w:rPr>
        <w:t xml:space="preserve">Point 59: </w:t>
      </w:r>
    </w:p>
    <w:p w14:paraId="4B8C6792" w14:textId="77777777" w:rsidR="00077D89" w:rsidRDefault="00077D89" w:rsidP="00077D89">
      <w:pPr>
        <w:pStyle w:val="Default"/>
        <w:rPr>
          <w:rFonts w:asciiTheme="minorHAnsi" w:hAnsiTheme="minorHAnsi" w:cstheme="minorBidi"/>
          <w:color w:val="auto"/>
          <w:sz w:val="22"/>
          <w:szCs w:val="22"/>
          <w:lang w:val="en-US"/>
        </w:rPr>
      </w:pPr>
    </w:p>
    <w:p w14:paraId="646E256D" w14:textId="77777777" w:rsidR="00077D89" w:rsidRPr="00E26C44" w:rsidRDefault="00077D89" w:rsidP="002E0DCD">
      <w:pPr>
        <w:pStyle w:val="Default"/>
        <w:numPr>
          <w:ilvl w:val="0"/>
          <w:numId w:val="40"/>
        </w:numPr>
        <w:rPr>
          <w:rFonts w:asciiTheme="minorHAnsi" w:hAnsiTheme="minorHAnsi" w:cstheme="minorBidi"/>
          <w:color w:val="auto"/>
          <w:sz w:val="22"/>
          <w:szCs w:val="22"/>
          <w:lang w:val="en-US"/>
        </w:rPr>
      </w:pPr>
      <w:r>
        <w:rPr>
          <w:rFonts w:asciiTheme="minorHAnsi" w:hAnsiTheme="minorHAnsi" w:cstheme="minorBidi"/>
          <w:color w:val="auto"/>
          <w:sz w:val="22"/>
          <w:szCs w:val="22"/>
          <w:lang w:val="en-US"/>
        </w:rPr>
        <w:t xml:space="preserve">We disagree with the view that the objectives of the measures taken should </w:t>
      </w:r>
      <w:r w:rsidRPr="009F6A57">
        <w:rPr>
          <w:rFonts w:asciiTheme="minorHAnsi" w:hAnsiTheme="minorHAnsi" w:cstheme="minorBidi"/>
          <w:i/>
          <w:color w:val="auto"/>
          <w:sz w:val="22"/>
          <w:szCs w:val="22"/>
          <w:lang w:val="en-US"/>
        </w:rPr>
        <w:t>“ensure that regardless of the market conditions, they can operate without impacting financial stability”</w:t>
      </w:r>
      <w:r>
        <w:rPr>
          <w:rFonts w:asciiTheme="minorHAnsi" w:hAnsiTheme="minorHAnsi" w:cstheme="minorBidi"/>
          <w:color w:val="auto"/>
          <w:sz w:val="22"/>
          <w:szCs w:val="22"/>
          <w:lang w:val="en-US"/>
        </w:rPr>
        <w:t>.</w:t>
      </w:r>
    </w:p>
    <w:p w14:paraId="709EBB2F" w14:textId="77777777" w:rsidR="00077D89" w:rsidRPr="00E26C44" w:rsidRDefault="00077D89" w:rsidP="002E0DCD">
      <w:pPr>
        <w:pStyle w:val="Default"/>
        <w:numPr>
          <w:ilvl w:val="0"/>
          <w:numId w:val="40"/>
        </w:numPr>
        <w:rPr>
          <w:rFonts w:asciiTheme="minorHAnsi" w:hAnsiTheme="minorHAnsi" w:cstheme="minorBidi"/>
          <w:color w:val="auto"/>
          <w:sz w:val="22"/>
          <w:szCs w:val="22"/>
          <w:lang w:val="en-US"/>
        </w:rPr>
      </w:pPr>
      <w:r w:rsidRPr="000A3F94">
        <w:rPr>
          <w:rFonts w:asciiTheme="minorHAnsi" w:hAnsiTheme="minorHAnsi" w:cstheme="minorBidi"/>
          <w:b/>
          <w:color w:val="auto"/>
          <w:sz w:val="22"/>
          <w:szCs w:val="22"/>
          <w:lang w:val="en-US"/>
        </w:rPr>
        <w:t>As market-invested instruments</w:t>
      </w:r>
      <w:r w:rsidRPr="00F96B8E">
        <w:rPr>
          <w:rFonts w:asciiTheme="minorHAnsi" w:hAnsiTheme="minorHAnsi" w:cstheme="minorBidi"/>
          <w:color w:val="auto"/>
          <w:sz w:val="22"/>
          <w:szCs w:val="22"/>
          <w:lang w:val="en-US"/>
        </w:rPr>
        <w:t xml:space="preserve">, how could it be possible that MMFs “operate regardless of the market conditions”? Similarly, it </w:t>
      </w:r>
      <w:proofErr w:type="gramStart"/>
      <w:r w:rsidRPr="00F96B8E">
        <w:rPr>
          <w:rFonts w:asciiTheme="minorHAnsi" w:hAnsiTheme="minorHAnsi" w:cstheme="minorBidi"/>
          <w:color w:val="auto"/>
          <w:sz w:val="22"/>
          <w:szCs w:val="22"/>
          <w:lang w:val="en-US"/>
        </w:rPr>
        <w:t>is suggested</w:t>
      </w:r>
      <w:proofErr w:type="gramEnd"/>
      <w:r w:rsidRPr="00F96B8E">
        <w:rPr>
          <w:rFonts w:asciiTheme="minorHAnsi" w:hAnsiTheme="minorHAnsi" w:cstheme="minorBidi"/>
          <w:color w:val="auto"/>
          <w:sz w:val="22"/>
          <w:szCs w:val="22"/>
          <w:lang w:val="en-US"/>
        </w:rPr>
        <w:t xml:space="preserve"> that MMFs “impacted financial stability”</w:t>
      </w:r>
      <w:r>
        <w:rPr>
          <w:rFonts w:asciiTheme="minorHAnsi" w:hAnsiTheme="minorHAnsi" w:cstheme="minorBidi"/>
          <w:color w:val="auto"/>
          <w:sz w:val="22"/>
          <w:szCs w:val="22"/>
          <w:lang w:val="en-US"/>
        </w:rPr>
        <w:t>.</w:t>
      </w:r>
    </w:p>
    <w:p w14:paraId="147FEC31" w14:textId="77777777" w:rsidR="00077D89" w:rsidRPr="00E26C44" w:rsidRDefault="00077D89" w:rsidP="002E0DCD">
      <w:pPr>
        <w:pStyle w:val="Default"/>
        <w:numPr>
          <w:ilvl w:val="0"/>
          <w:numId w:val="40"/>
        </w:numPr>
        <w:rPr>
          <w:rFonts w:asciiTheme="minorHAnsi" w:hAnsiTheme="minorHAnsi" w:cstheme="minorBidi"/>
          <w:color w:val="auto"/>
          <w:sz w:val="22"/>
          <w:szCs w:val="22"/>
          <w:lang w:val="en-US"/>
        </w:rPr>
      </w:pPr>
      <w:r>
        <w:rPr>
          <w:rFonts w:asciiTheme="minorHAnsi" w:hAnsiTheme="minorHAnsi" w:cstheme="minorBidi"/>
          <w:color w:val="auto"/>
          <w:sz w:val="22"/>
          <w:szCs w:val="22"/>
          <w:lang w:val="en-US"/>
        </w:rPr>
        <w:t>W</w:t>
      </w:r>
      <w:r w:rsidRPr="00F96B8E">
        <w:rPr>
          <w:rFonts w:asciiTheme="minorHAnsi" w:hAnsiTheme="minorHAnsi" w:cstheme="minorBidi"/>
          <w:color w:val="auto"/>
          <w:sz w:val="22"/>
          <w:szCs w:val="22"/>
          <w:lang w:val="en-US"/>
        </w:rPr>
        <w:t>e</w:t>
      </w:r>
      <w:r>
        <w:rPr>
          <w:rFonts w:asciiTheme="minorHAnsi" w:hAnsiTheme="minorHAnsi" w:cstheme="minorBidi"/>
          <w:color w:val="auto"/>
          <w:sz w:val="22"/>
          <w:szCs w:val="22"/>
          <w:lang w:val="en-US"/>
        </w:rPr>
        <w:t xml:space="preserve"> also</w:t>
      </w:r>
      <w:r w:rsidRPr="00F96B8E">
        <w:rPr>
          <w:rFonts w:asciiTheme="minorHAnsi" w:hAnsiTheme="minorHAnsi" w:cstheme="minorBidi"/>
          <w:color w:val="auto"/>
          <w:sz w:val="22"/>
          <w:szCs w:val="22"/>
          <w:lang w:val="en-US"/>
        </w:rPr>
        <w:t xml:space="preserve"> disagree with such a conclusion that insulates MMFs within the overall short-term markets, and eve</w:t>
      </w:r>
      <w:r>
        <w:rPr>
          <w:rFonts w:asciiTheme="minorHAnsi" w:hAnsiTheme="minorHAnsi" w:cstheme="minorBidi"/>
          <w:color w:val="auto"/>
          <w:sz w:val="22"/>
          <w:szCs w:val="22"/>
          <w:lang w:val="en-US"/>
        </w:rPr>
        <w:t>n the global financial markets.</w:t>
      </w:r>
    </w:p>
    <w:p w14:paraId="0A94DFDB" w14:textId="77777777" w:rsidR="00077D89" w:rsidRPr="00E26C44" w:rsidRDefault="00077D89" w:rsidP="002E0DCD">
      <w:pPr>
        <w:pStyle w:val="Default"/>
        <w:numPr>
          <w:ilvl w:val="0"/>
          <w:numId w:val="40"/>
        </w:numPr>
        <w:rPr>
          <w:rFonts w:asciiTheme="minorHAnsi" w:hAnsiTheme="minorHAnsi" w:cstheme="minorBidi"/>
          <w:color w:val="auto"/>
          <w:sz w:val="22"/>
          <w:szCs w:val="22"/>
          <w:lang w:val="en-US"/>
        </w:rPr>
      </w:pPr>
      <w:r w:rsidRPr="00F96B8E">
        <w:rPr>
          <w:rFonts w:asciiTheme="minorHAnsi" w:hAnsiTheme="minorHAnsi" w:cstheme="minorBidi"/>
          <w:color w:val="auto"/>
          <w:sz w:val="22"/>
          <w:szCs w:val="22"/>
          <w:lang w:val="en-US"/>
        </w:rPr>
        <w:t>We definitely think that what impacted financial stability during the Covid-19 crisis is the Covid-19 crisis itself</w:t>
      </w:r>
      <w:r>
        <w:rPr>
          <w:rFonts w:asciiTheme="minorHAnsi" w:hAnsiTheme="minorHAnsi" w:cstheme="minorBidi"/>
          <w:color w:val="auto"/>
          <w:sz w:val="22"/>
          <w:szCs w:val="22"/>
          <w:lang w:val="en-US"/>
        </w:rPr>
        <w:t>: it</w:t>
      </w:r>
      <w:r w:rsidRPr="00F96B8E">
        <w:rPr>
          <w:rFonts w:asciiTheme="minorHAnsi" w:hAnsiTheme="minorHAnsi" w:cstheme="minorBidi"/>
          <w:color w:val="auto"/>
          <w:sz w:val="22"/>
          <w:szCs w:val="22"/>
          <w:lang w:val="en-US"/>
        </w:rPr>
        <w:t xml:space="preserve"> happened at the very moment when the market participants realized they were facing a pandemic with immediate devastating effects on large parts of </w:t>
      </w:r>
      <w:r>
        <w:rPr>
          <w:rFonts w:asciiTheme="minorHAnsi" w:hAnsiTheme="minorHAnsi" w:cstheme="minorBidi"/>
          <w:color w:val="auto"/>
          <w:sz w:val="22"/>
          <w:szCs w:val="22"/>
          <w:lang w:val="en-US"/>
        </w:rPr>
        <w:t xml:space="preserve">the </w:t>
      </w:r>
      <w:r w:rsidRPr="00F96B8E">
        <w:rPr>
          <w:rFonts w:asciiTheme="minorHAnsi" w:hAnsiTheme="minorHAnsi" w:cstheme="minorBidi"/>
          <w:color w:val="auto"/>
          <w:sz w:val="22"/>
          <w:szCs w:val="22"/>
          <w:lang w:val="en-US"/>
        </w:rPr>
        <w:t>real economy.</w:t>
      </w:r>
    </w:p>
    <w:p w14:paraId="0C5C960D" w14:textId="77777777" w:rsidR="00077D89" w:rsidRPr="00E26C44" w:rsidRDefault="00077D89" w:rsidP="002E0DCD">
      <w:pPr>
        <w:pStyle w:val="Default"/>
        <w:numPr>
          <w:ilvl w:val="0"/>
          <w:numId w:val="40"/>
        </w:numPr>
        <w:rPr>
          <w:rFonts w:asciiTheme="minorHAnsi" w:hAnsiTheme="minorHAnsi" w:cstheme="minorBidi"/>
          <w:color w:val="auto"/>
          <w:sz w:val="22"/>
          <w:szCs w:val="22"/>
          <w:lang w:val="en-US"/>
        </w:rPr>
      </w:pPr>
      <w:r w:rsidRPr="00F96B8E">
        <w:rPr>
          <w:rFonts w:asciiTheme="minorHAnsi" w:hAnsiTheme="minorHAnsi" w:cstheme="minorBidi"/>
          <w:color w:val="auto"/>
          <w:sz w:val="22"/>
          <w:szCs w:val="22"/>
          <w:lang w:val="en-US"/>
        </w:rPr>
        <w:t>Money markets’ liquidity drop appeared to be one of the most visible effects of this dramatic change in market</w:t>
      </w:r>
      <w:r>
        <w:rPr>
          <w:rFonts w:asciiTheme="minorHAnsi" w:hAnsiTheme="minorHAnsi" w:cstheme="minorBidi"/>
          <w:color w:val="auto"/>
          <w:sz w:val="22"/>
          <w:szCs w:val="22"/>
          <w:lang w:val="en-US"/>
        </w:rPr>
        <w:t xml:space="preserve"> assessment of the pandemic.</w:t>
      </w:r>
    </w:p>
    <w:p w14:paraId="56F51AC2" w14:textId="77777777" w:rsidR="00077D89" w:rsidRPr="00E26C44" w:rsidRDefault="00077D89" w:rsidP="002E0DCD">
      <w:pPr>
        <w:pStyle w:val="Default"/>
        <w:numPr>
          <w:ilvl w:val="0"/>
          <w:numId w:val="40"/>
        </w:numPr>
        <w:rPr>
          <w:rFonts w:asciiTheme="minorHAnsi" w:hAnsiTheme="minorHAnsi" w:cstheme="minorBidi"/>
          <w:color w:val="auto"/>
          <w:sz w:val="22"/>
          <w:szCs w:val="22"/>
          <w:lang w:val="en-US"/>
        </w:rPr>
      </w:pPr>
      <w:r w:rsidRPr="00F96B8E">
        <w:rPr>
          <w:rFonts w:asciiTheme="minorHAnsi" w:hAnsiTheme="minorHAnsi" w:cstheme="minorBidi"/>
          <w:color w:val="auto"/>
          <w:sz w:val="22"/>
          <w:szCs w:val="22"/>
          <w:lang w:val="en-US"/>
        </w:rPr>
        <w:t>Though MMFs were inevitably part of this change in liquidity regime, they were among the most impacted actors, and eventually managed to maintain a continuity in the precious service they provide to their users.</w:t>
      </w:r>
    </w:p>
    <w:p w14:paraId="14105A7F" w14:textId="77777777" w:rsidR="00077D89" w:rsidRDefault="00077D89" w:rsidP="00077D89">
      <w:pPr>
        <w:pStyle w:val="Default"/>
        <w:rPr>
          <w:rFonts w:asciiTheme="minorHAnsi" w:hAnsiTheme="minorHAnsi" w:cstheme="minorBidi"/>
          <w:color w:val="auto"/>
          <w:sz w:val="22"/>
          <w:szCs w:val="22"/>
          <w:lang w:val="en-US"/>
        </w:rPr>
      </w:pPr>
    </w:p>
    <w:p w14:paraId="526C81B1" w14:textId="77777777" w:rsidR="00077D89" w:rsidRPr="008E53F3" w:rsidRDefault="00077D89" w:rsidP="00077D89">
      <w:pPr>
        <w:pStyle w:val="Default"/>
        <w:rPr>
          <w:rFonts w:asciiTheme="minorHAnsi" w:hAnsiTheme="minorHAnsi" w:cstheme="minorBidi"/>
          <w:color w:val="auto"/>
          <w:sz w:val="22"/>
          <w:szCs w:val="22"/>
          <w:u w:val="single"/>
          <w:lang w:val="en-US"/>
        </w:rPr>
      </w:pPr>
      <w:r w:rsidRPr="008E53F3">
        <w:rPr>
          <w:rFonts w:asciiTheme="minorHAnsi" w:hAnsiTheme="minorHAnsi" w:cstheme="minorBidi"/>
          <w:color w:val="auto"/>
          <w:sz w:val="22"/>
          <w:szCs w:val="22"/>
          <w:u w:val="single"/>
          <w:lang w:val="en-US"/>
        </w:rPr>
        <w:t xml:space="preserve">Point 63: </w:t>
      </w:r>
    </w:p>
    <w:p w14:paraId="27B84F0D" w14:textId="77777777" w:rsidR="00077D89" w:rsidRDefault="00077D89" w:rsidP="00077D89">
      <w:pPr>
        <w:pStyle w:val="Default"/>
        <w:rPr>
          <w:rFonts w:asciiTheme="minorHAnsi" w:hAnsiTheme="minorHAnsi" w:cstheme="minorBidi"/>
          <w:color w:val="auto"/>
          <w:sz w:val="22"/>
          <w:szCs w:val="22"/>
          <w:lang w:val="en-US"/>
        </w:rPr>
      </w:pPr>
    </w:p>
    <w:p w14:paraId="64BD60D7" w14:textId="77777777" w:rsidR="00077D89" w:rsidRDefault="00077D89" w:rsidP="002E0DCD">
      <w:pPr>
        <w:pStyle w:val="Default"/>
        <w:numPr>
          <w:ilvl w:val="0"/>
          <w:numId w:val="40"/>
        </w:numPr>
        <w:rPr>
          <w:rFonts w:asciiTheme="minorHAnsi" w:hAnsiTheme="minorHAnsi" w:cstheme="minorBidi"/>
          <w:color w:val="auto"/>
          <w:sz w:val="22"/>
          <w:szCs w:val="22"/>
          <w:lang w:val="en-US"/>
        </w:rPr>
      </w:pPr>
      <w:r>
        <w:rPr>
          <w:rFonts w:asciiTheme="minorHAnsi" w:hAnsiTheme="minorHAnsi" w:cstheme="minorBidi"/>
          <w:color w:val="auto"/>
          <w:sz w:val="22"/>
          <w:szCs w:val="22"/>
          <w:lang w:val="en-US"/>
        </w:rPr>
        <w:t xml:space="preserve">In this point, it </w:t>
      </w:r>
      <w:proofErr w:type="gramStart"/>
      <w:r>
        <w:rPr>
          <w:rFonts w:asciiTheme="minorHAnsi" w:hAnsiTheme="minorHAnsi" w:cstheme="minorBidi"/>
          <w:color w:val="auto"/>
          <w:sz w:val="22"/>
          <w:szCs w:val="22"/>
          <w:lang w:val="en-US"/>
        </w:rPr>
        <w:t>is assumed</w:t>
      </w:r>
      <w:proofErr w:type="gramEnd"/>
      <w:r>
        <w:rPr>
          <w:rFonts w:asciiTheme="minorHAnsi" w:hAnsiTheme="minorHAnsi" w:cstheme="minorBidi"/>
          <w:color w:val="auto"/>
          <w:sz w:val="22"/>
          <w:szCs w:val="22"/>
          <w:lang w:val="en-US"/>
        </w:rPr>
        <w:t xml:space="preserve"> that MMFs </w:t>
      </w:r>
      <w:r w:rsidRPr="00506BC8">
        <w:rPr>
          <w:rFonts w:asciiTheme="minorHAnsi" w:hAnsiTheme="minorHAnsi" w:cstheme="minorBidi"/>
          <w:i/>
          <w:color w:val="auto"/>
          <w:sz w:val="22"/>
          <w:szCs w:val="22"/>
          <w:lang w:val="en-US"/>
        </w:rPr>
        <w:t>“bear greater risks as compared to cash deposits”.</w:t>
      </w:r>
      <w:r>
        <w:rPr>
          <w:rFonts w:asciiTheme="minorHAnsi" w:hAnsiTheme="minorHAnsi" w:cstheme="minorBidi"/>
          <w:color w:val="auto"/>
          <w:sz w:val="22"/>
          <w:szCs w:val="22"/>
          <w:lang w:val="en-US"/>
        </w:rPr>
        <w:t xml:space="preserve"> We consider that it is </w:t>
      </w:r>
      <w:r w:rsidRPr="00E26C44">
        <w:rPr>
          <w:rFonts w:asciiTheme="minorHAnsi" w:hAnsiTheme="minorHAnsi" w:cstheme="minorBidi"/>
          <w:b/>
          <w:color w:val="auto"/>
          <w:sz w:val="22"/>
          <w:szCs w:val="22"/>
          <w:lang w:val="en-US"/>
        </w:rPr>
        <w:t>misleading to compare MMFs with cash deposits</w:t>
      </w:r>
      <w:r>
        <w:rPr>
          <w:rFonts w:asciiTheme="minorHAnsi" w:hAnsiTheme="minorHAnsi" w:cstheme="minorBidi"/>
          <w:color w:val="auto"/>
          <w:sz w:val="22"/>
          <w:szCs w:val="22"/>
          <w:lang w:val="en-US"/>
        </w:rPr>
        <w:t xml:space="preserve"> on a strict risk standpoint.</w:t>
      </w:r>
    </w:p>
    <w:p w14:paraId="5038FE02" w14:textId="77777777" w:rsidR="00077D89" w:rsidRDefault="00077D89" w:rsidP="002E0DCD">
      <w:pPr>
        <w:pStyle w:val="Default"/>
        <w:numPr>
          <w:ilvl w:val="0"/>
          <w:numId w:val="40"/>
        </w:numPr>
        <w:rPr>
          <w:rFonts w:asciiTheme="minorHAnsi" w:hAnsiTheme="minorHAnsi" w:cstheme="minorBidi"/>
          <w:color w:val="auto"/>
          <w:sz w:val="22"/>
          <w:szCs w:val="22"/>
          <w:lang w:val="en-US"/>
        </w:rPr>
      </w:pPr>
      <w:r>
        <w:rPr>
          <w:rFonts w:asciiTheme="minorHAnsi" w:hAnsiTheme="minorHAnsi" w:cstheme="minorBidi"/>
          <w:color w:val="auto"/>
          <w:sz w:val="22"/>
          <w:szCs w:val="22"/>
          <w:lang w:val="en-US"/>
        </w:rPr>
        <w:t xml:space="preserve">We would like to recall that MMFs provide their holders with </w:t>
      </w:r>
      <w:r w:rsidRPr="00E26C44">
        <w:rPr>
          <w:rFonts w:asciiTheme="minorHAnsi" w:hAnsiTheme="minorHAnsi" w:cstheme="minorBidi"/>
          <w:b/>
          <w:color w:val="auto"/>
          <w:sz w:val="22"/>
          <w:szCs w:val="22"/>
          <w:lang w:val="en-US"/>
        </w:rPr>
        <w:t>diversified, high quality, short-term investments.</w:t>
      </w:r>
    </w:p>
    <w:p w14:paraId="35756DC4" w14:textId="77777777" w:rsidR="00077D89" w:rsidRPr="00E26C44" w:rsidRDefault="00077D89" w:rsidP="002E0DCD">
      <w:pPr>
        <w:pStyle w:val="Default"/>
        <w:numPr>
          <w:ilvl w:val="0"/>
          <w:numId w:val="40"/>
        </w:numPr>
        <w:rPr>
          <w:rFonts w:asciiTheme="minorHAnsi" w:hAnsiTheme="minorHAnsi" w:cstheme="minorBidi"/>
          <w:color w:val="auto"/>
          <w:sz w:val="22"/>
          <w:szCs w:val="22"/>
          <w:lang w:val="en-US"/>
        </w:rPr>
      </w:pPr>
      <w:r>
        <w:rPr>
          <w:rFonts w:asciiTheme="minorHAnsi" w:hAnsiTheme="minorHAnsi" w:cstheme="minorBidi"/>
          <w:color w:val="auto"/>
          <w:sz w:val="22"/>
          <w:szCs w:val="22"/>
          <w:lang w:val="en-US"/>
        </w:rPr>
        <w:t xml:space="preserve">The associated risks of such products come from </w:t>
      </w:r>
      <w:r w:rsidRPr="00C4203B">
        <w:rPr>
          <w:rFonts w:asciiTheme="minorHAnsi" w:hAnsiTheme="minorHAnsi" w:cstheme="minorBidi"/>
          <w:b/>
          <w:color w:val="auto"/>
          <w:sz w:val="22"/>
          <w:szCs w:val="22"/>
          <w:lang w:val="en-US"/>
        </w:rPr>
        <w:t>market volatility</w:t>
      </w:r>
      <w:r>
        <w:rPr>
          <w:rFonts w:asciiTheme="minorHAnsi" w:hAnsiTheme="minorHAnsi" w:cstheme="minorBidi"/>
          <w:color w:val="auto"/>
          <w:sz w:val="22"/>
          <w:szCs w:val="22"/>
          <w:lang w:val="en-US"/>
        </w:rPr>
        <w:t xml:space="preserve">, which generally stands at an extremely low level given the specificities of the defined MMFs’ investment universe. </w:t>
      </w:r>
    </w:p>
    <w:p w14:paraId="7500C647" w14:textId="77777777" w:rsidR="00077D89" w:rsidRDefault="00077D89" w:rsidP="002E0DCD">
      <w:pPr>
        <w:pStyle w:val="Default"/>
        <w:numPr>
          <w:ilvl w:val="0"/>
          <w:numId w:val="40"/>
        </w:numPr>
        <w:rPr>
          <w:rFonts w:asciiTheme="minorHAnsi" w:hAnsiTheme="minorHAnsi" w:cstheme="minorBidi"/>
          <w:color w:val="auto"/>
          <w:sz w:val="22"/>
          <w:szCs w:val="22"/>
          <w:lang w:val="en-US"/>
        </w:rPr>
      </w:pPr>
      <w:r>
        <w:rPr>
          <w:rFonts w:asciiTheme="minorHAnsi" w:hAnsiTheme="minorHAnsi" w:cstheme="minorBidi"/>
          <w:color w:val="auto"/>
          <w:sz w:val="22"/>
          <w:szCs w:val="22"/>
          <w:lang w:val="en-US"/>
        </w:rPr>
        <w:t xml:space="preserve">On the reverse, cash deposits are banks’ balance-sheet “products”, where clients </w:t>
      </w:r>
      <w:proofErr w:type="gramStart"/>
      <w:r>
        <w:rPr>
          <w:rFonts w:asciiTheme="minorHAnsi" w:hAnsiTheme="minorHAnsi" w:cstheme="minorBidi"/>
          <w:color w:val="auto"/>
          <w:sz w:val="22"/>
          <w:szCs w:val="22"/>
          <w:lang w:val="en-US"/>
        </w:rPr>
        <w:t>are exposed</w:t>
      </w:r>
      <w:proofErr w:type="gramEnd"/>
      <w:r>
        <w:rPr>
          <w:rFonts w:asciiTheme="minorHAnsi" w:hAnsiTheme="minorHAnsi" w:cstheme="minorBidi"/>
          <w:color w:val="auto"/>
          <w:sz w:val="22"/>
          <w:szCs w:val="22"/>
          <w:lang w:val="en-US"/>
        </w:rPr>
        <w:t xml:space="preserve"> to a different, </w:t>
      </w:r>
      <w:r w:rsidRPr="00E26C44">
        <w:rPr>
          <w:rFonts w:asciiTheme="minorHAnsi" w:hAnsiTheme="minorHAnsi" w:cstheme="minorBidi"/>
          <w:b/>
          <w:color w:val="auto"/>
          <w:sz w:val="22"/>
          <w:szCs w:val="22"/>
          <w:lang w:val="en-US"/>
        </w:rPr>
        <w:t>much more asymmetric,</w:t>
      </w:r>
      <w:r>
        <w:rPr>
          <w:rFonts w:asciiTheme="minorHAnsi" w:hAnsiTheme="minorHAnsi" w:cstheme="minorBidi"/>
          <w:color w:val="auto"/>
          <w:sz w:val="22"/>
          <w:szCs w:val="22"/>
          <w:lang w:val="en-US"/>
        </w:rPr>
        <w:t xml:space="preserve"> regime of risk: no volatility at all, full liquidity, as long as the bank is not in a resolution mode. Where the latter happens, the </w:t>
      </w:r>
      <w:r w:rsidRPr="00E26C44">
        <w:rPr>
          <w:rFonts w:asciiTheme="minorHAnsi" w:hAnsiTheme="minorHAnsi" w:cstheme="minorBidi"/>
          <w:b/>
          <w:color w:val="auto"/>
          <w:sz w:val="22"/>
          <w:szCs w:val="22"/>
          <w:lang w:val="en-US"/>
        </w:rPr>
        <w:t>whole capital left in the deposit is suddenly at risk.</w:t>
      </w:r>
    </w:p>
    <w:p w14:paraId="39C375F9" w14:textId="77777777" w:rsidR="00077D89" w:rsidRDefault="00077D89" w:rsidP="00077D89">
      <w:pPr>
        <w:pStyle w:val="Default"/>
        <w:ind w:left="720"/>
        <w:rPr>
          <w:rFonts w:asciiTheme="minorHAnsi" w:hAnsiTheme="minorHAnsi" w:cstheme="minorBidi"/>
          <w:color w:val="auto"/>
          <w:sz w:val="22"/>
          <w:szCs w:val="22"/>
          <w:lang w:val="en-US"/>
        </w:rPr>
      </w:pPr>
      <w:r>
        <w:rPr>
          <w:rFonts w:asciiTheme="minorHAnsi" w:hAnsiTheme="minorHAnsi" w:cstheme="minorBidi"/>
          <w:color w:val="auto"/>
          <w:sz w:val="22"/>
          <w:szCs w:val="22"/>
          <w:lang w:val="en-US"/>
        </w:rPr>
        <w:t xml:space="preserve"> </w:t>
      </w:r>
    </w:p>
    <w:p w14:paraId="1A91A5C1" w14:textId="77777777" w:rsidR="00077D89" w:rsidRPr="008E53F3" w:rsidRDefault="00077D89" w:rsidP="00077D89">
      <w:pPr>
        <w:pStyle w:val="Default"/>
        <w:rPr>
          <w:rFonts w:asciiTheme="minorHAnsi" w:hAnsiTheme="minorHAnsi" w:cstheme="minorBidi"/>
          <w:color w:val="auto"/>
          <w:sz w:val="22"/>
          <w:szCs w:val="22"/>
          <w:u w:val="single"/>
          <w:lang w:val="en-US"/>
        </w:rPr>
      </w:pPr>
      <w:r w:rsidRPr="008E53F3">
        <w:rPr>
          <w:rFonts w:asciiTheme="minorHAnsi" w:hAnsiTheme="minorHAnsi" w:cstheme="minorBidi"/>
          <w:color w:val="auto"/>
          <w:sz w:val="22"/>
          <w:szCs w:val="22"/>
          <w:u w:val="single"/>
          <w:lang w:val="en-US"/>
        </w:rPr>
        <w:t xml:space="preserve">Point 72: </w:t>
      </w:r>
    </w:p>
    <w:p w14:paraId="60909DDA" w14:textId="77777777" w:rsidR="00077D89" w:rsidRDefault="00077D89" w:rsidP="00077D89">
      <w:pPr>
        <w:pStyle w:val="Default"/>
        <w:rPr>
          <w:rFonts w:asciiTheme="minorHAnsi" w:hAnsiTheme="minorHAnsi" w:cstheme="minorBidi"/>
          <w:color w:val="auto"/>
          <w:sz w:val="22"/>
          <w:szCs w:val="22"/>
          <w:lang w:val="en-US"/>
        </w:rPr>
      </w:pPr>
    </w:p>
    <w:p w14:paraId="27048BA3" w14:textId="77777777" w:rsidR="00077D89" w:rsidRDefault="00077D89" w:rsidP="002E0DCD">
      <w:pPr>
        <w:pStyle w:val="Default"/>
        <w:numPr>
          <w:ilvl w:val="0"/>
          <w:numId w:val="40"/>
        </w:numPr>
        <w:rPr>
          <w:rFonts w:asciiTheme="minorHAnsi" w:hAnsiTheme="minorHAnsi" w:cstheme="minorBidi"/>
          <w:color w:val="auto"/>
          <w:sz w:val="22"/>
          <w:szCs w:val="22"/>
          <w:lang w:val="en-US"/>
        </w:rPr>
      </w:pPr>
      <w:r>
        <w:rPr>
          <w:rFonts w:asciiTheme="minorHAnsi" w:hAnsiTheme="minorHAnsi" w:cstheme="minorBidi"/>
          <w:color w:val="auto"/>
          <w:sz w:val="22"/>
          <w:szCs w:val="22"/>
          <w:lang w:val="en-US"/>
        </w:rPr>
        <w:t xml:space="preserve">We fully agree that a/ MMFs economic functions (cash management and short term funding to issuers) should be preserved, and b/ </w:t>
      </w:r>
      <w:r w:rsidRPr="001A23BF">
        <w:rPr>
          <w:rFonts w:asciiTheme="minorHAnsi" w:hAnsiTheme="minorHAnsi" w:cstheme="minorBidi"/>
          <w:b/>
          <w:color w:val="auto"/>
          <w:sz w:val="22"/>
          <w:szCs w:val="22"/>
          <w:lang w:val="en-US"/>
        </w:rPr>
        <w:t>costs and risks implied by the intermediation function offered by MMFs need to be clearly and repeatedly acknowledged</w:t>
      </w:r>
      <w:r>
        <w:rPr>
          <w:rFonts w:asciiTheme="minorHAnsi" w:hAnsiTheme="minorHAnsi" w:cstheme="minorBidi"/>
          <w:color w:val="auto"/>
          <w:sz w:val="22"/>
          <w:szCs w:val="22"/>
          <w:lang w:val="en-US"/>
        </w:rPr>
        <w:t>.</w:t>
      </w:r>
    </w:p>
    <w:p w14:paraId="746DC514" w14:textId="77777777" w:rsidR="00077D89" w:rsidRDefault="00077D89" w:rsidP="002E0DCD">
      <w:pPr>
        <w:pStyle w:val="Default"/>
        <w:numPr>
          <w:ilvl w:val="0"/>
          <w:numId w:val="40"/>
        </w:numPr>
        <w:rPr>
          <w:rFonts w:asciiTheme="minorHAnsi" w:hAnsiTheme="minorHAnsi" w:cstheme="minorBidi"/>
          <w:color w:val="auto"/>
          <w:sz w:val="22"/>
          <w:szCs w:val="22"/>
          <w:lang w:val="en-US"/>
        </w:rPr>
      </w:pPr>
      <w:r>
        <w:rPr>
          <w:rFonts w:asciiTheme="minorHAnsi" w:hAnsiTheme="minorHAnsi" w:cstheme="minorBidi"/>
          <w:color w:val="auto"/>
          <w:sz w:val="22"/>
          <w:szCs w:val="22"/>
          <w:lang w:val="en-US"/>
        </w:rPr>
        <w:t>However, we do believe that the short-term market ecosystem, including MMF managers, does not differ from any other part of financial markets when assuming any (implicit) reliance on central bank support.</w:t>
      </w:r>
    </w:p>
    <w:p w14:paraId="322E7A71" w14:textId="77777777" w:rsidR="00077D89" w:rsidRDefault="00077D89" w:rsidP="002E0DCD">
      <w:pPr>
        <w:pStyle w:val="Default"/>
        <w:numPr>
          <w:ilvl w:val="0"/>
          <w:numId w:val="40"/>
        </w:numPr>
        <w:rPr>
          <w:rFonts w:asciiTheme="minorHAnsi" w:hAnsiTheme="minorHAnsi" w:cstheme="minorBidi"/>
          <w:color w:val="auto"/>
          <w:sz w:val="22"/>
          <w:szCs w:val="22"/>
          <w:lang w:val="en-US"/>
        </w:rPr>
      </w:pPr>
      <w:r>
        <w:rPr>
          <w:rFonts w:asciiTheme="minorHAnsi" w:hAnsiTheme="minorHAnsi" w:cstheme="minorBidi"/>
          <w:color w:val="auto"/>
          <w:sz w:val="22"/>
          <w:szCs w:val="22"/>
          <w:lang w:val="en-US"/>
        </w:rPr>
        <w:t xml:space="preserve">On the contrary, MMFR has allowed </w:t>
      </w:r>
      <w:proofErr w:type="gramStart"/>
      <w:r>
        <w:rPr>
          <w:rFonts w:asciiTheme="minorHAnsi" w:hAnsiTheme="minorHAnsi" w:cstheme="minorBidi"/>
          <w:color w:val="auto"/>
          <w:sz w:val="22"/>
          <w:szCs w:val="22"/>
          <w:lang w:val="en-US"/>
        </w:rPr>
        <w:t>for MMFs</w:t>
      </w:r>
      <w:proofErr w:type="gramEnd"/>
      <w:r>
        <w:rPr>
          <w:rFonts w:asciiTheme="minorHAnsi" w:hAnsiTheme="minorHAnsi" w:cstheme="minorBidi"/>
          <w:color w:val="auto"/>
          <w:sz w:val="22"/>
          <w:szCs w:val="22"/>
          <w:lang w:val="en-US"/>
        </w:rPr>
        <w:t xml:space="preserve"> to navigate in very unstable market conditions, of which Covid-19 crisis was an emblematic and extreme example.</w:t>
      </w:r>
    </w:p>
    <w:p w14:paraId="3C1C035D" w14:textId="59B76E75" w:rsidR="00077D89" w:rsidRDefault="00077D89" w:rsidP="002E0DCD">
      <w:pPr>
        <w:pStyle w:val="Default"/>
        <w:numPr>
          <w:ilvl w:val="0"/>
          <w:numId w:val="40"/>
        </w:numPr>
        <w:rPr>
          <w:rFonts w:asciiTheme="minorHAnsi" w:hAnsiTheme="minorHAnsi" w:cstheme="minorBidi"/>
          <w:color w:val="auto"/>
          <w:sz w:val="22"/>
          <w:szCs w:val="22"/>
          <w:lang w:val="en-US"/>
        </w:rPr>
      </w:pPr>
      <w:r w:rsidRPr="001A23BF">
        <w:rPr>
          <w:rFonts w:asciiTheme="minorHAnsi" w:hAnsiTheme="minorHAnsi" w:cstheme="minorBidi"/>
          <w:b/>
          <w:color w:val="auto"/>
          <w:sz w:val="22"/>
          <w:szCs w:val="22"/>
          <w:lang w:val="en-US"/>
        </w:rPr>
        <w:t>This means that moral hazard did not drive money market participants ahead of Covid-19 crisis</w:t>
      </w:r>
      <w:r>
        <w:rPr>
          <w:rFonts w:asciiTheme="minorHAnsi" w:hAnsiTheme="minorHAnsi" w:cstheme="minorBidi"/>
          <w:color w:val="auto"/>
          <w:sz w:val="22"/>
          <w:szCs w:val="22"/>
          <w:lang w:val="en-US"/>
        </w:rPr>
        <w:t>. This is, in our view, a key assessment when analyzing last-year crisis, and</w:t>
      </w:r>
      <w:r w:rsidR="00C4203B">
        <w:rPr>
          <w:rFonts w:asciiTheme="minorHAnsi" w:hAnsiTheme="minorHAnsi" w:cstheme="minorBidi"/>
          <w:color w:val="auto"/>
          <w:sz w:val="22"/>
          <w:szCs w:val="22"/>
          <w:lang w:val="en-US"/>
        </w:rPr>
        <w:t xml:space="preserve"> when</w:t>
      </w:r>
      <w:r>
        <w:rPr>
          <w:rFonts w:asciiTheme="minorHAnsi" w:hAnsiTheme="minorHAnsi" w:cstheme="minorBidi"/>
          <w:color w:val="auto"/>
          <w:sz w:val="22"/>
          <w:szCs w:val="22"/>
          <w:lang w:val="en-US"/>
        </w:rPr>
        <w:t xml:space="preserve"> drawing the conclusions that will ultimately lead to efficient and balanced reforms.</w:t>
      </w:r>
    </w:p>
    <w:p w14:paraId="19B9D71C" w14:textId="77777777" w:rsidR="00077D89" w:rsidRDefault="00077D89" w:rsidP="00077D89">
      <w:pPr>
        <w:pStyle w:val="Default"/>
        <w:rPr>
          <w:rFonts w:asciiTheme="minorHAnsi" w:hAnsiTheme="minorHAnsi" w:cstheme="minorBidi"/>
          <w:color w:val="auto"/>
          <w:sz w:val="22"/>
          <w:szCs w:val="22"/>
          <w:lang w:val="en-US"/>
        </w:rPr>
      </w:pPr>
    </w:p>
    <w:p w14:paraId="097E1C3A" w14:textId="4B720870" w:rsidR="00077D89" w:rsidRDefault="00077D89" w:rsidP="00077D89">
      <w:pPr>
        <w:pStyle w:val="Default"/>
        <w:rPr>
          <w:rFonts w:asciiTheme="minorHAnsi" w:hAnsiTheme="minorHAnsi" w:cstheme="minorBidi"/>
          <w:color w:val="auto"/>
          <w:sz w:val="22"/>
          <w:szCs w:val="22"/>
          <w:lang w:val="en-US"/>
        </w:rPr>
      </w:pPr>
      <w:r>
        <w:rPr>
          <w:rFonts w:asciiTheme="minorHAnsi" w:hAnsiTheme="minorHAnsi" w:cstheme="minorBidi"/>
          <w:color w:val="auto"/>
          <w:sz w:val="22"/>
          <w:szCs w:val="22"/>
          <w:lang w:val="en-US"/>
        </w:rPr>
        <w:t>As a preliminary remark, we would like to re-affirm the need to address the money markets issues as an ecosystem, which includes not only MMFs, but also some others keys actors like:</w:t>
      </w:r>
    </w:p>
    <w:p w14:paraId="460D8262" w14:textId="77777777" w:rsidR="00077D89" w:rsidRDefault="00077D89" w:rsidP="00077D89">
      <w:pPr>
        <w:pStyle w:val="Default"/>
        <w:rPr>
          <w:rFonts w:asciiTheme="minorHAnsi" w:hAnsiTheme="minorHAnsi" w:cstheme="minorBidi"/>
          <w:color w:val="auto"/>
          <w:sz w:val="22"/>
          <w:szCs w:val="22"/>
          <w:lang w:val="en-US"/>
        </w:rPr>
      </w:pPr>
      <w:r>
        <w:rPr>
          <w:rFonts w:asciiTheme="minorHAnsi" w:hAnsiTheme="minorHAnsi" w:cstheme="minorBidi"/>
          <w:color w:val="auto"/>
          <w:sz w:val="22"/>
          <w:szCs w:val="22"/>
          <w:lang w:val="en-US"/>
        </w:rPr>
        <w:t xml:space="preserve"> </w:t>
      </w:r>
    </w:p>
    <w:p w14:paraId="0F4FD4FA" w14:textId="77777777" w:rsidR="00077D89" w:rsidRDefault="00077D89" w:rsidP="002E0DCD">
      <w:pPr>
        <w:pStyle w:val="Default"/>
        <w:numPr>
          <w:ilvl w:val="0"/>
          <w:numId w:val="40"/>
        </w:numPr>
        <w:rPr>
          <w:rFonts w:asciiTheme="minorHAnsi" w:hAnsiTheme="minorHAnsi" w:cstheme="minorBidi"/>
          <w:color w:val="auto"/>
          <w:sz w:val="22"/>
          <w:szCs w:val="22"/>
          <w:lang w:val="en-US"/>
        </w:rPr>
      </w:pPr>
      <w:r>
        <w:rPr>
          <w:rFonts w:asciiTheme="minorHAnsi" w:hAnsiTheme="minorHAnsi" w:cstheme="minorBidi"/>
          <w:color w:val="auto"/>
          <w:sz w:val="22"/>
          <w:szCs w:val="22"/>
          <w:lang w:val="en-US"/>
        </w:rPr>
        <w:t>Dealers.</w:t>
      </w:r>
    </w:p>
    <w:p w14:paraId="04AA3977" w14:textId="77777777" w:rsidR="00077D89" w:rsidRDefault="00077D89" w:rsidP="002E0DCD">
      <w:pPr>
        <w:pStyle w:val="Default"/>
        <w:numPr>
          <w:ilvl w:val="0"/>
          <w:numId w:val="40"/>
        </w:numPr>
        <w:rPr>
          <w:rFonts w:asciiTheme="minorHAnsi" w:hAnsiTheme="minorHAnsi" w:cstheme="minorBidi"/>
          <w:color w:val="auto"/>
          <w:sz w:val="22"/>
          <w:szCs w:val="22"/>
          <w:lang w:val="en-US"/>
        </w:rPr>
      </w:pPr>
      <w:r>
        <w:rPr>
          <w:rFonts w:asciiTheme="minorHAnsi" w:hAnsiTheme="minorHAnsi" w:cstheme="minorBidi"/>
          <w:color w:val="auto"/>
          <w:sz w:val="22"/>
          <w:szCs w:val="22"/>
          <w:lang w:val="en-US"/>
        </w:rPr>
        <w:t>Banks, as big issuers of CP.</w:t>
      </w:r>
    </w:p>
    <w:p w14:paraId="116B3804" w14:textId="77777777" w:rsidR="00077D89" w:rsidRDefault="00077D89" w:rsidP="002E0DCD">
      <w:pPr>
        <w:pStyle w:val="Default"/>
        <w:numPr>
          <w:ilvl w:val="0"/>
          <w:numId w:val="40"/>
        </w:numPr>
        <w:rPr>
          <w:rFonts w:asciiTheme="minorHAnsi" w:hAnsiTheme="minorHAnsi" w:cstheme="minorBidi"/>
          <w:color w:val="auto"/>
          <w:sz w:val="22"/>
          <w:szCs w:val="22"/>
          <w:lang w:val="en-US"/>
        </w:rPr>
      </w:pPr>
      <w:r>
        <w:rPr>
          <w:rFonts w:asciiTheme="minorHAnsi" w:hAnsiTheme="minorHAnsi" w:cstheme="minorBidi"/>
          <w:color w:val="auto"/>
          <w:sz w:val="22"/>
          <w:szCs w:val="22"/>
          <w:lang w:val="en-US"/>
        </w:rPr>
        <w:t>Non-financial corporates and Institutions, as both issuers of CP and key shareholders of MMFs.</w:t>
      </w:r>
    </w:p>
    <w:p w14:paraId="5950A441" w14:textId="77777777" w:rsidR="00077D89" w:rsidRPr="00F41BCF" w:rsidRDefault="00077D89" w:rsidP="002E0DCD">
      <w:pPr>
        <w:pStyle w:val="Default"/>
        <w:numPr>
          <w:ilvl w:val="0"/>
          <w:numId w:val="40"/>
        </w:numPr>
        <w:rPr>
          <w:rFonts w:asciiTheme="minorHAnsi" w:hAnsiTheme="minorHAnsi" w:cstheme="minorBidi"/>
          <w:color w:val="auto"/>
          <w:sz w:val="22"/>
          <w:szCs w:val="22"/>
          <w:lang w:val="en-US"/>
        </w:rPr>
      </w:pPr>
      <w:r>
        <w:rPr>
          <w:rFonts w:asciiTheme="minorHAnsi" w:hAnsiTheme="minorHAnsi" w:cstheme="minorBidi"/>
          <w:color w:val="auto"/>
          <w:sz w:val="22"/>
          <w:szCs w:val="22"/>
          <w:lang w:val="en-US"/>
        </w:rPr>
        <w:t>Central Banks.</w:t>
      </w:r>
    </w:p>
    <w:p w14:paraId="05BA314D" w14:textId="77777777" w:rsidR="00077D89" w:rsidRDefault="00077D89" w:rsidP="00077D89">
      <w:pPr>
        <w:pStyle w:val="Default"/>
        <w:rPr>
          <w:rFonts w:asciiTheme="minorHAnsi" w:hAnsiTheme="minorHAnsi" w:cstheme="minorBidi"/>
          <w:color w:val="auto"/>
          <w:sz w:val="22"/>
          <w:szCs w:val="22"/>
          <w:lang w:val="en-US"/>
        </w:rPr>
      </w:pPr>
    </w:p>
    <w:p w14:paraId="530208B9" w14:textId="77777777" w:rsidR="00077D89" w:rsidRDefault="00077D89" w:rsidP="00077D89">
      <w:pPr>
        <w:pStyle w:val="Default"/>
        <w:rPr>
          <w:rFonts w:asciiTheme="minorHAnsi" w:hAnsiTheme="minorHAnsi" w:cstheme="minorBidi"/>
          <w:color w:val="auto"/>
          <w:sz w:val="22"/>
          <w:szCs w:val="22"/>
          <w:lang w:val="en-US"/>
        </w:rPr>
      </w:pPr>
      <w:r>
        <w:rPr>
          <w:rFonts w:asciiTheme="minorHAnsi" w:hAnsiTheme="minorHAnsi" w:cstheme="minorBidi"/>
          <w:color w:val="auto"/>
          <w:sz w:val="22"/>
          <w:szCs w:val="22"/>
          <w:lang w:val="en-US"/>
        </w:rPr>
        <w:t xml:space="preserve">Our strong conviction regarding MMFR review is the following: </w:t>
      </w:r>
    </w:p>
    <w:p w14:paraId="1015926D" w14:textId="77777777" w:rsidR="00077D89" w:rsidRDefault="00077D89" w:rsidP="00077D89">
      <w:pPr>
        <w:pStyle w:val="Default"/>
        <w:rPr>
          <w:rFonts w:asciiTheme="minorHAnsi" w:hAnsiTheme="minorHAnsi" w:cstheme="minorBidi"/>
          <w:color w:val="auto"/>
          <w:sz w:val="22"/>
          <w:szCs w:val="22"/>
          <w:lang w:val="en-US"/>
        </w:rPr>
      </w:pPr>
    </w:p>
    <w:p w14:paraId="269F24AF" w14:textId="77777777" w:rsidR="00077D89" w:rsidRDefault="00077D89" w:rsidP="002E0DCD">
      <w:pPr>
        <w:pStyle w:val="Default"/>
        <w:numPr>
          <w:ilvl w:val="0"/>
          <w:numId w:val="40"/>
        </w:numPr>
        <w:rPr>
          <w:rFonts w:asciiTheme="minorHAnsi" w:hAnsiTheme="minorHAnsi" w:cstheme="minorBidi"/>
          <w:color w:val="auto"/>
          <w:sz w:val="22"/>
          <w:szCs w:val="22"/>
          <w:lang w:val="en-US"/>
        </w:rPr>
      </w:pPr>
      <w:r>
        <w:rPr>
          <w:rFonts w:asciiTheme="minorHAnsi" w:hAnsiTheme="minorHAnsi" w:cstheme="minorBidi"/>
          <w:color w:val="auto"/>
          <w:sz w:val="22"/>
          <w:szCs w:val="22"/>
          <w:lang w:val="en-US"/>
        </w:rPr>
        <w:t xml:space="preserve">No reform targeting the asset management (and not the asset side) of MMFs will help enhancing their autonomy without </w:t>
      </w:r>
      <w:r w:rsidRPr="00081D1F">
        <w:rPr>
          <w:rFonts w:asciiTheme="minorHAnsi" w:hAnsiTheme="minorHAnsi" w:cstheme="minorBidi"/>
          <w:b/>
          <w:color w:val="auto"/>
          <w:sz w:val="22"/>
          <w:szCs w:val="22"/>
          <w:lang w:val="en-US"/>
        </w:rPr>
        <w:t>damaging their intrinsic features and the benefits they provide to both issuers and investors</w:t>
      </w:r>
      <w:r>
        <w:rPr>
          <w:rFonts w:asciiTheme="minorHAnsi" w:hAnsiTheme="minorHAnsi" w:cstheme="minorBidi"/>
          <w:color w:val="auto"/>
          <w:sz w:val="22"/>
          <w:szCs w:val="22"/>
          <w:lang w:val="en-US"/>
        </w:rPr>
        <w:t xml:space="preserve"> within the short term fixed income markets. We indeed consider that the existing set of rules have helped MMFs to navigate during the COVID-19 crisis. Moreover, no issue regarding MMFs’ portfolios structure (quality of holdings, liquidity ratios, weighted average maturity or life) was at stake during the March / April 2020 critical period.</w:t>
      </w:r>
    </w:p>
    <w:p w14:paraId="424F132F" w14:textId="77777777" w:rsidR="00077D89" w:rsidRDefault="00077D89" w:rsidP="00077D89">
      <w:pPr>
        <w:pStyle w:val="Default"/>
        <w:ind w:left="720"/>
        <w:rPr>
          <w:rFonts w:asciiTheme="minorHAnsi" w:hAnsiTheme="minorHAnsi" w:cstheme="minorBidi"/>
          <w:color w:val="auto"/>
          <w:sz w:val="22"/>
          <w:szCs w:val="22"/>
          <w:lang w:val="en-US"/>
        </w:rPr>
      </w:pPr>
    </w:p>
    <w:p w14:paraId="6E9FC218" w14:textId="62BF95E2" w:rsidR="00077D89" w:rsidRPr="00D4438F" w:rsidRDefault="00077D89" w:rsidP="002E0DCD">
      <w:pPr>
        <w:pStyle w:val="Default"/>
        <w:numPr>
          <w:ilvl w:val="0"/>
          <w:numId w:val="40"/>
        </w:numPr>
        <w:rPr>
          <w:rFonts w:asciiTheme="minorHAnsi" w:hAnsiTheme="minorHAnsi" w:cstheme="minorBidi"/>
          <w:color w:val="auto"/>
          <w:sz w:val="22"/>
          <w:szCs w:val="22"/>
          <w:lang w:val="en-US"/>
        </w:rPr>
      </w:pPr>
      <w:r>
        <w:rPr>
          <w:rFonts w:asciiTheme="minorHAnsi" w:hAnsiTheme="minorHAnsi" w:cstheme="minorBidi"/>
          <w:color w:val="auto"/>
          <w:sz w:val="22"/>
          <w:szCs w:val="22"/>
          <w:lang w:val="en-US"/>
        </w:rPr>
        <w:t xml:space="preserve">On the reverse, had any adjustment to be contemplated, we strongly believe they should cover the area of the liability management of MMFs. </w:t>
      </w:r>
      <w:r w:rsidR="0035379E">
        <w:rPr>
          <w:rFonts w:asciiTheme="minorHAnsi" w:hAnsiTheme="minorHAnsi" w:cstheme="minorBidi"/>
          <w:color w:val="auto"/>
          <w:sz w:val="22"/>
          <w:szCs w:val="22"/>
          <w:lang w:val="en-US"/>
        </w:rPr>
        <w:t>As mentioned above, w</w:t>
      </w:r>
      <w:r>
        <w:rPr>
          <w:rFonts w:asciiTheme="minorHAnsi" w:hAnsiTheme="minorHAnsi" w:cstheme="minorBidi"/>
          <w:color w:val="auto"/>
          <w:sz w:val="22"/>
          <w:szCs w:val="22"/>
          <w:lang w:val="en-US"/>
        </w:rPr>
        <w:t xml:space="preserve">e consider that MMFR provides MMFs with an efficient set of rules when it comes to eligible instruments and portfolio management rules. </w:t>
      </w:r>
      <w:r w:rsidRPr="001A23BF">
        <w:rPr>
          <w:rFonts w:asciiTheme="minorHAnsi" w:hAnsiTheme="minorHAnsi" w:cstheme="minorBidi"/>
          <w:b/>
          <w:color w:val="auto"/>
          <w:sz w:val="22"/>
          <w:szCs w:val="22"/>
          <w:lang w:val="en-US"/>
        </w:rPr>
        <w:t xml:space="preserve">These rules represent a solid </w:t>
      </w:r>
      <w:proofErr w:type="gramStart"/>
      <w:r w:rsidRPr="001A23BF">
        <w:rPr>
          <w:rFonts w:asciiTheme="minorHAnsi" w:hAnsiTheme="minorHAnsi" w:cstheme="minorBidi"/>
          <w:b/>
          <w:color w:val="auto"/>
          <w:sz w:val="22"/>
          <w:szCs w:val="22"/>
          <w:lang w:val="en-US"/>
        </w:rPr>
        <w:t>means for MMFs to dispose there assets as long as underlying markets keep on functioning</w:t>
      </w:r>
      <w:proofErr w:type="gramEnd"/>
      <w:r>
        <w:rPr>
          <w:rFonts w:asciiTheme="minorHAnsi" w:hAnsiTheme="minorHAnsi" w:cstheme="minorBidi"/>
          <w:color w:val="auto"/>
          <w:sz w:val="22"/>
          <w:szCs w:val="22"/>
          <w:lang w:val="en-US"/>
        </w:rPr>
        <w:t xml:space="preserve">. Thus, the main issue at stake has to do with MMF’s autonomy when markets’ liquidity is deteriorating. Our view is that this autonomy can be improved </w:t>
      </w:r>
      <w:r w:rsidRPr="001A23BF">
        <w:rPr>
          <w:rFonts w:asciiTheme="minorHAnsi" w:hAnsiTheme="minorHAnsi" w:cstheme="minorBidi"/>
          <w:b/>
          <w:color w:val="auto"/>
          <w:sz w:val="22"/>
          <w:szCs w:val="22"/>
          <w:lang w:val="en-US"/>
        </w:rPr>
        <w:t>1/by having a better, deeper knowledge of MMFs customers, and 2/by making available a tool, activated only in exceptional circumstances, that will incentivize customers to exit a fund only when absolutely needed.</w:t>
      </w:r>
    </w:p>
    <w:p w14:paraId="01E612A0" w14:textId="77777777" w:rsidR="00077D89" w:rsidRDefault="00077D89" w:rsidP="00077D89">
      <w:pPr>
        <w:pStyle w:val="Default"/>
        <w:rPr>
          <w:rFonts w:asciiTheme="minorHAnsi" w:hAnsiTheme="minorHAnsi" w:cstheme="minorBidi"/>
          <w:color w:val="auto"/>
          <w:sz w:val="22"/>
          <w:szCs w:val="22"/>
          <w:lang w:val="en-US"/>
        </w:rPr>
      </w:pPr>
    </w:p>
    <w:p w14:paraId="45694F8F" w14:textId="7CD54DF0" w:rsidR="00492B3A" w:rsidRPr="00077D89" w:rsidRDefault="00077D89" w:rsidP="00077D89">
      <w:pPr>
        <w:pStyle w:val="Default"/>
        <w:rPr>
          <w:rFonts w:asciiTheme="minorHAnsi" w:hAnsiTheme="minorHAnsi" w:cstheme="minorBidi"/>
          <w:color w:val="auto"/>
          <w:sz w:val="22"/>
          <w:szCs w:val="22"/>
          <w:lang w:val="en-US"/>
        </w:rPr>
      </w:pPr>
      <w:r>
        <w:rPr>
          <w:rFonts w:asciiTheme="minorHAnsi" w:hAnsiTheme="minorHAnsi" w:cstheme="minorBidi"/>
          <w:color w:val="auto"/>
          <w:sz w:val="22"/>
          <w:szCs w:val="22"/>
          <w:lang w:val="en-US"/>
        </w:rPr>
        <w:t xml:space="preserve">When listing the four potential reforms contemplated in the consultation document, we think that each of them </w:t>
      </w:r>
      <w:proofErr w:type="gramStart"/>
      <w:r>
        <w:rPr>
          <w:rFonts w:asciiTheme="minorHAnsi" w:hAnsiTheme="minorHAnsi" w:cstheme="minorBidi"/>
          <w:color w:val="auto"/>
          <w:sz w:val="22"/>
          <w:szCs w:val="22"/>
          <w:lang w:val="en-US"/>
        </w:rPr>
        <w:t>should be analyzed</w:t>
      </w:r>
      <w:proofErr w:type="gramEnd"/>
      <w:r>
        <w:rPr>
          <w:rFonts w:asciiTheme="minorHAnsi" w:hAnsiTheme="minorHAnsi" w:cstheme="minorBidi"/>
          <w:color w:val="auto"/>
          <w:sz w:val="22"/>
          <w:szCs w:val="22"/>
          <w:lang w:val="en-US"/>
        </w:rPr>
        <w:t xml:space="preserve"> </w:t>
      </w:r>
      <w:r w:rsidRPr="00D75F64">
        <w:rPr>
          <w:rFonts w:asciiTheme="minorHAnsi" w:hAnsiTheme="minorHAnsi" w:cstheme="minorBidi"/>
          <w:b/>
          <w:color w:val="auto"/>
          <w:sz w:val="22"/>
          <w:szCs w:val="22"/>
          <w:lang w:val="en-US"/>
        </w:rPr>
        <w:t>through the lens of the liability management of an MMF</w:t>
      </w:r>
      <w:r>
        <w:rPr>
          <w:rFonts w:asciiTheme="minorHAnsi" w:hAnsiTheme="minorHAnsi" w:cstheme="minorBidi"/>
          <w:color w:val="auto"/>
          <w:sz w:val="22"/>
          <w:szCs w:val="22"/>
          <w:lang w:val="en-US"/>
        </w:rPr>
        <w:t>. Our responses for each of these potential reforms will then follow this approach (see below).</w:t>
      </w:r>
    </w:p>
    <w:permEnd w:id="1123047147"/>
    <w:p w14:paraId="741E001B" w14:textId="4E171775" w:rsidR="00492B3A" w:rsidRDefault="00492B3A" w:rsidP="00492B3A">
      <w:r>
        <w:t>&lt;ESMA_QUESTION_</w:t>
      </w:r>
      <w:r w:rsidR="00DC1B3F">
        <w:t>MMFR</w:t>
      </w:r>
      <w:r>
        <w:t>_2&gt;</w:t>
      </w:r>
    </w:p>
    <w:p w14:paraId="3DF6FFDF" w14:textId="77777777" w:rsidR="00492B3A" w:rsidRDefault="00492B3A" w:rsidP="00492B3A"/>
    <w:p w14:paraId="47C2F5CA" w14:textId="2A5C4E89" w:rsidR="00492B3A" w:rsidRDefault="00976448" w:rsidP="00492B3A">
      <w:pPr>
        <w:pStyle w:val="Questionstyle"/>
      </w:pPr>
      <w:r w:rsidRPr="00F43E30">
        <w:rPr>
          <w:bCs/>
          <w:color w:val="201F1E"/>
          <w:bdr w:val="none" w:sz="0" w:space="0" w:color="auto" w:frame="1"/>
          <w:lang w:val="en-IE"/>
        </w:rPr>
        <w:t xml:space="preserve">Do you agree with the above assessment of the i) potential need to </w:t>
      </w:r>
      <w:r w:rsidRPr="00F43E30">
        <w:rPr>
          <w:bCs/>
          <w:lang w:val="en-US"/>
        </w:rPr>
        <w:t>decouple regulatory thresholds from suspensions/gates and the corresponding proposals of amendment of the MMF Regulation ii) potential reforms of the conditions for the use of redemption gates</w:t>
      </w:r>
      <w:r w:rsidRPr="00F43E30">
        <w:t xml:space="preserve">? </w:t>
      </w:r>
      <w:r w:rsidRPr="00F43E30">
        <w:rPr>
          <w:color w:val="201F1E"/>
          <w:bdr w:val="none" w:sz="0" w:space="0" w:color="auto" w:frame="1"/>
          <w:lang w:val="en-IE"/>
        </w:rPr>
        <w:t>When you answer this question, please also take into account the grid of criteria listed in paragraphs 76 to 80</w:t>
      </w:r>
      <w:r>
        <w:t>.</w:t>
      </w:r>
    </w:p>
    <w:p w14:paraId="1D5C0FD1" w14:textId="7F890B15" w:rsidR="00492B3A" w:rsidRDefault="00492B3A" w:rsidP="00492B3A">
      <w:r>
        <w:t>&lt;ESMA_QUESTION_</w:t>
      </w:r>
      <w:r w:rsidR="00DC1B3F">
        <w:t>MMFR</w:t>
      </w:r>
      <w:r>
        <w:t>_3&gt;</w:t>
      </w:r>
    </w:p>
    <w:p w14:paraId="3BDBC526" w14:textId="77777777" w:rsidR="00077D89" w:rsidRPr="008E53F3" w:rsidRDefault="00077D89" w:rsidP="00077D89">
      <w:pPr>
        <w:pStyle w:val="Default"/>
        <w:rPr>
          <w:rFonts w:asciiTheme="minorHAnsi" w:hAnsiTheme="minorHAnsi" w:cstheme="minorBidi"/>
          <w:color w:val="auto"/>
          <w:sz w:val="22"/>
          <w:szCs w:val="22"/>
          <w:u w:val="single"/>
        </w:rPr>
      </w:pPr>
      <w:permStart w:id="1823616926" w:edGrp="everyone"/>
      <w:r w:rsidRPr="008E53F3">
        <w:rPr>
          <w:rFonts w:asciiTheme="minorHAnsi" w:hAnsiTheme="minorHAnsi" w:cstheme="minorBidi"/>
          <w:color w:val="auto"/>
          <w:sz w:val="22"/>
          <w:szCs w:val="22"/>
          <w:u w:val="single"/>
        </w:rPr>
        <w:t>Points 83 à 90</w:t>
      </w:r>
    </w:p>
    <w:p w14:paraId="79271393" w14:textId="77777777" w:rsidR="00077D89" w:rsidRPr="0085130A" w:rsidRDefault="00077D89" w:rsidP="00077D89">
      <w:pPr>
        <w:pStyle w:val="Default"/>
        <w:rPr>
          <w:rFonts w:asciiTheme="minorHAnsi" w:hAnsiTheme="minorHAnsi" w:cstheme="minorBidi"/>
          <w:color w:val="FF0000"/>
          <w:sz w:val="22"/>
          <w:szCs w:val="22"/>
        </w:rPr>
      </w:pPr>
    </w:p>
    <w:p w14:paraId="6B26E742" w14:textId="4F5392DB" w:rsidR="00077D89" w:rsidRPr="00AF553C" w:rsidRDefault="00077D89" w:rsidP="00AF553C">
      <w:pPr>
        <w:pStyle w:val="Default"/>
        <w:numPr>
          <w:ilvl w:val="0"/>
          <w:numId w:val="40"/>
        </w:numPr>
        <w:rPr>
          <w:rFonts w:asciiTheme="minorHAnsi" w:hAnsiTheme="minorHAnsi" w:cstheme="minorBidi"/>
          <w:color w:val="auto"/>
          <w:sz w:val="22"/>
          <w:szCs w:val="22"/>
          <w:lang w:val="en-US"/>
        </w:rPr>
      </w:pPr>
      <w:r>
        <w:rPr>
          <w:rFonts w:asciiTheme="minorHAnsi" w:hAnsiTheme="minorHAnsi" w:cstheme="minorBidi"/>
          <w:color w:val="auto"/>
          <w:sz w:val="22"/>
          <w:szCs w:val="22"/>
          <w:lang w:val="en-US"/>
        </w:rPr>
        <w:t xml:space="preserve">As mentioned earlier in our response to Q1, it </w:t>
      </w:r>
      <w:proofErr w:type="gramStart"/>
      <w:r>
        <w:rPr>
          <w:rFonts w:asciiTheme="minorHAnsi" w:hAnsiTheme="minorHAnsi" w:cstheme="minorBidi"/>
          <w:color w:val="auto"/>
          <w:sz w:val="22"/>
          <w:szCs w:val="22"/>
          <w:lang w:val="en-US"/>
        </w:rPr>
        <w:t>should be reminded</w:t>
      </w:r>
      <w:proofErr w:type="gramEnd"/>
      <w:r>
        <w:rPr>
          <w:rFonts w:asciiTheme="minorHAnsi" w:hAnsiTheme="minorHAnsi" w:cstheme="minorBidi"/>
          <w:color w:val="auto"/>
          <w:sz w:val="22"/>
          <w:szCs w:val="22"/>
          <w:lang w:val="en-US"/>
        </w:rPr>
        <w:t xml:space="preserve"> that fees and gates rules, as they were designed in MMFR</w:t>
      </w:r>
      <w:r w:rsidRPr="0056011E">
        <w:rPr>
          <w:rFonts w:asciiTheme="minorHAnsi" w:hAnsiTheme="minorHAnsi" w:cstheme="minorBidi"/>
          <w:b/>
          <w:color w:val="auto"/>
          <w:sz w:val="22"/>
          <w:szCs w:val="22"/>
          <w:lang w:val="en-US"/>
        </w:rPr>
        <w:t>, target the sole CNAV / LVNAV types of MMFs as a</w:t>
      </w:r>
      <w:r>
        <w:rPr>
          <w:rFonts w:asciiTheme="minorHAnsi" w:hAnsiTheme="minorHAnsi" w:cstheme="minorBidi"/>
          <w:color w:val="auto"/>
          <w:sz w:val="22"/>
          <w:szCs w:val="22"/>
          <w:lang w:val="en-US"/>
        </w:rPr>
        <w:t xml:space="preserve"> </w:t>
      </w:r>
      <w:r w:rsidRPr="00F542FF">
        <w:rPr>
          <w:rFonts w:asciiTheme="minorHAnsi" w:hAnsiTheme="minorHAnsi" w:cstheme="minorBidi"/>
          <w:b/>
          <w:color w:val="auto"/>
          <w:sz w:val="22"/>
          <w:szCs w:val="22"/>
          <w:lang w:val="en-US"/>
        </w:rPr>
        <w:t xml:space="preserve">counterpart of the specific </w:t>
      </w:r>
      <w:r w:rsidR="00AF553C">
        <w:rPr>
          <w:rFonts w:asciiTheme="minorHAnsi" w:hAnsiTheme="minorHAnsi" w:cstheme="minorBidi"/>
          <w:b/>
          <w:color w:val="auto"/>
          <w:sz w:val="22"/>
          <w:szCs w:val="22"/>
          <w:lang w:val="en-US"/>
        </w:rPr>
        <w:t xml:space="preserve">valuation </w:t>
      </w:r>
      <w:r w:rsidRPr="00AF553C">
        <w:rPr>
          <w:rFonts w:asciiTheme="minorHAnsi" w:hAnsiTheme="minorHAnsi" w:cstheme="minorBidi"/>
          <w:b/>
          <w:color w:val="auto"/>
          <w:sz w:val="22"/>
          <w:szCs w:val="22"/>
          <w:lang w:val="en-US"/>
        </w:rPr>
        <w:t>methodology</w:t>
      </w:r>
      <w:r w:rsidR="00AF553C" w:rsidRPr="00AF553C">
        <w:rPr>
          <w:rFonts w:asciiTheme="minorHAnsi" w:hAnsiTheme="minorHAnsi" w:cstheme="minorBidi"/>
          <w:b/>
          <w:color w:val="auto"/>
          <w:sz w:val="22"/>
          <w:szCs w:val="22"/>
          <w:lang w:val="en-US"/>
        </w:rPr>
        <w:t xml:space="preserve"> applied by these MMFs, which includes the cost amortization of certain holdings.</w:t>
      </w:r>
    </w:p>
    <w:p w14:paraId="4E82CEBB" w14:textId="77777777" w:rsidR="00077D89" w:rsidRDefault="00077D89" w:rsidP="00077D89">
      <w:pPr>
        <w:pStyle w:val="Default"/>
        <w:ind w:left="720"/>
        <w:rPr>
          <w:rFonts w:asciiTheme="minorHAnsi" w:hAnsiTheme="minorHAnsi" w:cstheme="minorBidi"/>
          <w:color w:val="auto"/>
          <w:sz w:val="22"/>
          <w:szCs w:val="22"/>
          <w:lang w:val="en-US"/>
        </w:rPr>
      </w:pPr>
    </w:p>
    <w:p w14:paraId="0B41AA3D" w14:textId="38A95C22" w:rsidR="00077D89" w:rsidRPr="00170358" w:rsidRDefault="00077D89" w:rsidP="00170358">
      <w:pPr>
        <w:pStyle w:val="Default"/>
        <w:numPr>
          <w:ilvl w:val="0"/>
          <w:numId w:val="40"/>
        </w:numPr>
        <w:rPr>
          <w:rFonts w:asciiTheme="minorHAnsi" w:hAnsiTheme="minorHAnsi" w:cstheme="minorBidi"/>
          <w:b/>
          <w:color w:val="auto"/>
          <w:sz w:val="22"/>
          <w:szCs w:val="22"/>
          <w:lang w:val="en-US"/>
        </w:rPr>
      </w:pPr>
      <w:r>
        <w:rPr>
          <w:rFonts w:asciiTheme="minorHAnsi" w:hAnsiTheme="minorHAnsi" w:cstheme="minorBidi"/>
          <w:color w:val="auto"/>
          <w:sz w:val="22"/>
          <w:szCs w:val="22"/>
          <w:lang w:val="en-US"/>
        </w:rPr>
        <w:t>Our perception is that the sole monitoring of a dec</w:t>
      </w:r>
      <w:r w:rsidRPr="00170358">
        <w:rPr>
          <w:rFonts w:asciiTheme="minorHAnsi" w:hAnsiTheme="minorHAnsi" w:cstheme="minorBidi"/>
          <w:color w:val="auto"/>
          <w:sz w:val="22"/>
          <w:szCs w:val="22"/>
          <w:lang w:val="en-US"/>
        </w:rPr>
        <w:t xml:space="preserve">lining WLA – made possible by the article 36 of MMFR on Transparency – may favor pre-emptive redemptions by investors in periods of stressed markets. </w:t>
      </w:r>
      <w:r w:rsidRPr="00170358">
        <w:rPr>
          <w:rFonts w:asciiTheme="minorHAnsi" w:hAnsiTheme="minorHAnsi" w:cstheme="minorBidi"/>
          <w:b/>
          <w:color w:val="auto"/>
          <w:sz w:val="22"/>
          <w:szCs w:val="22"/>
          <w:lang w:val="en-US"/>
        </w:rPr>
        <w:t xml:space="preserve">This risk </w:t>
      </w:r>
      <w:proofErr w:type="gramStart"/>
      <w:r w:rsidRPr="00170358">
        <w:rPr>
          <w:rFonts w:asciiTheme="minorHAnsi" w:hAnsiTheme="minorHAnsi" w:cstheme="minorBidi"/>
          <w:b/>
          <w:color w:val="auto"/>
          <w:sz w:val="22"/>
          <w:szCs w:val="22"/>
          <w:lang w:val="en-US"/>
        </w:rPr>
        <w:t>is fairly described</w:t>
      </w:r>
      <w:proofErr w:type="gramEnd"/>
      <w:r w:rsidRPr="00170358">
        <w:rPr>
          <w:rFonts w:asciiTheme="minorHAnsi" w:hAnsiTheme="minorHAnsi" w:cstheme="minorBidi"/>
          <w:b/>
          <w:color w:val="auto"/>
          <w:sz w:val="22"/>
          <w:szCs w:val="22"/>
          <w:lang w:val="en-US"/>
        </w:rPr>
        <w:t xml:space="preserve"> in the point 108.iii of the consultation document.</w:t>
      </w:r>
    </w:p>
    <w:p w14:paraId="712C9284" w14:textId="77777777" w:rsidR="00077D89" w:rsidRDefault="00077D89" w:rsidP="00077D89">
      <w:pPr>
        <w:pStyle w:val="Default"/>
        <w:ind w:left="720"/>
        <w:rPr>
          <w:rFonts w:asciiTheme="minorHAnsi" w:hAnsiTheme="minorHAnsi" w:cstheme="minorBidi"/>
          <w:color w:val="auto"/>
          <w:sz w:val="22"/>
          <w:szCs w:val="22"/>
          <w:lang w:val="en-US"/>
        </w:rPr>
      </w:pPr>
    </w:p>
    <w:p w14:paraId="55FDC02C" w14:textId="77777777" w:rsidR="00077D89" w:rsidRDefault="00077D89" w:rsidP="002E0DCD">
      <w:pPr>
        <w:pStyle w:val="Default"/>
        <w:numPr>
          <w:ilvl w:val="0"/>
          <w:numId w:val="40"/>
        </w:numPr>
        <w:rPr>
          <w:rFonts w:asciiTheme="minorHAnsi" w:hAnsiTheme="minorHAnsi" w:cstheme="minorBidi"/>
          <w:color w:val="auto"/>
          <w:sz w:val="22"/>
          <w:szCs w:val="22"/>
          <w:lang w:val="en-US"/>
        </w:rPr>
      </w:pPr>
      <w:r w:rsidRPr="004A7127">
        <w:rPr>
          <w:rFonts w:asciiTheme="minorHAnsi" w:hAnsiTheme="minorHAnsi" w:cstheme="minorBidi"/>
          <w:color w:val="auto"/>
          <w:sz w:val="22"/>
          <w:szCs w:val="22"/>
          <w:lang w:val="en-US"/>
        </w:rPr>
        <w:t xml:space="preserve">The point 84 of the </w:t>
      </w:r>
      <w:r>
        <w:rPr>
          <w:rFonts w:asciiTheme="minorHAnsi" w:hAnsiTheme="minorHAnsi" w:cstheme="minorBidi"/>
          <w:color w:val="auto"/>
          <w:sz w:val="22"/>
          <w:szCs w:val="22"/>
          <w:lang w:val="en-US"/>
        </w:rPr>
        <w:t>c</w:t>
      </w:r>
      <w:r w:rsidRPr="004A7127">
        <w:rPr>
          <w:rFonts w:asciiTheme="minorHAnsi" w:hAnsiTheme="minorHAnsi" w:cstheme="minorBidi"/>
          <w:color w:val="auto"/>
          <w:sz w:val="22"/>
          <w:szCs w:val="22"/>
          <w:lang w:val="en-US"/>
        </w:rPr>
        <w:t>onsultation</w:t>
      </w:r>
      <w:r>
        <w:rPr>
          <w:rFonts w:asciiTheme="minorHAnsi" w:hAnsiTheme="minorHAnsi" w:cstheme="minorBidi"/>
          <w:color w:val="auto"/>
          <w:sz w:val="22"/>
          <w:szCs w:val="22"/>
          <w:lang w:val="en-US"/>
        </w:rPr>
        <w:t xml:space="preserve"> document</w:t>
      </w:r>
      <w:r w:rsidRPr="004A7127">
        <w:rPr>
          <w:rFonts w:asciiTheme="minorHAnsi" w:hAnsiTheme="minorHAnsi" w:cstheme="minorBidi"/>
          <w:color w:val="auto"/>
          <w:sz w:val="22"/>
          <w:szCs w:val="22"/>
          <w:lang w:val="en-US"/>
        </w:rPr>
        <w:t xml:space="preserve"> refers to studies that established a link between </w:t>
      </w:r>
      <w:proofErr w:type="spellStart"/>
      <w:r w:rsidRPr="004A7127">
        <w:rPr>
          <w:rFonts w:asciiTheme="minorHAnsi" w:hAnsiTheme="minorHAnsi" w:cstheme="minorBidi"/>
          <w:color w:val="auto"/>
          <w:sz w:val="22"/>
          <w:szCs w:val="22"/>
          <w:lang w:val="en-US"/>
        </w:rPr>
        <w:t>i</w:t>
      </w:r>
      <w:proofErr w:type="spellEnd"/>
      <w:r w:rsidRPr="004A7127">
        <w:rPr>
          <w:rFonts w:asciiTheme="minorHAnsi" w:hAnsiTheme="minorHAnsi" w:cstheme="minorBidi"/>
          <w:color w:val="auto"/>
          <w:sz w:val="22"/>
          <w:szCs w:val="22"/>
          <w:lang w:val="en-US"/>
        </w:rPr>
        <w:t xml:space="preserve">) WLA downward trend and ii) redemption upward trend. </w:t>
      </w:r>
    </w:p>
    <w:p w14:paraId="02C23952" w14:textId="77777777" w:rsidR="00077D89" w:rsidRDefault="00077D89" w:rsidP="00077D89">
      <w:pPr>
        <w:pStyle w:val="Default"/>
        <w:ind w:left="720"/>
        <w:rPr>
          <w:rFonts w:asciiTheme="minorHAnsi" w:hAnsiTheme="minorHAnsi" w:cstheme="minorBidi"/>
          <w:color w:val="auto"/>
          <w:sz w:val="22"/>
          <w:szCs w:val="22"/>
          <w:lang w:val="en-US"/>
        </w:rPr>
      </w:pPr>
    </w:p>
    <w:p w14:paraId="701DB064" w14:textId="77777777" w:rsidR="00077D89" w:rsidRPr="00785595" w:rsidRDefault="00077D89" w:rsidP="002E0DCD">
      <w:pPr>
        <w:pStyle w:val="Default"/>
        <w:numPr>
          <w:ilvl w:val="0"/>
          <w:numId w:val="40"/>
        </w:numPr>
        <w:rPr>
          <w:rFonts w:asciiTheme="minorHAnsi" w:hAnsiTheme="minorHAnsi" w:cstheme="minorBidi"/>
          <w:color w:val="auto"/>
          <w:sz w:val="22"/>
          <w:szCs w:val="22"/>
          <w:lang w:val="en-US"/>
        </w:rPr>
      </w:pPr>
      <w:r w:rsidRPr="00785595">
        <w:rPr>
          <w:rFonts w:asciiTheme="minorHAnsi" w:hAnsiTheme="minorHAnsi" w:cstheme="minorBidi"/>
          <w:color w:val="auto"/>
          <w:sz w:val="22"/>
          <w:szCs w:val="22"/>
          <w:lang w:val="en-US"/>
        </w:rPr>
        <w:t>Our view is that this observation, though quite intuitive, does not necessarily means that the existence of the regulatory thresholds (triggering mandatorily fees and/or gates) fully explains this correlation. At least, we can expect that this tie may amplify it.</w:t>
      </w:r>
    </w:p>
    <w:p w14:paraId="3E04CF9C" w14:textId="77777777" w:rsidR="00077D89" w:rsidRDefault="00077D89" w:rsidP="00077D89">
      <w:pPr>
        <w:pStyle w:val="Default"/>
        <w:ind w:left="720"/>
        <w:rPr>
          <w:rFonts w:asciiTheme="minorHAnsi" w:hAnsiTheme="minorHAnsi" w:cstheme="minorBidi"/>
          <w:color w:val="auto"/>
          <w:sz w:val="22"/>
          <w:szCs w:val="22"/>
          <w:lang w:val="en-US"/>
        </w:rPr>
      </w:pPr>
    </w:p>
    <w:p w14:paraId="599D7800" w14:textId="77777777" w:rsidR="00077D89" w:rsidRPr="0059524F" w:rsidRDefault="00077D89" w:rsidP="002E0DCD">
      <w:pPr>
        <w:pStyle w:val="Default"/>
        <w:numPr>
          <w:ilvl w:val="0"/>
          <w:numId w:val="40"/>
        </w:numPr>
        <w:rPr>
          <w:rFonts w:asciiTheme="minorHAnsi" w:hAnsiTheme="minorHAnsi" w:cstheme="minorBidi"/>
          <w:color w:val="auto"/>
          <w:sz w:val="22"/>
          <w:szCs w:val="22"/>
          <w:lang w:val="en-US"/>
        </w:rPr>
      </w:pPr>
      <w:r w:rsidRPr="0059524F">
        <w:rPr>
          <w:rFonts w:asciiTheme="minorHAnsi" w:hAnsiTheme="minorHAnsi" w:cstheme="minorBidi"/>
          <w:color w:val="auto"/>
          <w:sz w:val="22"/>
          <w:szCs w:val="22"/>
          <w:lang w:val="en-US"/>
        </w:rPr>
        <w:t xml:space="preserve">Given our limited footprint in LVNAV market, </w:t>
      </w:r>
      <w:r w:rsidRPr="0056011E">
        <w:rPr>
          <w:rFonts w:asciiTheme="minorHAnsi" w:hAnsiTheme="minorHAnsi" w:cstheme="minorBidi"/>
          <w:b/>
          <w:color w:val="auto"/>
          <w:sz w:val="22"/>
          <w:szCs w:val="22"/>
          <w:lang w:val="en-US"/>
        </w:rPr>
        <w:t>we have not come to a clear conclusion on the necessity, or not, to reopen the article 34</w:t>
      </w:r>
      <w:r w:rsidRPr="0056011E">
        <w:rPr>
          <w:rFonts w:asciiTheme="minorHAnsi" w:hAnsiTheme="minorHAnsi" w:cstheme="minorBidi"/>
          <w:color w:val="auto"/>
          <w:sz w:val="22"/>
          <w:szCs w:val="22"/>
          <w:lang w:val="en-US"/>
        </w:rPr>
        <w:t xml:space="preserve"> which</w:t>
      </w:r>
      <w:r w:rsidRPr="0059524F">
        <w:rPr>
          <w:rFonts w:asciiTheme="minorHAnsi" w:hAnsiTheme="minorHAnsi" w:cstheme="minorBidi"/>
          <w:i/>
          <w:color w:val="auto"/>
          <w:sz w:val="22"/>
          <w:szCs w:val="22"/>
          <w:lang w:val="en-US"/>
        </w:rPr>
        <w:t xml:space="preserve"> </w:t>
      </w:r>
      <w:r>
        <w:rPr>
          <w:rFonts w:asciiTheme="minorHAnsi" w:hAnsiTheme="minorHAnsi" w:cstheme="minorBidi"/>
          <w:i/>
          <w:color w:val="auto"/>
          <w:sz w:val="22"/>
          <w:szCs w:val="22"/>
          <w:lang w:val="en-US"/>
        </w:rPr>
        <w:t>“</w:t>
      </w:r>
      <w:r w:rsidRPr="0059524F">
        <w:rPr>
          <w:rFonts w:asciiTheme="minorHAnsi" w:hAnsiTheme="minorHAnsi" w:cstheme="minorBidi"/>
          <w:i/>
          <w:color w:val="auto"/>
          <w:sz w:val="22"/>
          <w:szCs w:val="22"/>
          <w:lang w:val="en-US"/>
        </w:rPr>
        <w:t>links the level of WLA with the mandatory activation of fees and/or gates</w:t>
      </w:r>
      <w:r>
        <w:rPr>
          <w:rFonts w:asciiTheme="minorHAnsi" w:hAnsiTheme="minorHAnsi" w:cstheme="minorBidi"/>
          <w:i/>
          <w:color w:val="auto"/>
          <w:sz w:val="22"/>
          <w:szCs w:val="22"/>
          <w:lang w:val="en-US"/>
        </w:rPr>
        <w:t>”</w:t>
      </w:r>
    </w:p>
    <w:p w14:paraId="09117A29" w14:textId="77777777" w:rsidR="00077D89" w:rsidRPr="0059524F" w:rsidRDefault="00077D89" w:rsidP="00077D89">
      <w:pPr>
        <w:pStyle w:val="Default"/>
        <w:rPr>
          <w:rFonts w:asciiTheme="minorHAnsi" w:hAnsiTheme="minorHAnsi" w:cstheme="minorBidi"/>
          <w:color w:val="auto"/>
          <w:sz w:val="22"/>
          <w:szCs w:val="22"/>
          <w:lang w:val="en-US"/>
        </w:rPr>
      </w:pPr>
    </w:p>
    <w:p w14:paraId="7E88286B" w14:textId="44C7EAF4" w:rsidR="00077D89" w:rsidRDefault="00077D89" w:rsidP="002E0DCD">
      <w:pPr>
        <w:pStyle w:val="Default"/>
        <w:numPr>
          <w:ilvl w:val="0"/>
          <w:numId w:val="40"/>
        </w:numPr>
        <w:rPr>
          <w:rFonts w:asciiTheme="minorHAnsi" w:hAnsiTheme="minorHAnsi" w:cstheme="minorBidi"/>
          <w:color w:val="auto"/>
          <w:sz w:val="22"/>
          <w:szCs w:val="22"/>
          <w:lang w:val="en-US"/>
        </w:rPr>
      </w:pPr>
      <w:r>
        <w:rPr>
          <w:rFonts w:asciiTheme="minorHAnsi" w:hAnsiTheme="minorHAnsi" w:cstheme="minorBidi"/>
          <w:color w:val="auto"/>
          <w:sz w:val="22"/>
          <w:szCs w:val="22"/>
          <w:lang w:val="en-US"/>
        </w:rPr>
        <w:t>In light of our experience during the Covid-19 crisis, we have not detected any pre-emptive redemption</w:t>
      </w:r>
      <w:r w:rsidR="0035379E">
        <w:rPr>
          <w:rFonts w:asciiTheme="minorHAnsi" w:hAnsiTheme="minorHAnsi" w:cstheme="minorBidi"/>
          <w:color w:val="auto"/>
          <w:sz w:val="22"/>
          <w:szCs w:val="22"/>
          <w:lang w:val="en-US"/>
        </w:rPr>
        <w:t>s</w:t>
      </w:r>
      <w:r>
        <w:rPr>
          <w:rFonts w:asciiTheme="minorHAnsi" w:hAnsiTheme="minorHAnsi" w:cstheme="minorBidi"/>
          <w:color w:val="auto"/>
          <w:sz w:val="22"/>
          <w:szCs w:val="22"/>
          <w:lang w:val="en-US"/>
        </w:rPr>
        <w:t xml:space="preserve"> from our clients, that could have been motivated by a fear to be gated otherwise,</w:t>
      </w:r>
    </w:p>
    <w:p w14:paraId="4883938C" w14:textId="77777777" w:rsidR="00077D89" w:rsidRDefault="00077D89" w:rsidP="00077D89">
      <w:pPr>
        <w:pStyle w:val="Default"/>
        <w:ind w:left="720"/>
        <w:rPr>
          <w:rFonts w:asciiTheme="minorHAnsi" w:hAnsiTheme="minorHAnsi" w:cstheme="minorBidi"/>
          <w:color w:val="auto"/>
          <w:sz w:val="22"/>
          <w:szCs w:val="22"/>
          <w:lang w:val="en-US"/>
        </w:rPr>
      </w:pPr>
    </w:p>
    <w:p w14:paraId="524BC3C8" w14:textId="77777777" w:rsidR="00077D89" w:rsidRDefault="00077D89" w:rsidP="00492B3A">
      <w:pPr>
        <w:rPr>
          <w:rFonts w:asciiTheme="minorHAnsi" w:hAnsiTheme="minorHAnsi" w:cstheme="minorBidi"/>
          <w:sz w:val="22"/>
          <w:szCs w:val="22"/>
          <w:lang w:val="en-US"/>
        </w:rPr>
      </w:pPr>
      <w:r w:rsidRPr="00077D89">
        <w:rPr>
          <w:rFonts w:asciiTheme="minorHAnsi" w:hAnsiTheme="minorHAnsi" w:cstheme="minorBidi"/>
          <w:sz w:val="22"/>
          <w:szCs w:val="22"/>
          <w:lang w:val="en-US"/>
        </w:rPr>
        <w:t>As regards the different options listed in points 86 and 87, we see a real challenge in reforming the existing rules covering LVNAV / fees and gates - that are specifically linked to accounting methodology matters - separately from the possible introduction of Liquidity Management Tools, like swing-pricing or any other anti-dilution levy (ADL) for all types of MMFs (i.e. including VNAV).</w:t>
      </w:r>
    </w:p>
    <w:permEnd w:id="1823616926"/>
    <w:p w14:paraId="383E5893" w14:textId="59EC1E1A" w:rsidR="00492B3A" w:rsidRDefault="00492B3A" w:rsidP="00492B3A">
      <w:r>
        <w:t>&lt;ESMA_QUESTION_</w:t>
      </w:r>
      <w:r w:rsidR="00DC1B3F">
        <w:t>MMFR</w:t>
      </w:r>
      <w:r>
        <w:t>_3&gt;</w:t>
      </w:r>
    </w:p>
    <w:p w14:paraId="4AD8C875" w14:textId="77777777" w:rsidR="00492B3A" w:rsidRDefault="00492B3A" w:rsidP="00492B3A"/>
    <w:p w14:paraId="798F0E29" w14:textId="62BC3067" w:rsidR="00492B3A" w:rsidRDefault="00976448" w:rsidP="00492B3A">
      <w:pPr>
        <w:pStyle w:val="Questionstyle"/>
      </w:pPr>
      <w:r w:rsidRPr="00F43E30">
        <w:t xml:space="preserve">i) </w:t>
      </w:r>
      <w:r w:rsidRPr="00F43E30">
        <w:rPr>
          <w:color w:val="201F1E"/>
          <w:bdr w:val="none" w:sz="0" w:space="0" w:color="auto" w:frame="1"/>
          <w:lang w:val="en-IE"/>
        </w:rPr>
        <w:t xml:space="preserve">Do you agree with the above assessment of the potential need to </w:t>
      </w:r>
      <w:r w:rsidRPr="00F43E30">
        <w:rPr>
          <w:lang w:val="en-US"/>
        </w:rPr>
        <w:t>require MMFs to use swing pricing and / or ADL / liquidity fees and the corresponding proposal of amendment of the MMF Regulation (including the above list of corresponding potential benefits and drawbacks)</w:t>
      </w:r>
      <w:r w:rsidRPr="00F43E30">
        <w:rPr>
          <w:color w:val="201F1E"/>
          <w:bdr w:val="none" w:sz="0" w:space="0" w:color="auto" w:frame="1"/>
          <w:lang w:val="en-IE"/>
        </w:rPr>
        <w:t>? ii) If you are of the view that swing pricing might not be workable for certain types of MMFs, which instruments would you suggest as an alternative for these types of MMFs going forward</w:t>
      </w:r>
      <w:r w:rsidRPr="00F43E30">
        <w:rPr>
          <w:lang w:val="en-US"/>
        </w:rPr>
        <w:t xml:space="preserve">? </w:t>
      </w:r>
      <w:r w:rsidRPr="00F43E30">
        <w:rPr>
          <w:color w:val="201F1E"/>
          <w:bdr w:val="none" w:sz="0" w:space="0" w:color="auto" w:frame="1"/>
          <w:lang w:val="en-IE"/>
        </w:rPr>
        <w:t>When you answer this question, please also take into account the grid of criteria listed in paragraphs 76 to 80</w:t>
      </w:r>
      <w:r>
        <w:t>.</w:t>
      </w:r>
    </w:p>
    <w:p w14:paraId="001F3D0D" w14:textId="3E350E89" w:rsidR="00492B3A" w:rsidRDefault="00492B3A" w:rsidP="00492B3A">
      <w:r>
        <w:t>&lt;ESMA_QUESTION_</w:t>
      </w:r>
      <w:r w:rsidR="00DC1B3F">
        <w:t>MMFR</w:t>
      </w:r>
      <w:r>
        <w:t>_4&gt;</w:t>
      </w:r>
    </w:p>
    <w:p w14:paraId="64FA5F1A" w14:textId="77777777" w:rsidR="00077D89" w:rsidRPr="008E53F3" w:rsidRDefault="00077D89" w:rsidP="00077D89">
      <w:pPr>
        <w:pStyle w:val="Default"/>
        <w:rPr>
          <w:rFonts w:asciiTheme="minorHAnsi" w:hAnsiTheme="minorHAnsi" w:cstheme="minorBidi"/>
          <w:color w:val="auto"/>
          <w:sz w:val="22"/>
          <w:szCs w:val="22"/>
          <w:u w:val="single"/>
          <w:lang w:val="en-US"/>
        </w:rPr>
      </w:pPr>
      <w:permStart w:id="910372547" w:edGrp="everyone"/>
      <w:r w:rsidRPr="008E53F3">
        <w:rPr>
          <w:rFonts w:asciiTheme="minorHAnsi" w:hAnsiTheme="minorHAnsi" w:cstheme="minorBidi"/>
          <w:color w:val="auto"/>
          <w:sz w:val="22"/>
          <w:szCs w:val="22"/>
          <w:u w:val="single"/>
          <w:lang w:val="en-US"/>
        </w:rPr>
        <w:t>Points 91 to 106:</w:t>
      </w:r>
    </w:p>
    <w:p w14:paraId="741F4521" w14:textId="77777777" w:rsidR="00077D89" w:rsidRDefault="00077D89" w:rsidP="00077D89">
      <w:pPr>
        <w:pStyle w:val="Default"/>
        <w:rPr>
          <w:rFonts w:asciiTheme="minorHAnsi" w:hAnsiTheme="minorHAnsi" w:cstheme="minorBidi"/>
          <w:color w:val="auto"/>
          <w:sz w:val="22"/>
          <w:szCs w:val="22"/>
          <w:lang w:val="en-US"/>
        </w:rPr>
      </w:pPr>
    </w:p>
    <w:p w14:paraId="6EABF746" w14:textId="77777777" w:rsidR="00077D89" w:rsidRDefault="00077D89" w:rsidP="00077D89">
      <w:pPr>
        <w:pStyle w:val="Default"/>
        <w:rPr>
          <w:rFonts w:asciiTheme="minorHAnsi" w:hAnsiTheme="minorHAnsi" w:cstheme="minorBidi"/>
          <w:color w:val="auto"/>
          <w:sz w:val="22"/>
          <w:szCs w:val="22"/>
          <w:lang w:val="en-US"/>
        </w:rPr>
      </w:pPr>
      <w:r>
        <w:rPr>
          <w:rFonts w:asciiTheme="minorHAnsi" w:hAnsiTheme="minorHAnsi" w:cstheme="minorBidi"/>
          <w:color w:val="auto"/>
          <w:sz w:val="22"/>
          <w:szCs w:val="22"/>
          <w:lang w:val="en-US"/>
        </w:rPr>
        <w:t>On a general standpoint, we do not have particular comments on the different points – 91 to 106 - preceding the question Q4, but, more generally, the following:</w:t>
      </w:r>
    </w:p>
    <w:p w14:paraId="563A3509" w14:textId="77777777" w:rsidR="00077D89" w:rsidRDefault="00077D89" w:rsidP="00077D89">
      <w:pPr>
        <w:pStyle w:val="Default"/>
        <w:rPr>
          <w:rFonts w:asciiTheme="minorHAnsi" w:hAnsiTheme="minorHAnsi" w:cstheme="minorBidi"/>
          <w:color w:val="auto"/>
          <w:sz w:val="22"/>
          <w:szCs w:val="22"/>
          <w:lang w:val="en-US"/>
        </w:rPr>
      </w:pPr>
    </w:p>
    <w:p w14:paraId="121176CF" w14:textId="14EE0D3B" w:rsidR="00077D89" w:rsidRPr="005417BF" w:rsidRDefault="00077D89" w:rsidP="002E0DCD">
      <w:pPr>
        <w:pStyle w:val="Default"/>
        <w:numPr>
          <w:ilvl w:val="0"/>
          <w:numId w:val="40"/>
        </w:numPr>
        <w:rPr>
          <w:rFonts w:asciiTheme="minorHAnsi" w:hAnsiTheme="minorHAnsi" w:cstheme="minorBidi"/>
          <w:color w:val="auto"/>
          <w:sz w:val="22"/>
          <w:szCs w:val="22"/>
          <w:lang w:val="en-US"/>
        </w:rPr>
      </w:pPr>
      <w:r>
        <w:rPr>
          <w:rFonts w:asciiTheme="minorHAnsi" w:hAnsiTheme="minorHAnsi" w:cstheme="minorBidi"/>
          <w:color w:val="auto"/>
          <w:sz w:val="22"/>
          <w:szCs w:val="22"/>
          <w:lang w:val="en-US"/>
        </w:rPr>
        <w:t xml:space="preserve">Any decision to impose a mandatory resort to a tool that may restrain the liquidity of MMFs </w:t>
      </w:r>
      <w:proofErr w:type="gramStart"/>
      <w:r>
        <w:rPr>
          <w:rFonts w:asciiTheme="minorHAnsi" w:hAnsiTheme="minorHAnsi" w:cstheme="minorBidi"/>
          <w:color w:val="auto"/>
          <w:sz w:val="22"/>
          <w:szCs w:val="22"/>
          <w:lang w:val="en-US"/>
        </w:rPr>
        <w:t>should be made</w:t>
      </w:r>
      <w:proofErr w:type="gramEnd"/>
      <w:r>
        <w:rPr>
          <w:rFonts w:asciiTheme="minorHAnsi" w:hAnsiTheme="minorHAnsi" w:cstheme="minorBidi"/>
          <w:color w:val="auto"/>
          <w:sz w:val="22"/>
          <w:szCs w:val="22"/>
          <w:lang w:val="en-US"/>
        </w:rPr>
        <w:t xml:space="preserve"> on a very cautious mode, paying a great attention to MMF users’ views</w:t>
      </w:r>
      <w:r w:rsidR="0035379E">
        <w:rPr>
          <w:rFonts w:asciiTheme="minorHAnsi" w:hAnsiTheme="minorHAnsi" w:cstheme="minorBidi"/>
          <w:color w:val="auto"/>
          <w:sz w:val="22"/>
          <w:szCs w:val="22"/>
          <w:lang w:val="en-US"/>
        </w:rPr>
        <w:t xml:space="preserve"> and reactions</w:t>
      </w:r>
      <w:r>
        <w:rPr>
          <w:rFonts w:asciiTheme="minorHAnsi" w:hAnsiTheme="minorHAnsi" w:cstheme="minorBidi"/>
          <w:color w:val="auto"/>
          <w:sz w:val="22"/>
          <w:szCs w:val="22"/>
          <w:lang w:val="en-US"/>
        </w:rPr>
        <w:t xml:space="preserve"> on this possibility.</w:t>
      </w:r>
    </w:p>
    <w:p w14:paraId="4307A330" w14:textId="77777777" w:rsidR="00077D89" w:rsidRDefault="00077D89" w:rsidP="002E0DCD">
      <w:pPr>
        <w:pStyle w:val="Default"/>
        <w:numPr>
          <w:ilvl w:val="0"/>
          <w:numId w:val="40"/>
        </w:numPr>
        <w:rPr>
          <w:rFonts w:asciiTheme="minorHAnsi" w:hAnsiTheme="minorHAnsi" w:cstheme="minorBidi"/>
          <w:color w:val="auto"/>
          <w:sz w:val="22"/>
          <w:szCs w:val="22"/>
          <w:lang w:val="en-US"/>
        </w:rPr>
      </w:pPr>
      <w:r>
        <w:rPr>
          <w:rFonts w:asciiTheme="minorHAnsi" w:hAnsiTheme="minorHAnsi" w:cstheme="minorBidi"/>
          <w:color w:val="auto"/>
          <w:sz w:val="22"/>
          <w:szCs w:val="22"/>
          <w:lang w:val="en-US"/>
        </w:rPr>
        <w:t>Indeed, Liquidity Management Tools (</w:t>
      </w:r>
      <w:r w:rsidRPr="00F36EB4">
        <w:rPr>
          <w:rFonts w:asciiTheme="minorHAnsi" w:hAnsiTheme="minorHAnsi" w:cstheme="minorBidi"/>
          <w:color w:val="auto"/>
          <w:sz w:val="22"/>
          <w:szCs w:val="22"/>
          <w:lang w:val="en-US"/>
        </w:rPr>
        <w:t>LMTs</w:t>
      </w:r>
      <w:r>
        <w:rPr>
          <w:rFonts w:asciiTheme="minorHAnsi" w:hAnsiTheme="minorHAnsi" w:cstheme="minorBidi"/>
          <w:color w:val="auto"/>
          <w:sz w:val="22"/>
          <w:szCs w:val="22"/>
          <w:lang w:val="en-US"/>
        </w:rPr>
        <w:t xml:space="preserve">) and MMFs represent elements that seem to be quite </w:t>
      </w:r>
      <w:proofErr w:type="spellStart"/>
      <w:r>
        <w:rPr>
          <w:rFonts w:asciiTheme="minorHAnsi" w:hAnsiTheme="minorHAnsi" w:cstheme="minorBidi"/>
          <w:color w:val="auto"/>
          <w:sz w:val="22"/>
          <w:szCs w:val="22"/>
          <w:lang w:val="en-US"/>
        </w:rPr>
        <w:t>antinomic</w:t>
      </w:r>
      <w:proofErr w:type="spellEnd"/>
      <w:r>
        <w:rPr>
          <w:rFonts w:asciiTheme="minorHAnsi" w:hAnsiTheme="minorHAnsi" w:cstheme="minorBidi"/>
          <w:color w:val="auto"/>
          <w:sz w:val="22"/>
          <w:szCs w:val="22"/>
          <w:lang w:val="en-US"/>
        </w:rPr>
        <w:t xml:space="preserve"> at first glance</w:t>
      </w:r>
      <w:r w:rsidRPr="00F36EB4">
        <w:rPr>
          <w:rFonts w:asciiTheme="minorHAnsi" w:hAnsiTheme="minorHAnsi" w:cstheme="minorBidi"/>
          <w:color w:val="auto"/>
          <w:sz w:val="22"/>
          <w:szCs w:val="22"/>
          <w:lang w:val="en-US"/>
        </w:rPr>
        <w:t xml:space="preserve">, as </w:t>
      </w:r>
      <w:r>
        <w:rPr>
          <w:rFonts w:asciiTheme="minorHAnsi" w:hAnsiTheme="minorHAnsi" w:cstheme="minorBidi"/>
          <w:color w:val="auto"/>
          <w:sz w:val="22"/>
          <w:szCs w:val="22"/>
          <w:lang w:val="en-US"/>
        </w:rPr>
        <w:t xml:space="preserve">MMFs are considered as the </w:t>
      </w:r>
      <w:proofErr w:type="gramStart"/>
      <w:r>
        <w:rPr>
          <w:rFonts w:asciiTheme="minorHAnsi" w:hAnsiTheme="minorHAnsi" w:cstheme="minorBidi"/>
          <w:color w:val="auto"/>
          <w:sz w:val="22"/>
          <w:szCs w:val="22"/>
          <w:lang w:val="en-US"/>
        </w:rPr>
        <w:t>most liquid</w:t>
      </w:r>
      <w:proofErr w:type="gramEnd"/>
      <w:r>
        <w:rPr>
          <w:rFonts w:asciiTheme="minorHAnsi" w:hAnsiTheme="minorHAnsi" w:cstheme="minorBidi"/>
          <w:color w:val="auto"/>
          <w:sz w:val="22"/>
          <w:szCs w:val="22"/>
          <w:lang w:val="en-US"/>
        </w:rPr>
        <w:t xml:space="preserve"> and easily accessible collective schemes made available to investors.</w:t>
      </w:r>
    </w:p>
    <w:p w14:paraId="170C46ED" w14:textId="77777777" w:rsidR="00077D89" w:rsidRDefault="00077D89" w:rsidP="002E0DCD">
      <w:pPr>
        <w:pStyle w:val="Default"/>
        <w:numPr>
          <w:ilvl w:val="0"/>
          <w:numId w:val="40"/>
        </w:numPr>
        <w:rPr>
          <w:rFonts w:asciiTheme="minorHAnsi" w:hAnsiTheme="minorHAnsi" w:cstheme="minorBidi"/>
          <w:color w:val="auto"/>
          <w:sz w:val="22"/>
          <w:szCs w:val="22"/>
          <w:lang w:val="en-US"/>
        </w:rPr>
      </w:pPr>
      <w:r>
        <w:rPr>
          <w:rFonts w:asciiTheme="minorHAnsi" w:hAnsiTheme="minorHAnsi" w:cstheme="minorBidi"/>
          <w:color w:val="auto"/>
          <w:sz w:val="22"/>
          <w:szCs w:val="22"/>
          <w:lang w:val="en-US"/>
        </w:rPr>
        <w:t>This should not be underestimated when considering requiring from MMFs any resort to LMTs, on an investor prospective.</w:t>
      </w:r>
    </w:p>
    <w:p w14:paraId="4D09A772" w14:textId="77777777" w:rsidR="00077D89" w:rsidRDefault="00077D89" w:rsidP="002E0DCD">
      <w:pPr>
        <w:pStyle w:val="Default"/>
        <w:numPr>
          <w:ilvl w:val="0"/>
          <w:numId w:val="40"/>
        </w:numPr>
        <w:rPr>
          <w:rFonts w:asciiTheme="minorHAnsi" w:hAnsiTheme="minorHAnsi" w:cstheme="minorBidi"/>
          <w:color w:val="auto"/>
          <w:sz w:val="22"/>
          <w:szCs w:val="22"/>
          <w:lang w:val="en-US"/>
        </w:rPr>
      </w:pPr>
      <w:r>
        <w:rPr>
          <w:rFonts w:asciiTheme="minorHAnsi" w:hAnsiTheme="minorHAnsi" w:cstheme="minorBidi"/>
          <w:color w:val="auto"/>
          <w:sz w:val="22"/>
          <w:szCs w:val="22"/>
          <w:lang w:val="en-US"/>
        </w:rPr>
        <w:t xml:space="preserve">Until now, </w:t>
      </w:r>
      <w:r w:rsidRPr="003E274F">
        <w:rPr>
          <w:rFonts w:asciiTheme="minorHAnsi" w:hAnsiTheme="minorHAnsi" w:cstheme="minorBidi"/>
          <w:b/>
          <w:color w:val="auto"/>
          <w:sz w:val="22"/>
          <w:szCs w:val="22"/>
          <w:lang w:val="en-US"/>
        </w:rPr>
        <w:t xml:space="preserve">no liquidity restriction </w:t>
      </w:r>
      <w:proofErr w:type="gramStart"/>
      <w:r w:rsidRPr="003E274F">
        <w:rPr>
          <w:rFonts w:asciiTheme="minorHAnsi" w:hAnsiTheme="minorHAnsi" w:cstheme="minorBidi"/>
          <w:b/>
          <w:color w:val="auto"/>
          <w:sz w:val="22"/>
          <w:szCs w:val="22"/>
          <w:lang w:val="en-US"/>
        </w:rPr>
        <w:t>has ever been activated</w:t>
      </w:r>
      <w:proofErr w:type="gramEnd"/>
      <w:r w:rsidRPr="003E274F">
        <w:rPr>
          <w:rFonts w:asciiTheme="minorHAnsi" w:hAnsiTheme="minorHAnsi" w:cstheme="minorBidi"/>
          <w:b/>
          <w:color w:val="auto"/>
          <w:sz w:val="22"/>
          <w:szCs w:val="22"/>
          <w:lang w:val="en-US"/>
        </w:rPr>
        <w:t xml:space="preserve"> in any European MMF, including during the GFC.</w:t>
      </w:r>
    </w:p>
    <w:p w14:paraId="0669A6D8" w14:textId="77777777" w:rsidR="00077D89" w:rsidRDefault="00077D89" w:rsidP="002E0DCD">
      <w:pPr>
        <w:pStyle w:val="Default"/>
        <w:numPr>
          <w:ilvl w:val="0"/>
          <w:numId w:val="40"/>
        </w:numPr>
        <w:rPr>
          <w:rFonts w:asciiTheme="minorHAnsi" w:hAnsiTheme="minorHAnsi" w:cstheme="minorBidi"/>
          <w:color w:val="auto"/>
          <w:sz w:val="22"/>
          <w:szCs w:val="22"/>
          <w:lang w:val="en-US"/>
        </w:rPr>
      </w:pPr>
      <w:r>
        <w:rPr>
          <w:rFonts w:asciiTheme="minorHAnsi" w:hAnsiTheme="minorHAnsi" w:cstheme="minorBidi"/>
          <w:color w:val="auto"/>
          <w:sz w:val="22"/>
          <w:szCs w:val="22"/>
          <w:lang w:val="en-US"/>
        </w:rPr>
        <w:t xml:space="preserve">Among the main categories of LMTs, </w:t>
      </w:r>
      <w:r w:rsidRPr="003E274F">
        <w:rPr>
          <w:rFonts w:asciiTheme="minorHAnsi" w:hAnsiTheme="minorHAnsi" w:cstheme="minorBidi"/>
          <w:b/>
          <w:color w:val="auto"/>
          <w:sz w:val="22"/>
          <w:szCs w:val="22"/>
          <w:lang w:val="en-US"/>
        </w:rPr>
        <w:t xml:space="preserve">gates </w:t>
      </w:r>
      <w:proofErr w:type="gramStart"/>
      <w:r w:rsidRPr="003E274F">
        <w:rPr>
          <w:rFonts w:asciiTheme="minorHAnsi" w:hAnsiTheme="minorHAnsi" w:cstheme="minorBidi"/>
          <w:b/>
          <w:color w:val="auto"/>
          <w:sz w:val="22"/>
          <w:szCs w:val="22"/>
          <w:lang w:val="en-US"/>
        </w:rPr>
        <w:t>are perceived</w:t>
      </w:r>
      <w:proofErr w:type="gramEnd"/>
      <w:r w:rsidRPr="003E274F">
        <w:rPr>
          <w:rFonts w:asciiTheme="minorHAnsi" w:hAnsiTheme="minorHAnsi" w:cstheme="minorBidi"/>
          <w:b/>
          <w:color w:val="auto"/>
          <w:sz w:val="22"/>
          <w:szCs w:val="22"/>
          <w:lang w:val="en-US"/>
        </w:rPr>
        <w:t xml:space="preserve"> as a traumatic event, comparable to NAV suspensions</w:t>
      </w:r>
      <w:r>
        <w:rPr>
          <w:rFonts w:asciiTheme="minorHAnsi" w:hAnsiTheme="minorHAnsi" w:cstheme="minorBidi"/>
          <w:b/>
          <w:color w:val="auto"/>
          <w:sz w:val="22"/>
          <w:szCs w:val="22"/>
          <w:lang w:val="en-US"/>
        </w:rPr>
        <w:t>.</w:t>
      </w:r>
    </w:p>
    <w:p w14:paraId="1E326B90" w14:textId="77777777" w:rsidR="00077D89" w:rsidRDefault="00077D89" w:rsidP="002E0DCD">
      <w:pPr>
        <w:pStyle w:val="Default"/>
        <w:numPr>
          <w:ilvl w:val="0"/>
          <w:numId w:val="40"/>
        </w:numPr>
        <w:rPr>
          <w:rFonts w:asciiTheme="minorHAnsi" w:hAnsiTheme="minorHAnsi" w:cstheme="minorBidi"/>
          <w:color w:val="auto"/>
          <w:sz w:val="22"/>
          <w:szCs w:val="22"/>
          <w:lang w:val="en-US"/>
        </w:rPr>
      </w:pPr>
      <w:r>
        <w:rPr>
          <w:rFonts w:asciiTheme="minorHAnsi" w:hAnsiTheme="minorHAnsi" w:cstheme="minorBidi"/>
          <w:color w:val="auto"/>
          <w:sz w:val="22"/>
          <w:szCs w:val="22"/>
          <w:lang w:val="en-US"/>
        </w:rPr>
        <w:t>As a reminder, and as long as UCITS MMFs are concerned, suspensions are already mandatorily present in legal documentation.</w:t>
      </w:r>
    </w:p>
    <w:p w14:paraId="0F55248B" w14:textId="77777777" w:rsidR="00077D89" w:rsidRDefault="00077D89" w:rsidP="002E0DCD">
      <w:pPr>
        <w:pStyle w:val="Default"/>
        <w:numPr>
          <w:ilvl w:val="0"/>
          <w:numId w:val="40"/>
        </w:numPr>
        <w:rPr>
          <w:rFonts w:asciiTheme="minorHAnsi" w:hAnsiTheme="minorHAnsi" w:cstheme="minorBidi"/>
          <w:color w:val="auto"/>
          <w:sz w:val="22"/>
          <w:szCs w:val="22"/>
          <w:lang w:val="en-US"/>
        </w:rPr>
      </w:pPr>
      <w:r>
        <w:rPr>
          <w:rFonts w:asciiTheme="minorHAnsi" w:hAnsiTheme="minorHAnsi" w:cstheme="minorBidi"/>
          <w:color w:val="auto"/>
          <w:sz w:val="22"/>
          <w:szCs w:val="22"/>
          <w:lang w:val="en-US"/>
        </w:rPr>
        <w:t xml:space="preserve">Thus, imposing gates as native in </w:t>
      </w:r>
      <w:proofErr w:type="gramStart"/>
      <w:r>
        <w:rPr>
          <w:rFonts w:asciiTheme="minorHAnsi" w:hAnsiTheme="minorHAnsi" w:cstheme="minorBidi"/>
          <w:color w:val="auto"/>
          <w:sz w:val="22"/>
          <w:szCs w:val="22"/>
          <w:lang w:val="en-US"/>
        </w:rPr>
        <w:t>prospectus,</w:t>
      </w:r>
      <w:proofErr w:type="gramEnd"/>
      <w:r>
        <w:rPr>
          <w:rFonts w:asciiTheme="minorHAnsi" w:hAnsiTheme="minorHAnsi" w:cstheme="minorBidi"/>
          <w:color w:val="auto"/>
          <w:sz w:val="22"/>
          <w:szCs w:val="22"/>
          <w:lang w:val="en-US"/>
        </w:rPr>
        <w:t xml:space="preserve"> would provide no significant change in the current regulatory framework.</w:t>
      </w:r>
    </w:p>
    <w:p w14:paraId="5067A8EF" w14:textId="77777777" w:rsidR="00077D89" w:rsidRPr="000A320F" w:rsidRDefault="00077D89" w:rsidP="00077D89">
      <w:pPr>
        <w:pStyle w:val="Default"/>
        <w:ind w:left="720"/>
        <w:rPr>
          <w:rFonts w:asciiTheme="minorHAnsi" w:hAnsiTheme="minorHAnsi" w:cstheme="minorBidi"/>
          <w:color w:val="auto"/>
          <w:sz w:val="22"/>
          <w:szCs w:val="22"/>
          <w:lang w:val="en-US"/>
        </w:rPr>
      </w:pPr>
    </w:p>
    <w:p w14:paraId="33C8BAC2" w14:textId="77777777" w:rsidR="00077D89" w:rsidRDefault="00077D89" w:rsidP="00077D89">
      <w:pPr>
        <w:pStyle w:val="Default"/>
        <w:rPr>
          <w:rFonts w:asciiTheme="minorHAnsi" w:hAnsiTheme="minorHAnsi" w:cstheme="minorBidi"/>
          <w:color w:val="auto"/>
          <w:sz w:val="22"/>
          <w:szCs w:val="22"/>
          <w:lang w:val="en-US"/>
        </w:rPr>
      </w:pPr>
      <w:r>
        <w:rPr>
          <w:rFonts w:asciiTheme="minorHAnsi" w:hAnsiTheme="minorHAnsi" w:cstheme="minorBidi"/>
          <w:color w:val="auto"/>
          <w:sz w:val="22"/>
          <w:szCs w:val="22"/>
          <w:lang w:val="en-US"/>
        </w:rPr>
        <w:t xml:space="preserve">Against this background, our view is that </w:t>
      </w:r>
      <w:r w:rsidRPr="00295EC5">
        <w:rPr>
          <w:rFonts w:asciiTheme="minorHAnsi" w:hAnsiTheme="minorHAnsi" w:cstheme="minorBidi"/>
          <w:b/>
          <w:color w:val="auto"/>
          <w:sz w:val="22"/>
          <w:szCs w:val="22"/>
          <w:lang w:val="en-US"/>
        </w:rPr>
        <w:t>only ADLs offer the following advantages</w:t>
      </w:r>
      <w:r>
        <w:rPr>
          <w:rFonts w:asciiTheme="minorHAnsi" w:hAnsiTheme="minorHAnsi" w:cstheme="minorBidi"/>
          <w:color w:val="auto"/>
          <w:sz w:val="22"/>
          <w:szCs w:val="22"/>
          <w:lang w:val="en-US"/>
        </w:rPr>
        <w:t>:</w:t>
      </w:r>
    </w:p>
    <w:p w14:paraId="36B16777" w14:textId="77777777" w:rsidR="00077D89" w:rsidRDefault="00077D89" w:rsidP="00077D89">
      <w:pPr>
        <w:pStyle w:val="Default"/>
        <w:rPr>
          <w:rFonts w:asciiTheme="minorHAnsi" w:hAnsiTheme="minorHAnsi" w:cstheme="minorBidi"/>
          <w:color w:val="auto"/>
          <w:sz w:val="22"/>
          <w:szCs w:val="22"/>
          <w:lang w:val="en-US"/>
        </w:rPr>
      </w:pPr>
    </w:p>
    <w:p w14:paraId="4EDB028B" w14:textId="77777777" w:rsidR="00077D89" w:rsidRDefault="00077D89" w:rsidP="002E0DCD">
      <w:pPr>
        <w:pStyle w:val="Default"/>
        <w:numPr>
          <w:ilvl w:val="0"/>
          <w:numId w:val="40"/>
        </w:numPr>
        <w:rPr>
          <w:rFonts w:asciiTheme="minorHAnsi" w:hAnsiTheme="minorHAnsi" w:cstheme="minorBidi"/>
          <w:color w:val="auto"/>
          <w:sz w:val="22"/>
          <w:szCs w:val="22"/>
          <w:lang w:val="en-US"/>
        </w:rPr>
      </w:pPr>
      <w:r w:rsidRPr="00580FA6">
        <w:rPr>
          <w:rFonts w:asciiTheme="minorHAnsi" w:hAnsiTheme="minorHAnsi" w:cstheme="minorBidi"/>
          <w:color w:val="auto"/>
          <w:sz w:val="22"/>
          <w:szCs w:val="22"/>
          <w:lang w:val="en-US"/>
        </w:rPr>
        <w:t xml:space="preserve">They </w:t>
      </w:r>
      <w:proofErr w:type="gramStart"/>
      <w:r w:rsidRPr="00580FA6">
        <w:rPr>
          <w:rFonts w:asciiTheme="minorHAnsi" w:hAnsiTheme="minorHAnsi" w:cstheme="minorBidi"/>
          <w:color w:val="auto"/>
          <w:sz w:val="22"/>
          <w:szCs w:val="22"/>
          <w:lang w:val="en-US"/>
        </w:rPr>
        <w:t>can be activated</w:t>
      </w:r>
      <w:proofErr w:type="gramEnd"/>
      <w:r w:rsidRPr="00580FA6">
        <w:rPr>
          <w:rFonts w:asciiTheme="minorHAnsi" w:hAnsiTheme="minorHAnsi" w:cstheme="minorBidi"/>
          <w:color w:val="auto"/>
          <w:sz w:val="22"/>
          <w:szCs w:val="22"/>
          <w:lang w:val="en-US"/>
        </w:rPr>
        <w:t xml:space="preserve"> while limiting, but not excluding, the risks of side effects due to their traumatic impact on MMFs’ shareholders</w:t>
      </w:r>
      <w:r>
        <w:rPr>
          <w:rFonts w:asciiTheme="minorHAnsi" w:hAnsiTheme="minorHAnsi" w:cstheme="minorBidi"/>
          <w:color w:val="auto"/>
          <w:sz w:val="22"/>
          <w:szCs w:val="22"/>
          <w:lang w:val="en-US"/>
        </w:rPr>
        <w:t>.</w:t>
      </w:r>
    </w:p>
    <w:p w14:paraId="42FD5ED2" w14:textId="77777777" w:rsidR="00077D89" w:rsidRDefault="00077D89" w:rsidP="002E0DCD">
      <w:pPr>
        <w:pStyle w:val="Default"/>
        <w:numPr>
          <w:ilvl w:val="0"/>
          <w:numId w:val="40"/>
        </w:numPr>
        <w:rPr>
          <w:rFonts w:asciiTheme="minorHAnsi" w:hAnsiTheme="minorHAnsi" w:cstheme="minorBidi"/>
          <w:color w:val="auto"/>
          <w:sz w:val="22"/>
          <w:szCs w:val="22"/>
          <w:lang w:val="en-US"/>
        </w:rPr>
      </w:pPr>
      <w:r w:rsidRPr="00580FA6">
        <w:rPr>
          <w:rFonts w:asciiTheme="minorHAnsi" w:hAnsiTheme="minorHAnsi" w:cstheme="minorBidi"/>
          <w:color w:val="auto"/>
          <w:sz w:val="22"/>
          <w:szCs w:val="22"/>
          <w:lang w:val="en-US"/>
        </w:rPr>
        <w:t>They provide a virtuous effect by limiting potential pre-emptive redemption</w:t>
      </w:r>
      <w:r>
        <w:rPr>
          <w:rFonts w:asciiTheme="minorHAnsi" w:hAnsiTheme="minorHAnsi" w:cstheme="minorBidi"/>
          <w:color w:val="auto"/>
          <w:sz w:val="22"/>
          <w:szCs w:val="22"/>
          <w:lang w:val="en-US"/>
        </w:rPr>
        <w:t>s in periods of stressed market.</w:t>
      </w:r>
    </w:p>
    <w:p w14:paraId="0D2B6D58" w14:textId="77777777" w:rsidR="00077D89" w:rsidRPr="00580FA6" w:rsidRDefault="00077D89" w:rsidP="002E0DCD">
      <w:pPr>
        <w:pStyle w:val="Default"/>
        <w:numPr>
          <w:ilvl w:val="0"/>
          <w:numId w:val="40"/>
        </w:numPr>
        <w:rPr>
          <w:rFonts w:asciiTheme="minorHAnsi" w:hAnsiTheme="minorHAnsi" w:cstheme="minorBidi"/>
          <w:color w:val="auto"/>
          <w:sz w:val="22"/>
          <w:szCs w:val="22"/>
          <w:lang w:val="en-US"/>
        </w:rPr>
      </w:pPr>
      <w:r w:rsidRPr="00580FA6">
        <w:rPr>
          <w:rFonts w:asciiTheme="minorHAnsi" w:hAnsiTheme="minorHAnsi" w:cstheme="minorBidi"/>
          <w:color w:val="auto"/>
          <w:sz w:val="22"/>
          <w:szCs w:val="22"/>
          <w:lang w:val="en-US"/>
        </w:rPr>
        <w:t>They ensure a fair treatment of MMFs’ shareholders during</w:t>
      </w:r>
      <w:r>
        <w:rPr>
          <w:rFonts w:asciiTheme="minorHAnsi" w:hAnsiTheme="minorHAnsi" w:cstheme="minorBidi"/>
          <w:color w:val="auto"/>
          <w:sz w:val="22"/>
          <w:szCs w:val="22"/>
          <w:lang w:val="en-US"/>
        </w:rPr>
        <w:t xml:space="preserve"> periods of turmoil.</w:t>
      </w:r>
    </w:p>
    <w:p w14:paraId="560E6E48" w14:textId="77777777" w:rsidR="00077D89" w:rsidRDefault="00077D89" w:rsidP="00077D89">
      <w:pPr>
        <w:pStyle w:val="Default"/>
        <w:ind w:left="1440"/>
        <w:rPr>
          <w:rFonts w:asciiTheme="minorHAnsi" w:hAnsiTheme="minorHAnsi" w:cstheme="minorBidi"/>
          <w:color w:val="auto"/>
          <w:sz w:val="22"/>
          <w:szCs w:val="22"/>
          <w:lang w:val="en-US"/>
        </w:rPr>
      </w:pPr>
    </w:p>
    <w:p w14:paraId="02A9AB88" w14:textId="77777777" w:rsidR="00077D89" w:rsidRDefault="00077D89" w:rsidP="00077D89">
      <w:pPr>
        <w:pStyle w:val="Default"/>
        <w:rPr>
          <w:rFonts w:asciiTheme="minorHAnsi" w:hAnsiTheme="minorHAnsi" w:cstheme="minorBidi"/>
          <w:color w:val="auto"/>
          <w:sz w:val="22"/>
          <w:szCs w:val="22"/>
          <w:lang w:val="en-US"/>
        </w:rPr>
      </w:pPr>
      <w:r>
        <w:rPr>
          <w:rFonts w:asciiTheme="minorHAnsi" w:hAnsiTheme="minorHAnsi" w:cstheme="minorBidi"/>
          <w:color w:val="auto"/>
          <w:sz w:val="22"/>
          <w:szCs w:val="22"/>
          <w:lang w:val="en-US"/>
        </w:rPr>
        <w:t>To sum-up, only ADLs would provide a real and workable improvement in MMFs’ autonomy, which should remain the overarching goal of this reforming process.</w:t>
      </w:r>
    </w:p>
    <w:p w14:paraId="42263F0C" w14:textId="77777777" w:rsidR="00077D89" w:rsidRPr="00F66916" w:rsidRDefault="00077D89" w:rsidP="00077D89">
      <w:pPr>
        <w:pStyle w:val="Default"/>
        <w:ind w:left="1440"/>
        <w:rPr>
          <w:rFonts w:asciiTheme="minorHAnsi" w:hAnsiTheme="minorHAnsi" w:cstheme="minorBidi"/>
          <w:color w:val="auto"/>
          <w:sz w:val="22"/>
          <w:szCs w:val="22"/>
          <w:lang w:val="en-US"/>
        </w:rPr>
      </w:pPr>
    </w:p>
    <w:p w14:paraId="504D8381" w14:textId="77777777" w:rsidR="00077D89" w:rsidRDefault="00077D89" w:rsidP="00077D89">
      <w:pPr>
        <w:pStyle w:val="Default"/>
        <w:rPr>
          <w:rFonts w:asciiTheme="minorHAnsi" w:hAnsiTheme="minorHAnsi" w:cstheme="minorBidi"/>
          <w:color w:val="auto"/>
          <w:sz w:val="22"/>
          <w:szCs w:val="22"/>
          <w:lang w:val="en-US"/>
        </w:rPr>
      </w:pPr>
      <w:r w:rsidRPr="002D7E64">
        <w:rPr>
          <w:rFonts w:asciiTheme="minorHAnsi" w:hAnsiTheme="minorHAnsi" w:cstheme="minorBidi"/>
          <w:b/>
          <w:color w:val="auto"/>
          <w:sz w:val="22"/>
          <w:szCs w:val="22"/>
          <w:lang w:val="en-US"/>
        </w:rPr>
        <w:t>Among the different types of ADLs, we have come to the conclusion that only adjustable exit fees would prove efficient and operationally workable while dealing with specificities of MMFs like same day settlement, high level of liability turnover or the fact that they are unfitted for over-engineered rules</w:t>
      </w:r>
      <w:r>
        <w:rPr>
          <w:rFonts w:asciiTheme="minorHAnsi" w:hAnsiTheme="minorHAnsi" w:cstheme="minorBidi"/>
          <w:color w:val="auto"/>
          <w:sz w:val="22"/>
          <w:szCs w:val="22"/>
          <w:lang w:val="en-US"/>
        </w:rPr>
        <w:t>.</w:t>
      </w:r>
    </w:p>
    <w:p w14:paraId="48BADC08" w14:textId="77777777" w:rsidR="00077D89" w:rsidRDefault="00077D89" w:rsidP="00077D89">
      <w:pPr>
        <w:pStyle w:val="Default"/>
        <w:ind w:left="1440"/>
        <w:rPr>
          <w:rFonts w:asciiTheme="minorHAnsi" w:hAnsiTheme="minorHAnsi" w:cstheme="minorBidi"/>
          <w:color w:val="auto"/>
          <w:sz w:val="22"/>
          <w:szCs w:val="22"/>
          <w:lang w:val="en-US"/>
        </w:rPr>
      </w:pPr>
    </w:p>
    <w:p w14:paraId="4397F586" w14:textId="77777777" w:rsidR="00077D89" w:rsidRDefault="00077D89" w:rsidP="00077D89">
      <w:pPr>
        <w:pStyle w:val="Default"/>
        <w:rPr>
          <w:rFonts w:asciiTheme="minorHAnsi" w:hAnsiTheme="minorHAnsi" w:cstheme="minorBidi"/>
          <w:color w:val="auto"/>
          <w:sz w:val="22"/>
          <w:szCs w:val="22"/>
          <w:u w:val="single"/>
          <w:lang w:val="en-US"/>
        </w:rPr>
      </w:pPr>
      <w:r w:rsidRPr="00C16388">
        <w:rPr>
          <w:rFonts w:asciiTheme="minorHAnsi" w:hAnsiTheme="minorHAnsi" w:cstheme="minorBidi"/>
          <w:color w:val="auto"/>
          <w:sz w:val="22"/>
          <w:szCs w:val="22"/>
          <w:u w:val="single"/>
          <w:lang w:val="en-US"/>
        </w:rPr>
        <w:t xml:space="preserve">Therefore, we consider that MMFR could require that all MMFs should be equipped with an exit fees set-up in their legal documentation. </w:t>
      </w:r>
    </w:p>
    <w:p w14:paraId="37B2EE9F" w14:textId="77777777" w:rsidR="00077D89" w:rsidRDefault="00077D89" w:rsidP="00077D89">
      <w:pPr>
        <w:pStyle w:val="Default"/>
        <w:rPr>
          <w:rFonts w:asciiTheme="minorHAnsi" w:hAnsiTheme="minorHAnsi" w:cstheme="minorBidi"/>
          <w:color w:val="auto"/>
          <w:sz w:val="22"/>
          <w:szCs w:val="22"/>
          <w:u w:val="single"/>
          <w:lang w:val="en-US"/>
        </w:rPr>
      </w:pPr>
    </w:p>
    <w:p w14:paraId="6679148A" w14:textId="77777777" w:rsidR="00077D89" w:rsidRDefault="00077D89" w:rsidP="00077D89">
      <w:pPr>
        <w:pStyle w:val="Default"/>
        <w:rPr>
          <w:rFonts w:asciiTheme="minorHAnsi" w:hAnsiTheme="minorHAnsi" w:cstheme="minorBidi"/>
          <w:color w:val="auto"/>
          <w:sz w:val="22"/>
          <w:szCs w:val="22"/>
          <w:lang w:val="en-US"/>
        </w:rPr>
      </w:pPr>
      <w:r>
        <w:rPr>
          <w:rFonts w:asciiTheme="minorHAnsi" w:hAnsiTheme="minorHAnsi" w:cstheme="minorBidi"/>
          <w:color w:val="auto"/>
          <w:sz w:val="22"/>
          <w:szCs w:val="22"/>
          <w:lang w:val="en-US"/>
        </w:rPr>
        <w:t xml:space="preserve">In terms of implementation procedure of the exit-fees, the following points </w:t>
      </w:r>
      <w:proofErr w:type="gramStart"/>
      <w:r>
        <w:rPr>
          <w:rFonts w:asciiTheme="minorHAnsi" w:hAnsiTheme="minorHAnsi" w:cstheme="minorBidi"/>
          <w:color w:val="auto"/>
          <w:sz w:val="22"/>
          <w:szCs w:val="22"/>
          <w:lang w:val="en-US"/>
        </w:rPr>
        <w:t>should be made</w:t>
      </w:r>
      <w:proofErr w:type="gramEnd"/>
      <w:r>
        <w:rPr>
          <w:rFonts w:asciiTheme="minorHAnsi" w:hAnsiTheme="minorHAnsi" w:cstheme="minorBidi"/>
          <w:color w:val="auto"/>
          <w:sz w:val="22"/>
          <w:szCs w:val="22"/>
          <w:lang w:val="en-US"/>
        </w:rPr>
        <w:t>:</w:t>
      </w:r>
    </w:p>
    <w:p w14:paraId="4E15D69C" w14:textId="77777777" w:rsidR="00077D89" w:rsidRDefault="00077D89" w:rsidP="00077D89">
      <w:pPr>
        <w:pStyle w:val="Default"/>
        <w:rPr>
          <w:rFonts w:asciiTheme="minorHAnsi" w:hAnsiTheme="minorHAnsi" w:cstheme="minorBidi"/>
          <w:color w:val="auto"/>
          <w:sz w:val="22"/>
          <w:szCs w:val="22"/>
          <w:lang w:val="en-US"/>
        </w:rPr>
      </w:pPr>
      <w:r>
        <w:rPr>
          <w:rFonts w:asciiTheme="minorHAnsi" w:hAnsiTheme="minorHAnsi" w:cstheme="minorBidi"/>
          <w:color w:val="auto"/>
          <w:sz w:val="22"/>
          <w:szCs w:val="22"/>
          <w:lang w:val="en-US"/>
        </w:rPr>
        <w:t xml:space="preserve"> </w:t>
      </w:r>
    </w:p>
    <w:p w14:paraId="36D70EC4" w14:textId="77777777" w:rsidR="00077D89" w:rsidRDefault="00077D89" w:rsidP="002E0DCD">
      <w:pPr>
        <w:pStyle w:val="Default"/>
        <w:numPr>
          <w:ilvl w:val="0"/>
          <w:numId w:val="40"/>
        </w:numPr>
        <w:rPr>
          <w:rFonts w:asciiTheme="minorHAnsi" w:hAnsiTheme="minorHAnsi" w:cstheme="minorBidi"/>
          <w:color w:val="auto"/>
          <w:sz w:val="22"/>
          <w:szCs w:val="22"/>
          <w:lang w:val="en-US"/>
        </w:rPr>
      </w:pPr>
      <w:r>
        <w:rPr>
          <w:rFonts w:asciiTheme="minorHAnsi" w:hAnsiTheme="minorHAnsi" w:cstheme="minorBidi"/>
          <w:color w:val="auto"/>
          <w:sz w:val="22"/>
          <w:szCs w:val="22"/>
          <w:lang w:val="en-US"/>
        </w:rPr>
        <w:t>As mentioned in points 91 to 106, there are different ways of implementing ADLs, each of them embedding pros and cons.</w:t>
      </w:r>
    </w:p>
    <w:p w14:paraId="735E44D9" w14:textId="77777777" w:rsidR="00077D89" w:rsidRDefault="00077D89" w:rsidP="00077D89">
      <w:pPr>
        <w:pStyle w:val="Default"/>
        <w:ind w:left="720"/>
        <w:rPr>
          <w:rFonts w:asciiTheme="minorHAnsi" w:hAnsiTheme="minorHAnsi" w:cstheme="minorBidi"/>
          <w:color w:val="auto"/>
          <w:sz w:val="22"/>
          <w:szCs w:val="22"/>
          <w:lang w:val="en-US"/>
        </w:rPr>
      </w:pPr>
    </w:p>
    <w:p w14:paraId="02843C43" w14:textId="77777777" w:rsidR="00077D89" w:rsidRDefault="00077D89" w:rsidP="002E0DCD">
      <w:pPr>
        <w:pStyle w:val="Default"/>
        <w:numPr>
          <w:ilvl w:val="0"/>
          <w:numId w:val="40"/>
        </w:numPr>
        <w:rPr>
          <w:rFonts w:asciiTheme="minorHAnsi" w:hAnsiTheme="minorHAnsi" w:cstheme="minorBidi"/>
          <w:color w:val="auto"/>
          <w:sz w:val="22"/>
          <w:szCs w:val="22"/>
          <w:lang w:val="en-US"/>
        </w:rPr>
      </w:pPr>
      <w:r>
        <w:rPr>
          <w:rFonts w:asciiTheme="minorHAnsi" w:hAnsiTheme="minorHAnsi" w:cstheme="minorBidi"/>
          <w:color w:val="auto"/>
          <w:sz w:val="22"/>
          <w:szCs w:val="22"/>
          <w:lang w:val="en-US"/>
        </w:rPr>
        <w:t xml:space="preserve">Should </w:t>
      </w:r>
      <w:proofErr w:type="gramStart"/>
      <w:r>
        <w:rPr>
          <w:rFonts w:asciiTheme="minorHAnsi" w:hAnsiTheme="minorHAnsi" w:cstheme="minorBidi"/>
          <w:color w:val="auto"/>
          <w:sz w:val="22"/>
          <w:szCs w:val="22"/>
          <w:lang w:val="en-US"/>
        </w:rPr>
        <w:t>exit fees be applied on a discretionary mode by Asset Managers</w:t>
      </w:r>
      <w:proofErr w:type="gramEnd"/>
      <w:r>
        <w:rPr>
          <w:rFonts w:asciiTheme="minorHAnsi" w:hAnsiTheme="minorHAnsi" w:cstheme="minorBidi"/>
          <w:color w:val="auto"/>
          <w:sz w:val="22"/>
          <w:szCs w:val="22"/>
          <w:lang w:val="en-US"/>
        </w:rPr>
        <w:t xml:space="preserve">? In such a case, there would be a risk of stigma / reputation that asset managers would have to weigh, </w:t>
      </w:r>
      <w:r w:rsidRPr="00FA5488">
        <w:rPr>
          <w:rFonts w:asciiTheme="minorHAnsi" w:hAnsiTheme="minorHAnsi" w:cstheme="minorBidi"/>
          <w:b/>
          <w:color w:val="auto"/>
          <w:sz w:val="22"/>
          <w:szCs w:val="22"/>
          <w:lang w:val="en-US"/>
        </w:rPr>
        <w:t>possibly leading to an absence of action.</w:t>
      </w:r>
      <w:r>
        <w:rPr>
          <w:rFonts w:asciiTheme="minorHAnsi" w:hAnsiTheme="minorHAnsi" w:cstheme="minorBidi"/>
          <w:color w:val="auto"/>
          <w:sz w:val="22"/>
          <w:szCs w:val="22"/>
          <w:lang w:val="en-US"/>
        </w:rPr>
        <w:t xml:space="preserve"> Correlatively, any decision by a single asset manager to activate exit fees could prompt pre-emptive redemptions in MMFs perceived as the next in the list.</w:t>
      </w:r>
    </w:p>
    <w:p w14:paraId="26087A88" w14:textId="77777777" w:rsidR="00077D89" w:rsidRDefault="00077D89" w:rsidP="00077D89">
      <w:pPr>
        <w:pStyle w:val="Default"/>
        <w:rPr>
          <w:rFonts w:asciiTheme="minorHAnsi" w:hAnsiTheme="minorHAnsi" w:cstheme="minorBidi"/>
          <w:color w:val="auto"/>
          <w:sz w:val="22"/>
          <w:szCs w:val="22"/>
          <w:lang w:val="en-US"/>
        </w:rPr>
      </w:pPr>
    </w:p>
    <w:p w14:paraId="2E5182FC" w14:textId="77777777" w:rsidR="00077D89" w:rsidRDefault="00077D89" w:rsidP="002E0DCD">
      <w:pPr>
        <w:pStyle w:val="Default"/>
        <w:numPr>
          <w:ilvl w:val="0"/>
          <w:numId w:val="40"/>
        </w:numPr>
        <w:rPr>
          <w:rFonts w:asciiTheme="minorHAnsi" w:hAnsiTheme="minorHAnsi" w:cstheme="minorBidi"/>
          <w:color w:val="auto"/>
          <w:sz w:val="22"/>
          <w:szCs w:val="22"/>
          <w:lang w:val="en-US"/>
        </w:rPr>
      </w:pPr>
      <w:proofErr w:type="gramStart"/>
      <w:r>
        <w:rPr>
          <w:rFonts w:asciiTheme="minorHAnsi" w:hAnsiTheme="minorHAnsi" w:cstheme="minorBidi"/>
          <w:color w:val="auto"/>
          <w:sz w:val="22"/>
          <w:szCs w:val="22"/>
          <w:lang w:val="en-US"/>
        </w:rPr>
        <w:t>Should exit fees application be decided</w:t>
      </w:r>
      <w:proofErr w:type="gramEnd"/>
      <w:r>
        <w:rPr>
          <w:rFonts w:asciiTheme="minorHAnsi" w:hAnsiTheme="minorHAnsi" w:cstheme="minorBidi"/>
          <w:color w:val="auto"/>
          <w:sz w:val="22"/>
          <w:szCs w:val="22"/>
          <w:lang w:val="en-US"/>
        </w:rPr>
        <w:t xml:space="preserve"> by an external entity? Given the abovementioned comments, we consider this option worth </w:t>
      </w:r>
      <w:proofErr w:type="gramStart"/>
      <w:r>
        <w:rPr>
          <w:rFonts w:asciiTheme="minorHAnsi" w:hAnsiTheme="minorHAnsi" w:cstheme="minorBidi"/>
          <w:color w:val="auto"/>
          <w:sz w:val="22"/>
          <w:szCs w:val="22"/>
          <w:lang w:val="en-US"/>
        </w:rPr>
        <w:t>being explored</w:t>
      </w:r>
      <w:proofErr w:type="gramEnd"/>
      <w:r>
        <w:rPr>
          <w:rFonts w:asciiTheme="minorHAnsi" w:hAnsiTheme="minorHAnsi" w:cstheme="minorBidi"/>
          <w:color w:val="auto"/>
          <w:sz w:val="22"/>
          <w:szCs w:val="22"/>
          <w:lang w:val="en-US"/>
        </w:rPr>
        <w:t xml:space="preserve"> further. In that case, the decision process would have to </w:t>
      </w:r>
      <w:proofErr w:type="gramStart"/>
      <w:r>
        <w:rPr>
          <w:rFonts w:asciiTheme="minorHAnsi" w:hAnsiTheme="minorHAnsi" w:cstheme="minorBidi"/>
          <w:color w:val="auto"/>
          <w:sz w:val="22"/>
          <w:szCs w:val="22"/>
          <w:lang w:val="en-US"/>
        </w:rPr>
        <w:t>be precisely defined</w:t>
      </w:r>
      <w:proofErr w:type="gramEnd"/>
      <w:r>
        <w:rPr>
          <w:rFonts w:asciiTheme="minorHAnsi" w:hAnsiTheme="minorHAnsi" w:cstheme="minorBidi"/>
          <w:color w:val="auto"/>
          <w:sz w:val="22"/>
          <w:szCs w:val="22"/>
          <w:lang w:val="en-US"/>
        </w:rPr>
        <w:t xml:space="preserve">. Notably, which body would be entitled to activate the exit fees? Locally or globally? At the Industry Associations </w:t>
      </w:r>
      <w:proofErr w:type="gramStart"/>
      <w:r>
        <w:rPr>
          <w:rFonts w:asciiTheme="minorHAnsi" w:hAnsiTheme="minorHAnsi" w:cstheme="minorBidi"/>
          <w:color w:val="auto"/>
          <w:sz w:val="22"/>
          <w:szCs w:val="22"/>
          <w:lang w:val="en-US"/>
        </w:rPr>
        <w:t>request?</w:t>
      </w:r>
      <w:proofErr w:type="gramEnd"/>
      <w:r>
        <w:rPr>
          <w:rFonts w:asciiTheme="minorHAnsi" w:hAnsiTheme="minorHAnsi" w:cstheme="minorBidi"/>
          <w:color w:val="auto"/>
          <w:sz w:val="22"/>
          <w:szCs w:val="22"/>
          <w:lang w:val="en-US"/>
        </w:rPr>
        <w:t xml:space="preserve"> </w:t>
      </w:r>
    </w:p>
    <w:p w14:paraId="081AC448" w14:textId="77777777" w:rsidR="00077D89" w:rsidRPr="005D0A04" w:rsidRDefault="00077D89" w:rsidP="00077D89">
      <w:pPr>
        <w:pStyle w:val="Default"/>
        <w:rPr>
          <w:rFonts w:asciiTheme="minorHAnsi" w:hAnsiTheme="minorHAnsi" w:cstheme="minorBidi"/>
          <w:color w:val="auto"/>
          <w:sz w:val="22"/>
          <w:szCs w:val="22"/>
          <w:lang w:val="en-US"/>
        </w:rPr>
      </w:pPr>
    </w:p>
    <w:p w14:paraId="05E8C39E" w14:textId="77777777" w:rsidR="00077D89" w:rsidRDefault="00077D89" w:rsidP="002E0DCD">
      <w:pPr>
        <w:pStyle w:val="Default"/>
        <w:numPr>
          <w:ilvl w:val="0"/>
          <w:numId w:val="40"/>
        </w:numPr>
        <w:rPr>
          <w:rFonts w:asciiTheme="minorHAnsi" w:hAnsiTheme="minorHAnsi" w:cstheme="minorBidi"/>
          <w:color w:val="auto"/>
          <w:sz w:val="22"/>
          <w:szCs w:val="22"/>
          <w:lang w:val="en-US"/>
        </w:rPr>
      </w:pPr>
      <w:r>
        <w:rPr>
          <w:rFonts w:asciiTheme="minorHAnsi" w:hAnsiTheme="minorHAnsi" w:cstheme="minorBidi"/>
          <w:color w:val="auto"/>
          <w:sz w:val="22"/>
          <w:szCs w:val="22"/>
          <w:lang w:val="en-US"/>
        </w:rPr>
        <w:t xml:space="preserve">Should exit fees </w:t>
      </w:r>
      <w:proofErr w:type="gramStart"/>
      <w:r>
        <w:rPr>
          <w:rFonts w:asciiTheme="minorHAnsi" w:hAnsiTheme="minorHAnsi" w:cstheme="minorBidi"/>
          <w:color w:val="auto"/>
          <w:sz w:val="22"/>
          <w:szCs w:val="22"/>
          <w:lang w:val="en-US"/>
        </w:rPr>
        <w:t>be defined and activated under a rule-based mechanism</w:t>
      </w:r>
      <w:proofErr w:type="gramEnd"/>
      <w:r>
        <w:rPr>
          <w:rFonts w:asciiTheme="minorHAnsi" w:hAnsiTheme="minorHAnsi" w:cstheme="minorBidi"/>
          <w:color w:val="auto"/>
          <w:sz w:val="22"/>
          <w:szCs w:val="22"/>
          <w:lang w:val="en-US"/>
        </w:rPr>
        <w:t>? As for the ones implying a discretionary decision (whether by internal or external body), a rule-based approach would embed advantages and drawbacks. On the top of all benefits of ADLs, already described, a rule-based exit-fee mechanism would be operationally easy to implement. The main drawback would lie in the risk that its automatic triggering could cause unexpected negative consequences (see debate on tie between WLAs and triggering of gates / exit fees, for LVNAVs).</w:t>
      </w:r>
    </w:p>
    <w:p w14:paraId="4DA5467C" w14:textId="77777777" w:rsidR="00077D89" w:rsidRPr="003A396E" w:rsidRDefault="00077D89" w:rsidP="00077D89">
      <w:pPr>
        <w:pStyle w:val="Default"/>
        <w:rPr>
          <w:rFonts w:asciiTheme="minorHAnsi" w:hAnsiTheme="minorHAnsi" w:cstheme="minorBidi"/>
          <w:color w:val="auto"/>
          <w:sz w:val="22"/>
          <w:szCs w:val="22"/>
          <w:lang w:val="en-US"/>
        </w:rPr>
      </w:pPr>
    </w:p>
    <w:p w14:paraId="588DE4D4" w14:textId="77777777" w:rsidR="00077D89" w:rsidRPr="00BC2256" w:rsidRDefault="00077D89" w:rsidP="002E0DCD">
      <w:pPr>
        <w:pStyle w:val="Default"/>
        <w:numPr>
          <w:ilvl w:val="0"/>
          <w:numId w:val="40"/>
        </w:numPr>
        <w:rPr>
          <w:rFonts w:asciiTheme="minorHAnsi" w:hAnsiTheme="minorHAnsi" w:cstheme="minorBidi"/>
          <w:color w:val="auto"/>
          <w:sz w:val="22"/>
          <w:szCs w:val="22"/>
          <w:lang w:val="en-US"/>
        </w:rPr>
      </w:pPr>
      <w:r w:rsidRPr="00BC2256">
        <w:rPr>
          <w:rFonts w:asciiTheme="minorHAnsi" w:hAnsiTheme="minorHAnsi" w:cstheme="minorBidi"/>
          <w:color w:val="auto"/>
          <w:sz w:val="22"/>
          <w:szCs w:val="22"/>
          <w:lang w:val="en-US"/>
        </w:rPr>
        <w:t xml:space="preserve">The difficulty to answer the fundamental questions listed above </w:t>
      </w:r>
      <w:proofErr w:type="gramStart"/>
      <w:r w:rsidRPr="00BC2256">
        <w:rPr>
          <w:rFonts w:asciiTheme="minorHAnsi" w:hAnsiTheme="minorHAnsi" w:cstheme="minorBidi"/>
          <w:color w:val="auto"/>
          <w:sz w:val="22"/>
          <w:szCs w:val="22"/>
          <w:lang w:val="en-US"/>
        </w:rPr>
        <w:t>is well highlighted</w:t>
      </w:r>
      <w:proofErr w:type="gramEnd"/>
      <w:r w:rsidRPr="00BC2256">
        <w:rPr>
          <w:rFonts w:asciiTheme="minorHAnsi" w:hAnsiTheme="minorHAnsi" w:cstheme="minorBidi"/>
          <w:color w:val="auto"/>
          <w:sz w:val="22"/>
          <w:szCs w:val="22"/>
          <w:lang w:val="en-US"/>
        </w:rPr>
        <w:t xml:space="preserve"> when reading the content of the </w:t>
      </w:r>
      <w:r>
        <w:rPr>
          <w:rFonts w:asciiTheme="minorHAnsi" w:hAnsiTheme="minorHAnsi" w:cstheme="minorBidi"/>
          <w:color w:val="auto"/>
          <w:sz w:val="22"/>
          <w:szCs w:val="22"/>
          <w:lang w:val="en-US"/>
        </w:rPr>
        <w:t xml:space="preserve">point </w:t>
      </w:r>
      <w:r w:rsidRPr="00BC2256">
        <w:rPr>
          <w:rFonts w:asciiTheme="minorHAnsi" w:hAnsiTheme="minorHAnsi" w:cstheme="minorBidi"/>
          <w:color w:val="auto"/>
          <w:sz w:val="22"/>
          <w:szCs w:val="22"/>
          <w:lang w:val="en-US"/>
        </w:rPr>
        <w:t xml:space="preserve">104 of the consultation document. Indeed, </w:t>
      </w:r>
      <w:r>
        <w:rPr>
          <w:rFonts w:asciiTheme="minorHAnsi" w:hAnsiTheme="minorHAnsi" w:cstheme="minorBidi"/>
          <w:color w:val="auto"/>
          <w:sz w:val="22"/>
          <w:szCs w:val="22"/>
          <w:lang w:val="en-US"/>
        </w:rPr>
        <w:t xml:space="preserve">it is first envisaged that LMT </w:t>
      </w:r>
      <w:r w:rsidRPr="00BC2256">
        <w:rPr>
          <w:rFonts w:asciiTheme="minorHAnsi" w:hAnsiTheme="minorHAnsi" w:cstheme="minorBidi"/>
          <w:color w:val="auto"/>
          <w:sz w:val="22"/>
          <w:szCs w:val="22"/>
          <w:lang w:val="en-US"/>
        </w:rPr>
        <w:t>could be activated by “</w:t>
      </w:r>
      <w:r w:rsidRPr="00BC2256">
        <w:rPr>
          <w:rFonts w:asciiTheme="minorHAnsi" w:hAnsiTheme="minorHAnsi" w:cstheme="minorBidi"/>
          <w:i/>
          <w:color w:val="auto"/>
          <w:sz w:val="22"/>
          <w:szCs w:val="22"/>
          <w:lang w:val="en-US"/>
        </w:rPr>
        <w:t>an external party such as a regulator”</w:t>
      </w:r>
      <w:r w:rsidRPr="00BC2256">
        <w:rPr>
          <w:rFonts w:asciiTheme="minorHAnsi" w:hAnsiTheme="minorHAnsi" w:cstheme="minorBidi"/>
          <w:color w:val="auto"/>
          <w:sz w:val="22"/>
          <w:szCs w:val="22"/>
          <w:lang w:val="en-US"/>
        </w:rPr>
        <w:t xml:space="preserve">, and is immediately followed by the mention </w:t>
      </w:r>
      <w:r w:rsidRPr="00BC2256">
        <w:rPr>
          <w:rFonts w:asciiTheme="minorHAnsi" w:hAnsiTheme="minorHAnsi" w:cstheme="minorBidi"/>
          <w:i/>
          <w:color w:val="auto"/>
          <w:sz w:val="22"/>
          <w:szCs w:val="22"/>
          <w:lang w:val="en-US"/>
        </w:rPr>
        <w:t xml:space="preserve">“It should however be </w:t>
      </w:r>
      <w:proofErr w:type="spellStart"/>
      <w:r>
        <w:rPr>
          <w:rFonts w:asciiTheme="minorHAnsi" w:hAnsiTheme="minorHAnsi" w:cstheme="minorBidi"/>
          <w:i/>
          <w:color w:val="auto"/>
          <w:sz w:val="22"/>
          <w:szCs w:val="22"/>
          <w:lang w:val="en-US"/>
        </w:rPr>
        <w:t>emphasis</w:t>
      </w:r>
      <w:r w:rsidRPr="00BC2256">
        <w:rPr>
          <w:rFonts w:asciiTheme="minorHAnsi" w:hAnsiTheme="minorHAnsi" w:cstheme="minorBidi"/>
          <w:i/>
          <w:color w:val="auto"/>
          <w:sz w:val="22"/>
          <w:szCs w:val="22"/>
          <w:lang w:val="en-US"/>
        </w:rPr>
        <w:t>ed</w:t>
      </w:r>
      <w:proofErr w:type="spellEnd"/>
      <w:r w:rsidRPr="00BC2256">
        <w:rPr>
          <w:rFonts w:asciiTheme="minorHAnsi" w:hAnsiTheme="minorHAnsi" w:cstheme="minorBidi"/>
          <w:i/>
          <w:color w:val="auto"/>
          <w:sz w:val="22"/>
          <w:szCs w:val="22"/>
          <w:lang w:val="en-US"/>
        </w:rPr>
        <w:t xml:space="preserve"> that the decision to use such liquidity mechanisms shall, in general, remain the responsibility of the manager of the MMF”</w:t>
      </w:r>
      <w:r w:rsidRPr="00BC2256">
        <w:rPr>
          <w:rFonts w:asciiTheme="minorHAnsi" w:hAnsiTheme="minorHAnsi" w:cstheme="minorBidi"/>
          <w:color w:val="auto"/>
          <w:sz w:val="22"/>
          <w:szCs w:val="22"/>
          <w:lang w:val="en-US"/>
        </w:rPr>
        <w:t xml:space="preserve">.  </w:t>
      </w:r>
    </w:p>
    <w:p w14:paraId="5690746D" w14:textId="77777777" w:rsidR="00077D89" w:rsidRPr="0006196A" w:rsidRDefault="00077D89" w:rsidP="00077D89">
      <w:pPr>
        <w:pStyle w:val="Default"/>
        <w:rPr>
          <w:rFonts w:asciiTheme="minorHAnsi" w:hAnsiTheme="minorHAnsi" w:cstheme="minorBidi"/>
          <w:color w:val="auto"/>
          <w:sz w:val="22"/>
          <w:szCs w:val="22"/>
          <w:lang w:val="en-US"/>
        </w:rPr>
      </w:pPr>
    </w:p>
    <w:p w14:paraId="2FD31EE4" w14:textId="77777777" w:rsidR="00697486" w:rsidRDefault="00077D89" w:rsidP="00077D89">
      <w:pPr>
        <w:pStyle w:val="Default"/>
        <w:numPr>
          <w:ilvl w:val="0"/>
          <w:numId w:val="40"/>
        </w:numPr>
        <w:rPr>
          <w:rFonts w:asciiTheme="minorHAnsi" w:hAnsiTheme="minorHAnsi" w:cstheme="minorBidi"/>
          <w:color w:val="auto"/>
          <w:sz w:val="22"/>
          <w:szCs w:val="22"/>
          <w:lang w:val="en-US"/>
        </w:rPr>
      </w:pPr>
      <w:r>
        <w:rPr>
          <w:rFonts w:asciiTheme="minorHAnsi" w:hAnsiTheme="minorHAnsi" w:cstheme="minorBidi"/>
          <w:color w:val="auto"/>
          <w:sz w:val="22"/>
          <w:szCs w:val="22"/>
          <w:lang w:val="en-US"/>
        </w:rPr>
        <w:t xml:space="preserve">This </w:t>
      </w:r>
      <w:proofErr w:type="gramStart"/>
      <w:r>
        <w:rPr>
          <w:rFonts w:asciiTheme="minorHAnsi" w:hAnsiTheme="minorHAnsi" w:cstheme="minorBidi"/>
          <w:color w:val="auto"/>
          <w:sz w:val="22"/>
          <w:szCs w:val="22"/>
          <w:lang w:val="en-US"/>
        </w:rPr>
        <w:t>being said</w:t>
      </w:r>
      <w:proofErr w:type="gramEnd"/>
      <w:r>
        <w:rPr>
          <w:rFonts w:asciiTheme="minorHAnsi" w:hAnsiTheme="minorHAnsi" w:cstheme="minorBidi"/>
          <w:color w:val="auto"/>
          <w:sz w:val="22"/>
          <w:szCs w:val="22"/>
          <w:lang w:val="en-US"/>
        </w:rPr>
        <w:t>, we</w:t>
      </w:r>
      <w:r w:rsidRPr="004A203A">
        <w:rPr>
          <w:rFonts w:asciiTheme="minorHAnsi" w:hAnsiTheme="minorHAnsi" w:cstheme="minorBidi"/>
          <w:color w:val="auto"/>
          <w:sz w:val="22"/>
          <w:szCs w:val="22"/>
          <w:lang w:val="en-US"/>
        </w:rPr>
        <w:t xml:space="preserve"> do believe that, prior to the effective implementation of any ADL in MMFs, a </w:t>
      </w:r>
      <w:r w:rsidRPr="00697486">
        <w:rPr>
          <w:rFonts w:asciiTheme="minorHAnsi" w:hAnsiTheme="minorHAnsi" w:cstheme="minorBidi"/>
          <w:b/>
          <w:color w:val="auto"/>
          <w:sz w:val="22"/>
          <w:szCs w:val="22"/>
          <w:lang w:val="en-US"/>
        </w:rPr>
        <w:t>significant improvement in money market transparency will have to be achieved</w:t>
      </w:r>
      <w:r w:rsidRPr="004A203A">
        <w:rPr>
          <w:rFonts w:asciiTheme="minorHAnsi" w:hAnsiTheme="minorHAnsi" w:cstheme="minorBidi"/>
          <w:color w:val="auto"/>
          <w:sz w:val="22"/>
          <w:szCs w:val="22"/>
          <w:lang w:val="en-US"/>
        </w:rPr>
        <w:t>, so LMT trigger</w:t>
      </w:r>
      <w:r>
        <w:rPr>
          <w:rFonts w:asciiTheme="minorHAnsi" w:hAnsiTheme="minorHAnsi" w:cstheme="minorBidi"/>
          <w:color w:val="auto"/>
          <w:sz w:val="22"/>
          <w:szCs w:val="22"/>
          <w:lang w:val="en-US"/>
        </w:rPr>
        <w:t>ing and related calculations will</w:t>
      </w:r>
      <w:r w:rsidRPr="004A203A">
        <w:rPr>
          <w:rFonts w:asciiTheme="minorHAnsi" w:hAnsiTheme="minorHAnsi" w:cstheme="minorBidi"/>
          <w:color w:val="auto"/>
          <w:sz w:val="22"/>
          <w:szCs w:val="22"/>
          <w:lang w:val="en-US"/>
        </w:rPr>
        <w:t xml:space="preserve"> rely on accurate and unquestionable market indicators.</w:t>
      </w:r>
    </w:p>
    <w:p w14:paraId="658B74B7" w14:textId="77777777" w:rsidR="00697486" w:rsidRDefault="00697486" w:rsidP="00697486">
      <w:pPr>
        <w:pStyle w:val="Paragraphedeliste"/>
        <w:rPr>
          <w:rFonts w:asciiTheme="minorHAnsi" w:hAnsiTheme="minorHAnsi" w:cstheme="minorBidi"/>
          <w:sz w:val="22"/>
          <w:szCs w:val="22"/>
          <w:lang w:val="en-US"/>
        </w:rPr>
      </w:pPr>
    </w:p>
    <w:p w14:paraId="4975BC77" w14:textId="6EA0F490" w:rsidR="00492B3A" w:rsidRPr="00697486" w:rsidRDefault="00077D89" w:rsidP="00077D89">
      <w:pPr>
        <w:pStyle w:val="Default"/>
        <w:numPr>
          <w:ilvl w:val="0"/>
          <w:numId w:val="40"/>
        </w:numPr>
        <w:rPr>
          <w:rFonts w:asciiTheme="minorHAnsi" w:hAnsiTheme="minorHAnsi" w:cstheme="minorBidi"/>
          <w:color w:val="auto"/>
          <w:sz w:val="22"/>
          <w:szCs w:val="22"/>
          <w:lang w:val="en-US"/>
        </w:rPr>
      </w:pPr>
      <w:proofErr w:type="gramStart"/>
      <w:r w:rsidRPr="00697486">
        <w:rPr>
          <w:rFonts w:asciiTheme="minorHAnsi" w:hAnsiTheme="minorHAnsi" w:cstheme="minorBidi"/>
          <w:sz w:val="22"/>
          <w:szCs w:val="22"/>
          <w:lang w:val="en-US"/>
        </w:rPr>
        <w:t>Last but not least</w:t>
      </w:r>
      <w:proofErr w:type="gramEnd"/>
      <w:r w:rsidRPr="00697486">
        <w:rPr>
          <w:rFonts w:asciiTheme="minorHAnsi" w:hAnsiTheme="minorHAnsi" w:cstheme="minorBidi"/>
          <w:sz w:val="22"/>
          <w:szCs w:val="22"/>
          <w:lang w:val="en-US"/>
        </w:rPr>
        <w:t xml:space="preserve">, and as previously mentioned, the introduction of an LMT in MMFs’ documentation will have, with no doubt, significant, but unpredictable in its consequences, impact on investors’ </w:t>
      </w:r>
      <w:proofErr w:type="spellStart"/>
      <w:r w:rsidRPr="00697486">
        <w:rPr>
          <w:rFonts w:asciiTheme="minorHAnsi" w:hAnsiTheme="minorHAnsi" w:cstheme="minorBidi"/>
          <w:sz w:val="22"/>
          <w:szCs w:val="22"/>
          <w:lang w:val="en-US"/>
        </w:rPr>
        <w:t>behaviour</w:t>
      </w:r>
      <w:proofErr w:type="spellEnd"/>
      <w:r w:rsidRPr="00697486">
        <w:rPr>
          <w:rFonts w:asciiTheme="minorHAnsi" w:hAnsiTheme="minorHAnsi" w:cstheme="minorBidi"/>
          <w:sz w:val="22"/>
          <w:szCs w:val="22"/>
          <w:lang w:val="en-US"/>
        </w:rPr>
        <w:t xml:space="preserve">. We thus believe that the calibration of such a tool is key. It will have to reflect the cost of liquidity, as measured when exit fees are applied. Back to Covid-19 crisis, during the period when money markets’ liquidity was rapidly vanishing, it </w:t>
      </w:r>
      <w:proofErr w:type="gramStart"/>
      <w:r w:rsidRPr="00697486">
        <w:rPr>
          <w:rFonts w:asciiTheme="minorHAnsi" w:hAnsiTheme="minorHAnsi" w:cstheme="minorBidi"/>
          <w:sz w:val="22"/>
          <w:szCs w:val="22"/>
          <w:lang w:val="en-US"/>
        </w:rPr>
        <w:t>can be assumed</w:t>
      </w:r>
      <w:proofErr w:type="gramEnd"/>
      <w:r w:rsidRPr="00697486">
        <w:rPr>
          <w:rFonts w:asciiTheme="minorHAnsi" w:hAnsiTheme="minorHAnsi" w:cstheme="minorBidi"/>
          <w:sz w:val="22"/>
          <w:szCs w:val="22"/>
          <w:lang w:val="en-US"/>
        </w:rPr>
        <w:t xml:space="preserve"> that the cost of liquidity has never exceeded figures like 20 to 30bps on average.</w:t>
      </w:r>
    </w:p>
    <w:permEnd w:id="910372547"/>
    <w:p w14:paraId="44CC0988" w14:textId="6046863B" w:rsidR="00492B3A" w:rsidRDefault="00492B3A" w:rsidP="00492B3A">
      <w:r>
        <w:t>&lt;ESMA_QUESTION_</w:t>
      </w:r>
      <w:r w:rsidR="00DC1B3F">
        <w:t>MMFR</w:t>
      </w:r>
      <w:r>
        <w:t>_4&gt;</w:t>
      </w:r>
    </w:p>
    <w:p w14:paraId="629688A3" w14:textId="77777777" w:rsidR="00492B3A" w:rsidRDefault="00492B3A" w:rsidP="00492B3A"/>
    <w:p w14:paraId="4404B413" w14:textId="29EA4379" w:rsidR="00492B3A" w:rsidRDefault="00976448" w:rsidP="00492B3A">
      <w:pPr>
        <w:pStyle w:val="Questionstyle"/>
      </w:pPr>
      <w:r w:rsidRPr="00F43E30">
        <w:rPr>
          <w:lang w:val="en-US"/>
        </w:rPr>
        <w:t xml:space="preserve">i) </w:t>
      </w:r>
      <w:r w:rsidRPr="00F43E30">
        <w:rPr>
          <w:color w:val="201F1E"/>
          <w:bdr w:val="none" w:sz="0" w:space="0" w:color="auto" w:frame="1"/>
          <w:lang w:val="en-IE"/>
        </w:rPr>
        <w:t xml:space="preserve">Do you agree with the above assessment of the potential need to </w:t>
      </w:r>
      <w:r w:rsidRPr="00F43E30">
        <w:rPr>
          <w:lang w:val="en-IE"/>
        </w:rPr>
        <w:t>increase liquidity buffers and/or make them usable/countercyclical</w:t>
      </w:r>
      <w:r w:rsidRPr="00F43E30">
        <w:rPr>
          <w:lang w:val="en-US"/>
        </w:rPr>
        <w:t xml:space="preserve"> and the corresponding potential proposal of amendment of the MMF Regulation</w:t>
      </w:r>
      <w:r w:rsidRPr="00F43E30">
        <w:rPr>
          <w:color w:val="201F1E"/>
          <w:bdr w:val="none" w:sz="0" w:space="0" w:color="auto" w:frame="1"/>
          <w:lang w:val="en-IE"/>
        </w:rPr>
        <w:t>? ii) With respect to option 1 above, views are sought in particular on the relevant threshold (on the size of redemptions) from which WLA would need to be automatically adjusted. When you answer this question, please also take into account the grid of criteria listed in paragraphs 76 to 80</w:t>
      </w:r>
      <w:r>
        <w:t>.</w:t>
      </w:r>
    </w:p>
    <w:p w14:paraId="037D1519" w14:textId="4D01ACCC" w:rsidR="00492B3A" w:rsidRDefault="00492B3A" w:rsidP="00492B3A">
      <w:r>
        <w:t>&lt;ESMA_QUESTION_</w:t>
      </w:r>
      <w:r w:rsidR="00DC1B3F">
        <w:t>MMFR</w:t>
      </w:r>
      <w:r>
        <w:t>_5&gt;</w:t>
      </w:r>
    </w:p>
    <w:p w14:paraId="49B57A8D" w14:textId="77777777" w:rsidR="00077D89" w:rsidRDefault="00077D89" w:rsidP="00077D89">
      <w:pPr>
        <w:pStyle w:val="Default"/>
        <w:rPr>
          <w:rFonts w:asciiTheme="minorHAnsi" w:hAnsiTheme="minorHAnsi" w:cstheme="minorBidi"/>
          <w:color w:val="auto"/>
          <w:sz w:val="22"/>
          <w:szCs w:val="22"/>
          <w:lang w:val="en-US"/>
        </w:rPr>
      </w:pPr>
      <w:permStart w:id="1454397300" w:edGrp="everyone"/>
      <w:r>
        <w:rPr>
          <w:rFonts w:asciiTheme="minorHAnsi" w:hAnsiTheme="minorHAnsi" w:cstheme="minorBidi"/>
          <w:color w:val="auto"/>
          <w:sz w:val="22"/>
          <w:szCs w:val="22"/>
          <w:lang w:val="en-US"/>
        </w:rPr>
        <w:t xml:space="preserve">Before answering these questions, we would like to make some preliminary comments regarding the </w:t>
      </w:r>
      <w:r w:rsidRPr="008E53F3">
        <w:rPr>
          <w:rFonts w:asciiTheme="minorHAnsi" w:hAnsiTheme="minorHAnsi" w:cstheme="minorBidi"/>
          <w:color w:val="auto"/>
          <w:sz w:val="22"/>
          <w:szCs w:val="22"/>
          <w:u w:val="single"/>
          <w:lang w:val="en-US"/>
        </w:rPr>
        <w:t>points 107 to 118.</w:t>
      </w:r>
    </w:p>
    <w:p w14:paraId="522B4CFC" w14:textId="77777777" w:rsidR="00077D89" w:rsidRDefault="00077D89" w:rsidP="00077D89">
      <w:pPr>
        <w:pStyle w:val="Default"/>
        <w:rPr>
          <w:rFonts w:asciiTheme="minorHAnsi" w:hAnsiTheme="minorHAnsi" w:cstheme="minorBidi"/>
          <w:color w:val="auto"/>
          <w:sz w:val="22"/>
          <w:szCs w:val="22"/>
          <w:lang w:val="en-US"/>
        </w:rPr>
      </w:pPr>
    </w:p>
    <w:p w14:paraId="6235509D" w14:textId="77777777" w:rsidR="00077D89" w:rsidRDefault="00077D89" w:rsidP="002E0DCD">
      <w:pPr>
        <w:pStyle w:val="Default"/>
        <w:numPr>
          <w:ilvl w:val="0"/>
          <w:numId w:val="40"/>
        </w:numPr>
        <w:rPr>
          <w:rFonts w:asciiTheme="minorHAnsi" w:hAnsiTheme="minorHAnsi" w:cstheme="minorBidi"/>
          <w:color w:val="auto"/>
          <w:sz w:val="22"/>
          <w:szCs w:val="22"/>
          <w:lang w:val="en-US"/>
        </w:rPr>
      </w:pPr>
      <w:r>
        <w:rPr>
          <w:rFonts w:asciiTheme="minorHAnsi" w:hAnsiTheme="minorHAnsi" w:cstheme="minorBidi"/>
          <w:color w:val="auto"/>
          <w:sz w:val="22"/>
          <w:szCs w:val="22"/>
          <w:lang w:val="en-US"/>
        </w:rPr>
        <w:t>Firstly, as already mentioned (see response to Q3), the point 108.iii rightly underlines that the “</w:t>
      </w:r>
      <w:r w:rsidRPr="00B44494">
        <w:rPr>
          <w:rFonts w:asciiTheme="minorHAnsi" w:hAnsiTheme="minorHAnsi" w:cstheme="minorBidi"/>
          <w:i/>
          <w:color w:val="auto"/>
          <w:sz w:val="22"/>
          <w:szCs w:val="22"/>
          <w:lang w:val="en-US"/>
        </w:rPr>
        <w:t>potential scrutiny resulting from public disclosure of low WLA amounts</w:t>
      </w:r>
      <w:r>
        <w:rPr>
          <w:rFonts w:asciiTheme="minorHAnsi" w:hAnsiTheme="minorHAnsi" w:cstheme="minorBidi"/>
          <w:i/>
          <w:color w:val="auto"/>
          <w:sz w:val="22"/>
          <w:szCs w:val="22"/>
          <w:lang w:val="en-US"/>
        </w:rPr>
        <w:t>”</w:t>
      </w:r>
      <w:r>
        <w:rPr>
          <w:rFonts w:asciiTheme="minorHAnsi" w:hAnsiTheme="minorHAnsi" w:cstheme="minorBidi"/>
          <w:color w:val="auto"/>
          <w:sz w:val="22"/>
          <w:szCs w:val="22"/>
          <w:lang w:val="en-US"/>
        </w:rPr>
        <w:t>, may represent a reason for asset managers to keep liquidity buffers well above the minimum regulatory thresholds.</w:t>
      </w:r>
    </w:p>
    <w:p w14:paraId="3262748C" w14:textId="77777777" w:rsidR="00077D89" w:rsidRDefault="00077D89" w:rsidP="00077D89">
      <w:pPr>
        <w:pStyle w:val="Default"/>
        <w:ind w:left="720"/>
        <w:rPr>
          <w:rFonts w:asciiTheme="minorHAnsi" w:hAnsiTheme="minorHAnsi" w:cstheme="minorBidi"/>
          <w:color w:val="auto"/>
          <w:sz w:val="22"/>
          <w:szCs w:val="22"/>
          <w:lang w:val="en-US"/>
        </w:rPr>
      </w:pPr>
    </w:p>
    <w:p w14:paraId="061DECB7" w14:textId="77777777" w:rsidR="00077D89" w:rsidRPr="00FB7205" w:rsidRDefault="00077D89" w:rsidP="002E0DCD">
      <w:pPr>
        <w:pStyle w:val="Default"/>
        <w:numPr>
          <w:ilvl w:val="0"/>
          <w:numId w:val="40"/>
        </w:numPr>
        <w:rPr>
          <w:rFonts w:asciiTheme="minorHAnsi" w:hAnsiTheme="minorHAnsi" w:cstheme="minorBidi"/>
          <w:color w:val="auto"/>
          <w:sz w:val="22"/>
          <w:szCs w:val="22"/>
          <w:lang w:val="en-US"/>
        </w:rPr>
      </w:pPr>
      <w:r>
        <w:rPr>
          <w:rFonts w:asciiTheme="minorHAnsi" w:hAnsiTheme="minorHAnsi" w:cstheme="minorBidi"/>
          <w:color w:val="auto"/>
          <w:sz w:val="22"/>
          <w:szCs w:val="22"/>
          <w:lang w:val="en-US"/>
        </w:rPr>
        <w:t xml:space="preserve">Indeed, though disclosing MMF’s features - as required by article 36 on Transparency – remains a useful measure adopted by MMFR, it may generate undesired pro-cyclical effects during periods of stressed markets. This concern seems to lie in the points 113 and 115 of the consultation document, when outlining the option 2: </w:t>
      </w:r>
      <w:r w:rsidRPr="00B71859">
        <w:rPr>
          <w:rFonts w:asciiTheme="minorHAnsi" w:hAnsiTheme="minorHAnsi" w:cstheme="minorBidi"/>
          <w:i/>
          <w:color w:val="auto"/>
          <w:sz w:val="22"/>
          <w:szCs w:val="22"/>
          <w:lang w:val="en-US"/>
        </w:rPr>
        <w:t>“To avoid any non-intended consequences, the buffer would be non-public (option 2)”</w:t>
      </w:r>
      <w:r>
        <w:rPr>
          <w:rFonts w:asciiTheme="minorHAnsi" w:hAnsiTheme="minorHAnsi" w:cstheme="minorBidi"/>
          <w:color w:val="auto"/>
          <w:sz w:val="22"/>
          <w:szCs w:val="22"/>
          <w:lang w:val="en-US"/>
        </w:rPr>
        <w:t xml:space="preserve">, or </w:t>
      </w:r>
      <w:r w:rsidRPr="00B71859">
        <w:rPr>
          <w:rFonts w:asciiTheme="minorHAnsi" w:hAnsiTheme="minorHAnsi" w:cstheme="minorBidi"/>
          <w:i/>
          <w:color w:val="auto"/>
          <w:sz w:val="22"/>
          <w:szCs w:val="22"/>
          <w:lang w:val="en-US"/>
        </w:rPr>
        <w:t>“in order to limit any trigger effect, the counter-cyclical buffer and the liquidity position would not be made public”</w:t>
      </w:r>
    </w:p>
    <w:p w14:paraId="450ED164" w14:textId="77777777" w:rsidR="00077D89" w:rsidRPr="00B71859" w:rsidRDefault="00077D89" w:rsidP="00077D89">
      <w:pPr>
        <w:pStyle w:val="Default"/>
        <w:rPr>
          <w:rFonts w:asciiTheme="minorHAnsi" w:hAnsiTheme="minorHAnsi" w:cstheme="minorBidi"/>
          <w:color w:val="auto"/>
          <w:sz w:val="22"/>
          <w:szCs w:val="22"/>
          <w:lang w:val="en-US"/>
        </w:rPr>
      </w:pPr>
    </w:p>
    <w:p w14:paraId="6483C9E9" w14:textId="77777777" w:rsidR="00077D89" w:rsidRDefault="00077D89" w:rsidP="002E0DCD">
      <w:pPr>
        <w:pStyle w:val="Default"/>
        <w:numPr>
          <w:ilvl w:val="0"/>
          <w:numId w:val="40"/>
        </w:numPr>
        <w:rPr>
          <w:rFonts w:asciiTheme="minorHAnsi" w:hAnsiTheme="minorHAnsi" w:cstheme="minorBidi"/>
          <w:color w:val="auto"/>
          <w:sz w:val="22"/>
          <w:szCs w:val="22"/>
          <w:lang w:val="en-US"/>
        </w:rPr>
      </w:pPr>
      <w:r>
        <w:rPr>
          <w:rFonts w:asciiTheme="minorHAnsi" w:hAnsiTheme="minorHAnsi" w:cstheme="minorBidi"/>
          <w:color w:val="auto"/>
          <w:sz w:val="22"/>
          <w:szCs w:val="22"/>
          <w:lang w:val="en-US"/>
        </w:rPr>
        <w:t xml:space="preserve">Secondly, in the point 111, it is envisaged that a </w:t>
      </w:r>
      <w:r w:rsidRPr="006C4520">
        <w:rPr>
          <w:rFonts w:asciiTheme="minorHAnsi" w:hAnsiTheme="minorHAnsi" w:cstheme="minorBidi"/>
          <w:i/>
          <w:color w:val="auto"/>
          <w:sz w:val="22"/>
          <w:szCs w:val="22"/>
          <w:lang w:val="en-US"/>
        </w:rPr>
        <w:t>“relief from WLA requirements could be granted”</w:t>
      </w:r>
      <w:r>
        <w:rPr>
          <w:rFonts w:asciiTheme="minorHAnsi" w:hAnsiTheme="minorHAnsi" w:cstheme="minorBidi"/>
          <w:color w:val="auto"/>
          <w:sz w:val="22"/>
          <w:szCs w:val="22"/>
          <w:lang w:val="en-US"/>
        </w:rPr>
        <w:t xml:space="preserve"> by regulatory authorities, in certain circumstances. In our view, such statement by authorities, presumably in time of turmoil, could also have unintended pro-cyclical effects.</w:t>
      </w:r>
    </w:p>
    <w:p w14:paraId="2EE5CEA8" w14:textId="77777777" w:rsidR="00077D89" w:rsidRDefault="00077D89" w:rsidP="00077D89">
      <w:pPr>
        <w:pStyle w:val="Default"/>
        <w:rPr>
          <w:rFonts w:asciiTheme="minorHAnsi" w:hAnsiTheme="minorHAnsi" w:cstheme="minorBidi"/>
          <w:color w:val="auto"/>
          <w:sz w:val="22"/>
          <w:szCs w:val="22"/>
          <w:lang w:val="en-US"/>
        </w:rPr>
      </w:pPr>
    </w:p>
    <w:p w14:paraId="4135C2CC" w14:textId="77777777" w:rsidR="00077D89" w:rsidRDefault="00077D89" w:rsidP="002E0DCD">
      <w:pPr>
        <w:pStyle w:val="Default"/>
        <w:numPr>
          <w:ilvl w:val="0"/>
          <w:numId w:val="40"/>
        </w:numPr>
        <w:rPr>
          <w:rFonts w:asciiTheme="minorHAnsi" w:hAnsiTheme="minorHAnsi" w:cstheme="minorBidi"/>
          <w:color w:val="auto"/>
          <w:sz w:val="22"/>
          <w:szCs w:val="22"/>
          <w:lang w:val="en-US"/>
        </w:rPr>
      </w:pPr>
      <w:r>
        <w:rPr>
          <w:rFonts w:asciiTheme="minorHAnsi" w:hAnsiTheme="minorHAnsi" w:cstheme="minorBidi"/>
          <w:color w:val="auto"/>
          <w:sz w:val="22"/>
          <w:szCs w:val="22"/>
          <w:lang w:val="en-US"/>
        </w:rPr>
        <w:t>Indeed, while such statements (i.e. granting temporary relief from a given prudential or liquidity ratio) have been quite usual in the banking sector, we may fear that similar announcements targeting MMFs could trigger some pre-emptive redemptions, and possibly runs.</w:t>
      </w:r>
    </w:p>
    <w:p w14:paraId="467ED5B0" w14:textId="77777777" w:rsidR="00077D89" w:rsidRDefault="00077D89" w:rsidP="00077D89">
      <w:pPr>
        <w:pStyle w:val="Default"/>
        <w:rPr>
          <w:rFonts w:asciiTheme="minorHAnsi" w:hAnsiTheme="minorHAnsi" w:cstheme="minorBidi"/>
          <w:color w:val="auto"/>
          <w:sz w:val="22"/>
          <w:szCs w:val="22"/>
          <w:lang w:val="en-US"/>
        </w:rPr>
      </w:pPr>
    </w:p>
    <w:p w14:paraId="0AD8A904" w14:textId="77777777" w:rsidR="00077D89" w:rsidRDefault="00077D89" w:rsidP="002E0DCD">
      <w:pPr>
        <w:pStyle w:val="Default"/>
        <w:numPr>
          <w:ilvl w:val="0"/>
          <w:numId w:val="40"/>
        </w:numPr>
        <w:rPr>
          <w:rFonts w:asciiTheme="minorHAnsi" w:hAnsiTheme="minorHAnsi" w:cstheme="minorBidi"/>
          <w:color w:val="auto"/>
          <w:sz w:val="22"/>
          <w:szCs w:val="22"/>
          <w:lang w:val="en-US"/>
        </w:rPr>
      </w:pPr>
      <w:r>
        <w:rPr>
          <w:rFonts w:asciiTheme="minorHAnsi" w:hAnsiTheme="minorHAnsi" w:cstheme="minorBidi"/>
          <w:color w:val="auto"/>
          <w:sz w:val="22"/>
          <w:szCs w:val="22"/>
          <w:lang w:val="en-US"/>
        </w:rPr>
        <w:t>Lastly, the “option 2”, outlined in points 112 to 118, seems interesting. However, we strongly believe that any additional liquidity buffer should not derive from stress tests, as defined in Article 28 and its related RTS (Regulatory Technical Standards), nor being imposed by regulators (see below our detailed comment and suggestion on this).</w:t>
      </w:r>
    </w:p>
    <w:p w14:paraId="34D8BD65" w14:textId="77777777" w:rsidR="00077D89" w:rsidRPr="00B44494" w:rsidRDefault="00077D89" w:rsidP="00077D89">
      <w:pPr>
        <w:pStyle w:val="Default"/>
        <w:rPr>
          <w:rFonts w:asciiTheme="minorHAnsi" w:hAnsiTheme="minorHAnsi" w:cstheme="minorBidi"/>
          <w:color w:val="auto"/>
          <w:sz w:val="22"/>
          <w:szCs w:val="22"/>
          <w:lang w:val="en-US"/>
        </w:rPr>
      </w:pPr>
    </w:p>
    <w:p w14:paraId="79E69558" w14:textId="77777777" w:rsidR="00077D89" w:rsidRDefault="00077D89" w:rsidP="00077D89">
      <w:pPr>
        <w:pStyle w:val="Default"/>
        <w:rPr>
          <w:rFonts w:asciiTheme="minorHAnsi" w:hAnsiTheme="minorHAnsi" w:cstheme="minorBidi"/>
          <w:color w:val="auto"/>
          <w:sz w:val="22"/>
          <w:szCs w:val="22"/>
          <w:lang w:val="en-US"/>
        </w:rPr>
      </w:pPr>
      <w:r>
        <w:rPr>
          <w:rFonts w:asciiTheme="minorHAnsi" w:hAnsiTheme="minorHAnsi" w:cstheme="minorBidi"/>
          <w:color w:val="auto"/>
          <w:sz w:val="22"/>
          <w:szCs w:val="22"/>
          <w:lang w:val="en-US"/>
        </w:rPr>
        <w:t xml:space="preserve">Regarding the first part of the question, </w:t>
      </w:r>
      <w:r w:rsidRPr="002D7E64">
        <w:rPr>
          <w:rFonts w:asciiTheme="minorHAnsi" w:hAnsiTheme="minorHAnsi" w:cstheme="minorBidi"/>
          <w:color w:val="auto"/>
          <w:sz w:val="22"/>
          <w:szCs w:val="22"/>
          <w:u w:val="single"/>
          <w:lang w:val="en-US"/>
        </w:rPr>
        <w:t xml:space="preserve">we do believe that current liquidity ratios do not need to </w:t>
      </w:r>
      <w:proofErr w:type="gramStart"/>
      <w:r w:rsidRPr="002D7E64">
        <w:rPr>
          <w:rFonts w:asciiTheme="minorHAnsi" w:hAnsiTheme="minorHAnsi" w:cstheme="minorBidi"/>
          <w:color w:val="auto"/>
          <w:sz w:val="22"/>
          <w:szCs w:val="22"/>
          <w:u w:val="single"/>
          <w:lang w:val="en-US"/>
        </w:rPr>
        <w:t>be increased</w:t>
      </w:r>
      <w:proofErr w:type="gramEnd"/>
      <w:r w:rsidRPr="002D7E64">
        <w:rPr>
          <w:rFonts w:asciiTheme="minorHAnsi" w:hAnsiTheme="minorHAnsi" w:cstheme="minorBidi"/>
          <w:color w:val="auto"/>
          <w:sz w:val="22"/>
          <w:szCs w:val="22"/>
          <w:u w:val="single"/>
          <w:lang w:val="en-US"/>
        </w:rPr>
        <w:t xml:space="preserve"> in MMFR</w:t>
      </w:r>
      <w:r>
        <w:rPr>
          <w:rFonts w:asciiTheme="minorHAnsi" w:hAnsiTheme="minorHAnsi" w:cstheme="minorBidi"/>
          <w:color w:val="auto"/>
          <w:sz w:val="22"/>
          <w:szCs w:val="22"/>
          <w:lang w:val="en-US"/>
        </w:rPr>
        <w:t xml:space="preserve">, as, with no material doubt, this measure would have provided no help during the Covid-19 crisis, in March 2020. We consider these levels </w:t>
      </w:r>
      <w:proofErr w:type="gramStart"/>
      <w:r>
        <w:rPr>
          <w:rFonts w:asciiTheme="minorHAnsi" w:hAnsiTheme="minorHAnsi" w:cstheme="minorBidi"/>
          <w:color w:val="auto"/>
          <w:sz w:val="22"/>
          <w:szCs w:val="22"/>
          <w:lang w:val="en-US"/>
        </w:rPr>
        <w:t>were fairly calibrated</w:t>
      </w:r>
      <w:proofErr w:type="gramEnd"/>
      <w:r>
        <w:rPr>
          <w:rFonts w:asciiTheme="minorHAnsi" w:hAnsiTheme="minorHAnsi" w:cstheme="minorBidi"/>
          <w:color w:val="auto"/>
          <w:sz w:val="22"/>
          <w:szCs w:val="22"/>
          <w:lang w:val="en-US"/>
        </w:rPr>
        <w:t xml:space="preserve"> during the process that led to the publication of MMFR.</w:t>
      </w:r>
    </w:p>
    <w:p w14:paraId="1DFC4004" w14:textId="77777777" w:rsidR="00077D89" w:rsidRDefault="00077D89" w:rsidP="00077D89">
      <w:pPr>
        <w:pStyle w:val="Default"/>
        <w:rPr>
          <w:rFonts w:asciiTheme="minorHAnsi" w:hAnsiTheme="minorHAnsi" w:cstheme="minorBidi"/>
          <w:color w:val="auto"/>
          <w:sz w:val="22"/>
          <w:szCs w:val="22"/>
          <w:lang w:val="en-US"/>
        </w:rPr>
      </w:pPr>
      <w:r>
        <w:rPr>
          <w:rFonts w:asciiTheme="minorHAnsi" w:hAnsiTheme="minorHAnsi" w:cstheme="minorBidi"/>
          <w:color w:val="auto"/>
          <w:sz w:val="22"/>
          <w:szCs w:val="22"/>
          <w:lang w:val="en-US"/>
        </w:rPr>
        <w:t xml:space="preserve"> </w:t>
      </w:r>
    </w:p>
    <w:p w14:paraId="7130946B" w14:textId="77777777" w:rsidR="00077D89" w:rsidRDefault="00077D89" w:rsidP="00077D89">
      <w:pPr>
        <w:pStyle w:val="Default"/>
        <w:rPr>
          <w:rFonts w:asciiTheme="minorHAnsi" w:hAnsiTheme="minorHAnsi" w:cstheme="minorBidi"/>
          <w:color w:val="auto"/>
          <w:sz w:val="22"/>
          <w:szCs w:val="22"/>
          <w:lang w:val="en-US"/>
        </w:rPr>
      </w:pPr>
      <w:r>
        <w:rPr>
          <w:rFonts w:asciiTheme="minorHAnsi" w:hAnsiTheme="minorHAnsi" w:cstheme="minorBidi"/>
          <w:color w:val="auto"/>
          <w:sz w:val="22"/>
          <w:szCs w:val="22"/>
          <w:lang w:val="en-US"/>
        </w:rPr>
        <w:t xml:space="preserve">This </w:t>
      </w:r>
      <w:proofErr w:type="gramStart"/>
      <w:r>
        <w:rPr>
          <w:rFonts w:asciiTheme="minorHAnsi" w:hAnsiTheme="minorHAnsi" w:cstheme="minorBidi"/>
          <w:color w:val="auto"/>
          <w:sz w:val="22"/>
          <w:szCs w:val="22"/>
          <w:lang w:val="en-US"/>
        </w:rPr>
        <w:t>being said</w:t>
      </w:r>
      <w:proofErr w:type="gramEnd"/>
      <w:r>
        <w:rPr>
          <w:rFonts w:asciiTheme="minorHAnsi" w:hAnsiTheme="minorHAnsi" w:cstheme="minorBidi"/>
          <w:color w:val="auto"/>
          <w:sz w:val="22"/>
          <w:szCs w:val="22"/>
          <w:lang w:val="en-US"/>
        </w:rPr>
        <w:t>, we believe that these “buffers” should be made usable / countercyclical. This leads us to formulate the following comments:</w:t>
      </w:r>
    </w:p>
    <w:p w14:paraId="6FBACB33" w14:textId="77777777" w:rsidR="00077D89" w:rsidRDefault="00077D89" w:rsidP="00077D89">
      <w:pPr>
        <w:pStyle w:val="Default"/>
        <w:rPr>
          <w:rFonts w:asciiTheme="minorHAnsi" w:hAnsiTheme="minorHAnsi" w:cstheme="minorBidi"/>
          <w:color w:val="auto"/>
          <w:sz w:val="22"/>
          <w:szCs w:val="22"/>
          <w:lang w:val="en-US"/>
        </w:rPr>
      </w:pPr>
    </w:p>
    <w:p w14:paraId="6C1246F4" w14:textId="77777777" w:rsidR="00077D89" w:rsidRDefault="00077D89" w:rsidP="002E0DCD">
      <w:pPr>
        <w:pStyle w:val="Default"/>
        <w:numPr>
          <w:ilvl w:val="0"/>
          <w:numId w:val="40"/>
        </w:numPr>
        <w:rPr>
          <w:rFonts w:asciiTheme="minorHAnsi" w:hAnsiTheme="minorHAnsi" w:cstheme="minorBidi"/>
          <w:color w:val="auto"/>
          <w:sz w:val="22"/>
          <w:szCs w:val="22"/>
          <w:lang w:val="en-US"/>
        </w:rPr>
      </w:pPr>
      <w:r w:rsidRPr="00B322DA">
        <w:rPr>
          <w:rFonts w:asciiTheme="minorHAnsi" w:hAnsiTheme="minorHAnsi" w:cstheme="minorBidi"/>
          <w:b/>
          <w:color w:val="auto"/>
          <w:sz w:val="22"/>
          <w:szCs w:val="22"/>
          <w:lang w:val="en-US"/>
        </w:rPr>
        <w:t>It is striking to see that the word “buffer” does not appear in MMFR</w:t>
      </w:r>
      <w:r>
        <w:rPr>
          <w:rFonts w:asciiTheme="minorHAnsi" w:hAnsiTheme="minorHAnsi" w:cstheme="minorBidi"/>
          <w:color w:val="auto"/>
          <w:sz w:val="22"/>
          <w:szCs w:val="22"/>
          <w:lang w:val="en-US"/>
        </w:rPr>
        <w:t>. This shows that the intention of the regulator was to impose a hard floor to WLA and DLA (weekly and daily liquid assets).</w:t>
      </w:r>
    </w:p>
    <w:p w14:paraId="14390058" w14:textId="77777777" w:rsidR="00077D89" w:rsidRDefault="00077D89" w:rsidP="00077D89">
      <w:pPr>
        <w:pStyle w:val="Default"/>
        <w:ind w:left="360"/>
        <w:rPr>
          <w:rFonts w:asciiTheme="minorHAnsi" w:hAnsiTheme="minorHAnsi" w:cstheme="minorBidi"/>
          <w:color w:val="auto"/>
          <w:sz w:val="22"/>
          <w:szCs w:val="22"/>
          <w:lang w:val="en-US"/>
        </w:rPr>
      </w:pPr>
    </w:p>
    <w:p w14:paraId="69CEF3A0" w14:textId="77777777" w:rsidR="00077D89" w:rsidRDefault="00077D89" w:rsidP="002E0DCD">
      <w:pPr>
        <w:pStyle w:val="Default"/>
        <w:numPr>
          <w:ilvl w:val="0"/>
          <w:numId w:val="40"/>
        </w:numPr>
        <w:rPr>
          <w:rFonts w:asciiTheme="minorHAnsi" w:hAnsiTheme="minorHAnsi" w:cstheme="minorBidi"/>
          <w:color w:val="auto"/>
          <w:sz w:val="22"/>
          <w:szCs w:val="22"/>
          <w:lang w:val="en-US"/>
        </w:rPr>
      </w:pPr>
      <w:r>
        <w:rPr>
          <w:rFonts w:asciiTheme="minorHAnsi" w:hAnsiTheme="minorHAnsi" w:cstheme="minorBidi"/>
          <w:color w:val="auto"/>
          <w:sz w:val="22"/>
          <w:szCs w:val="22"/>
          <w:lang w:val="en-US"/>
        </w:rPr>
        <w:t xml:space="preserve">Our view on the matter is that </w:t>
      </w:r>
      <w:proofErr w:type="gramStart"/>
      <w:r>
        <w:rPr>
          <w:rFonts w:asciiTheme="minorHAnsi" w:hAnsiTheme="minorHAnsi" w:cstheme="minorBidi"/>
          <w:color w:val="auto"/>
          <w:sz w:val="22"/>
          <w:szCs w:val="22"/>
          <w:lang w:val="en-US"/>
        </w:rPr>
        <w:t>1</w:t>
      </w:r>
      <w:proofErr w:type="gramEnd"/>
      <w:r>
        <w:rPr>
          <w:rFonts w:asciiTheme="minorHAnsi" w:hAnsiTheme="minorHAnsi" w:cstheme="minorBidi"/>
          <w:color w:val="auto"/>
          <w:sz w:val="22"/>
          <w:szCs w:val="22"/>
          <w:lang w:val="en-US"/>
        </w:rPr>
        <w:t>/ the minimum levels for weekly and daily liquid assets should keep on being treated as “ratios”, rather than “buffers”, but 2/ there is a need to clarify the way any passive breaches of these ratios should be handled by the asset management company.</w:t>
      </w:r>
    </w:p>
    <w:p w14:paraId="43654227" w14:textId="77777777" w:rsidR="00077D89" w:rsidRDefault="00077D89" w:rsidP="00077D89">
      <w:pPr>
        <w:pStyle w:val="Default"/>
        <w:rPr>
          <w:rFonts w:asciiTheme="minorHAnsi" w:hAnsiTheme="minorHAnsi" w:cstheme="minorBidi"/>
          <w:color w:val="auto"/>
          <w:sz w:val="22"/>
          <w:szCs w:val="22"/>
          <w:lang w:val="en-US"/>
        </w:rPr>
      </w:pPr>
    </w:p>
    <w:p w14:paraId="1EA7A3C4" w14:textId="77777777" w:rsidR="00077D89" w:rsidRDefault="00077D89" w:rsidP="002E0DCD">
      <w:pPr>
        <w:pStyle w:val="Default"/>
        <w:numPr>
          <w:ilvl w:val="0"/>
          <w:numId w:val="40"/>
        </w:numPr>
        <w:rPr>
          <w:rFonts w:asciiTheme="minorHAnsi" w:hAnsiTheme="minorHAnsi" w:cstheme="minorBidi"/>
          <w:color w:val="auto"/>
          <w:sz w:val="22"/>
          <w:szCs w:val="22"/>
          <w:lang w:val="en-US"/>
        </w:rPr>
      </w:pPr>
      <w:r>
        <w:rPr>
          <w:rFonts w:asciiTheme="minorHAnsi" w:hAnsiTheme="minorHAnsi" w:cstheme="minorBidi"/>
          <w:color w:val="auto"/>
          <w:sz w:val="22"/>
          <w:szCs w:val="22"/>
          <w:lang w:val="en-US"/>
        </w:rPr>
        <w:t xml:space="preserve">Then our proposal would be that: where one of the two liquidity assets of a MMF breaches its regulatory limit for more than two or three business days, </w:t>
      </w:r>
      <w:r w:rsidRPr="00B322DA">
        <w:rPr>
          <w:rFonts w:asciiTheme="minorHAnsi" w:hAnsiTheme="minorHAnsi" w:cstheme="minorBidi"/>
          <w:b/>
          <w:color w:val="auto"/>
          <w:sz w:val="22"/>
          <w:szCs w:val="22"/>
          <w:lang w:val="en-US"/>
        </w:rPr>
        <w:t xml:space="preserve">the asset management company would be required </w:t>
      </w:r>
      <w:proofErr w:type="gramStart"/>
      <w:r w:rsidRPr="00B322DA">
        <w:rPr>
          <w:rFonts w:asciiTheme="minorHAnsi" w:hAnsiTheme="minorHAnsi" w:cstheme="minorBidi"/>
          <w:b/>
          <w:color w:val="auto"/>
          <w:sz w:val="22"/>
          <w:szCs w:val="22"/>
          <w:lang w:val="en-US"/>
        </w:rPr>
        <w:t>to directly notify</w:t>
      </w:r>
      <w:proofErr w:type="gramEnd"/>
      <w:r w:rsidRPr="00B322DA">
        <w:rPr>
          <w:rFonts w:asciiTheme="minorHAnsi" w:hAnsiTheme="minorHAnsi" w:cstheme="minorBidi"/>
          <w:b/>
          <w:color w:val="auto"/>
          <w:sz w:val="22"/>
          <w:szCs w:val="22"/>
          <w:lang w:val="en-US"/>
        </w:rPr>
        <w:t xml:space="preserve"> its NCA. Then, it would enter into bilateral talks aimed to define for how long and in what extent the </w:t>
      </w:r>
      <w:proofErr w:type="gramStart"/>
      <w:r w:rsidRPr="00B322DA">
        <w:rPr>
          <w:rFonts w:asciiTheme="minorHAnsi" w:hAnsiTheme="minorHAnsi" w:cstheme="minorBidi"/>
          <w:b/>
          <w:color w:val="auto"/>
          <w:sz w:val="22"/>
          <w:szCs w:val="22"/>
          <w:lang w:val="en-US"/>
        </w:rPr>
        <w:t>breach(</w:t>
      </w:r>
      <w:proofErr w:type="spellStart"/>
      <w:proofErr w:type="gramEnd"/>
      <w:r w:rsidRPr="00B322DA">
        <w:rPr>
          <w:rFonts w:asciiTheme="minorHAnsi" w:hAnsiTheme="minorHAnsi" w:cstheme="minorBidi"/>
          <w:b/>
          <w:color w:val="auto"/>
          <w:sz w:val="22"/>
          <w:szCs w:val="22"/>
          <w:lang w:val="en-US"/>
        </w:rPr>
        <w:t>es</w:t>
      </w:r>
      <w:proofErr w:type="spellEnd"/>
      <w:r w:rsidRPr="00B322DA">
        <w:rPr>
          <w:rFonts w:asciiTheme="minorHAnsi" w:hAnsiTheme="minorHAnsi" w:cstheme="minorBidi"/>
          <w:b/>
          <w:color w:val="auto"/>
          <w:sz w:val="22"/>
          <w:szCs w:val="22"/>
          <w:lang w:val="en-US"/>
        </w:rPr>
        <w:t>) are allowed to last.</w:t>
      </w:r>
      <w:r>
        <w:rPr>
          <w:rFonts w:asciiTheme="minorHAnsi" w:hAnsiTheme="minorHAnsi" w:cstheme="minorBidi"/>
          <w:color w:val="auto"/>
          <w:sz w:val="22"/>
          <w:szCs w:val="22"/>
          <w:lang w:val="en-US"/>
        </w:rPr>
        <w:tab/>
      </w:r>
    </w:p>
    <w:p w14:paraId="204268A0" w14:textId="77777777" w:rsidR="00077D89" w:rsidRDefault="00077D89" w:rsidP="00077D89">
      <w:pPr>
        <w:pStyle w:val="Default"/>
        <w:rPr>
          <w:rFonts w:asciiTheme="minorHAnsi" w:hAnsiTheme="minorHAnsi" w:cstheme="minorBidi"/>
          <w:color w:val="auto"/>
          <w:sz w:val="22"/>
          <w:szCs w:val="22"/>
          <w:lang w:val="en-US"/>
        </w:rPr>
      </w:pPr>
    </w:p>
    <w:p w14:paraId="2EB49479" w14:textId="77777777" w:rsidR="00077D89" w:rsidRDefault="00077D89" w:rsidP="002E0DCD">
      <w:pPr>
        <w:pStyle w:val="Default"/>
        <w:numPr>
          <w:ilvl w:val="0"/>
          <w:numId w:val="40"/>
        </w:numPr>
        <w:rPr>
          <w:rFonts w:asciiTheme="minorHAnsi" w:hAnsiTheme="minorHAnsi" w:cstheme="minorBidi"/>
          <w:color w:val="auto"/>
          <w:sz w:val="22"/>
          <w:szCs w:val="22"/>
          <w:lang w:val="en-US"/>
        </w:rPr>
      </w:pPr>
      <w:r>
        <w:rPr>
          <w:rFonts w:asciiTheme="minorHAnsi" w:hAnsiTheme="minorHAnsi" w:cstheme="minorBidi"/>
          <w:color w:val="auto"/>
          <w:sz w:val="22"/>
          <w:szCs w:val="22"/>
          <w:lang w:val="en-US"/>
        </w:rPr>
        <w:t xml:space="preserve">The rationale of our proposal is: it seems that such a procedure would allow </w:t>
      </w:r>
      <w:proofErr w:type="gramStart"/>
      <w:r>
        <w:rPr>
          <w:rFonts w:asciiTheme="minorHAnsi" w:hAnsiTheme="minorHAnsi" w:cstheme="minorBidi"/>
          <w:color w:val="auto"/>
          <w:sz w:val="22"/>
          <w:szCs w:val="22"/>
          <w:lang w:val="en-US"/>
        </w:rPr>
        <w:t>for the</w:t>
      </w:r>
      <w:proofErr w:type="gramEnd"/>
      <w:r>
        <w:rPr>
          <w:rFonts w:asciiTheme="minorHAnsi" w:hAnsiTheme="minorHAnsi" w:cstheme="minorBidi"/>
          <w:color w:val="auto"/>
          <w:sz w:val="22"/>
          <w:szCs w:val="22"/>
          <w:lang w:val="en-US"/>
        </w:rPr>
        <w:t xml:space="preserve"> asset management company to effectively “use” its liquidity buckets under the strict control and monitoring of its NCA. It will also prevent any unintended effect that </w:t>
      </w:r>
      <w:proofErr w:type="gramStart"/>
      <w:r>
        <w:rPr>
          <w:rFonts w:asciiTheme="minorHAnsi" w:hAnsiTheme="minorHAnsi" w:cstheme="minorBidi"/>
          <w:color w:val="auto"/>
          <w:sz w:val="22"/>
          <w:szCs w:val="22"/>
          <w:lang w:val="en-US"/>
        </w:rPr>
        <w:t>could be triggered</w:t>
      </w:r>
      <w:proofErr w:type="gramEnd"/>
      <w:r>
        <w:rPr>
          <w:rFonts w:asciiTheme="minorHAnsi" w:hAnsiTheme="minorHAnsi" w:cstheme="minorBidi"/>
          <w:color w:val="auto"/>
          <w:sz w:val="22"/>
          <w:szCs w:val="22"/>
          <w:lang w:val="en-US"/>
        </w:rPr>
        <w:t xml:space="preserve"> by an official announcement relaxing the WLA or DLA requirements.</w:t>
      </w:r>
    </w:p>
    <w:p w14:paraId="60B0B155" w14:textId="77777777" w:rsidR="00077D89" w:rsidRDefault="00077D89" w:rsidP="00077D89">
      <w:pPr>
        <w:pStyle w:val="Default"/>
        <w:rPr>
          <w:rFonts w:asciiTheme="minorHAnsi" w:hAnsiTheme="minorHAnsi" w:cstheme="minorBidi"/>
          <w:color w:val="auto"/>
          <w:sz w:val="22"/>
          <w:szCs w:val="22"/>
          <w:lang w:val="en-US"/>
        </w:rPr>
      </w:pPr>
    </w:p>
    <w:p w14:paraId="758FFFBD" w14:textId="77777777" w:rsidR="00077D89" w:rsidRDefault="00077D89" w:rsidP="002E0DCD">
      <w:pPr>
        <w:pStyle w:val="Default"/>
        <w:numPr>
          <w:ilvl w:val="0"/>
          <w:numId w:val="40"/>
        </w:numPr>
        <w:rPr>
          <w:rFonts w:asciiTheme="minorHAnsi" w:hAnsiTheme="minorHAnsi" w:cstheme="minorBidi"/>
          <w:color w:val="auto"/>
          <w:sz w:val="22"/>
          <w:szCs w:val="22"/>
          <w:lang w:val="en-US"/>
        </w:rPr>
      </w:pPr>
      <w:r w:rsidRPr="00C57308">
        <w:rPr>
          <w:rFonts w:asciiTheme="minorHAnsi" w:hAnsiTheme="minorHAnsi" w:cstheme="minorBidi"/>
          <w:color w:val="auto"/>
          <w:sz w:val="22"/>
          <w:szCs w:val="22"/>
          <w:u w:val="single"/>
          <w:lang w:val="en-US"/>
        </w:rPr>
        <w:t xml:space="preserve">In addition, we also support the introduction of contracyclical liquidity </w:t>
      </w:r>
      <w:r w:rsidRPr="007E2C3C">
        <w:rPr>
          <w:rFonts w:asciiTheme="minorHAnsi" w:hAnsiTheme="minorHAnsi" w:cstheme="minorBidi"/>
          <w:color w:val="auto"/>
          <w:sz w:val="22"/>
          <w:szCs w:val="22"/>
          <w:u w:val="single"/>
          <w:lang w:val="en-US"/>
        </w:rPr>
        <w:t>buffers</w:t>
      </w:r>
      <w:r>
        <w:rPr>
          <w:rFonts w:asciiTheme="minorHAnsi" w:hAnsiTheme="minorHAnsi" w:cstheme="minorBidi"/>
          <w:color w:val="auto"/>
          <w:sz w:val="22"/>
          <w:szCs w:val="22"/>
          <w:u w:val="single"/>
          <w:lang w:val="en-US"/>
        </w:rPr>
        <w:t>,</w:t>
      </w:r>
      <w:r>
        <w:rPr>
          <w:rFonts w:asciiTheme="minorHAnsi" w:hAnsiTheme="minorHAnsi" w:cstheme="minorBidi"/>
          <w:color w:val="auto"/>
          <w:sz w:val="22"/>
          <w:szCs w:val="22"/>
          <w:lang w:val="en-US"/>
        </w:rPr>
        <w:t xml:space="preserve"> described in points 112 to 117 </w:t>
      </w:r>
      <w:r w:rsidRPr="00C57308">
        <w:rPr>
          <w:rFonts w:asciiTheme="minorHAnsi" w:hAnsiTheme="minorHAnsi" w:cstheme="minorBidi"/>
          <w:color w:val="auto"/>
          <w:sz w:val="22"/>
          <w:szCs w:val="22"/>
          <w:u w:val="single"/>
          <w:lang w:val="en-US"/>
        </w:rPr>
        <w:t>but in a different way it is envisaged in option 2</w:t>
      </w:r>
      <w:r w:rsidRPr="00767815">
        <w:rPr>
          <w:rFonts w:asciiTheme="minorHAnsi" w:hAnsiTheme="minorHAnsi" w:cstheme="minorBidi"/>
          <w:color w:val="auto"/>
          <w:sz w:val="22"/>
          <w:szCs w:val="22"/>
          <w:lang w:val="en-US"/>
        </w:rPr>
        <w:t>,</w:t>
      </w:r>
      <w:r>
        <w:rPr>
          <w:rFonts w:asciiTheme="minorHAnsi" w:hAnsiTheme="minorHAnsi" w:cstheme="minorBidi"/>
          <w:color w:val="auto"/>
          <w:sz w:val="22"/>
          <w:szCs w:val="22"/>
          <w:lang w:val="en-US"/>
        </w:rPr>
        <w:t xml:space="preserve">  (see below)</w:t>
      </w:r>
      <w:r w:rsidRPr="00767815">
        <w:rPr>
          <w:rFonts w:asciiTheme="minorHAnsi" w:hAnsiTheme="minorHAnsi" w:cstheme="minorBidi"/>
          <w:color w:val="auto"/>
          <w:sz w:val="22"/>
          <w:szCs w:val="22"/>
          <w:lang w:val="en-US"/>
        </w:rPr>
        <w:t xml:space="preserve">: we </w:t>
      </w:r>
      <w:r>
        <w:rPr>
          <w:rFonts w:asciiTheme="minorHAnsi" w:hAnsiTheme="minorHAnsi" w:cstheme="minorBidi"/>
          <w:color w:val="auto"/>
          <w:sz w:val="22"/>
          <w:szCs w:val="22"/>
          <w:lang w:val="en-US"/>
        </w:rPr>
        <w:t xml:space="preserve">indeed </w:t>
      </w:r>
      <w:r w:rsidRPr="00767815">
        <w:rPr>
          <w:rFonts w:asciiTheme="minorHAnsi" w:hAnsiTheme="minorHAnsi" w:cstheme="minorBidi"/>
          <w:color w:val="auto"/>
          <w:sz w:val="22"/>
          <w:szCs w:val="22"/>
          <w:lang w:val="en-US"/>
        </w:rPr>
        <w:t>globally agree with the principle</w:t>
      </w:r>
      <w:r>
        <w:rPr>
          <w:rFonts w:asciiTheme="minorHAnsi" w:hAnsiTheme="minorHAnsi" w:cstheme="minorBidi"/>
          <w:color w:val="auto"/>
          <w:sz w:val="22"/>
          <w:szCs w:val="22"/>
          <w:lang w:val="en-US"/>
        </w:rPr>
        <w:t xml:space="preserve"> that</w:t>
      </w:r>
      <w:r w:rsidRPr="00767815">
        <w:rPr>
          <w:rFonts w:asciiTheme="minorHAnsi" w:hAnsiTheme="minorHAnsi" w:cstheme="minorBidi"/>
          <w:color w:val="auto"/>
          <w:sz w:val="22"/>
          <w:szCs w:val="22"/>
          <w:lang w:val="en-US"/>
        </w:rPr>
        <w:t xml:space="preserve"> the size of liquid assets held by a MMF should </w:t>
      </w:r>
      <w:r w:rsidRPr="00FC38AC">
        <w:rPr>
          <w:rFonts w:asciiTheme="minorHAnsi" w:hAnsiTheme="minorHAnsi" w:cstheme="minorBidi"/>
          <w:color w:val="auto"/>
          <w:sz w:val="22"/>
          <w:szCs w:val="22"/>
          <w:u w:val="single"/>
          <w:lang w:val="en-US"/>
        </w:rPr>
        <w:t>always</w:t>
      </w:r>
      <w:r w:rsidRPr="00767815">
        <w:rPr>
          <w:rFonts w:asciiTheme="minorHAnsi" w:hAnsiTheme="minorHAnsi" w:cstheme="minorBidi"/>
          <w:color w:val="auto"/>
          <w:sz w:val="22"/>
          <w:szCs w:val="22"/>
          <w:lang w:val="en-US"/>
        </w:rPr>
        <w:t xml:space="preserve"> depend on its liability structure</w:t>
      </w:r>
      <w:r>
        <w:rPr>
          <w:rFonts w:asciiTheme="minorHAnsi" w:hAnsiTheme="minorHAnsi" w:cstheme="minorBidi"/>
          <w:color w:val="auto"/>
          <w:sz w:val="22"/>
          <w:szCs w:val="22"/>
          <w:lang w:val="en-US"/>
        </w:rPr>
        <w:t>.</w:t>
      </w:r>
    </w:p>
    <w:p w14:paraId="3052EB26" w14:textId="77777777" w:rsidR="00077D89" w:rsidRPr="00767815" w:rsidRDefault="00077D89" w:rsidP="00077D89">
      <w:pPr>
        <w:pStyle w:val="Default"/>
        <w:rPr>
          <w:rFonts w:asciiTheme="minorHAnsi" w:hAnsiTheme="minorHAnsi" w:cstheme="minorBidi"/>
          <w:color w:val="auto"/>
          <w:sz w:val="22"/>
          <w:szCs w:val="22"/>
          <w:lang w:val="en-US"/>
        </w:rPr>
      </w:pPr>
    </w:p>
    <w:p w14:paraId="7813E373" w14:textId="77777777" w:rsidR="00077D89" w:rsidRDefault="00077D89" w:rsidP="002E0DCD">
      <w:pPr>
        <w:pStyle w:val="Default"/>
        <w:numPr>
          <w:ilvl w:val="0"/>
          <w:numId w:val="40"/>
        </w:numPr>
        <w:rPr>
          <w:rFonts w:asciiTheme="minorHAnsi" w:hAnsiTheme="minorHAnsi" w:cstheme="minorBidi"/>
          <w:color w:val="auto"/>
          <w:sz w:val="22"/>
          <w:szCs w:val="22"/>
          <w:lang w:val="en-US"/>
        </w:rPr>
      </w:pPr>
      <w:r>
        <w:rPr>
          <w:rFonts w:asciiTheme="minorHAnsi" w:hAnsiTheme="minorHAnsi" w:cstheme="minorBidi"/>
          <w:color w:val="auto"/>
          <w:sz w:val="22"/>
          <w:szCs w:val="22"/>
          <w:lang w:val="en-US"/>
        </w:rPr>
        <w:t xml:space="preserve">However and as mentioned above, </w:t>
      </w:r>
      <w:r w:rsidRPr="00057E8B">
        <w:rPr>
          <w:rFonts w:asciiTheme="minorHAnsi" w:hAnsiTheme="minorHAnsi" w:cstheme="minorBidi"/>
          <w:b/>
          <w:color w:val="auto"/>
          <w:sz w:val="22"/>
          <w:szCs w:val="22"/>
          <w:lang w:val="en-US"/>
        </w:rPr>
        <w:t>we disagree with the view expressed in point 112</w:t>
      </w:r>
      <w:r>
        <w:rPr>
          <w:rFonts w:asciiTheme="minorHAnsi" w:hAnsiTheme="minorHAnsi" w:cstheme="minorBidi"/>
          <w:color w:val="auto"/>
          <w:sz w:val="22"/>
          <w:szCs w:val="22"/>
          <w:lang w:val="en-US"/>
        </w:rPr>
        <w:t xml:space="preserve"> whereby the size of this buffer should 1/</w:t>
      </w:r>
      <w:r w:rsidRPr="00767815">
        <w:rPr>
          <w:rFonts w:asciiTheme="minorHAnsi" w:hAnsiTheme="minorHAnsi" w:cstheme="minorBidi"/>
          <w:i/>
          <w:color w:val="auto"/>
          <w:sz w:val="22"/>
          <w:szCs w:val="22"/>
          <w:lang w:val="en-US"/>
        </w:rPr>
        <w:t>”be calibrated by the regulator”</w:t>
      </w:r>
      <w:r>
        <w:rPr>
          <w:rFonts w:asciiTheme="minorHAnsi" w:hAnsiTheme="minorHAnsi" w:cstheme="minorBidi"/>
          <w:color w:val="auto"/>
          <w:sz w:val="22"/>
          <w:szCs w:val="22"/>
          <w:lang w:val="en-US"/>
        </w:rPr>
        <w:t xml:space="preserve">, 2/ result from </w:t>
      </w:r>
      <w:r w:rsidRPr="00767815">
        <w:rPr>
          <w:rFonts w:asciiTheme="minorHAnsi" w:hAnsiTheme="minorHAnsi" w:cstheme="minorBidi"/>
          <w:i/>
          <w:color w:val="auto"/>
          <w:sz w:val="22"/>
          <w:szCs w:val="22"/>
          <w:lang w:val="en-US"/>
        </w:rPr>
        <w:t>“stress tests performed by MMF managers in accordance</w:t>
      </w:r>
      <w:r>
        <w:rPr>
          <w:rFonts w:asciiTheme="minorHAnsi" w:hAnsiTheme="minorHAnsi" w:cstheme="minorBidi"/>
          <w:i/>
          <w:color w:val="auto"/>
          <w:sz w:val="22"/>
          <w:szCs w:val="22"/>
          <w:lang w:val="en-US"/>
        </w:rPr>
        <w:t xml:space="preserve"> with shocks</w:t>
      </w:r>
      <w:r w:rsidRPr="00767815">
        <w:rPr>
          <w:rFonts w:asciiTheme="minorHAnsi" w:hAnsiTheme="minorHAnsi" w:cstheme="minorBidi"/>
          <w:i/>
          <w:color w:val="auto"/>
          <w:sz w:val="22"/>
          <w:szCs w:val="22"/>
          <w:lang w:val="en-US"/>
        </w:rPr>
        <w:t xml:space="preserve"> defined by the regulators”</w:t>
      </w:r>
      <w:r>
        <w:rPr>
          <w:rFonts w:asciiTheme="minorHAnsi" w:hAnsiTheme="minorHAnsi" w:cstheme="minorBidi"/>
          <w:i/>
          <w:color w:val="auto"/>
          <w:sz w:val="22"/>
          <w:szCs w:val="22"/>
          <w:lang w:val="en-US"/>
        </w:rPr>
        <w:t xml:space="preserve">, and 3/”would not need to be fund specific”. </w:t>
      </w:r>
    </w:p>
    <w:p w14:paraId="2E099A08" w14:textId="77777777" w:rsidR="00077D89" w:rsidRDefault="00077D89" w:rsidP="00077D89">
      <w:pPr>
        <w:pStyle w:val="Paragraphedeliste"/>
        <w:rPr>
          <w:lang w:val="en-US"/>
        </w:rPr>
      </w:pPr>
    </w:p>
    <w:p w14:paraId="4166E412" w14:textId="77777777" w:rsidR="00077D89" w:rsidRDefault="00077D89" w:rsidP="002E0DCD">
      <w:pPr>
        <w:pStyle w:val="Default"/>
        <w:numPr>
          <w:ilvl w:val="0"/>
          <w:numId w:val="40"/>
        </w:numPr>
        <w:rPr>
          <w:rFonts w:asciiTheme="minorHAnsi" w:hAnsiTheme="minorHAnsi" w:cstheme="minorBidi"/>
          <w:color w:val="auto"/>
          <w:sz w:val="22"/>
          <w:szCs w:val="22"/>
          <w:lang w:val="en-US"/>
        </w:rPr>
      </w:pPr>
      <w:r>
        <w:rPr>
          <w:rFonts w:asciiTheme="minorHAnsi" w:hAnsiTheme="minorHAnsi" w:cstheme="minorBidi"/>
          <w:color w:val="auto"/>
          <w:sz w:val="22"/>
          <w:szCs w:val="22"/>
          <w:lang w:val="en-US"/>
        </w:rPr>
        <w:t xml:space="preserve">Indeed, we consider that the asset manager is by far the best placed entity for designing the procedure describing the mechanism leading to the calibration of this liability-driven additional buffer. </w:t>
      </w:r>
      <w:r w:rsidRPr="002356CD">
        <w:rPr>
          <w:rFonts w:asciiTheme="minorHAnsi" w:hAnsiTheme="minorHAnsi" w:cstheme="minorBidi"/>
          <w:b/>
          <w:color w:val="auto"/>
          <w:sz w:val="22"/>
          <w:szCs w:val="22"/>
          <w:lang w:val="en-US"/>
        </w:rPr>
        <w:t>This is based on our strong believe that, to be efficient, such a process would require a daily monitoring of changes in the liability structure of the MMF along with</w:t>
      </w:r>
      <w:r>
        <w:rPr>
          <w:rFonts w:asciiTheme="minorHAnsi" w:hAnsiTheme="minorHAnsi" w:cstheme="minorBidi"/>
          <w:b/>
          <w:color w:val="auto"/>
          <w:sz w:val="22"/>
          <w:szCs w:val="22"/>
          <w:lang w:val="en-US"/>
        </w:rPr>
        <w:t xml:space="preserve"> permanent</w:t>
      </w:r>
      <w:r w:rsidRPr="002356CD">
        <w:rPr>
          <w:rFonts w:asciiTheme="minorHAnsi" w:hAnsiTheme="minorHAnsi" w:cstheme="minorBidi"/>
          <w:b/>
          <w:color w:val="auto"/>
          <w:sz w:val="22"/>
          <w:szCs w:val="22"/>
          <w:lang w:val="en-US"/>
        </w:rPr>
        <w:t xml:space="preserve"> intelligence of clients‘ intentions</w:t>
      </w:r>
      <w:r>
        <w:rPr>
          <w:rFonts w:asciiTheme="minorHAnsi" w:hAnsiTheme="minorHAnsi" w:cstheme="minorBidi"/>
          <w:color w:val="auto"/>
          <w:sz w:val="22"/>
          <w:szCs w:val="22"/>
          <w:lang w:val="en-US"/>
        </w:rPr>
        <w:t xml:space="preserve">. </w:t>
      </w:r>
      <w:r w:rsidRPr="004F74A6">
        <w:rPr>
          <w:rFonts w:asciiTheme="minorHAnsi" w:hAnsiTheme="minorHAnsi" w:cstheme="minorBidi"/>
          <w:b/>
          <w:color w:val="auto"/>
          <w:sz w:val="22"/>
          <w:szCs w:val="22"/>
          <w:lang w:val="en-US"/>
        </w:rPr>
        <w:t xml:space="preserve">This goal </w:t>
      </w:r>
      <w:proofErr w:type="gramStart"/>
      <w:r w:rsidRPr="004F74A6">
        <w:rPr>
          <w:rFonts w:asciiTheme="minorHAnsi" w:hAnsiTheme="minorHAnsi" w:cstheme="minorBidi"/>
          <w:b/>
          <w:color w:val="auto"/>
          <w:sz w:val="22"/>
          <w:szCs w:val="22"/>
          <w:lang w:val="en-US"/>
        </w:rPr>
        <w:t>can be achieved</w:t>
      </w:r>
      <w:proofErr w:type="gramEnd"/>
      <w:r w:rsidRPr="004F74A6">
        <w:rPr>
          <w:rFonts w:asciiTheme="minorHAnsi" w:hAnsiTheme="minorHAnsi" w:cstheme="minorBidi"/>
          <w:b/>
          <w:color w:val="auto"/>
          <w:sz w:val="22"/>
          <w:szCs w:val="22"/>
          <w:lang w:val="en-US"/>
        </w:rPr>
        <w:t xml:space="preserve"> only internally, using</w:t>
      </w:r>
      <w:r>
        <w:rPr>
          <w:rFonts w:asciiTheme="minorHAnsi" w:hAnsiTheme="minorHAnsi" w:cstheme="minorBidi"/>
          <w:b/>
          <w:color w:val="auto"/>
          <w:sz w:val="22"/>
          <w:szCs w:val="22"/>
          <w:lang w:val="en-US"/>
        </w:rPr>
        <w:t xml:space="preserve"> assets manager’s</w:t>
      </w:r>
      <w:r w:rsidRPr="004F74A6">
        <w:rPr>
          <w:rFonts w:asciiTheme="minorHAnsi" w:hAnsiTheme="minorHAnsi" w:cstheme="minorBidi"/>
          <w:b/>
          <w:color w:val="auto"/>
          <w:sz w:val="22"/>
          <w:szCs w:val="22"/>
          <w:lang w:val="en-US"/>
        </w:rPr>
        <w:t xml:space="preserve"> proprietary tools</w:t>
      </w:r>
      <w:r>
        <w:rPr>
          <w:rFonts w:asciiTheme="minorHAnsi" w:hAnsiTheme="minorHAnsi" w:cstheme="minorBidi"/>
          <w:color w:val="auto"/>
          <w:sz w:val="22"/>
          <w:szCs w:val="22"/>
          <w:lang w:val="en-US"/>
        </w:rPr>
        <w:t xml:space="preserve">. </w:t>
      </w:r>
    </w:p>
    <w:p w14:paraId="2348651A" w14:textId="77777777" w:rsidR="00077D89" w:rsidRDefault="00077D89" w:rsidP="00077D89">
      <w:pPr>
        <w:pStyle w:val="Paragraphedeliste"/>
        <w:rPr>
          <w:lang w:val="en-US"/>
        </w:rPr>
      </w:pPr>
    </w:p>
    <w:p w14:paraId="2B5B52C4" w14:textId="77777777" w:rsidR="00077D89" w:rsidRDefault="00077D89" w:rsidP="002E0DCD">
      <w:pPr>
        <w:pStyle w:val="Default"/>
        <w:numPr>
          <w:ilvl w:val="0"/>
          <w:numId w:val="40"/>
        </w:numPr>
        <w:rPr>
          <w:rFonts w:asciiTheme="minorHAnsi" w:hAnsiTheme="minorHAnsi" w:cstheme="minorBidi"/>
          <w:color w:val="auto"/>
          <w:sz w:val="22"/>
          <w:szCs w:val="22"/>
          <w:lang w:val="en-US"/>
        </w:rPr>
      </w:pPr>
      <w:r>
        <w:rPr>
          <w:rFonts w:asciiTheme="minorHAnsi" w:hAnsiTheme="minorHAnsi" w:cstheme="minorBidi"/>
          <w:color w:val="auto"/>
          <w:sz w:val="22"/>
          <w:szCs w:val="22"/>
          <w:lang w:val="en-US"/>
        </w:rPr>
        <w:t xml:space="preserve">Moreover, it seems imperative that such a calibration should be </w:t>
      </w:r>
      <w:r w:rsidRPr="00744DCC">
        <w:rPr>
          <w:rFonts w:asciiTheme="minorHAnsi" w:hAnsiTheme="minorHAnsi" w:cstheme="minorBidi"/>
          <w:b/>
          <w:color w:val="auto"/>
          <w:sz w:val="22"/>
          <w:szCs w:val="22"/>
          <w:lang w:val="en-US"/>
        </w:rPr>
        <w:t xml:space="preserve">performed at each fund </w:t>
      </w:r>
      <w:proofErr w:type="gramStart"/>
      <w:r w:rsidRPr="00744DCC">
        <w:rPr>
          <w:rFonts w:asciiTheme="minorHAnsi" w:hAnsiTheme="minorHAnsi" w:cstheme="minorBidi"/>
          <w:b/>
          <w:color w:val="auto"/>
          <w:sz w:val="22"/>
          <w:szCs w:val="22"/>
          <w:lang w:val="en-US"/>
        </w:rPr>
        <w:t>level</w:t>
      </w:r>
      <w:r>
        <w:rPr>
          <w:rFonts w:asciiTheme="minorHAnsi" w:hAnsiTheme="minorHAnsi" w:cstheme="minorBidi"/>
          <w:color w:val="auto"/>
          <w:sz w:val="22"/>
          <w:szCs w:val="22"/>
          <w:lang w:val="en-US"/>
        </w:rPr>
        <w:t>,</w:t>
      </w:r>
      <w:proofErr w:type="gramEnd"/>
      <w:r>
        <w:rPr>
          <w:rFonts w:asciiTheme="minorHAnsi" w:hAnsiTheme="minorHAnsi" w:cstheme="minorBidi"/>
          <w:color w:val="auto"/>
          <w:sz w:val="22"/>
          <w:szCs w:val="22"/>
          <w:lang w:val="en-US"/>
        </w:rPr>
        <w:t xml:space="preserve"> since the </w:t>
      </w:r>
      <w:r w:rsidRPr="00A375CF">
        <w:rPr>
          <w:rFonts w:asciiTheme="minorHAnsi" w:hAnsiTheme="minorHAnsi" w:cstheme="minorBidi"/>
          <w:b/>
          <w:color w:val="auto"/>
          <w:sz w:val="22"/>
          <w:szCs w:val="22"/>
          <w:lang w:val="en-US"/>
        </w:rPr>
        <w:t>liability structure of each MMF is specific</w:t>
      </w:r>
      <w:r>
        <w:rPr>
          <w:rFonts w:asciiTheme="minorHAnsi" w:hAnsiTheme="minorHAnsi" w:cstheme="minorBidi"/>
          <w:color w:val="auto"/>
          <w:sz w:val="22"/>
          <w:szCs w:val="22"/>
          <w:lang w:val="en-US"/>
        </w:rPr>
        <w:t xml:space="preserve"> and so should be the calibration of the corresponding buffer.</w:t>
      </w:r>
    </w:p>
    <w:p w14:paraId="6982E525" w14:textId="77777777" w:rsidR="00077D89" w:rsidRDefault="00077D89" w:rsidP="00077D89">
      <w:pPr>
        <w:pStyle w:val="Paragraphedeliste"/>
        <w:rPr>
          <w:lang w:val="en-US"/>
        </w:rPr>
      </w:pPr>
    </w:p>
    <w:p w14:paraId="5D9DA244" w14:textId="77777777" w:rsidR="00077D89" w:rsidRDefault="00077D89" w:rsidP="002E0DCD">
      <w:pPr>
        <w:pStyle w:val="Default"/>
        <w:numPr>
          <w:ilvl w:val="0"/>
          <w:numId w:val="40"/>
        </w:numPr>
        <w:rPr>
          <w:rFonts w:asciiTheme="minorHAnsi" w:hAnsiTheme="minorHAnsi" w:cstheme="minorBidi"/>
          <w:color w:val="auto"/>
          <w:sz w:val="22"/>
          <w:szCs w:val="22"/>
          <w:lang w:val="en-US"/>
        </w:rPr>
      </w:pPr>
      <w:r w:rsidRPr="00B07885">
        <w:rPr>
          <w:rFonts w:asciiTheme="minorHAnsi" w:hAnsiTheme="minorHAnsi" w:cstheme="minorBidi"/>
          <w:b/>
          <w:color w:val="auto"/>
          <w:sz w:val="22"/>
          <w:szCs w:val="22"/>
          <w:lang w:val="en-US"/>
        </w:rPr>
        <w:t>MMFR’s Article 27 (“Know Your Customer”) already endorses the principle defined in point 112.</w:t>
      </w:r>
      <w:r>
        <w:rPr>
          <w:rFonts w:asciiTheme="minorHAnsi" w:hAnsiTheme="minorHAnsi" w:cstheme="minorBidi"/>
          <w:color w:val="auto"/>
          <w:sz w:val="22"/>
          <w:szCs w:val="22"/>
          <w:lang w:val="en-US"/>
        </w:rPr>
        <w:t xml:space="preserve"> Then,</w:t>
      </w:r>
      <w:r w:rsidRPr="0034011D">
        <w:rPr>
          <w:rFonts w:asciiTheme="minorHAnsi" w:hAnsiTheme="minorHAnsi" w:cstheme="minorBidi"/>
          <w:color w:val="auto"/>
          <w:sz w:val="22"/>
          <w:szCs w:val="22"/>
          <w:lang w:val="en-US"/>
        </w:rPr>
        <w:t xml:space="preserve"> a clarification of this article, through a level </w:t>
      </w:r>
      <w:proofErr w:type="gramStart"/>
      <w:r w:rsidRPr="0034011D">
        <w:rPr>
          <w:rFonts w:asciiTheme="minorHAnsi" w:hAnsiTheme="minorHAnsi" w:cstheme="minorBidi"/>
          <w:color w:val="auto"/>
          <w:sz w:val="22"/>
          <w:szCs w:val="22"/>
          <w:lang w:val="en-US"/>
        </w:rPr>
        <w:t>2</w:t>
      </w:r>
      <w:proofErr w:type="gramEnd"/>
      <w:r w:rsidRPr="0034011D">
        <w:rPr>
          <w:rFonts w:asciiTheme="minorHAnsi" w:hAnsiTheme="minorHAnsi" w:cstheme="minorBidi"/>
          <w:color w:val="auto"/>
          <w:sz w:val="22"/>
          <w:szCs w:val="22"/>
          <w:lang w:val="en-US"/>
        </w:rPr>
        <w:t xml:space="preserve"> or 3 regulation,</w:t>
      </w:r>
      <w:r>
        <w:rPr>
          <w:rFonts w:asciiTheme="minorHAnsi" w:hAnsiTheme="minorHAnsi" w:cstheme="minorBidi"/>
          <w:color w:val="auto"/>
          <w:sz w:val="22"/>
          <w:szCs w:val="22"/>
          <w:lang w:val="en-US"/>
        </w:rPr>
        <w:t xml:space="preserve"> would be welcome. Such clarification should notably specify more details when describing the procedures that asset manager are required to “</w:t>
      </w:r>
      <w:r>
        <w:rPr>
          <w:rFonts w:asciiTheme="minorHAnsi" w:hAnsiTheme="minorHAnsi" w:cstheme="minorBidi"/>
          <w:i/>
          <w:color w:val="auto"/>
          <w:sz w:val="22"/>
          <w:szCs w:val="22"/>
          <w:lang w:val="en-US"/>
        </w:rPr>
        <w:t>establish, implement and apply”</w:t>
      </w:r>
      <w:proofErr w:type="gramStart"/>
      <w:r>
        <w:rPr>
          <w:rFonts w:asciiTheme="minorHAnsi" w:hAnsiTheme="minorHAnsi" w:cstheme="minorBidi"/>
          <w:i/>
          <w:color w:val="auto"/>
          <w:sz w:val="22"/>
          <w:szCs w:val="22"/>
          <w:lang w:val="en-US"/>
        </w:rPr>
        <w:t>..</w:t>
      </w:r>
      <w:proofErr w:type="gramEnd"/>
      <w:r>
        <w:rPr>
          <w:rFonts w:asciiTheme="minorHAnsi" w:hAnsiTheme="minorHAnsi" w:cstheme="minorBidi"/>
          <w:i/>
          <w:color w:val="auto"/>
          <w:sz w:val="22"/>
          <w:szCs w:val="22"/>
          <w:lang w:val="en-US"/>
        </w:rPr>
        <w:t xml:space="preserve"> “</w:t>
      </w:r>
      <w:r w:rsidRPr="0034011D">
        <w:rPr>
          <w:rFonts w:asciiTheme="minorHAnsi" w:hAnsiTheme="minorHAnsi" w:cstheme="minorBidi"/>
          <w:i/>
          <w:color w:val="auto"/>
          <w:sz w:val="22"/>
          <w:szCs w:val="22"/>
          <w:lang w:val="en-US"/>
        </w:rPr>
        <w:t>with a view to anticipating the effect of concurrent redemptions by several investors, taking into account at least the type of investor, the number of units or shares in the fund owned by a single investor and the evolution of inflows and outflow</w:t>
      </w:r>
      <w:r>
        <w:rPr>
          <w:rFonts w:asciiTheme="minorHAnsi" w:hAnsiTheme="minorHAnsi" w:cstheme="minorBidi"/>
          <w:i/>
          <w:color w:val="auto"/>
          <w:sz w:val="22"/>
          <w:szCs w:val="22"/>
          <w:lang w:val="en-US"/>
        </w:rPr>
        <w:t>”</w:t>
      </w:r>
    </w:p>
    <w:p w14:paraId="03670524" w14:textId="77777777" w:rsidR="00077D89" w:rsidRDefault="00077D89" w:rsidP="00077D89">
      <w:pPr>
        <w:pStyle w:val="Paragraphedeliste"/>
        <w:rPr>
          <w:lang w:val="en-US"/>
        </w:rPr>
      </w:pPr>
    </w:p>
    <w:p w14:paraId="6B8150B0" w14:textId="77777777" w:rsidR="007E514A" w:rsidRPr="007E514A" w:rsidRDefault="00077D89" w:rsidP="00077D89">
      <w:pPr>
        <w:pStyle w:val="Default"/>
        <w:numPr>
          <w:ilvl w:val="0"/>
          <w:numId w:val="40"/>
        </w:numPr>
        <w:rPr>
          <w:rFonts w:asciiTheme="minorHAnsi" w:hAnsiTheme="minorHAnsi" w:cstheme="minorBidi"/>
          <w:color w:val="auto"/>
          <w:sz w:val="22"/>
          <w:szCs w:val="22"/>
          <w:lang w:val="en-US"/>
        </w:rPr>
      </w:pPr>
      <w:r>
        <w:rPr>
          <w:rFonts w:asciiTheme="minorHAnsi" w:hAnsiTheme="minorHAnsi" w:cstheme="minorBidi"/>
          <w:color w:val="auto"/>
          <w:sz w:val="22"/>
          <w:szCs w:val="22"/>
          <w:lang w:val="en-US"/>
        </w:rPr>
        <w:t xml:space="preserve">Thus, and similarly to the paragraph of MMFR dedicated to “Internal credit quality assessment procedure”, in Article 19, this approach could be adopted when ruling the procedures that an asset manager should follow in the KYC area. One of the main requirement could obviously be the </w:t>
      </w:r>
      <w:r w:rsidRPr="00B07885">
        <w:rPr>
          <w:rFonts w:asciiTheme="minorHAnsi" w:hAnsiTheme="minorHAnsi" w:cstheme="minorBidi"/>
          <w:b/>
          <w:color w:val="auto"/>
          <w:sz w:val="22"/>
          <w:szCs w:val="22"/>
          <w:lang w:val="en-US"/>
        </w:rPr>
        <w:t>calibration of a liability-driven liquidity buffer.</w:t>
      </w:r>
    </w:p>
    <w:p w14:paraId="1BA7D757" w14:textId="77777777" w:rsidR="007E514A" w:rsidRDefault="007E514A" w:rsidP="007E514A">
      <w:pPr>
        <w:pStyle w:val="Paragraphedeliste"/>
        <w:rPr>
          <w:rFonts w:asciiTheme="minorHAnsi" w:hAnsiTheme="minorHAnsi" w:cstheme="minorBidi"/>
          <w:b/>
          <w:sz w:val="22"/>
          <w:szCs w:val="22"/>
          <w:lang w:val="en-US"/>
        </w:rPr>
      </w:pPr>
    </w:p>
    <w:p w14:paraId="709F0B8A" w14:textId="6BAD1EBE" w:rsidR="00492B3A" w:rsidRPr="007E514A" w:rsidRDefault="00077D89" w:rsidP="00077D89">
      <w:pPr>
        <w:pStyle w:val="Default"/>
        <w:numPr>
          <w:ilvl w:val="0"/>
          <w:numId w:val="40"/>
        </w:numPr>
        <w:rPr>
          <w:rFonts w:asciiTheme="minorHAnsi" w:hAnsiTheme="minorHAnsi" w:cstheme="minorBidi"/>
          <w:color w:val="auto"/>
          <w:sz w:val="22"/>
          <w:szCs w:val="22"/>
          <w:lang w:val="en-US"/>
        </w:rPr>
      </w:pPr>
      <w:r w:rsidRPr="007E514A">
        <w:rPr>
          <w:rFonts w:asciiTheme="minorHAnsi" w:hAnsiTheme="minorHAnsi" w:cstheme="minorBidi"/>
          <w:b/>
          <w:sz w:val="22"/>
          <w:szCs w:val="22"/>
          <w:lang w:val="en-US"/>
        </w:rPr>
        <w:t xml:space="preserve">The eligible assets of this additional liquidity buffer could also be defined in this level </w:t>
      </w:r>
      <w:proofErr w:type="gramStart"/>
      <w:r w:rsidRPr="007E514A">
        <w:rPr>
          <w:rFonts w:asciiTheme="minorHAnsi" w:hAnsiTheme="minorHAnsi" w:cstheme="minorBidi"/>
          <w:b/>
          <w:sz w:val="22"/>
          <w:szCs w:val="22"/>
          <w:lang w:val="en-US"/>
        </w:rPr>
        <w:t>2</w:t>
      </w:r>
      <w:proofErr w:type="gramEnd"/>
      <w:r w:rsidRPr="007E514A">
        <w:rPr>
          <w:rFonts w:asciiTheme="minorHAnsi" w:hAnsiTheme="minorHAnsi" w:cstheme="minorBidi"/>
          <w:b/>
          <w:sz w:val="22"/>
          <w:szCs w:val="22"/>
          <w:lang w:val="en-US"/>
        </w:rPr>
        <w:t xml:space="preserve"> or 3 provision</w:t>
      </w:r>
      <w:r w:rsidRPr="007E514A">
        <w:rPr>
          <w:rFonts w:asciiTheme="minorHAnsi" w:hAnsiTheme="minorHAnsi" w:cstheme="minorBidi"/>
          <w:sz w:val="22"/>
          <w:szCs w:val="22"/>
          <w:lang w:val="en-US"/>
        </w:rPr>
        <w:t xml:space="preserve">. We have identified two types of instruments that </w:t>
      </w:r>
      <w:proofErr w:type="gramStart"/>
      <w:r w:rsidRPr="007E514A">
        <w:rPr>
          <w:rFonts w:asciiTheme="minorHAnsi" w:hAnsiTheme="minorHAnsi" w:cstheme="minorBidi"/>
          <w:sz w:val="22"/>
          <w:szCs w:val="22"/>
          <w:lang w:val="en-US"/>
        </w:rPr>
        <w:t>could be considered</w:t>
      </w:r>
      <w:proofErr w:type="gramEnd"/>
      <w:r w:rsidRPr="007E514A">
        <w:rPr>
          <w:rFonts w:asciiTheme="minorHAnsi" w:hAnsiTheme="minorHAnsi" w:cstheme="minorBidi"/>
          <w:sz w:val="22"/>
          <w:szCs w:val="22"/>
          <w:lang w:val="en-US"/>
        </w:rPr>
        <w:t xml:space="preserve"> as part of this buffer. Firstly, </w:t>
      </w:r>
      <w:r w:rsidRPr="007E514A">
        <w:rPr>
          <w:rFonts w:asciiTheme="minorHAnsi" w:hAnsiTheme="minorHAnsi" w:cstheme="minorBidi"/>
          <w:b/>
          <w:sz w:val="22"/>
          <w:szCs w:val="22"/>
          <w:lang w:val="en-US"/>
        </w:rPr>
        <w:t>commercial papers issued by banks and maturing in less than one month</w:t>
      </w:r>
      <w:r w:rsidRPr="007E514A">
        <w:rPr>
          <w:rFonts w:asciiTheme="minorHAnsi" w:hAnsiTheme="minorHAnsi" w:cstheme="minorBidi"/>
          <w:sz w:val="22"/>
          <w:szCs w:val="22"/>
          <w:lang w:val="en-US"/>
        </w:rPr>
        <w:t xml:space="preserve"> are usually extremely easy to sell, particularly to their issuer. This is </w:t>
      </w:r>
      <w:proofErr w:type="gramStart"/>
      <w:r w:rsidRPr="007E514A">
        <w:rPr>
          <w:rFonts w:asciiTheme="minorHAnsi" w:hAnsiTheme="minorHAnsi" w:cstheme="minorBidi"/>
          <w:sz w:val="22"/>
          <w:szCs w:val="22"/>
          <w:lang w:val="en-US"/>
        </w:rPr>
        <w:t>due to the fact that</w:t>
      </w:r>
      <w:proofErr w:type="gramEnd"/>
      <w:r w:rsidRPr="007E514A">
        <w:rPr>
          <w:rFonts w:asciiTheme="minorHAnsi" w:hAnsiTheme="minorHAnsi" w:cstheme="minorBidi"/>
          <w:sz w:val="22"/>
          <w:szCs w:val="22"/>
          <w:lang w:val="en-US"/>
        </w:rPr>
        <w:t xml:space="preserve"> the LCR (Liquidity Coverage Ratio) “value” of these instruments drops to zero when reaching the 30-day residual maturity, not to mention that their short maturity increases their intrinsic liquidity. Secondly, </w:t>
      </w:r>
      <w:r w:rsidRPr="007E514A">
        <w:rPr>
          <w:rFonts w:asciiTheme="minorHAnsi" w:hAnsiTheme="minorHAnsi" w:cstheme="minorBidi"/>
          <w:b/>
          <w:sz w:val="22"/>
          <w:szCs w:val="22"/>
          <w:lang w:val="en-US"/>
        </w:rPr>
        <w:t>assets referred to in Article 17(7) of MMFR</w:t>
      </w:r>
      <w:r w:rsidRPr="007E514A">
        <w:rPr>
          <w:rFonts w:asciiTheme="minorHAnsi" w:hAnsiTheme="minorHAnsi" w:cstheme="minorBidi"/>
          <w:sz w:val="22"/>
          <w:szCs w:val="22"/>
          <w:lang w:val="en-US"/>
        </w:rPr>
        <w:t xml:space="preserve"> could also be part of the additional buffer, given the nature of their issuers.</w:t>
      </w:r>
    </w:p>
    <w:permEnd w:id="1454397300"/>
    <w:p w14:paraId="208A9476" w14:textId="7580A047" w:rsidR="00492B3A" w:rsidRDefault="00492B3A" w:rsidP="00492B3A">
      <w:r>
        <w:t>&lt;ESMA_QUESTION_</w:t>
      </w:r>
      <w:r w:rsidR="00DC1B3F">
        <w:t>MMFR</w:t>
      </w:r>
      <w:r>
        <w:t>_5&gt;</w:t>
      </w:r>
    </w:p>
    <w:p w14:paraId="7F6E38EC" w14:textId="77777777" w:rsidR="00492B3A" w:rsidRDefault="00492B3A" w:rsidP="00492B3A"/>
    <w:p w14:paraId="428AAF91" w14:textId="59337D31" w:rsidR="00492B3A" w:rsidRDefault="00976448" w:rsidP="00492B3A">
      <w:pPr>
        <w:pStyle w:val="Questionstyle"/>
      </w:pPr>
      <w:r w:rsidRPr="00F43E30">
        <w:rPr>
          <w:color w:val="201F1E"/>
          <w:bdr w:val="none" w:sz="0" w:space="0" w:color="auto" w:frame="1"/>
          <w:lang w:val="en-IE"/>
        </w:rPr>
        <w:t xml:space="preserve">What are your views on the potential need to </w:t>
      </w:r>
      <w:r w:rsidRPr="00F43E30">
        <w:rPr>
          <w:lang w:val="en-IE"/>
        </w:rPr>
        <w:t>eliminate CNAV and LVNAV funds, in light of the recent market developments,</w:t>
      </w:r>
      <w:r w:rsidRPr="00F43E30">
        <w:rPr>
          <w:lang w:val="en-US"/>
        </w:rPr>
        <w:t xml:space="preserve"> and the corresponding potential proposal of amendment of the MMF Regulation?</w:t>
      </w:r>
      <w:r w:rsidRPr="00F43E30">
        <w:rPr>
          <w:color w:val="201F1E"/>
          <w:bdr w:val="none" w:sz="0" w:space="0" w:color="auto" w:frame="1"/>
          <w:lang w:val="en-IE"/>
        </w:rPr>
        <w:t xml:space="preserve"> When you answer this question, please also take into account the grid of criteria listed in paragraphs 76 to 80</w:t>
      </w:r>
      <w:r>
        <w:t>.</w:t>
      </w:r>
    </w:p>
    <w:p w14:paraId="5D7E3500" w14:textId="0C5847FA" w:rsidR="00492B3A" w:rsidRDefault="00492B3A" w:rsidP="00492B3A">
      <w:r>
        <w:t>&lt;ESMA_QUESTION_</w:t>
      </w:r>
      <w:r w:rsidR="00DC1B3F">
        <w:t>MMFR</w:t>
      </w:r>
      <w:r>
        <w:t>_6&gt;</w:t>
      </w:r>
    </w:p>
    <w:p w14:paraId="4B3395A7" w14:textId="77777777" w:rsidR="00077D89" w:rsidRPr="00147896" w:rsidRDefault="00077D89" w:rsidP="00077D89">
      <w:pPr>
        <w:pStyle w:val="Default"/>
        <w:rPr>
          <w:lang w:val="en-US"/>
        </w:rPr>
      </w:pPr>
      <w:permStart w:id="164587406" w:edGrp="everyone"/>
      <w:r w:rsidRPr="00147896">
        <w:rPr>
          <w:rFonts w:asciiTheme="minorHAnsi" w:hAnsiTheme="minorHAnsi" w:cstheme="minorBidi"/>
          <w:color w:val="auto"/>
          <w:sz w:val="22"/>
          <w:szCs w:val="22"/>
          <w:lang w:val="en-US"/>
        </w:rPr>
        <w:t>First, we would like to make a short comment on the point 127.iii where it is noted:  “</w:t>
      </w:r>
      <w:r w:rsidRPr="00147896">
        <w:rPr>
          <w:rFonts w:asciiTheme="minorHAnsi" w:hAnsiTheme="minorHAnsi" w:cstheme="minorBidi"/>
          <w:i/>
          <w:color w:val="auto"/>
          <w:sz w:val="22"/>
          <w:szCs w:val="22"/>
          <w:lang w:val="en-US"/>
        </w:rPr>
        <w:t>In the EU, VNAV funds do not have thresholds for suspensions (except the 15% weekly liquidity requirement) as LVNAV”.</w:t>
      </w:r>
      <w:r w:rsidRPr="00147896">
        <w:rPr>
          <w:rFonts w:asciiTheme="minorHAnsi" w:hAnsiTheme="minorHAnsi" w:cstheme="minorBidi"/>
          <w:color w:val="auto"/>
          <w:sz w:val="22"/>
          <w:szCs w:val="22"/>
          <w:lang w:val="en-US"/>
        </w:rPr>
        <w:t xml:space="preserve"> In our understanding of MMFR, there are not any thresholds for </w:t>
      </w:r>
      <w:r w:rsidRPr="00147896">
        <w:rPr>
          <w:rFonts w:asciiTheme="minorHAnsi" w:hAnsiTheme="minorHAnsi" w:cstheme="minorBidi"/>
          <w:color w:val="auto"/>
          <w:sz w:val="22"/>
          <w:szCs w:val="22"/>
          <w:u w:val="single"/>
          <w:lang w:val="en-US"/>
        </w:rPr>
        <w:t>suspensions</w:t>
      </w:r>
      <w:r w:rsidRPr="00147896">
        <w:rPr>
          <w:rFonts w:asciiTheme="minorHAnsi" w:hAnsiTheme="minorHAnsi" w:cstheme="minorBidi"/>
          <w:color w:val="auto"/>
          <w:sz w:val="22"/>
          <w:szCs w:val="22"/>
          <w:lang w:val="en-US"/>
        </w:rPr>
        <w:t>, but for fees and/or gates in the sole scope of CNAV / LVNAV MMFs. Rules applied to VNAV MMFs do not refer to any specific threshold.</w:t>
      </w:r>
    </w:p>
    <w:p w14:paraId="1500F43F" w14:textId="77777777" w:rsidR="00077D89" w:rsidRPr="00147896" w:rsidRDefault="00077D89" w:rsidP="00077D89">
      <w:pPr>
        <w:pStyle w:val="Default"/>
        <w:rPr>
          <w:rFonts w:asciiTheme="minorHAnsi" w:hAnsiTheme="minorHAnsi" w:cstheme="minorBidi"/>
          <w:color w:val="auto"/>
          <w:sz w:val="22"/>
          <w:szCs w:val="22"/>
          <w:lang w:val="en-US"/>
        </w:rPr>
      </w:pPr>
    </w:p>
    <w:p w14:paraId="60A6E0CA" w14:textId="77777777" w:rsidR="00077D89" w:rsidRPr="00147896" w:rsidRDefault="00077D89" w:rsidP="00077D89">
      <w:pPr>
        <w:pStyle w:val="Default"/>
        <w:rPr>
          <w:rFonts w:asciiTheme="minorHAnsi" w:hAnsiTheme="minorHAnsi" w:cstheme="minorBidi"/>
          <w:color w:val="auto"/>
          <w:sz w:val="22"/>
          <w:szCs w:val="22"/>
          <w:lang w:val="en-US"/>
        </w:rPr>
      </w:pPr>
      <w:r w:rsidRPr="00147896">
        <w:rPr>
          <w:rFonts w:asciiTheme="minorHAnsi" w:hAnsiTheme="minorHAnsi" w:cstheme="minorBidi"/>
          <w:color w:val="auto"/>
          <w:sz w:val="22"/>
          <w:szCs w:val="22"/>
          <w:lang w:val="en-US"/>
        </w:rPr>
        <w:t xml:space="preserve">As mentioned in our introductory comments, Amundi has a strong and long-standing footprint in the MMF market, but rather in the space of VNAV-type MMFs. This format allows </w:t>
      </w:r>
      <w:proofErr w:type="gramStart"/>
      <w:r w:rsidRPr="00147896">
        <w:rPr>
          <w:rFonts w:asciiTheme="minorHAnsi" w:hAnsiTheme="minorHAnsi" w:cstheme="minorBidi"/>
          <w:color w:val="auto"/>
          <w:sz w:val="22"/>
          <w:szCs w:val="22"/>
          <w:lang w:val="en-US"/>
        </w:rPr>
        <w:t>for these</w:t>
      </w:r>
      <w:proofErr w:type="gramEnd"/>
      <w:r w:rsidRPr="00147896">
        <w:rPr>
          <w:rFonts w:asciiTheme="minorHAnsi" w:hAnsiTheme="minorHAnsi" w:cstheme="minorBidi"/>
          <w:color w:val="auto"/>
          <w:sz w:val="22"/>
          <w:szCs w:val="22"/>
          <w:lang w:val="en-US"/>
        </w:rPr>
        <w:t xml:space="preserve"> funds to be identified as </w:t>
      </w:r>
      <w:r w:rsidRPr="00147896">
        <w:rPr>
          <w:rFonts w:asciiTheme="minorHAnsi" w:hAnsiTheme="minorHAnsi" w:cstheme="minorBidi"/>
          <w:b/>
          <w:color w:val="auto"/>
          <w:sz w:val="22"/>
          <w:szCs w:val="22"/>
          <w:lang w:val="en-US"/>
        </w:rPr>
        <w:t>usual investment collective schemes</w:t>
      </w:r>
      <w:r w:rsidRPr="00147896">
        <w:rPr>
          <w:rFonts w:asciiTheme="minorHAnsi" w:hAnsiTheme="minorHAnsi" w:cstheme="minorBidi"/>
          <w:color w:val="auto"/>
          <w:sz w:val="22"/>
          <w:szCs w:val="22"/>
          <w:lang w:val="en-US"/>
        </w:rPr>
        <w:t>, mostly UCITS, located at the very short end of the risk curve by investors.</w:t>
      </w:r>
    </w:p>
    <w:p w14:paraId="7D0A7F4B" w14:textId="77777777" w:rsidR="00077D89" w:rsidRPr="00147896" w:rsidRDefault="00077D89" w:rsidP="00077D89">
      <w:pPr>
        <w:pStyle w:val="Default"/>
        <w:rPr>
          <w:rFonts w:asciiTheme="minorHAnsi" w:hAnsiTheme="minorHAnsi" w:cstheme="minorBidi"/>
          <w:color w:val="auto"/>
          <w:sz w:val="22"/>
          <w:szCs w:val="22"/>
          <w:lang w:val="en-US"/>
        </w:rPr>
      </w:pPr>
    </w:p>
    <w:p w14:paraId="16C25F41" w14:textId="77777777" w:rsidR="00077D89" w:rsidRPr="00147896" w:rsidRDefault="00077D89" w:rsidP="00077D89">
      <w:pPr>
        <w:pStyle w:val="Default"/>
        <w:rPr>
          <w:rFonts w:asciiTheme="minorHAnsi" w:hAnsiTheme="minorHAnsi" w:cstheme="minorBidi"/>
          <w:color w:val="auto"/>
          <w:sz w:val="22"/>
          <w:szCs w:val="22"/>
          <w:lang w:val="en-US"/>
        </w:rPr>
      </w:pPr>
      <w:r w:rsidRPr="00147896">
        <w:rPr>
          <w:rFonts w:asciiTheme="minorHAnsi" w:hAnsiTheme="minorHAnsi" w:cstheme="minorBidi"/>
          <w:color w:val="auto"/>
          <w:sz w:val="22"/>
          <w:szCs w:val="22"/>
          <w:lang w:val="en-US"/>
        </w:rPr>
        <w:t xml:space="preserve">As such, VNAV MMFs naturally comply with two key principles that collective schemes, especially UCITS must follow: </w:t>
      </w:r>
      <w:r w:rsidRPr="00147896">
        <w:rPr>
          <w:rFonts w:asciiTheme="minorHAnsi" w:hAnsiTheme="minorHAnsi" w:cstheme="minorBidi"/>
          <w:b/>
          <w:color w:val="auto"/>
          <w:sz w:val="22"/>
          <w:szCs w:val="22"/>
          <w:lang w:val="en-US"/>
        </w:rPr>
        <w:t>mark to market accounting of their assets and fair treatment of their shareholders</w:t>
      </w:r>
      <w:r w:rsidRPr="00147896">
        <w:rPr>
          <w:rFonts w:asciiTheme="minorHAnsi" w:hAnsiTheme="minorHAnsi" w:cstheme="minorBidi"/>
          <w:color w:val="auto"/>
          <w:sz w:val="22"/>
          <w:szCs w:val="22"/>
          <w:lang w:val="en-US"/>
        </w:rPr>
        <w:t>.</w:t>
      </w:r>
    </w:p>
    <w:p w14:paraId="39CCEF98" w14:textId="77777777" w:rsidR="00077D89" w:rsidRPr="00147896" w:rsidRDefault="00077D89" w:rsidP="00077D89">
      <w:pPr>
        <w:pStyle w:val="Default"/>
        <w:rPr>
          <w:rFonts w:asciiTheme="minorHAnsi" w:hAnsiTheme="minorHAnsi" w:cstheme="minorBidi"/>
          <w:color w:val="auto"/>
          <w:sz w:val="22"/>
          <w:szCs w:val="22"/>
          <w:lang w:val="en-US"/>
        </w:rPr>
      </w:pPr>
    </w:p>
    <w:p w14:paraId="06106FCA" w14:textId="1361FDD1" w:rsidR="00077D89" w:rsidRPr="00147896" w:rsidRDefault="00137D6E" w:rsidP="00077D89">
      <w:pPr>
        <w:pStyle w:val="Default"/>
        <w:rPr>
          <w:rFonts w:asciiTheme="minorHAnsi" w:hAnsiTheme="minorHAnsi" w:cstheme="minorBidi"/>
          <w:color w:val="auto"/>
          <w:sz w:val="22"/>
          <w:szCs w:val="22"/>
          <w:lang w:val="en-US"/>
        </w:rPr>
      </w:pPr>
      <w:r>
        <w:rPr>
          <w:rFonts w:asciiTheme="minorHAnsi" w:hAnsiTheme="minorHAnsi" w:cstheme="minorBidi"/>
          <w:color w:val="auto"/>
          <w:sz w:val="22"/>
          <w:szCs w:val="22"/>
          <w:lang w:val="en-US"/>
        </w:rPr>
        <w:t>Before answering the question</w:t>
      </w:r>
      <w:r w:rsidR="00077D89" w:rsidRPr="00147896">
        <w:rPr>
          <w:rFonts w:asciiTheme="minorHAnsi" w:hAnsiTheme="minorHAnsi" w:cstheme="minorBidi"/>
          <w:color w:val="auto"/>
          <w:sz w:val="22"/>
          <w:szCs w:val="22"/>
          <w:lang w:val="en-US"/>
        </w:rPr>
        <w:t xml:space="preserve"> Q6, we would like to recall some key facts directly or indirectly linked to the matters raised by this question.</w:t>
      </w:r>
    </w:p>
    <w:p w14:paraId="3F9D5C7E" w14:textId="77777777" w:rsidR="00077D89" w:rsidRPr="00147896" w:rsidRDefault="00077D89" w:rsidP="00077D89">
      <w:pPr>
        <w:pStyle w:val="Default"/>
        <w:rPr>
          <w:rFonts w:asciiTheme="minorHAnsi" w:hAnsiTheme="minorHAnsi" w:cstheme="minorBidi"/>
          <w:color w:val="auto"/>
          <w:sz w:val="22"/>
          <w:szCs w:val="22"/>
          <w:lang w:val="en-US"/>
        </w:rPr>
      </w:pPr>
    </w:p>
    <w:p w14:paraId="12F22BE3" w14:textId="77777777" w:rsidR="00077D89" w:rsidRPr="00147896" w:rsidRDefault="00077D89" w:rsidP="002E0DCD">
      <w:pPr>
        <w:pStyle w:val="Default"/>
        <w:numPr>
          <w:ilvl w:val="0"/>
          <w:numId w:val="40"/>
        </w:numPr>
        <w:rPr>
          <w:rFonts w:asciiTheme="minorHAnsi" w:hAnsiTheme="minorHAnsi" w:cstheme="minorBidi"/>
          <w:color w:val="auto"/>
          <w:sz w:val="22"/>
          <w:szCs w:val="22"/>
          <w:lang w:val="en-US"/>
        </w:rPr>
      </w:pPr>
      <w:r w:rsidRPr="00147896">
        <w:rPr>
          <w:rFonts w:asciiTheme="minorHAnsi" w:hAnsiTheme="minorHAnsi" w:cstheme="minorBidi"/>
          <w:color w:val="auto"/>
          <w:sz w:val="22"/>
          <w:szCs w:val="22"/>
          <w:lang w:val="en-US"/>
        </w:rPr>
        <w:t xml:space="preserve">CNAV MMFs (and LVNAV MMFs, created by MMFR) have entered the European market in the late 90’s. They </w:t>
      </w:r>
      <w:proofErr w:type="gramStart"/>
      <w:r w:rsidRPr="00147896">
        <w:rPr>
          <w:rFonts w:asciiTheme="minorHAnsi" w:hAnsiTheme="minorHAnsi" w:cstheme="minorBidi"/>
          <w:color w:val="auto"/>
          <w:sz w:val="22"/>
          <w:szCs w:val="22"/>
          <w:lang w:val="en-US"/>
        </w:rPr>
        <w:t xml:space="preserve">were </w:t>
      </w:r>
      <w:r w:rsidRPr="00147896">
        <w:rPr>
          <w:rFonts w:asciiTheme="minorHAnsi" w:hAnsiTheme="minorHAnsi" w:cstheme="minorBidi"/>
          <w:b/>
          <w:color w:val="auto"/>
          <w:sz w:val="22"/>
          <w:szCs w:val="22"/>
          <w:lang w:val="en-US"/>
        </w:rPr>
        <w:t>imported</w:t>
      </w:r>
      <w:proofErr w:type="gramEnd"/>
      <w:r w:rsidRPr="00147896">
        <w:rPr>
          <w:rFonts w:asciiTheme="minorHAnsi" w:hAnsiTheme="minorHAnsi" w:cstheme="minorBidi"/>
          <w:b/>
          <w:color w:val="auto"/>
          <w:sz w:val="22"/>
          <w:szCs w:val="22"/>
          <w:lang w:val="en-US"/>
        </w:rPr>
        <w:t xml:space="preserve"> from the US market</w:t>
      </w:r>
      <w:r w:rsidRPr="00147896">
        <w:rPr>
          <w:rFonts w:asciiTheme="minorHAnsi" w:hAnsiTheme="minorHAnsi" w:cstheme="minorBidi"/>
          <w:color w:val="auto"/>
          <w:sz w:val="22"/>
          <w:szCs w:val="22"/>
          <w:lang w:val="en-US"/>
        </w:rPr>
        <w:t xml:space="preserve">, where this deposit-like format had long prevailed until the reform of the rule 2a7 of the “Investment Company Act” entered into force in 2016. Since then, </w:t>
      </w:r>
      <w:r w:rsidRPr="00147896">
        <w:rPr>
          <w:rFonts w:asciiTheme="minorHAnsi" w:hAnsiTheme="minorHAnsi" w:cstheme="minorBidi"/>
          <w:b/>
          <w:color w:val="auto"/>
          <w:sz w:val="22"/>
          <w:szCs w:val="22"/>
          <w:lang w:val="en-US"/>
        </w:rPr>
        <w:t xml:space="preserve">only Government-invested or Retail MMFs </w:t>
      </w:r>
      <w:proofErr w:type="gramStart"/>
      <w:r w:rsidRPr="00147896">
        <w:rPr>
          <w:rFonts w:asciiTheme="minorHAnsi" w:hAnsiTheme="minorHAnsi" w:cstheme="minorBidi"/>
          <w:b/>
          <w:color w:val="auto"/>
          <w:sz w:val="22"/>
          <w:szCs w:val="22"/>
          <w:lang w:val="en-US"/>
        </w:rPr>
        <w:t>have been granted</w:t>
      </w:r>
      <w:proofErr w:type="gramEnd"/>
      <w:r w:rsidRPr="00147896">
        <w:rPr>
          <w:rFonts w:asciiTheme="minorHAnsi" w:hAnsiTheme="minorHAnsi" w:cstheme="minorBidi"/>
          <w:b/>
          <w:color w:val="auto"/>
          <w:sz w:val="22"/>
          <w:szCs w:val="22"/>
          <w:lang w:val="en-US"/>
        </w:rPr>
        <w:t xml:space="preserve"> the right to keep on operating as CNAV funds</w:t>
      </w:r>
      <w:r w:rsidRPr="00147896">
        <w:rPr>
          <w:rFonts w:asciiTheme="minorHAnsi" w:hAnsiTheme="minorHAnsi" w:cstheme="minorBidi"/>
          <w:color w:val="auto"/>
          <w:sz w:val="22"/>
          <w:szCs w:val="22"/>
          <w:lang w:val="en-US"/>
        </w:rPr>
        <w:t>.</w:t>
      </w:r>
    </w:p>
    <w:p w14:paraId="6F8A5C55" w14:textId="77777777" w:rsidR="00077D89" w:rsidRPr="00147896" w:rsidRDefault="00077D89" w:rsidP="00077D89">
      <w:pPr>
        <w:pStyle w:val="Default"/>
        <w:ind w:left="720"/>
        <w:rPr>
          <w:rFonts w:asciiTheme="minorHAnsi" w:hAnsiTheme="minorHAnsi" w:cstheme="minorBidi"/>
          <w:color w:val="auto"/>
          <w:sz w:val="22"/>
          <w:szCs w:val="22"/>
          <w:lang w:val="en-US"/>
        </w:rPr>
      </w:pPr>
    </w:p>
    <w:p w14:paraId="2A0523EA" w14:textId="264DB25F" w:rsidR="00077D89" w:rsidRPr="00147896" w:rsidRDefault="00077D89" w:rsidP="002E0DCD">
      <w:pPr>
        <w:pStyle w:val="Default"/>
        <w:numPr>
          <w:ilvl w:val="0"/>
          <w:numId w:val="40"/>
        </w:numPr>
        <w:rPr>
          <w:rFonts w:asciiTheme="minorHAnsi" w:hAnsiTheme="minorHAnsi" w:cstheme="minorBidi"/>
          <w:b/>
          <w:color w:val="auto"/>
          <w:sz w:val="22"/>
          <w:szCs w:val="22"/>
          <w:lang w:val="en-US"/>
        </w:rPr>
      </w:pPr>
      <w:r w:rsidRPr="00147896">
        <w:rPr>
          <w:rFonts w:asciiTheme="minorHAnsi" w:hAnsiTheme="minorHAnsi" w:cstheme="minorBidi"/>
          <w:color w:val="auto"/>
          <w:sz w:val="22"/>
          <w:szCs w:val="22"/>
          <w:lang w:val="en-US"/>
        </w:rPr>
        <w:t xml:space="preserve">Until the entry into force of MMFR, the French regulation </w:t>
      </w:r>
      <w:r w:rsidR="00252341">
        <w:rPr>
          <w:rFonts w:asciiTheme="minorHAnsi" w:hAnsiTheme="minorHAnsi" w:cstheme="minorBidi"/>
          <w:color w:val="auto"/>
          <w:sz w:val="22"/>
          <w:szCs w:val="22"/>
          <w:lang w:val="en-US"/>
        </w:rPr>
        <w:t>used to allow</w:t>
      </w:r>
      <w:r w:rsidRPr="00147896">
        <w:rPr>
          <w:rFonts w:asciiTheme="minorHAnsi" w:hAnsiTheme="minorHAnsi" w:cstheme="minorBidi"/>
          <w:color w:val="auto"/>
          <w:sz w:val="22"/>
          <w:szCs w:val="22"/>
          <w:lang w:val="en-US"/>
        </w:rPr>
        <w:t xml:space="preserve">, under certain conditions, the resort to cost-amortization methodology when valuating money market instruments maturing in </w:t>
      </w:r>
      <w:r w:rsidRPr="0048673D">
        <w:rPr>
          <w:rFonts w:asciiTheme="minorHAnsi" w:hAnsiTheme="minorHAnsi" w:cstheme="minorBidi"/>
          <w:b/>
          <w:color w:val="auto"/>
          <w:sz w:val="22"/>
          <w:szCs w:val="22"/>
          <w:lang w:val="en-US"/>
        </w:rPr>
        <w:t>less than three months</w:t>
      </w:r>
      <w:r w:rsidRPr="00147896">
        <w:rPr>
          <w:rFonts w:asciiTheme="minorHAnsi" w:hAnsiTheme="minorHAnsi" w:cstheme="minorBidi"/>
          <w:color w:val="auto"/>
          <w:sz w:val="22"/>
          <w:szCs w:val="22"/>
          <w:lang w:val="en-US"/>
        </w:rPr>
        <w:t xml:space="preserve">. Since then, French-domiciled MMFs have been required </w:t>
      </w:r>
      <w:r w:rsidRPr="00147896">
        <w:rPr>
          <w:rFonts w:asciiTheme="minorHAnsi" w:hAnsiTheme="minorHAnsi" w:cstheme="minorBidi"/>
          <w:b/>
          <w:color w:val="auto"/>
          <w:sz w:val="22"/>
          <w:szCs w:val="22"/>
          <w:lang w:val="en-US"/>
        </w:rPr>
        <w:t>to abandon this approach and applied a mark-to-market valuation to all their market-tradable holdings.</w:t>
      </w:r>
    </w:p>
    <w:p w14:paraId="223F8560" w14:textId="77777777" w:rsidR="00077D89" w:rsidRPr="00147896" w:rsidRDefault="00077D89" w:rsidP="00077D89">
      <w:pPr>
        <w:pStyle w:val="Default"/>
        <w:rPr>
          <w:rFonts w:asciiTheme="minorHAnsi" w:hAnsiTheme="minorHAnsi" w:cstheme="minorBidi"/>
          <w:color w:val="auto"/>
          <w:sz w:val="22"/>
          <w:szCs w:val="22"/>
          <w:lang w:val="en-US"/>
        </w:rPr>
      </w:pPr>
    </w:p>
    <w:p w14:paraId="79EC84A5" w14:textId="77777777" w:rsidR="00077D89" w:rsidRPr="00147896" w:rsidRDefault="00077D89" w:rsidP="00077D89">
      <w:pPr>
        <w:pStyle w:val="Default"/>
        <w:rPr>
          <w:rFonts w:asciiTheme="minorHAnsi" w:hAnsiTheme="minorHAnsi" w:cstheme="minorBidi"/>
          <w:color w:val="auto"/>
          <w:sz w:val="22"/>
          <w:szCs w:val="22"/>
          <w:lang w:val="en-US"/>
        </w:rPr>
      </w:pPr>
      <w:r w:rsidRPr="00147896">
        <w:rPr>
          <w:rFonts w:asciiTheme="minorHAnsi" w:hAnsiTheme="minorHAnsi" w:cstheme="minorBidi"/>
          <w:color w:val="auto"/>
          <w:sz w:val="22"/>
          <w:szCs w:val="22"/>
          <w:lang w:val="en-US"/>
        </w:rPr>
        <w:t xml:space="preserve">We believe the most relevant angle one should retain to assess the need to eliminate (or not) CNAV and LVNAV funds is the </w:t>
      </w:r>
      <w:r w:rsidRPr="00147896">
        <w:rPr>
          <w:rFonts w:asciiTheme="minorHAnsi" w:hAnsiTheme="minorHAnsi" w:cstheme="minorBidi"/>
          <w:b/>
          <w:color w:val="auto"/>
          <w:sz w:val="22"/>
          <w:szCs w:val="22"/>
          <w:lang w:val="en-US"/>
        </w:rPr>
        <w:t>investor behavior prospective</w:t>
      </w:r>
      <w:r w:rsidRPr="00147896">
        <w:rPr>
          <w:rFonts w:asciiTheme="minorHAnsi" w:hAnsiTheme="minorHAnsi" w:cstheme="minorBidi"/>
          <w:color w:val="auto"/>
          <w:sz w:val="22"/>
          <w:szCs w:val="22"/>
          <w:lang w:val="en-US"/>
        </w:rPr>
        <w:t>, as described in point 76 and, more specifically, in point 128.</w:t>
      </w:r>
    </w:p>
    <w:p w14:paraId="01A9A6CE" w14:textId="77777777" w:rsidR="00077D89" w:rsidRPr="00147896" w:rsidRDefault="00077D89" w:rsidP="00077D89">
      <w:pPr>
        <w:pStyle w:val="Default"/>
        <w:rPr>
          <w:rFonts w:asciiTheme="minorHAnsi" w:hAnsiTheme="minorHAnsi" w:cstheme="minorBidi"/>
          <w:color w:val="auto"/>
          <w:sz w:val="22"/>
          <w:szCs w:val="22"/>
          <w:lang w:val="en-US"/>
        </w:rPr>
      </w:pPr>
      <w:r w:rsidRPr="00147896">
        <w:rPr>
          <w:rFonts w:asciiTheme="minorHAnsi" w:hAnsiTheme="minorHAnsi" w:cstheme="minorBidi"/>
          <w:color w:val="auto"/>
          <w:sz w:val="22"/>
          <w:szCs w:val="22"/>
          <w:lang w:val="en-US"/>
        </w:rPr>
        <w:t xml:space="preserve">Indeed, as long as the portfolio management is concerned, it </w:t>
      </w:r>
      <w:proofErr w:type="gramStart"/>
      <w:r w:rsidRPr="00147896">
        <w:rPr>
          <w:rFonts w:asciiTheme="minorHAnsi" w:hAnsiTheme="minorHAnsi" w:cstheme="minorBidi"/>
          <w:color w:val="auto"/>
          <w:sz w:val="22"/>
          <w:szCs w:val="22"/>
          <w:lang w:val="en-US"/>
        </w:rPr>
        <w:t>can be assumed</w:t>
      </w:r>
      <w:proofErr w:type="gramEnd"/>
      <w:r w:rsidRPr="00147896">
        <w:rPr>
          <w:rFonts w:asciiTheme="minorHAnsi" w:hAnsiTheme="minorHAnsi" w:cstheme="minorBidi"/>
          <w:color w:val="auto"/>
          <w:sz w:val="22"/>
          <w:szCs w:val="22"/>
          <w:lang w:val="en-US"/>
        </w:rPr>
        <w:t xml:space="preserve"> that switching from CNAV / LVNAV to VNAV should not be an issue for most asset-management companies.</w:t>
      </w:r>
    </w:p>
    <w:p w14:paraId="6470DFDC" w14:textId="77777777" w:rsidR="00077D89" w:rsidRPr="00147896" w:rsidRDefault="00077D89" w:rsidP="00077D89">
      <w:pPr>
        <w:pStyle w:val="Paragraphedeliste"/>
        <w:rPr>
          <w:lang w:val="en-US"/>
        </w:rPr>
      </w:pPr>
    </w:p>
    <w:p w14:paraId="5948EF83" w14:textId="77777777" w:rsidR="00077D89" w:rsidRPr="00147896" w:rsidRDefault="00077D89" w:rsidP="00077D89">
      <w:pPr>
        <w:pStyle w:val="Default"/>
        <w:rPr>
          <w:rFonts w:asciiTheme="minorHAnsi" w:hAnsiTheme="minorHAnsi" w:cstheme="minorBidi"/>
          <w:color w:val="auto"/>
          <w:sz w:val="22"/>
          <w:szCs w:val="22"/>
          <w:lang w:val="en-US"/>
        </w:rPr>
      </w:pPr>
      <w:r w:rsidRPr="00147896">
        <w:rPr>
          <w:rFonts w:asciiTheme="minorHAnsi" w:hAnsiTheme="minorHAnsi" w:cstheme="minorBidi"/>
          <w:color w:val="auto"/>
          <w:sz w:val="22"/>
          <w:szCs w:val="22"/>
          <w:lang w:val="en-US"/>
        </w:rPr>
        <w:t xml:space="preserve">The sources of concern that </w:t>
      </w:r>
      <w:proofErr w:type="gramStart"/>
      <w:r w:rsidRPr="00147896">
        <w:rPr>
          <w:rFonts w:asciiTheme="minorHAnsi" w:hAnsiTheme="minorHAnsi" w:cstheme="minorBidi"/>
          <w:color w:val="auto"/>
          <w:sz w:val="22"/>
          <w:szCs w:val="22"/>
          <w:lang w:val="en-US"/>
        </w:rPr>
        <w:t>can be raised</w:t>
      </w:r>
      <w:proofErr w:type="gramEnd"/>
      <w:r w:rsidRPr="00147896">
        <w:rPr>
          <w:rFonts w:asciiTheme="minorHAnsi" w:hAnsiTheme="minorHAnsi" w:cstheme="minorBidi"/>
          <w:color w:val="auto"/>
          <w:sz w:val="22"/>
          <w:szCs w:val="22"/>
          <w:lang w:val="en-US"/>
        </w:rPr>
        <w:t xml:space="preserve"> in regards to a possible ban of CNAV / LVNAV are well known: accountability habits of some investors when managing their cash, risk of brutal shift from CNAV / LVNAV funds to some less-regulated areas of the market. Eventually, this could lead to a less stable funding for the part of the European economy that operates in USD, GBP and, much less importantly, in Euro. </w:t>
      </w:r>
    </w:p>
    <w:p w14:paraId="5E194BCE" w14:textId="77777777" w:rsidR="00077D89" w:rsidRPr="00147896" w:rsidRDefault="00077D89" w:rsidP="00077D89">
      <w:pPr>
        <w:pStyle w:val="Default"/>
        <w:rPr>
          <w:rFonts w:asciiTheme="minorHAnsi" w:hAnsiTheme="minorHAnsi" w:cstheme="minorBidi"/>
          <w:color w:val="auto"/>
          <w:sz w:val="22"/>
          <w:szCs w:val="22"/>
          <w:lang w:val="en-US"/>
        </w:rPr>
      </w:pPr>
    </w:p>
    <w:p w14:paraId="0B7E082A" w14:textId="77777777" w:rsidR="00077D89" w:rsidRPr="00147896" w:rsidRDefault="00077D89" w:rsidP="00077D89">
      <w:pPr>
        <w:pStyle w:val="Default"/>
        <w:rPr>
          <w:rFonts w:asciiTheme="minorHAnsi" w:hAnsiTheme="minorHAnsi" w:cstheme="minorBidi"/>
          <w:color w:val="auto"/>
          <w:sz w:val="22"/>
          <w:szCs w:val="22"/>
          <w:lang w:val="en-US"/>
        </w:rPr>
      </w:pPr>
      <w:r w:rsidRPr="00147896">
        <w:rPr>
          <w:rFonts w:asciiTheme="minorHAnsi" w:hAnsiTheme="minorHAnsi" w:cstheme="minorBidi"/>
          <w:color w:val="auto"/>
          <w:sz w:val="22"/>
          <w:szCs w:val="22"/>
          <w:lang w:val="en-US"/>
        </w:rPr>
        <w:t xml:space="preserve">However, we do not foresee any </w:t>
      </w:r>
      <w:r w:rsidRPr="00147896">
        <w:rPr>
          <w:rFonts w:asciiTheme="minorHAnsi" w:hAnsiTheme="minorHAnsi" w:cstheme="minorBidi"/>
          <w:i/>
          <w:color w:val="auto"/>
          <w:sz w:val="22"/>
          <w:szCs w:val="22"/>
          <w:lang w:val="en-US"/>
        </w:rPr>
        <w:t xml:space="preserve">“cliff-edge </w:t>
      </w:r>
      <w:r w:rsidRPr="00147896">
        <w:rPr>
          <w:rFonts w:asciiTheme="minorHAnsi" w:hAnsiTheme="minorHAnsi" w:cstheme="minorBidi"/>
          <w:color w:val="auto"/>
          <w:sz w:val="22"/>
          <w:szCs w:val="22"/>
          <w:lang w:val="en-US"/>
        </w:rPr>
        <w:t>(risk)</w:t>
      </w:r>
      <w:r w:rsidRPr="00147896">
        <w:rPr>
          <w:rFonts w:asciiTheme="minorHAnsi" w:hAnsiTheme="minorHAnsi" w:cstheme="minorBidi"/>
          <w:i/>
          <w:color w:val="auto"/>
          <w:sz w:val="22"/>
          <w:szCs w:val="22"/>
          <w:lang w:val="en-US"/>
        </w:rPr>
        <w:t xml:space="preserve"> from rating downgrades of MMFs”, </w:t>
      </w:r>
      <w:r w:rsidRPr="00147896">
        <w:rPr>
          <w:rFonts w:asciiTheme="minorHAnsi" w:hAnsiTheme="minorHAnsi" w:cstheme="minorBidi"/>
          <w:color w:val="auto"/>
          <w:sz w:val="22"/>
          <w:szCs w:val="22"/>
          <w:lang w:val="en-US"/>
        </w:rPr>
        <w:t xml:space="preserve">as read in point 128.i. To illustrate this, we can recall that a growing number of VNAV funds, mostly denominated in Euro, have been granted </w:t>
      </w:r>
      <w:proofErr w:type="gramStart"/>
      <w:r w:rsidRPr="00147896">
        <w:rPr>
          <w:rFonts w:asciiTheme="minorHAnsi" w:hAnsiTheme="minorHAnsi" w:cstheme="minorBidi"/>
          <w:color w:val="auto"/>
          <w:sz w:val="22"/>
          <w:szCs w:val="22"/>
          <w:lang w:val="en-US"/>
        </w:rPr>
        <w:t>a</w:t>
      </w:r>
      <w:proofErr w:type="gramEnd"/>
      <w:r w:rsidRPr="00147896">
        <w:rPr>
          <w:rFonts w:asciiTheme="minorHAnsi" w:hAnsiTheme="minorHAnsi" w:cstheme="minorBidi"/>
          <w:color w:val="auto"/>
          <w:sz w:val="22"/>
          <w:szCs w:val="22"/>
          <w:lang w:val="en-US"/>
        </w:rPr>
        <w:t xml:space="preserve"> AAA rating by CRAs. This results, for a great part, from the fact that euro short-term rates have been in negative territory for more than 5 years, leading some asset-management companies to convert some of their LVNAV MMFs into the VNAV format. </w:t>
      </w:r>
    </w:p>
    <w:p w14:paraId="7D0BDD10" w14:textId="77777777" w:rsidR="00077D89" w:rsidRPr="00147896" w:rsidRDefault="00077D89" w:rsidP="00077D89">
      <w:pPr>
        <w:pStyle w:val="Default"/>
        <w:rPr>
          <w:rFonts w:asciiTheme="minorHAnsi" w:hAnsiTheme="minorHAnsi" w:cstheme="minorBidi"/>
          <w:color w:val="auto"/>
          <w:sz w:val="22"/>
          <w:szCs w:val="22"/>
          <w:lang w:val="en-US"/>
        </w:rPr>
      </w:pPr>
    </w:p>
    <w:p w14:paraId="4DC42D59" w14:textId="4B2CBCA7" w:rsidR="00492B3A" w:rsidRDefault="00077D89" w:rsidP="00077D89">
      <w:r w:rsidRPr="00147896">
        <w:rPr>
          <w:rFonts w:asciiTheme="minorHAnsi" w:hAnsiTheme="minorHAnsi" w:cstheme="minorBidi"/>
          <w:sz w:val="22"/>
          <w:szCs w:val="22"/>
          <w:lang w:val="en-US"/>
        </w:rPr>
        <w:t xml:space="preserve">We then recommend </w:t>
      </w:r>
      <w:proofErr w:type="gramStart"/>
      <w:r w:rsidRPr="00147896">
        <w:rPr>
          <w:rFonts w:asciiTheme="minorHAnsi" w:hAnsiTheme="minorHAnsi" w:cstheme="minorBidi"/>
          <w:sz w:val="22"/>
          <w:szCs w:val="22"/>
          <w:lang w:val="en-US"/>
        </w:rPr>
        <w:t>to be</w:t>
      </w:r>
      <w:proofErr w:type="gramEnd"/>
      <w:r w:rsidRPr="00147896">
        <w:rPr>
          <w:rFonts w:asciiTheme="minorHAnsi" w:hAnsiTheme="minorHAnsi" w:cstheme="minorBidi"/>
          <w:sz w:val="22"/>
          <w:szCs w:val="22"/>
          <w:lang w:val="en-US"/>
        </w:rPr>
        <w:t xml:space="preserve"> very cautious before any decision is made in this respect and believe that an impact assessment, including a survey among CNAV/LVNAV customers, could help to properly inform the decision.</w:t>
      </w:r>
    </w:p>
    <w:permEnd w:id="164587406"/>
    <w:p w14:paraId="7A0C7BD5" w14:textId="465949FF" w:rsidR="00492B3A" w:rsidRDefault="00492B3A" w:rsidP="00492B3A">
      <w:r>
        <w:t>&lt;ESMA_QUESTION_</w:t>
      </w:r>
      <w:r w:rsidR="00DC1B3F">
        <w:t>MMFR</w:t>
      </w:r>
      <w:r>
        <w:t>_6&gt;</w:t>
      </w:r>
    </w:p>
    <w:p w14:paraId="4BF785AD" w14:textId="77777777" w:rsidR="00492B3A" w:rsidRDefault="00492B3A" w:rsidP="00492B3A"/>
    <w:p w14:paraId="71D01BE1" w14:textId="44347052" w:rsidR="00492B3A" w:rsidRDefault="00976448" w:rsidP="00492B3A">
      <w:pPr>
        <w:pStyle w:val="Questionstyle"/>
      </w:pPr>
      <w:r w:rsidRPr="00F43E30">
        <w:rPr>
          <w:bdr w:val="none" w:sz="0" w:space="0" w:color="auto" w:frame="1"/>
          <w:lang w:val="en-IE"/>
        </w:rPr>
        <w:t>What are your views on the extent to which Article 35 of the MMF Regulation should be i) clarified ii) amended? When you answer this question, please also take into account the grid of criteria listed in paragraphs 76 to 80</w:t>
      </w:r>
      <w:r>
        <w:t>.</w:t>
      </w:r>
    </w:p>
    <w:p w14:paraId="57CA855E" w14:textId="2DCC2959" w:rsidR="00492B3A" w:rsidRDefault="00492B3A" w:rsidP="00492B3A">
      <w:r>
        <w:t>&lt;ESMA_QUESTION_</w:t>
      </w:r>
      <w:r w:rsidR="00DC1B3F">
        <w:t>MMFR</w:t>
      </w:r>
      <w:r>
        <w:t>_7&gt;</w:t>
      </w:r>
    </w:p>
    <w:p w14:paraId="5A6D7B2C" w14:textId="77777777" w:rsidR="00077D89" w:rsidRPr="00147896" w:rsidRDefault="00077D89" w:rsidP="00077D89">
      <w:pPr>
        <w:pStyle w:val="Default"/>
        <w:rPr>
          <w:rFonts w:asciiTheme="minorHAnsi" w:hAnsiTheme="minorHAnsi" w:cstheme="minorBidi"/>
          <w:color w:val="auto"/>
          <w:sz w:val="22"/>
          <w:szCs w:val="22"/>
          <w:lang w:val="en-US"/>
        </w:rPr>
      </w:pPr>
      <w:permStart w:id="1191210126" w:edGrp="everyone"/>
      <w:r w:rsidRPr="00147896">
        <w:rPr>
          <w:rFonts w:asciiTheme="minorHAnsi" w:hAnsiTheme="minorHAnsi" w:cstheme="minorBidi"/>
          <w:color w:val="auto"/>
          <w:sz w:val="22"/>
          <w:szCs w:val="22"/>
          <w:lang w:val="en-US"/>
        </w:rPr>
        <w:t xml:space="preserve">The point 129 of the consultation document echoes many reviews or studies already published since the March / April 2020 crisis, which, notably, describe the state of play regarding external support of MMFs across the world. </w:t>
      </w:r>
    </w:p>
    <w:p w14:paraId="351B3847" w14:textId="77777777" w:rsidR="00077D89" w:rsidRPr="00147896" w:rsidRDefault="00077D89" w:rsidP="00077D89">
      <w:pPr>
        <w:pStyle w:val="Default"/>
        <w:rPr>
          <w:rFonts w:asciiTheme="minorHAnsi" w:hAnsiTheme="minorHAnsi" w:cstheme="minorBidi"/>
          <w:color w:val="auto"/>
          <w:sz w:val="22"/>
          <w:szCs w:val="22"/>
          <w:lang w:val="en-US"/>
        </w:rPr>
      </w:pPr>
    </w:p>
    <w:p w14:paraId="704AC7D8" w14:textId="59D8A502" w:rsidR="00077D89" w:rsidRPr="00147896" w:rsidRDefault="00077D89" w:rsidP="00077D89">
      <w:pPr>
        <w:pStyle w:val="Default"/>
        <w:rPr>
          <w:rFonts w:asciiTheme="minorHAnsi" w:hAnsiTheme="minorHAnsi" w:cstheme="minorBidi"/>
          <w:color w:val="auto"/>
          <w:sz w:val="22"/>
          <w:szCs w:val="22"/>
          <w:lang w:val="en-US"/>
        </w:rPr>
      </w:pPr>
      <w:r w:rsidRPr="00147896">
        <w:rPr>
          <w:rFonts w:asciiTheme="minorHAnsi" w:hAnsiTheme="minorHAnsi" w:cstheme="minorBidi"/>
          <w:color w:val="auto"/>
          <w:sz w:val="22"/>
          <w:szCs w:val="22"/>
          <w:lang w:val="en-US"/>
        </w:rPr>
        <w:t>As an example, the “Thematic Review on consistency in implementation of Money Market Funds reforms”</w:t>
      </w:r>
      <w:r w:rsidR="00027E57">
        <w:rPr>
          <w:rStyle w:val="Appelnotedebasdep"/>
          <w:rFonts w:asciiTheme="minorHAnsi" w:hAnsiTheme="minorHAnsi" w:cstheme="minorBidi"/>
          <w:color w:val="auto"/>
          <w:sz w:val="22"/>
          <w:szCs w:val="22"/>
          <w:lang w:val="en-US"/>
        </w:rPr>
        <w:footnoteReference w:id="3"/>
      </w:r>
      <w:r w:rsidRPr="00147896">
        <w:rPr>
          <w:rFonts w:asciiTheme="minorHAnsi" w:hAnsiTheme="minorHAnsi" w:cstheme="minorBidi"/>
          <w:color w:val="auto"/>
          <w:sz w:val="22"/>
          <w:szCs w:val="22"/>
          <w:lang w:val="en-US"/>
        </w:rPr>
        <w:t xml:space="preserve">, published by IOSCO in November 2020, shows the unlevel playing field which prevails in the way external and/or sponsor support is dealt with in key economic areas such as US and EU. </w:t>
      </w:r>
    </w:p>
    <w:p w14:paraId="7FE19151" w14:textId="77777777" w:rsidR="00077D89" w:rsidRPr="00147896" w:rsidRDefault="00077D89" w:rsidP="00077D89">
      <w:pPr>
        <w:pStyle w:val="Default"/>
        <w:rPr>
          <w:rFonts w:asciiTheme="minorHAnsi" w:hAnsiTheme="minorHAnsi" w:cstheme="minorBidi"/>
          <w:color w:val="auto"/>
          <w:sz w:val="22"/>
          <w:szCs w:val="22"/>
          <w:lang w:val="en-US"/>
        </w:rPr>
      </w:pPr>
    </w:p>
    <w:p w14:paraId="0B90C757" w14:textId="62BDC4EC" w:rsidR="00077D89" w:rsidRPr="00147896" w:rsidRDefault="00077D89" w:rsidP="00077D89">
      <w:pPr>
        <w:pStyle w:val="Default"/>
        <w:rPr>
          <w:rFonts w:asciiTheme="minorHAnsi" w:hAnsiTheme="minorHAnsi" w:cstheme="minorBidi"/>
          <w:color w:val="auto"/>
          <w:sz w:val="22"/>
          <w:szCs w:val="22"/>
          <w:lang w:val="en-US"/>
        </w:rPr>
      </w:pPr>
      <w:r w:rsidRPr="00147896">
        <w:rPr>
          <w:rFonts w:asciiTheme="minorHAnsi" w:hAnsiTheme="minorHAnsi" w:cstheme="minorBidi"/>
          <w:color w:val="auto"/>
          <w:sz w:val="22"/>
          <w:szCs w:val="22"/>
          <w:lang w:val="en-US"/>
        </w:rPr>
        <w:t xml:space="preserve">Indeed, while Article 35 of MMFR formally bans any support directly or indirectly provided by an external entity to a money market fund, the </w:t>
      </w:r>
      <w:r w:rsidR="00A922CE">
        <w:rPr>
          <w:rFonts w:asciiTheme="minorHAnsi" w:hAnsiTheme="minorHAnsi" w:cstheme="minorBidi"/>
          <w:color w:val="auto"/>
          <w:sz w:val="22"/>
          <w:szCs w:val="22"/>
          <w:lang w:val="en-US"/>
        </w:rPr>
        <w:t xml:space="preserve">US </w:t>
      </w:r>
      <w:r w:rsidRPr="00147896">
        <w:rPr>
          <w:rFonts w:asciiTheme="minorHAnsi" w:hAnsiTheme="minorHAnsi" w:cstheme="minorBidi"/>
          <w:color w:val="auto"/>
          <w:sz w:val="22"/>
          <w:szCs w:val="22"/>
          <w:lang w:val="en-US"/>
        </w:rPr>
        <w:t>SEC allows it under certain conditions, listed in the rule 2a-7(h</w:t>
      </w:r>
      <w:proofErr w:type="gramStart"/>
      <w:r w:rsidRPr="00147896">
        <w:rPr>
          <w:rFonts w:asciiTheme="minorHAnsi" w:hAnsiTheme="minorHAnsi" w:cstheme="minorBidi"/>
          <w:color w:val="auto"/>
          <w:sz w:val="22"/>
          <w:szCs w:val="22"/>
          <w:lang w:val="en-US"/>
        </w:rPr>
        <w:t>)(</w:t>
      </w:r>
      <w:proofErr w:type="gramEnd"/>
      <w:r w:rsidRPr="00147896">
        <w:rPr>
          <w:rFonts w:asciiTheme="minorHAnsi" w:hAnsiTheme="minorHAnsi" w:cstheme="minorBidi"/>
          <w:color w:val="auto"/>
          <w:sz w:val="22"/>
          <w:szCs w:val="22"/>
          <w:lang w:val="en-US"/>
        </w:rPr>
        <w:t>10).</w:t>
      </w:r>
    </w:p>
    <w:p w14:paraId="4C3C1245" w14:textId="77777777" w:rsidR="00077D89" w:rsidRPr="00147896" w:rsidRDefault="00077D89" w:rsidP="00077D89">
      <w:pPr>
        <w:pStyle w:val="Default"/>
        <w:rPr>
          <w:rFonts w:asciiTheme="minorHAnsi" w:hAnsiTheme="minorHAnsi" w:cstheme="minorBidi"/>
          <w:color w:val="auto"/>
          <w:sz w:val="22"/>
          <w:szCs w:val="22"/>
          <w:lang w:val="en-US"/>
        </w:rPr>
      </w:pPr>
    </w:p>
    <w:p w14:paraId="3795CDB7" w14:textId="77777777" w:rsidR="00077D89" w:rsidRPr="00147896" w:rsidRDefault="00077D89" w:rsidP="00077D89">
      <w:pPr>
        <w:pStyle w:val="Default"/>
        <w:rPr>
          <w:rFonts w:asciiTheme="minorHAnsi" w:hAnsiTheme="minorHAnsi" w:cstheme="minorBidi"/>
          <w:color w:val="auto"/>
          <w:sz w:val="22"/>
          <w:szCs w:val="22"/>
          <w:lang w:val="en-US"/>
        </w:rPr>
      </w:pPr>
      <w:r w:rsidRPr="00147896">
        <w:rPr>
          <w:rFonts w:asciiTheme="minorHAnsi" w:hAnsiTheme="minorHAnsi" w:cstheme="minorBidi"/>
          <w:color w:val="auto"/>
          <w:sz w:val="22"/>
          <w:szCs w:val="22"/>
          <w:lang w:val="en-US"/>
        </w:rPr>
        <w:t xml:space="preserve">In addition, the “Request for Comment on Potential Money Market Reform Measures in President’s Working Group Report”, published in January 2021 by the SEC, refers to “two MMF sponsors”, which “intervened to provide support to their funds” (section I), in March 2020. It </w:t>
      </w:r>
      <w:proofErr w:type="gramStart"/>
      <w:r w:rsidRPr="00147896">
        <w:rPr>
          <w:rFonts w:asciiTheme="minorHAnsi" w:hAnsiTheme="minorHAnsi" w:cstheme="minorBidi"/>
          <w:color w:val="auto"/>
          <w:sz w:val="22"/>
          <w:szCs w:val="22"/>
          <w:lang w:val="en-US"/>
        </w:rPr>
        <w:t>is also said</w:t>
      </w:r>
      <w:proofErr w:type="gramEnd"/>
      <w:r w:rsidRPr="00147896">
        <w:rPr>
          <w:rFonts w:asciiTheme="minorHAnsi" w:hAnsiTheme="minorHAnsi" w:cstheme="minorBidi"/>
          <w:color w:val="auto"/>
          <w:sz w:val="22"/>
          <w:szCs w:val="22"/>
          <w:lang w:val="en-US"/>
        </w:rPr>
        <w:t>: “It did not appear that these</w:t>
      </w:r>
      <w:r w:rsidRPr="00147896">
        <w:rPr>
          <w:sz w:val="23"/>
          <w:szCs w:val="23"/>
          <w:lang w:val="en-US"/>
        </w:rPr>
        <w:t xml:space="preserve"> </w:t>
      </w:r>
      <w:r w:rsidRPr="00147896">
        <w:rPr>
          <w:rFonts w:asciiTheme="minorHAnsi" w:hAnsiTheme="minorHAnsi" w:cstheme="minorBidi"/>
          <w:color w:val="auto"/>
          <w:sz w:val="22"/>
          <w:szCs w:val="22"/>
          <w:lang w:val="en-US"/>
        </w:rPr>
        <w:t>funds had idiosyncratic holdings or were otherwise distinct from similar funds”.</w:t>
      </w:r>
    </w:p>
    <w:p w14:paraId="0901A77F" w14:textId="77777777" w:rsidR="00077D89" w:rsidRPr="00147896" w:rsidRDefault="00077D89" w:rsidP="00077D89">
      <w:pPr>
        <w:pStyle w:val="Default"/>
        <w:rPr>
          <w:rFonts w:asciiTheme="minorHAnsi" w:hAnsiTheme="minorHAnsi" w:cstheme="minorBidi"/>
          <w:color w:val="auto"/>
          <w:sz w:val="22"/>
          <w:szCs w:val="22"/>
          <w:lang w:val="en-US"/>
        </w:rPr>
      </w:pPr>
    </w:p>
    <w:p w14:paraId="1F836797" w14:textId="77777777" w:rsidR="00077D89" w:rsidRPr="00147896" w:rsidRDefault="00077D89" w:rsidP="00077D89">
      <w:pPr>
        <w:pStyle w:val="Default"/>
        <w:rPr>
          <w:rFonts w:asciiTheme="minorHAnsi" w:hAnsiTheme="minorHAnsi" w:cstheme="minorBidi"/>
          <w:color w:val="auto"/>
          <w:sz w:val="22"/>
          <w:szCs w:val="22"/>
          <w:lang w:val="en-US"/>
        </w:rPr>
      </w:pPr>
      <w:r w:rsidRPr="00147896">
        <w:rPr>
          <w:rFonts w:asciiTheme="minorHAnsi" w:hAnsiTheme="minorHAnsi" w:cstheme="minorBidi"/>
          <w:color w:val="auto"/>
          <w:sz w:val="22"/>
          <w:szCs w:val="22"/>
          <w:lang w:val="en-US"/>
        </w:rPr>
        <w:t xml:space="preserve">In our view, the article 35 of MMFR appears to be clear enough, as it does not embed any ambiguity regarding the objective it pursues. In addition, the different events that </w:t>
      </w:r>
      <w:proofErr w:type="gramStart"/>
      <w:r w:rsidRPr="00147896">
        <w:rPr>
          <w:rFonts w:asciiTheme="minorHAnsi" w:hAnsiTheme="minorHAnsi" w:cstheme="minorBidi"/>
          <w:color w:val="auto"/>
          <w:sz w:val="22"/>
          <w:szCs w:val="22"/>
          <w:lang w:val="en-US"/>
        </w:rPr>
        <w:t>are considered</w:t>
      </w:r>
      <w:proofErr w:type="gramEnd"/>
      <w:r w:rsidRPr="00147896">
        <w:rPr>
          <w:rFonts w:asciiTheme="minorHAnsi" w:hAnsiTheme="minorHAnsi" w:cstheme="minorBidi"/>
          <w:color w:val="auto"/>
          <w:sz w:val="22"/>
          <w:szCs w:val="22"/>
          <w:lang w:val="en-US"/>
        </w:rPr>
        <w:t xml:space="preserve"> as an external support are fairly listed and described.</w:t>
      </w:r>
    </w:p>
    <w:p w14:paraId="0F29C507" w14:textId="77777777" w:rsidR="00077D89" w:rsidRPr="00147896" w:rsidRDefault="00077D89" w:rsidP="00077D89">
      <w:pPr>
        <w:pStyle w:val="Default"/>
        <w:rPr>
          <w:rFonts w:asciiTheme="minorHAnsi" w:hAnsiTheme="minorHAnsi" w:cstheme="minorBidi"/>
          <w:color w:val="auto"/>
          <w:sz w:val="22"/>
          <w:szCs w:val="22"/>
          <w:lang w:val="en-US"/>
        </w:rPr>
      </w:pPr>
    </w:p>
    <w:p w14:paraId="0F6B4017" w14:textId="507867B9" w:rsidR="00492B3A" w:rsidRDefault="00077D89" w:rsidP="00077D89">
      <w:r w:rsidRPr="00147896">
        <w:rPr>
          <w:rFonts w:asciiTheme="minorHAnsi" w:hAnsiTheme="minorHAnsi" w:cstheme="minorBidi"/>
          <w:sz w:val="22"/>
          <w:szCs w:val="22"/>
          <w:lang w:val="en-US"/>
        </w:rPr>
        <w:t xml:space="preserve">We thus believe that Article 35 </w:t>
      </w:r>
      <w:proofErr w:type="gramStart"/>
      <w:r w:rsidRPr="00147896">
        <w:rPr>
          <w:rFonts w:asciiTheme="minorHAnsi" w:hAnsiTheme="minorHAnsi" w:cstheme="minorBidi"/>
          <w:sz w:val="22"/>
          <w:szCs w:val="22"/>
          <w:lang w:val="en-US"/>
        </w:rPr>
        <w:t>should not be clarified nor amended</w:t>
      </w:r>
      <w:proofErr w:type="gramEnd"/>
      <w:r w:rsidRPr="00147896">
        <w:rPr>
          <w:rFonts w:asciiTheme="minorHAnsi" w:hAnsiTheme="minorHAnsi" w:cstheme="minorBidi"/>
          <w:sz w:val="22"/>
          <w:szCs w:val="22"/>
          <w:lang w:val="en-US"/>
        </w:rPr>
        <w:t>.</w:t>
      </w:r>
    </w:p>
    <w:permEnd w:id="1191210126"/>
    <w:p w14:paraId="20867D23" w14:textId="1CC6B07A" w:rsidR="00492B3A" w:rsidRDefault="00492B3A" w:rsidP="00492B3A">
      <w:r>
        <w:t>&lt;ESMA_QUESTION_</w:t>
      </w:r>
      <w:r w:rsidR="00DC1B3F">
        <w:t>MMFR</w:t>
      </w:r>
      <w:r>
        <w:t>_7&gt;</w:t>
      </w:r>
    </w:p>
    <w:p w14:paraId="627B65D4" w14:textId="77777777" w:rsidR="00492B3A" w:rsidRDefault="00492B3A" w:rsidP="00492B3A"/>
    <w:p w14:paraId="32FE661C" w14:textId="4EE3FDC1" w:rsidR="00492B3A" w:rsidRDefault="00976448" w:rsidP="00492B3A">
      <w:pPr>
        <w:pStyle w:val="Questionstyle"/>
      </w:pPr>
      <w:r w:rsidRPr="00F43E30">
        <w:rPr>
          <w:color w:val="201F1E"/>
          <w:bdr w:val="none" w:sz="0" w:space="0" w:color="auto" w:frame="1"/>
          <w:lang w:val="en-IE"/>
        </w:rPr>
        <w:t xml:space="preserve">i) Do you agree with the above assessment of the potential need to </w:t>
      </w:r>
      <w:r w:rsidRPr="00F43E30">
        <w:rPr>
          <w:lang w:val="en-IE"/>
        </w:rPr>
        <w:t>assess the role of MMF ratings in light of the difficulties faced by MMFs during the March crisis, and the potential need to introduce regulatory requirements for MMF ratings</w:t>
      </w:r>
      <w:r w:rsidRPr="00F43E30">
        <w:rPr>
          <w:color w:val="201F1E"/>
          <w:bdr w:val="none" w:sz="0" w:space="0" w:color="auto" w:frame="1"/>
          <w:lang w:val="en-IE"/>
        </w:rPr>
        <w:t>? ii) In your view, based on your experience, what are the benefits of MMF rating from investors’ perspective, having in mind that rules applying to MMFs are already very stringent? What would be the likely consequence on investors from the downgrade of one or several MMFs? When you answer this question, please also take into account the grid of criteria listed in paragraphs 76 to 80</w:t>
      </w:r>
      <w:r>
        <w:t>.</w:t>
      </w:r>
    </w:p>
    <w:p w14:paraId="64A00FD2" w14:textId="2B58EC56" w:rsidR="00492B3A" w:rsidRDefault="00492B3A" w:rsidP="00492B3A">
      <w:r>
        <w:t>&lt;ESMA_QUESTION_</w:t>
      </w:r>
      <w:r w:rsidR="00DC1B3F">
        <w:t>MMFR</w:t>
      </w:r>
      <w:r>
        <w:t>_8&gt;</w:t>
      </w:r>
    </w:p>
    <w:p w14:paraId="78455993" w14:textId="77777777" w:rsidR="00077D89" w:rsidRPr="003F4263" w:rsidRDefault="00077D89" w:rsidP="00077D89">
      <w:pPr>
        <w:rPr>
          <w:rFonts w:asciiTheme="minorHAnsi" w:hAnsiTheme="minorHAnsi" w:cstheme="minorBidi"/>
          <w:sz w:val="22"/>
          <w:szCs w:val="22"/>
          <w:lang w:val="en-US" w:eastAsia="en-GB"/>
        </w:rPr>
      </w:pPr>
      <w:permStart w:id="21103909" w:edGrp="everyone"/>
      <w:r w:rsidRPr="003F4263">
        <w:rPr>
          <w:rFonts w:asciiTheme="minorHAnsi" w:hAnsiTheme="minorHAnsi" w:cstheme="minorBidi"/>
          <w:sz w:val="22"/>
          <w:szCs w:val="22"/>
          <w:lang w:val="en-US" w:eastAsia="en-GB"/>
        </w:rPr>
        <w:t xml:space="preserve">The rules applied to MMFs are already very stringent and the necessity of requiring an external rating is less acute nowadays than it was a few years ago. However, some clients see the fund rating as a means of gaining an independent third party input in the management of the fund and continue to require it as part of their risk policy. Others prefer the alternative approach of requiring a detailed knowledge of the fund’s portfolio. </w:t>
      </w:r>
    </w:p>
    <w:p w14:paraId="178A5E55" w14:textId="77777777" w:rsidR="00077D89" w:rsidRPr="003F4263" w:rsidRDefault="00077D89" w:rsidP="00077D89">
      <w:pPr>
        <w:rPr>
          <w:rFonts w:asciiTheme="minorHAnsi" w:hAnsiTheme="minorHAnsi" w:cstheme="minorBidi"/>
          <w:sz w:val="22"/>
          <w:szCs w:val="22"/>
          <w:lang w:val="en-US" w:eastAsia="en-GB"/>
        </w:rPr>
      </w:pPr>
      <w:r w:rsidRPr="003F4263">
        <w:rPr>
          <w:rFonts w:asciiTheme="minorHAnsi" w:hAnsiTheme="minorHAnsi" w:cstheme="minorBidi"/>
          <w:sz w:val="22"/>
          <w:szCs w:val="22"/>
          <w:lang w:val="en-US" w:eastAsia="en-GB"/>
        </w:rPr>
        <w:t xml:space="preserve">We believe that fund’s ratings had little impact on the course of events seen in March/April 2020. The desperate need for liquidity by investors combined with the shrinking liquidity in the secondary market are the main factors explaining the unfortunate sequence experienced during this unprecedented crisis. </w:t>
      </w:r>
    </w:p>
    <w:p w14:paraId="6B8BC859" w14:textId="32519528" w:rsidR="00492B3A" w:rsidRPr="003F4263" w:rsidRDefault="00077D89" w:rsidP="00077D89">
      <w:pPr>
        <w:rPr>
          <w:rFonts w:asciiTheme="minorHAnsi" w:hAnsiTheme="minorHAnsi" w:cstheme="minorBidi"/>
          <w:sz w:val="22"/>
          <w:szCs w:val="22"/>
          <w:lang w:val="en-US" w:eastAsia="en-GB"/>
        </w:rPr>
      </w:pPr>
      <w:r w:rsidRPr="003F4263">
        <w:rPr>
          <w:rFonts w:asciiTheme="minorHAnsi" w:hAnsiTheme="minorHAnsi" w:cstheme="minorBidi"/>
          <w:sz w:val="22"/>
          <w:szCs w:val="22"/>
          <w:lang w:val="en-US" w:eastAsia="en-GB"/>
        </w:rPr>
        <w:t xml:space="preserve">With respect to the use of the word “credit ratings” in the MMFR, we believe that this reference </w:t>
      </w:r>
      <w:proofErr w:type="gramStart"/>
      <w:r w:rsidRPr="003F4263">
        <w:rPr>
          <w:rFonts w:asciiTheme="minorHAnsi" w:hAnsiTheme="minorHAnsi" w:cstheme="minorBidi"/>
          <w:sz w:val="22"/>
          <w:szCs w:val="22"/>
          <w:lang w:val="en-US" w:eastAsia="en-GB"/>
        </w:rPr>
        <w:t>is not intended</w:t>
      </w:r>
      <w:proofErr w:type="gramEnd"/>
      <w:r w:rsidRPr="003F4263">
        <w:rPr>
          <w:rFonts w:asciiTheme="minorHAnsi" w:hAnsiTheme="minorHAnsi" w:cstheme="minorBidi"/>
          <w:sz w:val="22"/>
          <w:szCs w:val="22"/>
          <w:lang w:val="en-US" w:eastAsia="en-GB"/>
        </w:rPr>
        <w:t xml:space="preserve"> to refer to credit ratings, but must be understood to refer to the idea of “MMF ratings granted by CRAs”.</w:t>
      </w:r>
    </w:p>
    <w:permEnd w:id="21103909"/>
    <w:p w14:paraId="6C91EF19" w14:textId="07291BF4" w:rsidR="00492B3A" w:rsidRDefault="00492B3A" w:rsidP="00492B3A">
      <w:r>
        <w:t>&lt;ESMA_QUESTION_</w:t>
      </w:r>
      <w:r w:rsidR="00DC1B3F">
        <w:t>MMFR</w:t>
      </w:r>
      <w:r>
        <w:t>_8&gt;</w:t>
      </w:r>
    </w:p>
    <w:p w14:paraId="358E7A29" w14:textId="77777777" w:rsidR="00492B3A" w:rsidRDefault="00492B3A" w:rsidP="00492B3A"/>
    <w:p w14:paraId="35F135E9" w14:textId="5FE90A3C" w:rsidR="00492B3A" w:rsidRDefault="00976448" w:rsidP="00492B3A">
      <w:pPr>
        <w:pStyle w:val="Questionstyle"/>
      </w:pPr>
      <w:r w:rsidRPr="00F43E30">
        <w:rPr>
          <w:bdr w:val="none" w:sz="0" w:space="0" w:color="auto" w:frame="1"/>
          <w:lang w:val="en-IE"/>
        </w:rPr>
        <w:t xml:space="preserve">Do you agree with the above assessment of the potential need to </w:t>
      </w:r>
      <w:r w:rsidRPr="00F43E30">
        <w:rPr>
          <w:lang w:val="en-IE"/>
        </w:rPr>
        <w:t xml:space="preserve">amend the requirements on stress tests included in the article 28 of the MMF Regulation? </w:t>
      </w:r>
      <w:r w:rsidRPr="00F43E30">
        <w:rPr>
          <w:bdr w:val="none" w:sz="0" w:space="0" w:color="auto" w:frame="1"/>
          <w:lang w:val="en-IE"/>
        </w:rPr>
        <w:t>When you answer this question, please also take into account the grid of criteria listed in paragraphs 76 to 80</w:t>
      </w:r>
      <w:r>
        <w:t>.</w:t>
      </w:r>
    </w:p>
    <w:p w14:paraId="01ADFC46" w14:textId="69301879" w:rsidR="00492B3A" w:rsidRDefault="00492B3A" w:rsidP="00492B3A">
      <w:r>
        <w:t>&lt;ESMA_QUESTION_</w:t>
      </w:r>
      <w:r w:rsidR="00DC1B3F">
        <w:t>MMFR</w:t>
      </w:r>
      <w:r>
        <w:t>_9&gt;</w:t>
      </w:r>
    </w:p>
    <w:p w14:paraId="5232B1C8" w14:textId="77777777" w:rsidR="00077D89" w:rsidRPr="003F4263" w:rsidRDefault="00077D89" w:rsidP="00077D89">
      <w:pPr>
        <w:jc w:val="both"/>
        <w:rPr>
          <w:rFonts w:asciiTheme="minorHAnsi" w:hAnsiTheme="minorHAnsi" w:cstheme="minorBidi"/>
          <w:sz w:val="22"/>
          <w:szCs w:val="22"/>
          <w:lang w:val="en-US" w:eastAsia="en-GB"/>
        </w:rPr>
      </w:pPr>
      <w:permStart w:id="70807355" w:edGrp="everyone"/>
      <w:r w:rsidRPr="003F4263">
        <w:rPr>
          <w:rFonts w:asciiTheme="minorHAnsi" w:hAnsiTheme="minorHAnsi" w:cstheme="minorBidi"/>
          <w:sz w:val="22"/>
          <w:szCs w:val="22"/>
          <w:lang w:val="en-US" w:eastAsia="en-GB"/>
        </w:rPr>
        <w:t xml:space="preserve">We do think that the existing stress tests, included in the article 28 of the MMF Regulation, are already granular enough and cover all investment risks (market, credit, liquidity...). Indeed, the current framework is efficient, as it </w:t>
      </w:r>
      <w:proofErr w:type="gramStart"/>
      <w:r w:rsidRPr="003F4263">
        <w:rPr>
          <w:rFonts w:asciiTheme="minorHAnsi" w:hAnsiTheme="minorHAnsi" w:cstheme="minorBidi"/>
          <w:sz w:val="22"/>
          <w:szCs w:val="22"/>
          <w:lang w:val="en-US" w:eastAsia="en-GB"/>
        </w:rPr>
        <w:t>is also expected to be reviewed</w:t>
      </w:r>
      <w:proofErr w:type="gramEnd"/>
      <w:r w:rsidRPr="003F4263">
        <w:rPr>
          <w:rFonts w:asciiTheme="minorHAnsi" w:hAnsiTheme="minorHAnsi" w:cstheme="minorBidi"/>
          <w:sz w:val="22"/>
          <w:szCs w:val="22"/>
          <w:lang w:val="en-US" w:eastAsia="en-GB"/>
        </w:rPr>
        <w:t xml:space="preserve"> by ESMA once a year, in order to adapt the various shocks defined in these scenarios. We can furthermore mention that an updated calibration has been issued in December 2020, taking into account more stringent shocks, but is has not been released yet, needing local translations before becoming officially the new rules. This implementation time should probably be shorten.</w:t>
      </w:r>
    </w:p>
    <w:p w14:paraId="7DDB25A3" w14:textId="77777777" w:rsidR="00077D89" w:rsidRPr="003F4263" w:rsidRDefault="00077D89" w:rsidP="00077D89">
      <w:pPr>
        <w:jc w:val="both"/>
        <w:rPr>
          <w:rFonts w:asciiTheme="minorHAnsi" w:hAnsiTheme="minorHAnsi" w:cstheme="minorBidi"/>
          <w:sz w:val="22"/>
          <w:szCs w:val="22"/>
          <w:lang w:val="en-US" w:eastAsia="en-GB"/>
        </w:rPr>
      </w:pPr>
      <w:r w:rsidRPr="003F4263">
        <w:rPr>
          <w:rFonts w:asciiTheme="minorHAnsi" w:hAnsiTheme="minorHAnsi" w:cstheme="minorBidi"/>
          <w:sz w:val="22"/>
          <w:szCs w:val="22"/>
          <w:lang w:val="en-US" w:eastAsia="en-GB"/>
        </w:rPr>
        <w:t xml:space="preserve">In the current configuration, performing stress tests at each MMF level is obviously the best way to detect vulnerabilities, and is the most important level when assessing MMF specificities, more particularly because each MMF has its own liabilities structure. However, it can be useful to perform them at an aggregated level, i.e. overall MMF market, </w:t>
      </w:r>
      <w:proofErr w:type="gramStart"/>
      <w:r w:rsidRPr="003F4263">
        <w:rPr>
          <w:rFonts w:asciiTheme="minorHAnsi" w:hAnsiTheme="minorHAnsi" w:cstheme="minorBidi"/>
          <w:sz w:val="22"/>
          <w:szCs w:val="22"/>
          <w:lang w:val="en-US" w:eastAsia="en-GB"/>
        </w:rPr>
        <w:t>in order to better monitor</w:t>
      </w:r>
      <w:proofErr w:type="gramEnd"/>
      <w:r w:rsidRPr="003F4263">
        <w:rPr>
          <w:rFonts w:asciiTheme="minorHAnsi" w:hAnsiTheme="minorHAnsi" w:cstheme="minorBidi"/>
          <w:sz w:val="22"/>
          <w:szCs w:val="22"/>
          <w:lang w:val="en-US" w:eastAsia="en-GB"/>
        </w:rPr>
        <w:t xml:space="preserve"> money market industry behavior. We do believe that this kind of overall approach has to be handled by ESMA, and that is the reason why we are ready to send the quarterly report to ESMA to improve the coordination (and not only NCAs). It is also important to raise that </w:t>
      </w:r>
      <w:proofErr w:type="gramStart"/>
      <w:r w:rsidRPr="003F4263">
        <w:rPr>
          <w:rFonts w:asciiTheme="minorHAnsi" w:hAnsiTheme="minorHAnsi" w:cstheme="minorBidi"/>
          <w:sz w:val="22"/>
          <w:szCs w:val="22"/>
          <w:lang w:val="en-US" w:eastAsia="en-GB"/>
        </w:rPr>
        <w:t>this set of systemic stress tests must be supplemented by additional reliable market data indicators,</w:t>
      </w:r>
      <w:proofErr w:type="gramEnd"/>
      <w:r w:rsidRPr="003F4263">
        <w:rPr>
          <w:rFonts w:asciiTheme="minorHAnsi" w:hAnsiTheme="minorHAnsi" w:cstheme="minorBidi"/>
          <w:sz w:val="22"/>
          <w:szCs w:val="22"/>
          <w:lang w:val="en-US" w:eastAsia="en-GB"/>
        </w:rPr>
        <w:t xml:space="preserve"> more particularly by developing a more transparent infrastructure on money market instruments, and detect a lack of functioning of such markets. The sole normative stress tests cannot predict atypical client behaviors (this point being handled by the manager through a strict shareholder monitoring with qualitative assessment), or the total absence of liquidity in the secondary market faced in March 2020.</w:t>
      </w:r>
    </w:p>
    <w:p w14:paraId="0AB3A7A1" w14:textId="5B3FD234" w:rsidR="00492B3A" w:rsidRPr="003F4263" w:rsidRDefault="00077D89" w:rsidP="00077D89">
      <w:pPr>
        <w:rPr>
          <w:rFonts w:asciiTheme="minorHAnsi" w:hAnsiTheme="minorHAnsi" w:cstheme="minorBidi"/>
          <w:sz w:val="22"/>
          <w:szCs w:val="22"/>
          <w:lang w:val="en-US" w:eastAsia="en-GB"/>
        </w:rPr>
      </w:pPr>
      <w:r w:rsidRPr="003F4263">
        <w:rPr>
          <w:rFonts w:asciiTheme="minorHAnsi" w:hAnsiTheme="minorHAnsi" w:cstheme="minorBidi"/>
          <w:sz w:val="22"/>
          <w:szCs w:val="22"/>
          <w:lang w:val="en-US" w:eastAsia="en-GB"/>
        </w:rPr>
        <w:t xml:space="preserve">Apart from these normative ESMA scenarios, we think that the management companies must strengthen this stress tests framework by performing additional granular shocks. The manager has a good knowledge of the potential vulnerability and is in a position to take the appropriate decision. For example, when a MMF is more concentrated or is more likely to have volatility on subscriptions / redemptions, the manager must perform ad-hoc scenarios, and take the relevant measures to reduce risks (in this case increase the liquidity buffers). We think that this framework </w:t>
      </w:r>
      <w:proofErr w:type="gramStart"/>
      <w:r w:rsidRPr="003F4263">
        <w:rPr>
          <w:rFonts w:asciiTheme="minorHAnsi" w:hAnsiTheme="minorHAnsi" w:cstheme="minorBidi"/>
          <w:sz w:val="22"/>
          <w:szCs w:val="22"/>
          <w:lang w:val="en-US" w:eastAsia="en-GB"/>
        </w:rPr>
        <w:t>must be defined</w:t>
      </w:r>
      <w:proofErr w:type="gramEnd"/>
      <w:r w:rsidRPr="003F4263">
        <w:rPr>
          <w:rFonts w:asciiTheme="minorHAnsi" w:hAnsiTheme="minorHAnsi" w:cstheme="minorBidi"/>
          <w:sz w:val="22"/>
          <w:szCs w:val="22"/>
          <w:lang w:val="en-US" w:eastAsia="en-GB"/>
        </w:rPr>
        <w:t xml:space="preserve"> by the management company only, and has to be described in a dedicated procedure that may be reviewed by the regulator.</w:t>
      </w:r>
    </w:p>
    <w:permEnd w:id="70807355"/>
    <w:p w14:paraId="293286B0" w14:textId="136AD9C5" w:rsidR="00492B3A" w:rsidRDefault="00492B3A" w:rsidP="00492B3A">
      <w:r>
        <w:t>&lt;ESMA_QUESTION_</w:t>
      </w:r>
      <w:r w:rsidR="00DC1B3F">
        <w:t>MMFR</w:t>
      </w:r>
      <w:r>
        <w:t>_9&gt;</w:t>
      </w:r>
    </w:p>
    <w:p w14:paraId="1265C514" w14:textId="77777777" w:rsidR="00492B3A" w:rsidRDefault="00492B3A" w:rsidP="00492B3A"/>
    <w:p w14:paraId="65464EDE" w14:textId="2A297D67" w:rsidR="00492B3A" w:rsidRDefault="00976448" w:rsidP="00492B3A">
      <w:pPr>
        <w:pStyle w:val="Questionstyle"/>
      </w:pPr>
      <w:r w:rsidRPr="00F43E30">
        <w:rPr>
          <w:bdr w:val="none" w:sz="0" w:space="0" w:color="auto" w:frame="1"/>
          <w:lang w:val="en-IE"/>
        </w:rPr>
        <w:t>Do you agree with the above assessment on the potential need to review the reporting requirements under the MMF Regulation? When you answer this question, please also take into account the grid of criteria listed in paragraphs 76 to 80</w:t>
      </w:r>
      <w:r>
        <w:t>.</w:t>
      </w:r>
    </w:p>
    <w:p w14:paraId="554C7E7D" w14:textId="478CBB4E" w:rsidR="00492B3A" w:rsidRDefault="00492B3A" w:rsidP="00492B3A">
      <w:r>
        <w:t>&lt;ESMA_QUESTION_</w:t>
      </w:r>
      <w:r w:rsidR="00DC1B3F">
        <w:t>MMFR</w:t>
      </w:r>
      <w:r>
        <w:t>_10&gt;</w:t>
      </w:r>
    </w:p>
    <w:p w14:paraId="588EC6C9" w14:textId="77777777" w:rsidR="002E0DCD" w:rsidRPr="003F4263" w:rsidRDefault="002E0DCD" w:rsidP="002E0DCD">
      <w:pPr>
        <w:jc w:val="both"/>
        <w:rPr>
          <w:rFonts w:asciiTheme="minorHAnsi" w:hAnsiTheme="minorHAnsi" w:cstheme="minorBidi"/>
          <w:sz w:val="22"/>
          <w:szCs w:val="22"/>
          <w:lang w:val="en-US" w:eastAsia="en-GB"/>
        </w:rPr>
      </w:pPr>
      <w:permStart w:id="1969951227" w:edGrp="everyone"/>
      <w:r w:rsidRPr="003F4263">
        <w:rPr>
          <w:rFonts w:asciiTheme="minorHAnsi" w:hAnsiTheme="minorHAnsi" w:cstheme="minorBidi"/>
          <w:sz w:val="22"/>
          <w:szCs w:val="22"/>
          <w:lang w:val="en-US" w:eastAsia="en-GB"/>
        </w:rPr>
        <w:t xml:space="preserve">On the reporting requirements, we think that this potential review </w:t>
      </w:r>
      <w:proofErr w:type="gramStart"/>
      <w:r w:rsidRPr="003F4263">
        <w:rPr>
          <w:rFonts w:asciiTheme="minorHAnsi" w:hAnsiTheme="minorHAnsi" w:cstheme="minorBidi"/>
          <w:sz w:val="22"/>
          <w:szCs w:val="22"/>
          <w:lang w:val="en-US" w:eastAsia="en-GB"/>
        </w:rPr>
        <w:t>is primarily geared</w:t>
      </w:r>
      <w:proofErr w:type="gramEnd"/>
      <w:r w:rsidRPr="003F4263">
        <w:rPr>
          <w:rFonts w:asciiTheme="minorHAnsi" w:hAnsiTheme="minorHAnsi" w:cstheme="minorBidi"/>
          <w:sz w:val="22"/>
          <w:szCs w:val="22"/>
          <w:lang w:val="en-US" w:eastAsia="en-GB"/>
        </w:rPr>
        <w:t xml:space="preserve"> to regulators, i.e. expecting additional transparency on the MMF. Based on the current situation, we wonder how the reports are analysed, and what can be the outcome of their analysis. Apart of the heavy infrastructure to put in place within the management companies, this report does not </w:t>
      </w:r>
      <w:proofErr w:type="gramStart"/>
      <w:r w:rsidRPr="003F4263">
        <w:rPr>
          <w:rFonts w:asciiTheme="minorHAnsi" w:hAnsiTheme="minorHAnsi" w:cstheme="minorBidi"/>
          <w:sz w:val="22"/>
          <w:szCs w:val="22"/>
          <w:lang w:val="en-US" w:eastAsia="en-GB"/>
        </w:rPr>
        <w:t>impact</w:t>
      </w:r>
      <w:proofErr w:type="gramEnd"/>
      <w:r w:rsidRPr="003F4263">
        <w:rPr>
          <w:rFonts w:asciiTheme="minorHAnsi" w:hAnsiTheme="minorHAnsi" w:cstheme="minorBidi"/>
          <w:sz w:val="22"/>
          <w:szCs w:val="22"/>
          <w:lang w:val="en-US" w:eastAsia="en-GB"/>
        </w:rPr>
        <w:t xml:space="preserve"> neither the manager, nor the clients (who have no access to such details).</w:t>
      </w:r>
    </w:p>
    <w:p w14:paraId="786CFA7D" w14:textId="77777777" w:rsidR="002E0DCD" w:rsidRPr="003F4263" w:rsidRDefault="002E0DCD" w:rsidP="002E0DCD">
      <w:pPr>
        <w:jc w:val="both"/>
        <w:rPr>
          <w:rFonts w:asciiTheme="minorHAnsi" w:hAnsiTheme="minorHAnsi" w:cstheme="minorBidi"/>
          <w:sz w:val="22"/>
          <w:szCs w:val="22"/>
          <w:lang w:val="en-US" w:eastAsia="en-GB"/>
        </w:rPr>
      </w:pPr>
      <w:r w:rsidRPr="003F4263">
        <w:rPr>
          <w:rFonts w:asciiTheme="minorHAnsi" w:hAnsiTheme="minorHAnsi" w:cstheme="minorBidi"/>
          <w:sz w:val="22"/>
          <w:szCs w:val="22"/>
          <w:lang w:val="en-US" w:eastAsia="en-GB"/>
        </w:rPr>
        <w:t>However, we do understand that further reporting requirement can be useful for the regulator, when market conditions are deteriorating, implying a more frequent monitoring. This is all the more important as MMF profiles can vary quickly during time. In such a situation, the production has to be limited to a restricted list of key indicators, using a simple format to save time and gain reactivity.</w:t>
      </w:r>
    </w:p>
    <w:p w14:paraId="729D6FDA" w14:textId="07D275B7" w:rsidR="00492B3A" w:rsidRPr="003F4263" w:rsidRDefault="002E0DCD" w:rsidP="002E0DCD">
      <w:pPr>
        <w:rPr>
          <w:rFonts w:asciiTheme="minorHAnsi" w:hAnsiTheme="minorHAnsi" w:cstheme="minorBidi"/>
          <w:sz w:val="22"/>
          <w:szCs w:val="22"/>
          <w:lang w:val="en-US" w:eastAsia="en-GB"/>
        </w:rPr>
      </w:pPr>
      <w:r w:rsidRPr="003F4263">
        <w:rPr>
          <w:rFonts w:asciiTheme="minorHAnsi" w:hAnsiTheme="minorHAnsi" w:cstheme="minorBidi"/>
          <w:sz w:val="22"/>
          <w:szCs w:val="22"/>
          <w:lang w:val="en-US" w:eastAsia="en-GB"/>
        </w:rPr>
        <w:t xml:space="preserve">In </w:t>
      </w:r>
      <w:proofErr w:type="gramStart"/>
      <w:r w:rsidRPr="003F4263">
        <w:rPr>
          <w:rFonts w:asciiTheme="minorHAnsi" w:hAnsiTheme="minorHAnsi" w:cstheme="minorBidi"/>
          <w:sz w:val="22"/>
          <w:szCs w:val="22"/>
          <w:lang w:val="en-US" w:eastAsia="en-GB"/>
        </w:rPr>
        <w:t>both cases, quarterly reports or</w:t>
      </w:r>
      <w:proofErr w:type="gramEnd"/>
      <w:r w:rsidRPr="003F4263">
        <w:rPr>
          <w:rFonts w:asciiTheme="minorHAnsi" w:hAnsiTheme="minorHAnsi" w:cstheme="minorBidi"/>
          <w:sz w:val="22"/>
          <w:szCs w:val="22"/>
          <w:lang w:val="en-US" w:eastAsia="en-GB"/>
        </w:rPr>
        <w:t xml:space="preserve"> additional reporting during stressed market conditions, we think that the requirements (indicators and format) need to remain homogeneous among the NCAs.</w:t>
      </w:r>
    </w:p>
    <w:permEnd w:id="1969951227"/>
    <w:p w14:paraId="1CD8F45C" w14:textId="2E80969C" w:rsidR="00492B3A" w:rsidRDefault="00492B3A" w:rsidP="00492B3A">
      <w:r>
        <w:t>&lt;ESMA_QUESTION_</w:t>
      </w:r>
      <w:r w:rsidR="00DC1B3F">
        <w:t>MMFR</w:t>
      </w:r>
      <w:r>
        <w:t>_10&gt;</w:t>
      </w:r>
    </w:p>
    <w:p w14:paraId="4A233221" w14:textId="77777777" w:rsidR="00492B3A" w:rsidRDefault="00492B3A" w:rsidP="00492B3A"/>
    <w:p w14:paraId="43470B7B" w14:textId="47E8C883" w:rsidR="00492B3A" w:rsidRDefault="00976448" w:rsidP="00492B3A">
      <w:pPr>
        <w:pStyle w:val="Questionstyle"/>
      </w:pPr>
      <w:r w:rsidRPr="00F43E30">
        <w:rPr>
          <w:bdr w:val="none" w:sz="0" w:space="0" w:color="auto" w:frame="1"/>
          <w:lang w:val="en-IE"/>
        </w:rPr>
        <w:t xml:space="preserve">Do you agree with the above assessment of the potential need to include additional requirements in the MMF Regulation, and/or potentially in other types of EU piece of legislation on the </w:t>
      </w:r>
      <w:r w:rsidRPr="00F43E30">
        <w:rPr>
          <w:lang w:val="en-IE"/>
        </w:rPr>
        <w:t xml:space="preserve">disclosure of </w:t>
      </w:r>
      <w:r w:rsidRPr="00F43E30">
        <w:rPr>
          <w:lang w:val="en-US"/>
        </w:rPr>
        <w:t xml:space="preserve">money market instruments (MMIs) and main categories of investors to regulatory authorities (e.g. detailed information on liabilities)? </w:t>
      </w:r>
      <w:r w:rsidRPr="00F43E30">
        <w:rPr>
          <w:bdr w:val="none" w:sz="0" w:space="0" w:color="auto" w:frame="1"/>
          <w:lang w:val="en-IE"/>
        </w:rPr>
        <w:t>When you answer this question, please also take into account the grid of criteria listed in paragraphs 76 to 80</w:t>
      </w:r>
      <w:r w:rsidR="00A014B6" w:rsidRPr="00A014B6">
        <w:t>.</w:t>
      </w:r>
    </w:p>
    <w:p w14:paraId="17905251" w14:textId="5C1644CB" w:rsidR="00492B3A" w:rsidRDefault="00492B3A" w:rsidP="00492B3A">
      <w:r>
        <w:t>&lt;ESMA_QUESTION_</w:t>
      </w:r>
      <w:r w:rsidR="00DC1B3F">
        <w:t>MMFR</w:t>
      </w:r>
      <w:r>
        <w:t>_11&gt;</w:t>
      </w:r>
    </w:p>
    <w:p w14:paraId="6DEBDE64" w14:textId="77777777" w:rsidR="002E0DCD" w:rsidRPr="003F4263" w:rsidRDefault="002E0DCD" w:rsidP="003F4263">
      <w:pPr>
        <w:jc w:val="both"/>
        <w:rPr>
          <w:rFonts w:asciiTheme="minorHAnsi" w:hAnsiTheme="minorHAnsi" w:cstheme="minorBidi"/>
          <w:sz w:val="22"/>
          <w:szCs w:val="22"/>
          <w:lang w:val="en-US" w:eastAsia="en-GB"/>
        </w:rPr>
      </w:pPr>
      <w:permStart w:id="947678092" w:edGrp="everyone"/>
      <w:r w:rsidRPr="003F4263">
        <w:rPr>
          <w:rFonts w:asciiTheme="minorHAnsi" w:hAnsiTheme="minorHAnsi" w:cstheme="minorBidi"/>
          <w:sz w:val="22"/>
          <w:szCs w:val="22"/>
          <w:lang w:val="en-US" w:eastAsia="en-GB"/>
        </w:rPr>
        <w:t xml:space="preserve">We think that, under Article 37 of the MMFR relative to disclosure requirements, the information transmitted on a quarterly basis to Authorities already provide a clear overview of both MMF’s asset and liability breakdowns under normal market conditions. In times of market stress, we would welcome the provision of this type of information on a more frequent basis </w:t>
      </w:r>
      <w:proofErr w:type="gramStart"/>
      <w:r w:rsidRPr="003F4263">
        <w:rPr>
          <w:rFonts w:asciiTheme="minorHAnsi" w:hAnsiTheme="minorHAnsi" w:cstheme="minorBidi"/>
          <w:sz w:val="22"/>
          <w:szCs w:val="22"/>
          <w:lang w:val="en-US" w:eastAsia="en-GB"/>
        </w:rPr>
        <w:t>to better</w:t>
      </w:r>
      <w:proofErr w:type="gramEnd"/>
      <w:r w:rsidRPr="003F4263">
        <w:rPr>
          <w:rFonts w:asciiTheme="minorHAnsi" w:hAnsiTheme="minorHAnsi" w:cstheme="minorBidi"/>
          <w:sz w:val="22"/>
          <w:szCs w:val="22"/>
          <w:lang w:val="en-US" w:eastAsia="en-GB"/>
        </w:rPr>
        <w:t xml:space="preserve"> identify the emergence of market imbalances.</w:t>
      </w:r>
    </w:p>
    <w:p w14:paraId="0CBFA262" w14:textId="77777777" w:rsidR="002E0DCD" w:rsidRPr="003F4263" w:rsidRDefault="002E0DCD" w:rsidP="003F4263">
      <w:pPr>
        <w:jc w:val="both"/>
        <w:rPr>
          <w:rFonts w:asciiTheme="minorHAnsi" w:hAnsiTheme="minorHAnsi" w:cstheme="minorBidi"/>
          <w:sz w:val="22"/>
          <w:szCs w:val="22"/>
          <w:lang w:val="en-US" w:eastAsia="en-GB"/>
        </w:rPr>
      </w:pPr>
      <w:r w:rsidRPr="003F4263">
        <w:rPr>
          <w:rFonts w:asciiTheme="minorHAnsi" w:hAnsiTheme="minorHAnsi" w:cstheme="minorBidi"/>
          <w:sz w:val="22"/>
          <w:szCs w:val="22"/>
          <w:lang w:val="en-US" w:eastAsia="en-GB"/>
        </w:rPr>
        <w:t>However, as mentioned in our response to Q5, we believe that an enrichment or clarification of Article 27 (on KYC) would more efficiently address the necessity for asset managers to monitor on an ongoing basis the liability structure of MMFs and to define specific procedures to integrate this information to adapt the portfolio’s liquidity accordingly.</w:t>
      </w:r>
    </w:p>
    <w:p w14:paraId="16B29EBB" w14:textId="2EC54D6A" w:rsidR="00492B3A" w:rsidRPr="003F4263" w:rsidRDefault="002E0DCD" w:rsidP="003F4263">
      <w:pPr>
        <w:jc w:val="both"/>
        <w:rPr>
          <w:rFonts w:asciiTheme="minorHAnsi" w:hAnsiTheme="minorHAnsi" w:cstheme="minorBidi"/>
          <w:sz w:val="22"/>
          <w:szCs w:val="22"/>
          <w:lang w:val="en-US" w:eastAsia="en-GB"/>
        </w:rPr>
      </w:pPr>
      <w:r w:rsidRPr="003F4263">
        <w:rPr>
          <w:rFonts w:asciiTheme="minorHAnsi" w:hAnsiTheme="minorHAnsi" w:cstheme="minorBidi"/>
          <w:sz w:val="22"/>
          <w:szCs w:val="22"/>
          <w:lang w:val="en-US" w:eastAsia="en-GB"/>
        </w:rPr>
        <w:t>Regarding other types of EU piece of legislation on the disclosure of money market instruments, we see the necessity of creating a European regulated market for short term papers. It is essential to define a standardized instrument in terms of characteristics and documentation that transcends all European jurisdictions, and provide an overview of this instrument by consolidating pre- and post-trade data in a publicly accessible repository.</w:t>
      </w:r>
    </w:p>
    <w:permEnd w:id="947678092"/>
    <w:p w14:paraId="5D803357" w14:textId="61D9A95E" w:rsidR="00492B3A" w:rsidRDefault="00492B3A" w:rsidP="00492B3A">
      <w:r>
        <w:t>&lt;ESMA_QUESTION_</w:t>
      </w:r>
      <w:r w:rsidR="00DC1B3F">
        <w:t>MMFR</w:t>
      </w:r>
      <w:r>
        <w:t>_11&gt;</w:t>
      </w:r>
    </w:p>
    <w:p w14:paraId="1A3E6E6B" w14:textId="77777777" w:rsidR="00492B3A" w:rsidRDefault="00492B3A" w:rsidP="00492B3A"/>
    <w:p w14:paraId="346F2512" w14:textId="77777777" w:rsidR="00976448" w:rsidRPr="00C2636B" w:rsidRDefault="00976448" w:rsidP="00976448">
      <w:pPr>
        <w:pStyle w:val="Questionstyle"/>
        <w:rPr>
          <w:bCs/>
          <w:color w:val="201F1E"/>
          <w:bdr w:val="none" w:sz="0" w:space="0" w:color="auto" w:frame="1"/>
          <w:lang w:val="en-IE"/>
        </w:rPr>
      </w:pPr>
      <w:r w:rsidRPr="00F43E30">
        <w:rPr>
          <w:bCs/>
          <w:color w:val="201F1E"/>
          <w:bdr w:val="none" w:sz="0" w:space="0" w:color="auto" w:frame="1"/>
          <w:lang w:val="en-IE"/>
        </w:rPr>
        <w:t xml:space="preserve">i) Do you agree with the above assessment on the potential creation of a LEF? When you answer this question, please also take into account the grid </w:t>
      </w:r>
      <w:r w:rsidRPr="00F43E30">
        <w:rPr>
          <w:color w:val="201F1E"/>
          <w:bdr w:val="none" w:sz="0" w:space="0" w:color="auto" w:frame="1"/>
          <w:lang w:val="en-IE"/>
        </w:rPr>
        <w:t>of</w:t>
      </w:r>
      <w:r w:rsidRPr="00F43E30">
        <w:rPr>
          <w:bCs/>
          <w:color w:val="201F1E"/>
          <w:bdr w:val="none" w:sz="0" w:space="0" w:color="auto" w:frame="1"/>
          <w:lang w:val="en-IE"/>
        </w:rPr>
        <w:t xml:space="preserve"> criteria listed in paragraphs 76 to 80. ii) Several open questions related to the creation of the LEF, on which ESMA would specifically welcome feedback from stakeholders, include:</w:t>
      </w:r>
    </w:p>
    <w:p w14:paraId="26EDE601" w14:textId="77777777" w:rsidR="00976448" w:rsidRPr="000C1BA7" w:rsidRDefault="00976448" w:rsidP="00976448">
      <w:pPr>
        <w:pStyle w:val="xmsonormal"/>
        <w:numPr>
          <w:ilvl w:val="0"/>
          <w:numId w:val="45"/>
        </w:numPr>
        <w:shd w:val="clear" w:color="auto" w:fill="FFFFFF"/>
        <w:spacing w:before="0" w:beforeAutospacing="0" w:after="0" w:afterAutospacing="0"/>
        <w:jc w:val="both"/>
        <w:rPr>
          <w:rFonts w:asciiTheme="minorHAnsi" w:hAnsiTheme="minorHAnsi" w:cstheme="minorHAnsi"/>
          <w:b/>
          <w:bCs/>
          <w:color w:val="201F1E"/>
          <w:sz w:val="22"/>
          <w:szCs w:val="22"/>
          <w:bdr w:val="none" w:sz="0" w:space="0" w:color="auto" w:frame="1"/>
          <w:lang w:val="en-IE"/>
        </w:rPr>
      </w:pPr>
      <w:r w:rsidRPr="000C1BA7">
        <w:rPr>
          <w:rFonts w:asciiTheme="minorHAnsi" w:hAnsiTheme="minorHAnsi" w:cstheme="minorHAnsi"/>
          <w:b/>
          <w:bCs/>
          <w:color w:val="201F1E"/>
          <w:sz w:val="22"/>
          <w:szCs w:val="22"/>
          <w:bdr w:val="none" w:sz="0" w:space="0" w:color="auto" w:frame="1"/>
          <w:lang w:val="en-IE"/>
        </w:rPr>
        <w:t>What should be the appropriate size of such a pooling vehicle as the LEF?</w:t>
      </w:r>
    </w:p>
    <w:p w14:paraId="0F9D6C43" w14:textId="77777777" w:rsidR="00976448" w:rsidRPr="000C1BA7" w:rsidRDefault="00976448" w:rsidP="00976448">
      <w:pPr>
        <w:pStyle w:val="xmsonormal"/>
        <w:numPr>
          <w:ilvl w:val="0"/>
          <w:numId w:val="45"/>
        </w:numPr>
        <w:shd w:val="clear" w:color="auto" w:fill="FFFFFF"/>
        <w:spacing w:before="0" w:beforeAutospacing="0" w:after="0" w:afterAutospacing="0"/>
        <w:jc w:val="both"/>
        <w:rPr>
          <w:rFonts w:asciiTheme="minorHAnsi" w:hAnsiTheme="minorHAnsi" w:cstheme="minorHAnsi"/>
          <w:b/>
          <w:bCs/>
          <w:color w:val="201F1E"/>
          <w:sz w:val="22"/>
          <w:szCs w:val="22"/>
          <w:bdr w:val="none" w:sz="0" w:space="0" w:color="auto" w:frame="1"/>
          <w:lang w:val="en-IE"/>
        </w:rPr>
      </w:pPr>
      <w:r w:rsidRPr="000C1BA7">
        <w:rPr>
          <w:rFonts w:asciiTheme="minorHAnsi" w:hAnsiTheme="minorHAnsi" w:cstheme="minorHAnsi"/>
          <w:b/>
          <w:bCs/>
          <w:color w:val="201F1E"/>
          <w:sz w:val="22"/>
          <w:szCs w:val="22"/>
          <w:bdr w:val="none" w:sz="0" w:space="0" w:color="auto" w:frame="1"/>
          <w:lang w:val="en-IE"/>
        </w:rPr>
        <w:t>In terms of funding, how much MMF would have to pay each year to participate in the pool? How much of the funding would/should be provided by other sources?</w:t>
      </w:r>
    </w:p>
    <w:p w14:paraId="254F0D26" w14:textId="77777777" w:rsidR="00976448" w:rsidRPr="000C1BA7" w:rsidRDefault="00976448" w:rsidP="00976448">
      <w:pPr>
        <w:pStyle w:val="xmsonormal"/>
        <w:numPr>
          <w:ilvl w:val="0"/>
          <w:numId w:val="45"/>
        </w:numPr>
        <w:shd w:val="clear" w:color="auto" w:fill="FFFFFF"/>
        <w:spacing w:before="0" w:beforeAutospacing="0" w:after="0" w:afterAutospacing="0"/>
        <w:jc w:val="both"/>
        <w:rPr>
          <w:rFonts w:asciiTheme="minorHAnsi" w:hAnsiTheme="minorHAnsi" w:cstheme="minorHAnsi"/>
          <w:b/>
          <w:bCs/>
          <w:color w:val="201F1E"/>
          <w:sz w:val="22"/>
          <w:szCs w:val="22"/>
          <w:bdr w:val="none" w:sz="0" w:space="0" w:color="auto" w:frame="1"/>
          <w:lang w:val="en-IE"/>
        </w:rPr>
      </w:pPr>
      <w:r w:rsidRPr="000C1BA7">
        <w:rPr>
          <w:rFonts w:asciiTheme="minorHAnsi" w:hAnsiTheme="minorHAnsi" w:cstheme="minorHAnsi"/>
          <w:b/>
          <w:bCs/>
          <w:color w:val="201F1E"/>
          <w:sz w:val="22"/>
          <w:szCs w:val="22"/>
          <w:bdr w:val="none" w:sz="0" w:space="0" w:color="auto" w:frame="1"/>
          <w:lang w:val="en-IE"/>
        </w:rPr>
        <w:t>How long would it take to establish such a LEF?</w:t>
      </w:r>
    </w:p>
    <w:p w14:paraId="40E4121F" w14:textId="77777777" w:rsidR="000C1BA7" w:rsidRPr="000C1BA7" w:rsidRDefault="00976448" w:rsidP="000C1BA7">
      <w:pPr>
        <w:pStyle w:val="xmsonormal"/>
        <w:numPr>
          <w:ilvl w:val="0"/>
          <w:numId w:val="45"/>
        </w:numPr>
        <w:shd w:val="clear" w:color="auto" w:fill="FFFFFF"/>
        <w:spacing w:before="0" w:beforeAutospacing="0" w:after="0" w:afterAutospacing="0"/>
        <w:jc w:val="both"/>
        <w:rPr>
          <w:rFonts w:asciiTheme="minorHAnsi" w:hAnsiTheme="minorHAnsi" w:cstheme="minorHAnsi"/>
          <w:b/>
          <w:bCs/>
          <w:color w:val="201F1E"/>
          <w:sz w:val="22"/>
          <w:szCs w:val="22"/>
          <w:bdr w:val="none" w:sz="0" w:space="0" w:color="auto" w:frame="1"/>
          <w:lang w:val="en-IE"/>
        </w:rPr>
      </w:pPr>
      <w:r w:rsidRPr="000C1BA7">
        <w:rPr>
          <w:rFonts w:asciiTheme="minorHAnsi" w:hAnsiTheme="minorHAnsi" w:cstheme="minorHAnsi"/>
          <w:b/>
          <w:bCs/>
          <w:color w:val="201F1E"/>
          <w:sz w:val="22"/>
          <w:szCs w:val="22"/>
          <w:bdr w:val="none" w:sz="0" w:space="0" w:color="auto" w:frame="1"/>
          <w:lang w:val="en-IE"/>
        </w:rPr>
        <w:t>Under which conditions would the LEF be activated?</w:t>
      </w:r>
    </w:p>
    <w:p w14:paraId="681EC23B" w14:textId="08980129" w:rsidR="00492B3A" w:rsidRPr="000C1BA7" w:rsidRDefault="00976448" w:rsidP="000C1BA7">
      <w:pPr>
        <w:pStyle w:val="xmsonormal"/>
        <w:numPr>
          <w:ilvl w:val="0"/>
          <w:numId w:val="45"/>
        </w:numPr>
        <w:shd w:val="clear" w:color="auto" w:fill="FFFFFF"/>
        <w:spacing w:before="0" w:beforeAutospacing="0" w:after="0" w:afterAutospacing="0"/>
        <w:jc w:val="both"/>
        <w:rPr>
          <w:rFonts w:asciiTheme="minorHAnsi" w:hAnsiTheme="minorHAnsi" w:cstheme="minorHAnsi"/>
          <w:b/>
          <w:bCs/>
          <w:color w:val="201F1E"/>
          <w:sz w:val="22"/>
          <w:szCs w:val="22"/>
          <w:bdr w:val="none" w:sz="0" w:space="0" w:color="auto" w:frame="1"/>
          <w:lang w:val="en-IE"/>
        </w:rPr>
      </w:pPr>
      <w:r w:rsidRPr="000C1BA7">
        <w:rPr>
          <w:rFonts w:asciiTheme="minorHAnsi" w:hAnsiTheme="minorHAnsi" w:cstheme="minorHAnsi"/>
          <w:b/>
          <w:color w:val="201F1E"/>
          <w:sz w:val="22"/>
          <w:szCs w:val="22"/>
          <w:bdr w:val="none" w:sz="0" w:space="0" w:color="auto" w:frame="1"/>
          <w:lang w:val="en-IE"/>
        </w:rPr>
        <w:t>Who would be responsible for activating the LEF</w:t>
      </w:r>
      <w:r w:rsidR="00A014B6" w:rsidRPr="000C1BA7">
        <w:rPr>
          <w:rFonts w:asciiTheme="minorHAnsi" w:hAnsiTheme="minorHAnsi" w:cstheme="minorHAnsi"/>
          <w:sz w:val="22"/>
          <w:szCs w:val="22"/>
        </w:rPr>
        <w:t>.</w:t>
      </w:r>
    </w:p>
    <w:p w14:paraId="4A7149D3" w14:textId="77777777" w:rsidR="000C1BA7" w:rsidRPr="000C1BA7" w:rsidRDefault="000C1BA7" w:rsidP="000C1BA7">
      <w:pPr>
        <w:pStyle w:val="xmsonormal"/>
        <w:shd w:val="clear" w:color="auto" w:fill="FFFFFF"/>
        <w:spacing w:before="0" w:beforeAutospacing="0" w:after="0" w:afterAutospacing="0"/>
        <w:jc w:val="both"/>
        <w:rPr>
          <w:rFonts w:ascii="Arial" w:hAnsi="Arial" w:cs="Arial"/>
          <w:b/>
          <w:bCs/>
          <w:color w:val="201F1E"/>
          <w:sz w:val="22"/>
          <w:szCs w:val="22"/>
          <w:bdr w:val="none" w:sz="0" w:space="0" w:color="auto" w:frame="1"/>
          <w:lang w:val="en-IE"/>
        </w:rPr>
      </w:pPr>
    </w:p>
    <w:p w14:paraId="7F0E3695" w14:textId="1167F0D8" w:rsidR="00492B3A" w:rsidRDefault="00492B3A" w:rsidP="00492B3A">
      <w:r>
        <w:t>&lt;ESMA_QUESTION_</w:t>
      </w:r>
      <w:r w:rsidR="00DC1B3F">
        <w:t>MMFR</w:t>
      </w:r>
      <w:r>
        <w:t>_12&gt;</w:t>
      </w:r>
    </w:p>
    <w:p w14:paraId="5F50FA92" w14:textId="338878B4" w:rsidR="00492B3A" w:rsidRDefault="002E0DCD" w:rsidP="00492B3A">
      <w:permStart w:id="575285207" w:edGrp="everyone"/>
      <w:r w:rsidRPr="003F4263">
        <w:rPr>
          <w:rFonts w:asciiTheme="minorHAnsi" w:hAnsiTheme="minorHAnsi" w:cstheme="minorBidi"/>
          <w:sz w:val="22"/>
          <w:szCs w:val="22"/>
          <w:lang w:val="en-US" w:eastAsia="en-GB"/>
        </w:rPr>
        <w:t xml:space="preserve">We have many doubts about the feasibility and acceptability of such a mechanism, as its calibration, complexity of implementation and governance raise many questions and uncertainties. In order to cope with the scale of redemptions observed during the March/April market dislocation, a capital intensive mechanism would have to be put in place while remaining potentially inactive for a very long period. The creation of a LEF could jeopardize the viability of the MMF industry, take a long time to fund and be ineffective in repeated crises. It would have to meet its own capital and liquidity requirements and </w:t>
      </w:r>
      <w:proofErr w:type="gramStart"/>
      <w:r w:rsidRPr="003F4263">
        <w:rPr>
          <w:rFonts w:asciiTheme="minorHAnsi" w:hAnsiTheme="minorHAnsi" w:cstheme="minorBidi"/>
          <w:sz w:val="22"/>
          <w:szCs w:val="22"/>
          <w:lang w:val="en-US" w:eastAsia="en-GB"/>
        </w:rPr>
        <w:t>could be seen</w:t>
      </w:r>
      <w:proofErr w:type="gramEnd"/>
      <w:r w:rsidRPr="003F4263">
        <w:rPr>
          <w:rFonts w:asciiTheme="minorHAnsi" w:hAnsiTheme="minorHAnsi" w:cstheme="minorBidi"/>
          <w:sz w:val="22"/>
          <w:szCs w:val="22"/>
          <w:lang w:val="en-US" w:eastAsia="en-GB"/>
        </w:rPr>
        <w:t xml:space="preserve"> as the only recourse for MMF to obtain direct access to central bank money in the event of a severe crisis</w:t>
      </w:r>
      <w:r w:rsidRPr="002D6D14">
        <w:rPr>
          <w:lang w:val="en-US"/>
        </w:rPr>
        <w:t>.</w:t>
      </w:r>
    </w:p>
    <w:permEnd w:id="575285207"/>
    <w:p w14:paraId="40A9AA66" w14:textId="206643A9" w:rsidR="00492B3A" w:rsidRDefault="00492B3A" w:rsidP="00492B3A">
      <w:r>
        <w:t>&lt;ESMA_QUESTION_</w:t>
      </w:r>
      <w:r w:rsidR="00DC1B3F">
        <w:t>MMFR</w:t>
      </w:r>
      <w:r>
        <w:t>_12&gt;</w:t>
      </w:r>
    </w:p>
    <w:p w14:paraId="47FAF275" w14:textId="77777777" w:rsidR="00492B3A" w:rsidRDefault="00492B3A" w:rsidP="00492B3A"/>
    <w:p w14:paraId="01343F76" w14:textId="67793062" w:rsidR="00492B3A" w:rsidRDefault="000C1BA7" w:rsidP="00492B3A">
      <w:pPr>
        <w:pStyle w:val="Questionstyle"/>
      </w:pPr>
      <w:r w:rsidRPr="00F43E30">
        <w:rPr>
          <w:bdr w:val="none" w:sz="0" w:space="0" w:color="auto" w:frame="1"/>
          <w:lang w:val="en-IE"/>
        </w:rPr>
        <w:t>Do you agree with the above assessment on the potential need of further clarification of the requirements of articles 1 and 6 of the MMF Regulation? When you answer this question, please also take into account the grid of criteria listed in paragraphs 76 to 80</w:t>
      </w:r>
      <w:r w:rsidR="00A014B6" w:rsidRPr="00A014B6">
        <w:t>.</w:t>
      </w:r>
    </w:p>
    <w:p w14:paraId="4C7333E2" w14:textId="452B3A65" w:rsidR="00492B3A" w:rsidRDefault="00492B3A" w:rsidP="00492B3A">
      <w:r>
        <w:t>&lt;ESMA_QUESTION_</w:t>
      </w:r>
      <w:r w:rsidR="00DC1B3F">
        <w:t>MMFR</w:t>
      </w:r>
      <w:r>
        <w:t>_13&gt;</w:t>
      </w:r>
    </w:p>
    <w:p w14:paraId="7A9A50C5" w14:textId="31CA6E91" w:rsidR="00492B3A" w:rsidRPr="003F4263" w:rsidRDefault="002E0DCD" w:rsidP="00492B3A">
      <w:pPr>
        <w:rPr>
          <w:rFonts w:asciiTheme="minorHAnsi" w:hAnsiTheme="minorHAnsi" w:cstheme="minorBidi"/>
          <w:sz w:val="22"/>
          <w:szCs w:val="22"/>
          <w:lang w:val="en-US" w:eastAsia="en-GB"/>
        </w:rPr>
      </w:pPr>
      <w:permStart w:id="384379543" w:edGrp="everyone"/>
      <w:r w:rsidRPr="003F4263">
        <w:rPr>
          <w:rFonts w:asciiTheme="minorHAnsi" w:hAnsiTheme="minorHAnsi" w:cstheme="minorBidi"/>
          <w:sz w:val="22"/>
          <w:szCs w:val="22"/>
          <w:lang w:val="en-US" w:eastAsia="en-GB"/>
        </w:rPr>
        <w:t>We see no need for further clarification, as we consider the scope of MMFR to be unambiguous as set forth in the requirements of Article 1 and 6.</w:t>
      </w:r>
    </w:p>
    <w:permEnd w:id="384379543"/>
    <w:p w14:paraId="0D19A1E9" w14:textId="18F528CC" w:rsidR="00492B3A" w:rsidRDefault="00492B3A" w:rsidP="00492B3A">
      <w:r>
        <w:t>&lt;ESMA_QUESTION_</w:t>
      </w:r>
      <w:r w:rsidR="00DC1B3F">
        <w:t>MMFR</w:t>
      </w:r>
      <w:r>
        <w:t>_13&gt;</w:t>
      </w:r>
    </w:p>
    <w:p w14:paraId="2B65235D" w14:textId="77777777" w:rsidR="00492B3A" w:rsidRDefault="00492B3A" w:rsidP="00492B3A"/>
    <w:p w14:paraId="5B79D316" w14:textId="77777777" w:rsidR="00014A67" w:rsidRPr="00014A67" w:rsidRDefault="00014A67" w:rsidP="00014A67">
      <w:pPr>
        <w:rPr>
          <w:lang w:eastAsia="en-US"/>
        </w:rPr>
      </w:pPr>
    </w:p>
    <w:sectPr w:rsidR="00014A67" w:rsidRPr="00014A67" w:rsidSect="00A8728B">
      <w:headerReference w:type="even" r:id="rId20"/>
      <w:headerReference w:type="first" r:id="rId21"/>
      <w:footerReference w:type="first" r:id="rId22"/>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6125A1" w14:textId="77777777" w:rsidR="003E39F0" w:rsidRDefault="003E39F0">
      <w:r>
        <w:separator/>
      </w:r>
    </w:p>
    <w:p w14:paraId="1FED7359" w14:textId="77777777" w:rsidR="003E39F0" w:rsidRDefault="003E39F0"/>
  </w:endnote>
  <w:endnote w:type="continuationSeparator" w:id="0">
    <w:p w14:paraId="7E9AD7DE" w14:textId="77777777" w:rsidR="003E39F0" w:rsidRDefault="003E39F0">
      <w:r>
        <w:continuationSeparator/>
      </w:r>
    </w:p>
    <w:p w14:paraId="15584DDF" w14:textId="77777777" w:rsidR="003E39F0" w:rsidRDefault="003E39F0"/>
  </w:endnote>
  <w:endnote w:type="continuationNotice" w:id="1">
    <w:p w14:paraId="3AA15B26" w14:textId="77777777" w:rsidR="003E39F0" w:rsidRDefault="003E39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00"/>
    <w:family w:val="auto"/>
    <w:pitch w:val="variable"/>
    <w:sig w:usb0="E1000AEF" w:usb1="5000A1FF" w:usb2="00000000" w:usb3="00000000" w:csb0="000001BF" w:csb1="00000000"/>
  </w:font>
  <w:font w:name="EUAlbertina">
    <w:altName w:val="Cambri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14:paraId="5517B000" w14:textId="77777777" w:rsidTr="00315E96">
      <w:trPr>
        <w:trHeight w:val="284"/>
      </w:trPr>
      <w:tc>
        <w:tcPr>
          <w:tcW w:w="8460" w:type="dxa"/>
        </w:tcPr>
        <w:p w14:paraId="4C959F65" w14:textId="77777777" w:rsidR="00811EDA" w:rsidRPr="00315E96" w:rsidRDefault="00811EDA" w:rsidP="00315E96">
          <w:pPr>
            <w:pStyle w:val="00Footer"/>
            <w:rPr>
              <w:lang w:val="fr-FR"/>
            </w:rPr>
          </w:pPr>
        </w:p>
      </w:tc>
      <w:tc>
        <w:tcPr>
          <w:tcW w:w="952" w:type="dxa"/>
        </w:tcPr>
        <w:p w14:paraId="2310C30E" w14:textId="04FDFF2B"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2B3FD2">
            <w:rPr>
              <w:rFonts w:cs="Arial"/>
              <w:noProof/>
              <w:sz w:val="22"/>
              <w:szCs w:val="22"/>
            </w:rPr>
            <w:t>20</w:t>
          </w:r>
          <w:r w:rsidRPr="00616B9B">
            <w:rPr>
              <w:rFonts w:cs="Arial"/>
              <w:noProof/>
              <w:sz w:val="22"/>
              <w:szCs w:val="22"/>
            </w:rPr>
            <w:fldChar w:fldCharType="end"/>
          </w:r>
        </w:p>
      </w:tc>
    </w:tr>
  </w:tbl>
  <w:p w14:paraId="08C7C785" w14:textId="77777777" w:rsidR="00811EDA" w:rsidRDefault="00811ED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9F6AEC" w14:textId="77777777" w:rsidR="00811EDA" w:rsidRDefault="00811ED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2883D2" w14:textId="77777777" w:rsidR="003E39F0" w:rsidRDefault="003E39F0">
      <w:r>
        <w:separator/>
      </w:r>
    </w:p>
    <w:p w14:paraId="51560108" w14:textId="77777777" w:rsidR="003E39F0" w:rsidRDefault="003E39F0"/>
  </w:footnote>
  <w:footnote w:type="continuationSeparator" w:id="0">
    <w:p w14:paraId="1DC8A7A6" w14:textId="77777777" w:rsidR="003E39F0" w:rsidRDefault="003E39F0">
      <w:r>
        <w:continuationSeparator/>
      </w:r>
    </w:p>
    <w:p w14:paraId="35D455DC" w14:textId="77777777" w:rsidR="003E39F0" w:rsidRDefault="003E39F0"/>
  </w:footnote>
  <w:footnote w:type="continuationNotice" w:id="1">
    <w:p w14:paraId="37C2E63B" w14:textId="77777777" w:rsidR="003E39F0" w:rsidRDefault="003E39F0"/>
  </w:footnote>
  <w:footnote w:id="2">
    <w:p w14:paraId="245B8B11" w14:textId="77777777" w:rsidR="00077D89" w:rsidRPr="008D21F0" w:rsidRDefault="00077D89" w:rsidP="002E0DCD">
      <w:pPr>
        <w:pStyle w:val="Pieddepage"/>
        <w:numPr>
          <w:ilvl w:val="0"/>
          <w:numId w:val="41"/>
        </w:numPr>
        <w:rPr>
          <w:sz w:val="21"/>
          <w:lang w:val="en-US"/>
        </w:rPr>
      </w:pPr>
      <w:r>
        <w:rPr>
          <w:rStyle w:val="Appelnotedebasdep"/>
        </w:rPr>
        <w:footnoteRef/>
      </w:r>
      <w:r w:rsidRPr="008D21F0">
        <w:rPr>
          <w:sz w:val="21"/>
        </w:rPr>
        <w:t xml:space="preserve"> </w:t>
      </w:r>
      <w:r w:rsidRPr="00077D89">
        <w:rPr>
          <w:sz w:val="18"/>
          <w:lang w:val="en-US"/>
        </w:rPr>
        <w:t xml:space="preserve">Source: ESMA Report on Trends, Risks and Vulnerabilities, n°1, 2021, RA.4 (p62), on MMF size: LVNAV (591 EUR </w:t>
      </w:r>
      <w:proofErr w:type="spellStart"/>
      <w:r w:rsidRPr="00077D89">
        <w:rPr>
          <w:sz w:val="18"/>
          <w:lang w:val="en-US"/>
        </w:rPr>
        <w:t>bn</w:t>
      </w:r>
      <w:proofErr w:type="spellEnd"/>
      <w:r w:rsidRPr="00077D89">
        <w:rPr>
          <w:sz w:val="18"/>
          <w:lang w:val="en-US"/>
        </w:rPr>
        <w:t xml:space="preserve">), VNAV (581 EUR </w:t>
      </w:r>
      <w:proofErr w:type="spellStart"/>
      <w:r w:rsidRPr="00077D89">
        <w:rPr>
          <w:sz w:val="18"/>
          <w:lang w:val="en-US"/>
        </w:rPr>
        <w:t>bn</w:t>
      </w:r>
      <w:proofErr w:type="spellEnd"/>
      <w:r w:rsidRPr="00077D89">
        <w:rPr>
          <w:sz w:val="18"/>
          <w:lang w:val="en-US"/>
        </w:rPr>
        <w:t xml:space="preserve">) and CNAV (76 EUR </w:t>
      </w:r>
      <w:proofErr w:type="spellStart"/>
      <w:r w:rsidRPr="00077D89">
        <w:rPr>
          <w:sz w:val="18"/>
          <w:lang w:val="en-US"/>
        </w:rPr>
        <w:t>bn</w:t>
      </w:r>
      <w:proofErr w:type="spellEnd"/>
      <w:r w:rsidRPr="00077D89">
        <w:rPr>
          <w:sz w:val="18"/>
          <w:lang w:val="en-US"/>
        </w:rPr>
        <w:t xml:space="preserve">) </w:t>
      </w:r>
    </w:p>
    <w:p w14:paraId="66F2C82B" w14:textId="77777777" w:rsidR="00077D89" w:rsidRDefault="00077D89" w:rsidP="00077D89">
      <w:pPr>
        <w:pStyle w:val="Notedebasdepage"/>
      </w:pPr>
    </w:p>
  </w:footnote>
  <w:footnote w:id="3">
    <w:p w14:paraId="673F1C36" w14:textId="704006E5" w:rsidR="00027E57" w:rsidRPr="00027E57" w:rsidRDefault="00027E57">
      <w:pPr>
        <w:pStyle w:val="Notedebasdepage"/>
        <w:rPr>
          <w:lang w:val="en-US"/>
        </w:rPr>
      </w:pPr>
      <w:r>
        <w:rPr>
          <w:rStyle w:val="Appelnotedebasdep"/>
        </w:rPr>
        <w:footnoteRef/>
      </w:r>
      <w:r>
        <w:t xml:space="preserve"> </w:t>
      </w:r>
      <w:r w:rsidRPr="00027E57">
        <w:rPr>
          <w:lang w:val="en-US"/>
        </w:rPr>
        <w:t>See Table 8 (p34) and Annex C</w:t>
      </w:r>
      <w:r>
        <w:rPr>
          <w:lang w:val="en-US"/>
        </w:rPr>
        <w:t xml:space="preserve"> (p44)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63FC29" w14:textId="77777777" w:rsidR="00811EDA" w:rsidRDefault="00DE66EB">
    <w:pPr>
      <w:pStyle w:val="En-tte"/>
    </w:pPr>
    <w:r>
      <w:rPr>
        <w:noProof/>
        <w:lang w:val="fr-FR" w:eastAsia="zh-CN"/>
      </w:rPr>
      <w:drawing>
        <wp:anchor distT="0" distB="0" distL="114300" distR="114300" simplePos="0" relativeHeight="251658240" behindDoc="0" locked="0" layoutInCell="1" allowOverlap="1" wp14:anchorId="58007497" wp14:editId="2485B028">
          <wp:simplePos x="0" y="0"/>
          <wp:positionH relativeFrom="page">
            <wp:posOffset>791845</wp:posOffset>
          </wp:positionH>
          <wp:positionV relativeFrom="page">
            <wp:posOffset>612140</wp:posOffset>
          </wp:positionV>
          <wp:extent cx="561975" cy="561975"/>
          <wp:effectExtent l="0" t="0" r="9525" b="9525"/>
          <wp:wrapNone/>
          <wp:docPr id="5"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fr-FR" w:eastAsia="zh-CN"/>
      </w:rPr>
      <mc:AlternateContent>
        <mc:Choice Requires="wps">
          <w:drawing>
            <wp:anchor distT="0" distB="0" distL="114295" distR="114295" simplePos="0" relativeHeight="251656192" behindDoc="0" locked="0" layoutInCell="1" allowOverlap="1" wp14:anchorId="37C3A634" wp14:editId="67CBF127">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2BFA7D6"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97EF13" w14:textId="77777777" w:rsidR="00811EDA" w:rsidRDefault="00DE66EB" w:rsidP="00013CCE">
    <w:pPr>
      <w:pStyle w:val="En-tte"/>
      <w:jc w:val="right"/>
    </w:pPr>
    <w:r>
      <w:rPr>
        <w:noProof/>
        <w:lang w:val="fr-FR" w:eastAsia="zh-CN"/>
      </w:rPr>
      <w:drawing>
        <wp:anchor distT="0" distB="0" distL="114300" distR="114300" simplePos="0" relativeHeight="251657216" behindDoc="0" locked="0" layoutInCell="1" allowOverlap="1" wp14:anchorId="15EF6453" wp14:editId="1BE880FF">
          <wp:simplePos x="0" y="0"/>
          <wp:positionH relativeFrom="page">
            <wp:posOffset>377825</wp:posOffset>
          </wp:positionH>
          <wp:positionV relativeFrom="page">
            <wp:posOffset>377825</wp:posOffset>
          </wp:positionV>
          <wp:extent cx="2209800" cy="904875"/>
          <wp:effectExtent l="0" t="0" r="0" b="9525"/>
          <wp:wrapNone/>
          <wp:docPr id="7"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fr-FR" w:eastAsia="zh-CN"/>
      </w:rPr>
      <w:drawing>
        <wp:anchor distT="0" distB="0" distL="114300" distR="114300" simplePos="0" relativeHeight="251655168" behindDoc="1" locked="0" layoutInCell="1" allowOverlap="1" wp14:anchorId="41A97CFF" wp14:editId="1E2D0B9F">
          <wp:simplePos x="0" y="0"/>
          <wp:positionH relativeFrom="page">
            <wp:posOffset>0</wp:posOffset>
          </wp:positionH>
          <wp:positionV relativeFrom="page">
            <wp:posOffset>3895725</wp:posOffset>
          </wp:positionV>
          <wp:extent cx="7560310" cy="6800850"/>
          <wp:effectExtent l="0" t="0" r="2540" b="0"/>
          <wp:wrapNone/>
          <wp:docPr id="8"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914387" w14:textId="77777777" w:rsidR="00811EDA" w:rsidRDefault="00811EDA"/>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14:paraId="5849CEB8" w14:textId="77777777" w:rsidTr="000C06C9">
      <w:trPr>
        <w:trHeight w:val="284"/>
      </w:trPr>
      <w:tc>
        <w:tcPr>
          <w:tcW w:w="8460" w:type="dxa"/>
        </w:tcPr>
        <w:p w14:paraId="2B1CC9DC" w14:textId="77777777" w:rsidR="00811EDA" w:rsidRPr="000C3B6D" w:rsidRDefault="00811EDA" w:rsidP="000C06C9">
          <w:pPr>
            <w:pStyle w:val="00Footer"/>
            <w:rPr>
              <w:lang w:val="fr-FR"/>
            </w:rPr>
          </w:pPr>
        </w:p>
      </w:tc>
      <w:tc>
        <w:tcPr>
          <w:tcW w:w="952" w:type="dxa"/>
        </w:tcPr>
        <w:p w14:paraId="0A78D32B" w14:textId="77777777" w:rsidR="00811EDA" w:rsidRPr="00146B34" w:rsidRDefault="00811EDA" w:rsidP="000C06C9">
          <w:pPr>
            <w:pStyle w:val="00aPagenumber"/>
            <w:rPr>
              <w:lang w:val="fr-FR"/>
            </w:rPr>
          </w:pPr>
        </w:p>
      </w:tc>
    </w:tr>
  </w:tbl>
  <w:p w14:paraId="228C483B" w14:textId="77777777" w:rsidR="00811EDA" w:rsidRPr="00DB46C3" w:rsidRDefault="00811EDA">
    <w:pPr>
      <w:rPr>
        <w:lang w:val="fr-FR"/>
      </w:rPr>
    </w:pPr>
  </w:p>
  <w:p w14:paraId="7ABBBBAC" w14:textId="77777777" w:rsidR="00811EDA" w:rsidRPr="002F4496" w:rsidRDefault="00811EDA">
    <w:pPr>
      <w:pStyle w:val="En-tte"/>
      <w:rPr>
        <w:lang w:val="fr-FR"/>
      </w:rPr>
    </w:pPr>
  </w:p>
  <w:p w14:paraId="0F1BB730" w14:textId="77777777" w:rsidR="00811EDA" w:rsidRPr="002F4496" w:rsidRDefault="00811EDA" w:rsidP="000C06C9">
    <w:pPr>
      <w:pStyle w:val="En-tte"/>
      <w:tabs>
        <w:tab w:val="clear" w:pos="4536"/>
        <w:tab w:val="clear" w:pos="9072"/>
        <w:tab w:val="left" w:pos="8227"/>
      </w:tabs>
      <w:rPr>
        <w:lang w:val="fr-FR"/>
      </w:rPr>
    </w:pPr>
  </w:p>
  <w:p w14:paraId="354F7019" w14:textId="77777777" w:rsidR="00811EDA" w:rsidRPr="002F4496" w:rsidRDefault="00811EDA" w:rsidP="000C06C9">
    <w:pPr>
      <w:pStyle w:val="En-tte"/>
      <w:tabs>
        <w:tab w:val="clear" w:pos="4536"/>
        <w:tab w:val="clear" w:pos="9072"/>
        <w:tab w:val="left" w:pos="8227"/>
      </w:tabs>
      <w:rPr>
        <w:lang w:val="fr-FR"/>
      </w:rPr>
    </w:pPr>
  </w:p>
  <w:p w14:paraId="438C49BF" w14:textId="77777777" w:rsidR="00811EDA" w:rsidRPr="002F4496" w:rsidRDefault="00811EDA">
    <w:pPr>
      <w:pStyle w:val="En-tte"/>
      <w:rPr>
        <w:lang w:val="fr-FR"/>
      </w:rPr>
    </w:pPr>
  </w:p>
  <w:p w14:paraId="77F5F5FB" w14:textId="77777777" w:rsidR="00811EDA" w:rsidRPr="002F4496" w:rsidRDefault="00811EDA">
    <w:pPr>
      <w:pStyle w:val="En-tte"/>
      <w:rPr>
        <w:lang w:val="fr-FR"/>
      </w:rPr>
    </w:pPr>
  </w:p>
  <w:p w14:paraId="31EA96F8" w14:textId="77777777" w:rsidR="00811EDA" w:rsidRPr="002F4496" w:rsidRDefault="00811EDA">
    <w:pPr>
      <w:pStyle w:val="En-tte"/>
      <w:rPr>
        <w:lang w:val="fr-FR"/>
      </w:rPr>
    </w:pPr>
  </w:p>
  <w:p w14:paraId="0FAE7A71" w14:textId="77777777" w:rsidR="00811EDA" w:rsidRPr="002F4496" w:rsidRDefault="00811EDA">
    <w:pPr>
      <w:pStyle w:val="En-tte"/>
      <w:rPr>
        <w:lang w:val="fr-FR"/>
      </w:rPr>
    </w:pPr>
  </w:p>
  <w:p w14:paraId="339C0C6E" w14:textId="77777777" w:rsidR="00811EDA" w:rsidRPr="002F4496" w:rsidRDefault="00811EDA">
    <w:pPr>
      <w:pStyle w:val="En-tte"/>
      <w:rPr>
        <w:highlight w:val="yellow"/>
        <w:lang w:val="fr-FR"/>
      </w:rPr>
    </w:pPr>
  </w:p>
  <w:p w14:paraId="0495A777" w14:textId="77777777" w:rsidR="00811EDA" w:rsidRDefault="00DE66EB">
    <w:pPr>
      <w:pStyle w:val="En-tte"/>
    </w:pPr>
    <w:r>
      <w:rPr>
        <w:noProof/>
        <w:lang w:val="fr-FR" w:eastAsia="zh-CN"/>
      </w:rPr>
      <mc:AlternateContent>
        <mc:Choice Requires="wps">
          <w:drawing>
            <wp:anchor distT="0" distB="0" distL="114299" distR="114299" simplePos="0" relativeHeight="251660288" behindDoc="0" locked="0" layoutInCell="1" allowOverlap="1" wp14:anchorId="41238317" wp14:editId="0A68E944">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0902F5C"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" strokecolor="#283583" strokeweight="1pt">
              <w10:wrap anchorx="page" anchory="page"/>
            </v:line>
          </w:pict>
        </mc:Fallback>
      </mc:AlternateContent>
    </w:r>
    <w:r>
      <w:rPr>
        <w:noProof/>
        <w:lang w:val="fr-FR" w:eastAsia="zh-CN"/>
      </w:rPr>
      <w:drawing>
        <wp:anchor distT="0" distB="0" distL="114300" distR="114300" simplePos="0" relativeHeight="251659264" behindDoc="0" locked="0" layoutInCell="1" allowOverlap="1" wp14:anchorId="75C99C5C" wp14:editId="52805A46">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epuces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FE6107F"/>
    <w:multiLevelType w:val="hybridMultilevel"/>
    <w:tmpl w:val="F954B76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5" w15:restartNumberingAfterBreak="0">
    <w:nsid w:val="1DAE53C8"/>
    <w:multiLevelType w:val="multilevel"/>
    <w:tmpl w:val="ACFA87A8"/>
    <w:lvl w:ilvl="0">
      <w:start w:val="1"/>
      <w:numFmt w:val="decimal"/>
      <w:pStyle w:val="Corpsdetexte"/>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1B01235"/>
    <w:multiLevelType w:val="hybridMultilevel"/>
    <w:tmpl w:val="D870D8F0"/>
    <w:lvl w:ilvl="0" w:tplc="AC7A37E0">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1BB333A"/>
    <w:multiLevelType w:val="hybridMultilevel"/>
    <w:tmpl w:val="89FAA588"/>
    <w:lvl w:ilvl="0" w:tplc="EEE68226">
      <w:numFmt w:val="bullet"/>
      <w:lvlText w:val="-"/>
      <w:lvlJc w:val="left"/>
      <w:pPr>
        <w:ind w:left="720" w:hanging="360"/>
      </w:pPr>
      <w:rPr>
        <w:rFonts w:ascii="Calibri" w:eastAsiaTheme="minorEastAsia" w:hAnsi="Calibri" w:cs="Calibri" w:hint="default"/>
      </w:rPr>
    </w:lvl>
    <w:lvl w:ilvl="1" w:tplc="F30467AE">
      <w:start w:val="1"/>
      <w:numFmt w:val="bullet"/>
      <w:lvlText w:val="-"/>
      <w:lvlJc w:val="left"/>
      <w:pPr>
        <w:ind w:left="1440" w:hanging="360"/>
      </w:pPr>
      <w:rPr>
        <w:rFonts w:ascii="Arial" w:hAnsi="Arial"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9"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1"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15:restartNumberingAfterBreak="0">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52232B"/>
    <w:multiLevelType w:val="hybridMultilevel"/>
    <w:tmpl w:val="BF362E2A"/>
    <w:lvl w:ilvl="0" w:tplc="5FB40A98">
      <w:start w:val="1"/>
      <w:numFmt w:val="decimal"/>
      <w:pStyle w:val="Questionstyle"/>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6" w15:restartNumberingAfterBreak="0">
    <w:nsid w:val="3A841364"/>
    <w:multiLevelType w:val="hybridMultilevel"/>
    <w:tmpl w:val="21CCF614"/>
    <w:lvl w:ilvl="0" w:tplc="08090017">
      <w:start w:val="1"/>
      <w:numFmt w:val="lowerLetter"/>
      <w:pStyle w:val="Listepuces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8"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0"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1"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2"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4" w15:restartNumberingAfterBreak="0">
    <w:nsid w:val="4C7151D2"/>
    <w:multiLevelType w:val="hybridMultilevel"/>
    <w:tmpl w:val="DE90C632"/>
    <w:lvl w:ilvl="0" w:tplc="08090001">
      <w:start w:val="1"/>
      <w:numFmt w:val="bullet"/>
      <w:pStyle w:val="Listepuces"/>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522A503E"/>
    <w:multiLevelType w:val="multilevel"/>
    <w:tmpl w:val="2FECF7B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Titre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Titre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8" w15:restartNumberingAfterBreak="0">
    <w:nsid w:val="55DE60E9"/>
    <w:multiLevelType w:val="hybridMultilevel"/>
    <w:tmpl w:val="1084069A"/>
    <w:lvl w:ilvl="0" w:tplc="B532C018">
      <w:start w:val="2"/>
      <w:numFmt w:val="upperRoman"/>
      <w:pStyle w:val="Titre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0"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1"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2"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3" w15:restartNumberingAfterBreak="0">
    <w:nsid w:val="605735B9"/>
    <w:multiLevelType w:val="hybridMultilevel"/>
    <w:tmpl w:val="AD1C76E8"/>
    <w:lvl w:ilvl="0" w:tplc="6658B948">
      <w:start w:val="1"/>
      <w:numFmt w:val="decimal"/>
      <w:pStyle w:val="Titre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1E67700"/>
    <w:multiLevelType w:val="hybridMultilevel"/>
    <w:tmpl w:val="75FA8684"/>
    <w:lvl w:ilvl="0" w:tplc="34B43D72">
      <w:start w:val="8"/>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970F71"/>
    <w:multiLevelType w:val="singleLevel"/>
    <w:tmpl w:val="A8CADBFA"/>
    <w:name w:val="Bullet 0"/>
    <w:lvl w:ilvl="0">
      <w:start w:val="1"/>
      <w:numFmt w:val="bullet"/>
      <w:pStyle w:val="Listenumros"/>
      <w:lvlText w:val="–"/>
      <w:lvlJc w:val="left"/>
      <w:pPr>
        <w:tabs>
          <w:tab w:val="num" w:pos="1417"/>
        </w:tabs>
        <w:ind w:left="1417" w:hanging="567"/>
      </w:pPr>
    </w:lvl>
  </w:abstractNum>
  <w:abstractNum w:abstractNumId="36" w15:restartNumberingAfterBreak="0">
    <w:nsid w:val="641A7BFC"/>
    <w:multiLevelType w:val="hybridMultilevel"/>
    <w:tmpl w:val="BFF4A692"/>
    <w:lvl w:ilvl="0" w:tplc="F30467AE">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8"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9"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1"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2"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8"/>
  </w:num>
  <w:num w:numId="2">
    <w:abstractNumId w:val="20"/>
  </w:num>
  <w:num w:numId="3">
    <w:abstractNumId w:val="13"/>
  </w:num>
  <w:num w:numId="4">
    <w:abstractNumId w:val="26"/>
  </w:num>
  <w:num w:numId="5">
    <w:abstractNumId w:val="28"/>
  </w:num>
  <w:num w:numId="6">
    <w:abstractNumId w:val="0"/>
  </w:num>
  <w:num w:numId="7">
    <w:abstractNumId w:val="4"/>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5"/>
  </w:num>
  <w:num w:numId="1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33"/>
  </w:num>
  <w:num w:numId="14">
    <w:abstractNumId w:val="24"/>
  </w:num>
  <w:num w:numId="15">
    <w:abstractNumId w:val="11"/>
  </w:num>
  <w:num w:numId="16">
    <w:abstractNumId w:val="1"/>
  </w:num>
  <w:num w:numId="17">
    <w:abstractNumId w:val="16"/>
  </w:num>
  <w:num w:numId="18">
    <w:abstractNumId w:val="17"/>
  </w:num>
  <w:num w:numId="19">
    <w:abstractNumId w:val="19"/>
  </w:num>
  <w:num w:numId="20">
    <w:abstractNumId w:val="29"/>
  </w:num>
  <w:num w:numId="21">
    <w:abstractNumId w:val="40"/>
  </w:num>
  <w:num w:numId="22">
    <w:abstractNumId w:val="27"/>
  </w:num>
  <w:num w:numId="23">
    <w:abstractNumId w:val="10"/>
  </w:num>
  <w:num w:numId="24">
    <w:abstractNumId w:val="32"/>
  </w:num>
  <w:num w:numId="25">
    <w:abstractNumId w:val="31"/>
  </w:num>
  <w:num w:numId="26">
    <w:abstractNumId w:val="21"/>
  </w:num>
  <w:num w:numId="27">
    <w:abstractNumId w:val="37"/>
  </w:num>
  <w:num w:numId="28">
    <w:abstractNumId w:val="42"/>
  </w:num>
  <w:num w:numId="29">
    <w:abstractNumId w:val="8"/>
  </w:num>
  <w:num w:numId="30">
    <w:abstractNumId w:val="3"/>
  </w:num>
  <w:num w:numId="31">
    <w:abstractNumId w:val="23"/>
  </w:num>
  <w:num w:numId="32">
    <w:abstractNumId w:val="22"/>
  </w:num>
  <w:num w:numId="33">
    <w:abstractNumId w:val="39"/>
  </w:num>
  <w:num w:numId="34">
    <w:abstractNumId w:val="38"/>
  </w:num>
  <w:num w:numId="35">
    <w:abstractNumId w:val="12"/>
  </w:num>
  <w:num w:numId="36">
    <w:abstractNumId w:val="14"/>
  </w:num>
  <w:num w:numId="37">
    <w:abstractNumId w:val="34"/>
  </w:num>
  <w:num w:numId="38">
    <w:abstractNumId w:val="14"/>
    <w:lvlOverride w:ilvl="0">
      <w:startOverride w:val="1"/>
    </w:lvlOverride>
  </w:num>
  <w:num w:numId="39">
    <w:abstractNumId w:val="2"/>
  </w:num>
  <w:num w:numId="40">
    <w:abstractNumId w:val="7"/>
  </w:num>
  <w:num w:numId="41">
    <w:abstractNumId w:val="6"/>
  </w:num>
  <w:num w:numId="42">
    <w:abstractNumId w:val="36"/>
  </w:num>
  <w:num w:numId="43">
    <w:abstractNumId w:val="25"/>
  </w:num>
  <w:num w:numId="4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Ejv/gKEZsV5EvM8OivcqZUTc+fjpvceAPQ+oJQnjBU2RmfVdKT6qAKEwDcIINMiH+7EdOlnEmydkpDBXlcyQyQ==" w:salt="8tGsDj2N2K2SdAXO9M7drw=="/>
  <w:defaultTabStop w:val="709"/>
  <w:autoHyphenation/>
  <w:hyphenationZone w:val="567"/>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370"/>
    <w:rsid w:val="000006AD"/>
    <w:rsid w:val="00001490"/>
    <w:rsid w:val="00002232"/>
    <w:rsid w:val="00002491"/>
    <w:rsid w:val="0000378E"/>
    <w:rsid w:val="00003AEB"/>
    <w:rsid w:val="00005BBA"/>
    <w:rsid w:val="00005D8C"/>
    <w:rsid w:val="000068A1"/>
    <w:rsid w:val="00006C2B"/>
    <w:rsid w:val="00007014"/>
    <w:rsid w:val="00007968"/>
    <w:rsid w:val="0001067A"/>
    <w:rsid w:val="00011C0F"/>
    <w:rsid w:val="00013CCE"/>
    <w:rsid w:val="000140D5"/>
    <w:rsid w:val="0001410B"/>
    <w:rsid w:val="000141D6"/>
    <w:rsid w:val="00014A67"/>
    <w:rsid w:val="00014A95"/>
    <w:rsid w:val="00015B5E"/>
    <w:rsid w:val="00015F1D"/>
    <w:rsid w:val="0001774B"/>
    <w:rsid w:val="00020D0F"/>
    <w:rsid w:val="000215EB"/>
    <w:rsid w:val="00021E83"/>
    <w:rsid w:val="000229B7"/>
    <w:rsid w:val="00023713"/>
    <w:rsid w:val="00023C4D"/>
    <w:rsid w:val="00025E71"/>
    <w:rsid w:val="00026035"/>
    <w:rsid w:val="00026269"/>
    <w:rsid w:val="00027154"/>
    <w:rsid w:val="00027E57"/>
    <w:rsid w:val="00027ECF"/>
    <w:rsid w:val="000303BE"/>
    <w:rsid w:val="000321C9"/>
    <w:rsid w:val="000344D6"/>
    <w:rsid w:val="00034960"/>
    <w:rsid w:val="00036FAE"/>
    <w:rsid w:val="00041858"/>
    <w:rsid w:val="0004389E"/>
    <w:rsid w:val="000439D8"/>
    <w:rsid w:val="000463A6"/>
    <w:rsid w:val="00046CC9"/>
    <w:rsid w:val="00046E91"/>
    <w:rsid w:val="000502FE"/>
    <w:rsid w:val="0005126D"/>
    <w:rsid w:val="00051992"/>
    <w:rsid w:val="00051DFE"/>
    <w:rsid w:val="00051E9A"/>
    <w:rsid w:val="000521A7"/>
    <w:rsid w:val="00052F47"/>
    <w:rsid w:val="0005399B"/>
    <w:rsid w:val="00054DE6"/>
    <w:rsid w:val="000569D7"/>
    <w:rsid w:val="000576D7"/>
    <w:rsid w:val="00060F72"/>
    <w:rsid w:val="00062592"/>
    <w:rsid w:val="000636A1"/>
    <w:rsid w:val="000649D9"/>
    <w:rsid w:val="000652BE"/>
    <w:rsid w:val="00066479"/>
    <w:rsid w:val="00066F6B"/>
    <w:rsid w:val="0006723C"/>
    <w:rsid w:val="00070376"/>
    <w:rsid w:val="00070974"/>
    <w:rsid w:val="00071EAD"/>
    <w:rsid w:val="00071F4E"/>
    <w:rsid w:val="00072271"/>
    <w:rsid w:val="00072B54"/>
    <w:rsid w:val="0007463D"/>
    <w:rsid w:val="000749F0"/>
    <w:rsid w:val="00075503"/>
    <w:rsid w:val="0007609D"/>
    <w:rsid w:val="00077C67"/>
    <w:rsid w:val="00077D89"/>
    <w:rsid w:val="00080976"/>
    <w:rsid w:val="00081148"/>
    <w:rsid w:val="00081CEB"/>
    <w:rsid w:val="00081E60"/>
    <w:rsid w:val="00082D8E"/>
    <w:rsid w:val="00082E31"/>
    <w:rsid w:val="00083AA3"/>
    <w:rsid w:val="000844F2"/>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58BE"/>
    <w:rsid w:val="000A7314"/>
    <w:rsid w:val="000A7B53"/>
    <w:rsid w:val="000A7B64"/>
    <w:rsid w:val="000A7D5F"/>
    <w:rsid w:val="000B0890"/>
    <w:rsid w:val="000B275C"/>
    <w:rsid w:val="000B2C3D"/>
    <w:rsid w:val="000B55C0"/>
    <w:rsid w:val="000B5DF2"/>
    <w:rsid w:val="000C06C9"/>
    <w:rsid w:val="000C1BA7"/>
    <w:rsid w:val="000C1DCC"/>
    <w:rsid w:val="000C1FBC"/>
    <w:rsid w:val="000C2B6A"/>
    <w:rsid w:val="000C2F88"/>
    <w:rsid w:val="000C55C8"/>
    <w:rsid w:val="000C57C4"/>
    <w:rsid w:val="000C5FD3"/>
    <w:rsid w:val="000C701D"/>
    <w:rsid w:val="000C7C4A"/>
    <w:rsid w:val="000D17AA"/>
    <w:rsid w:val="000D2D0B"/>
    <w:rsid w:val="000D340A"/>
    <w:rsid w:val="000D4660"/>
    <w:rsid w:val="000D5D1A"/>
    <w:rsid w:val="000D705D"/>
    <w:rsid w:val="000D7EB9"/>
    <w:rsid w:val="000E0223"/>
    <w:rsid w:val="000E0CF3"/>
    <w:rsid w:val="000E18A8"/>
    <w:rsid w:val="000E1AEC"/>
    <w:rsid w:val="000E3937"/>
    <w:rsid w:val="000E4926"/>
    <w:rsid w:val="000E5F7F"/>
    <w:rsid w:val="000E667A"/>
    <w:rsid w:val="000E7086"/>
    <w:rsid w:val="000E7C65"/>
    <w:rsid w:val="000F04D2"/>
    <w:rsid w:val="000F0F99"/>
    <w:rsid w:val="000F3C5C"/>
    <w:rsid w:val="000F55B7"/>
    <w:rsid w:val="000F604F"/>
    <w:rsid w:val="000F7399"/>
    <w:rsid w:val="001021EF"/>
    <w:rsid w:val="001027F1"/>
    <w:rsid w:val="00104F2E"/>
    <w:rsid w:val="00106124"/>
    <w:rsid w:val="001072DD"/>
    <w:rsid w:val="00110D7A"/>
    <w:rsid w:val="00111464"/>
    <w:rsid w:val="0011167D"/>
    <w:rsid w:val="00112892"/>
    <w:rsid w:val="00112E48"/>
    <w:rsid w:val="001130EA"/>
    <w:rsid w:val="00114259"/>
    <w:rsid w:val="001148DD"/>
    <w:rsid w:val="001168B2"/>
    <w:rsid w:val="00117C20"/>
    <w:rsid w:val="00120F0E"/>
    <w:rsid w:val="00121BED"/>
    <w:rsid w:val="00123D39"/>
    <w:rsid w:val="001244CD"/>
    <w:rsid w:val="0012566F"/>
    <w:rsid w:val="001262B1"/>
    <w:rsid w:val="00130F41"/>
    <w:rsid w:val="00130FAF"/>
    <w:rsid w:val="00135F2B"/>
    <w:rsid w:val="001372DD"/>
    <w:rsid w:val="00137D6E"/>
    <w:rsid w:val="001405BA"/>
    <w:rsid w:val="00141497"/>
    <w:rsid w:val="0014253A"/>
    <w:rsid w:val="001425C8"/>
    <w:rsid w:val="001431AE"/>
    <w:rsid w:val="00143B87"/>
    <w:rsid w:val="0014451A"/>
    <w:rsid w:val="001459E3"/>
    <w:rsid w:val="00146A0B"/>
    <w:rsid w:val="00146A6C"/>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0358"/>
    <w:rsid w:val="001707B9"/>
    <w:rsid w:val="00170D44"/>
    <w:rsid w:val="00171183"/>
    <w:rsid w:val="001725A5"/>
    <w:rsid w:val="00172681"/>
    <w:rsid w:val="0017268A"/>
    <w:rsid w:val="00173AC7"/>
    <w:rsid w:val="001745D7"/>
    <w:rsid w:val="00175754"/>
    <w:rsid w:val="00176982"/>
    <w:rsid w:val="0017701C"/>
    <w:rsid w:val="00177C6B"/>
    <w:rsid w:val="00181264"/>
    <w:rsid w:val="001817D7"/>
    <w:rsid w:val="00181BD1"/>
    <w:rsid w:val="0018204A"/>
    <w:rsid w:val="00182526"/>
    <w:rsid w:val="00182AFE"/>
    <w:rsid w:val="00182F7C"/>
    <w:rsid w:val="001843B5"/>
    <w:rsid w:val="00186829"/>
    <w:rsid w:val="001868CA"/>
    <w:rsid w:val="00187304"/>
    <w:rsid w:val="001875BE"/>
    <w:rsid w:val="0019017A"/>
    <w:rsid w:val="00190B8C"/>
    <w:rsid w:val="00190FF8"/>
    <w:rsid w:val="0019311A"/>
    <w:rsid w:val="0019508A"/>
    <w:rsid w:val="00195BFF"/>
    <w:rsid w:val="001960D8"/>
    <w:rsid w:val="001A1642"/>
    <w:rsid w:val="001A371B"/>
    <w:rsid w:val="001A4766"/>
    <w:rsid w:val="001A5E5C"/>
    <w:rsid w:val="001A6A0D"/>
    <w:rsid w:val="001A6C51"/>
    <w:rsid w:val="001A6FAA"/>
    <w:rsid w:val="001A7D73"/>
    <w:rsid w:val="001B0363"/>
    <w:rsid w:val="001B1355"/>
    <w:rsid w:val="001B3138"/>
    <w:rsid w:val="001B38DE"/>
    <w:rsid w:val="001B4C43"/>
    <w:rsid w:val="001B4E4B"/>
    <w:rsid w:val="001B50AC"/>
    <w:rsid w:val="001B55FB"/>
    <w:rsid w:val="001B5E05"/>
    <w:rsid w:val="001B6D68"/>
    <w:rsid w:val="001B6F2E"/>
    <w:rsid w:val="001C0344"/>
    <w:rsid w:val="001C0F2A"/>
    <w:rsid w:val="001C16BA"/>
    <w:rsid w:val="001C1A59"/>
    <w:rsid w:val="001C270F"/>
    <w:rsid w:val="001C4679"/>
    <w:rsid w:val="001C5770"/>
    <w:rsid w:val="001C6195"/>
    <w:rsid w:val="001D000A"/>
    <w:rsid w:val="001D0883"/>
    <w:rsid w:val="001D2205"/>
    <w:rsid w:val="001D3A1F"/>
    <w:rsid w:val="001D3FB6"/>
    <w:rsid w:val="001D4550"/>
    <w:rsid w:val="001D536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1005"/>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0776"/>
    <w:rsid w:val="00232F90"/>
    <w:rsid w:val="00233B08"/>
    <w:rsid w:val="00233C3B"/>
    <w:rsid w:val="0023499C"/>
    <w:rsid w:val="00235CE3"/>
    <w:rsid w:val="0023636A"/>
    <w:rsid w:val="00236F34"/>
    <w:rsid w:val="002372F7"/>
    <w:rsid w:val="00240651"/>
    <w:rsid w:val="00240803"/>
    <w:rsid w:val="00241178"/>
    <w:rsid w:val="0024426D"/>
    <w:rsid w:val="00244F1D"/>
    <w:rsid w:val="00245004"/>
    <w:rsid w:val="00245FB4"/>
    <w:rsid w:val="00247FB6"/>
    <w:rsid w:val="00250898"/>
    <w:rsid w:val="00251EA9"/>
    <w:rsid w:val="00252341"/>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2DFB"/>
    <w:rsid w:val="002833D6"/>
    <w:rsid w:val="00283F51"/>
    <w:rsid w:val="00286064"/>
    <w:rsid w:val="002867B1"/>
    <w:rsid w:val="00287BBB"/>
    <w:rsid w:val="00287E3B"/>
    <w:rsid w:val="00290638"/>
    <w:rsid w:val="00291763"/>
    <w:rsid w:val="00291D80"/>
    <w:rsid w:val="00293156"/>
    <w:rsid w:val="00293BE7"/>
    <w:rsid w:val="002946DC"/>
    <w:rsid w:val="00296005"/>
    <w:rsid w:val="002A0925"/>
    <w:rsid w:val="002A0C82"/>
    <w:rsid w:val="002A0CD8"/>
    <w:rsid w:val="002A13EB"/>
    <w:rsid w:val="002A35EF"/>
    <w:rsid w:val="002A3DE0"/>
    <w:rsid w:val="002A40EA"/>
    <w:rsid w:val="002A46E8"/>
    <w:rsid w:val="002A491C"/>
    <w:rsid w:val="002B1FEF"/>
    <w:rsid w:val="002B2DF8"/>
    <w:rsid w:val="002B354F"/>
    <w:rsid w:val="002B3614"/>
    <w:rsid w:val="002B3FD2"/>
    <w:rsid w:val="002B45D1"/>
    <w:rsid w:val="002B4ED8"/>
    <w:rsid w:val="002B4FAA"/>
    <w:rsid w:val="002B52C2"/>
    <w:rsid w:val="002B711D"/>
    <w:rsid w:val="002B7656"/>
    <w:rsid w:val="002C1492"/>
    <w:rsid w:val="002C1E8B"/>
    <w:rsid w:val="002C27F9"/>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0DCD"/>
    <w:rsid w:val="002E1517"/>
    <w:rsid w:val="002E1B22"/>
    <w:rsid w:val="002E30BB"/>
    <w:rsid w:val="002E387F"/>
    <w:rsid w:val="002E5D63"/>
    <w:rsid w:val="002E7113"/>
    <w:rsid w:val="002E7F4B"/>
    <w:rsid w:val="002E7FB3"/>
    <w:rsid w:val="002F0C91"/>
    <w:rsid w:val="002F0E3E"/>
    <w:rsid w:val="002F1B19"/>
    <w:rsid w:val="002F1FBF"/>
    <w:rsid w:val="002F4139"/>
    <w:rsid w:val="00300624"/>
    <w:rsid w:val="00300F56"/>
    <w:rsid w:val="00301006"/>
    <w:rsid w:val="00303565"/>
    <w:rsid w:val="00304A71"/>
    <w:rsid w:val="003066C8"/>
    <w:rsid w:val="0030739D"/>
    <w:rsid w:val="00307AFB"/>
    <w:rsid w:val="00311184"/>
    <w:rsid w:val="0031127F"/>
    <w:rsid w:val="00312675"/>
    <w:rsid w:val="00314013"/>
    <w:rsid w:val="00314945"/>
    <w:rsid w:val="00315389"/>
    <w:rsid w:val="00315746"/>
    <w:rsid w:val="00315895"/>
    <w:rsid w:val="00315E96"/>
    <w:rsid w:val="00317FC8"/>
    <w:rsid w:val="00320B9B"/>
    <w:rsid w:val="003223D7"/>
    <w:rsid w:val="00323D9F"/>
    <w:rsid w:val="00324011"/>
    <w:rsid w:val="00324FDB"/>
    <w:rsid w:val="00325F48"/>
    <w:rsid w:val="003273FE"/>
    <w:rsid w:val="0033194F"/>
    <w:rsid w:val="00332304"/>
    <w:rsid w:val="00332406"/>
    <w:rsid w:val="00332D8D"/>
    <w:rsid w:val="003331A2"/>
    <w:rsid w:val="00336B56"/>
    <w:rsid w:val="00341B25"/>
    <w:rsid w:val="00341EC0"/>
    <w:rsid w:val="0034240C"/>
    <w:rsid w:val="00344496"/>
    <w:rsid w:val="00345968"/>
    <w:rsid w:val="00347667"/>
    <w:rsid w:val="003507E2"/>
    <w:rsid w:val="003522B2"/>
    <w:rsid w:val="0035379E"/>
    <w:rsid w:val="0035455E"/>
    <w:rsid w:val="00354A6F"/>
    <w:rsid w:val="00354B48"/>
    <w:rsid w:val="00355789"/>
    <w:rsid w:val="003557F4"/>
    <w:rsid w:val="00357C60"/>
    <w:rsid w:val="003609B6"/>
    <w:rsid w:val="00361119"/>
    <w:rsid w:val="0036538D"/>
    <w:rsid w:val="00365D12"/>
    <w:rsid w:val="0037018D"/>
    <w:rsid w:val="00372299"/>
    <w:rsid w:val="00372F02"/>
    <w:rsid w:val="00373729"/>
    <w:rsid w:val="00373C91"/>
    <w:rsid w:val="003748F0"/>
    <w:rsid w:val="003755C6"/>
    <w:rsid w:val="00375AEF"/>
    <w:rsid w:val="00375F8E"/>
    <w:rsid w:val="00376367"/>
    <w:rsid w:val="00376B02"/>
    <w:rsid w:val="0037733A"/>
    <w:rsid w:val="003776DC"/>
    <w:rsid w:val="003779C1"/>
    <w:rsid w:val="00380FEC"/>
    <w:rsid w:val="00381226"/>
    <w:rsid w:val="00381B1B"/>
    <w:rsid w:val="00381FF6"/>
    <w:rsid w:val="00383D7D"/>
    <w:rsid w:val="00384CCE"/>
    <w:rsid w:val="003865E5"/>
    <w:rsid w:val="00386BB8"/>
    <w:rsid w:val="003926C1"/>
    <w:rsid w:val="00392900"/>
    <w:rsid w:val="00393357"/>
    <w:rsid w:val="003939A7"/>
    <w:rsid w:val="00394CE6"/>
    <w:rsid w:val="00395E7B"/>
    <w:rsid w:val="00395F4C"/>
    <w:rsid w:val="003A0A78"/>
    <w:rsid w:val="003A5DAC"/>
    <w:rsid w:val="003A6591"/>
    <w:rsid w:val="003A6E9A"/>
    <w:rsid w:val="003B08C8"/>
    <w:rsid w:val="003B2567"/>
    <w:rsid w:val="003B381A"/>
    <w:rsid w:val="003B4976"/>
    <w:rsid w:val="003B4B3F"/>
    <w:rsid w:val="003B6258"/>
    <w:rsid w:val="003B7A99"/>
    <w:rsid w:val="003C0343"/>
    <w:rsid w:val="003C0E87"/>
    <w:rsid w:val="003C1C32"/>
    <w:rsid w:val="003C40DA"/>
    <w:rsid w:val="003C42BA"/>
    <w:rsid w:val="003C462F"/>
    <w:rsid w:val="003C4A02"/>
    <w:rsid w:val="003C4F05"/>
    <w:rsid w:val="003C6191"/>
    <w:rsid w:val="003C6E49"/>
    <w:rsid w:val="003C74B0"/>
    <w:rsid w:val="003D0CBF"/>
    <w:rsid w:val="003D0DD6"/>
    <w:rsid w:val="003D4B73"/>
    <w:rsid w:val="003D503B"/>
    <w:rsid w:val="003D605E"/>
    <w:rsid w:val="003D61D1"/>
    <w:rsid w:val="003D6780"/>
    <w:rsid w:val="003D6FCB"/>
    <w:rsid w:val="003D7C66"/>
    <w:rsid w:val="003E0F84"/>
    <w:rsid w:val="003E1FF3"/>
    <w:rsid w:val="003E39F0"/>
    <w:rsid w:val="003E3ACA"/>
    <w:rsid w:val="003E50EA"/>
    <w:rsid w:val="003E68C7"/>
    <w:rsid w:val="003E79B0"/>
    <w:rsid w:val="003F0403"/>
    <w:rsid w:val="003F1094"/>
    <w:rsid w:val="003F1D41"/>
    <w:rsid w:val="003F2E45"/>
    <w:rsid w:val="003F3EFE"/>
    <w:rsid w:val="003F40B8"/>
    <w:rsid w:val="003F4263"/>
    <w:rsid w:val="003F5C06"/>
    <w:rsid w:val="003F5E54"/>
    <w:rsid w:val="00400195"/>
    <w:rsid w:val="0040075B"/>
    <w:rsid w:val="0040254B"/>
    <w:rsid w:val="00403086"/>
    <w:rsid w:val="00403460"/>
    <w:rsid w:val="004040FF"/>
    <w:rsid w:val="00404284"/>
    <w:rsid w:val="004042C4"/>
    <w:rsid w:val="00406E90"/>
    <w:rsid w:val="00410240"/>
    <w:rsid w:val="00412253"/>
    <w:rsid w:val="004142ED"/>
    <w:rsid w:val="00415688"/>
    <w:rsid w:val="0041634D"/>
    <w:rsid w:val="00417EF7"/>
    <w:rsid w:val="00422A7D"/>
    <w:rsid w:val="00422BFC"/>
    <w:rsid w:val="00424642"/>
    <w:rsid w:val="0042504C"/>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6A79"/>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356"/>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73D"/>
    <w:rsid w:val="00486C17"/>
    <w:rsid w:val="00486DE2"/>
    <w:rsid w:val="00487117"/>
    <w:rsid w:val="00487A32"/>
    <w:rsid w:val="00487A91"/>
    <w:rsid w:val="004901E5"/>
    <w:rsid w:val="0049027D"/>
    <w:rsid w:val="004903D4"/>
    <w:rsid w:val="0049052B"/>
    <w:rsid w:val="00492457"/>
    <w:rsid w:val="004924A8"/>
    <w:rsid w:val="00492B3A"/>
    <w:rsid w:val="004934E9"/>
    <w:rsid w:val="00494737"/>
    <w:rsid w:val="00494D5C"/>
    <w:rsid w:val="00495A6A"/>
    <w:rsid w:val="004964F6"/>
    <w:rsid w:val="00496821"/>
    <w:rsid w:val="00497750"/>
    <w:rsid w:val="00497B44"/>
    <w:rsid w:val="004A00E5"/>
    <w:rsid w:val="004A01A7"/>
    <w:rsid w:val="004A03FB"/>
    <w:rsid w:val="004A0D09"/>
    <w:rsid w:val="004A116E"/>
    <w:rsid w:val="004A357F"/>
    <w:rsid w:val="004A3DAD"/>
    <w:rsid w:val="004A4AC0"/>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77A"/>
    <w:rsid w:val="004E49B0"/>
    <w:rsid w:val="004E62DE"/>
    <w:rsid w:val="004E6AE4"/>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4B1F"/>
    <w:rsid w:val="005252DD"/>
    <w:rsid w:val="00530A8D"/>
    <w:rsid w:val="00531C6D"/>
    <w:rsid w:val="00532EF4"/>
    <w:rsid w:val="005347CE"/>
    <w:rsid w:val="00535477"/>
    <w:rsid w:val="00535DEA"/>
    <w:rsid w:val="0053723A"/>
    <w:rsid w:val="00537636"/>
    <w:rsid w:val="00537B1D"/>
    <w:rsid w:val="00540191"/>
    <w:rsid w:val="00540A2A"/>
    <w:rsid w:val="00541F27"/>
    <w:rsid w:val="00541F47"/>
    <w:rsid w:val="00542297"/>
    <w:rsid w:val="005424BC"/>
    <w:rsid w:val="00542A28"/>
    <w:rsid w:val="005441D4"/>
    <w:rsid w:val="0054672D"/>
    <w:rsid w:val="00550F4E"/>
    <w:rsid w:val="005532B5"/>
    <w:rsid w:val="005534DB"/>
    <w:rsid w:val="00554A05"/>
    <w:rsid w:val="00555849"/>
    <w:rsid w:val="005559A8"/>
    <w:rsid w:val="00557048"/>
    <w:rsid w:val="00557FB5"/>
    <w:rsid w:val="00561AED"/>
    <w:rsid w:val="005648A8"/>
    <w:rsid w:val="00564DE3"/>
    <w:rsid w:val="00564E44"/>
    <w:rsid w:val="00566394"/>
    <w:rsid w:val="00566C6A"/>
    <w:rsid w:val="00566CE5"/>
    <w:rsid w:val="00566D36"/>
    <w:rsid w:val="00573569"/>
    <w:rsid w:val="00573871"/>
    <w:rsid w:val="0057389E"/>
    <w:rsid w:val="005738DE"/>
    <w:rsid w:val="005762EC"/>
    <w:rsid w:val="005765C0"/>
    <w:rsid w:val="005778DE"/>
    <w:rsid w:val="00580B3F"/>
    <w:rsid w:val="005825F2"/>
    <w:rsid w:val="005857DF"/>
    <w:rsid w:val="005860AF"/>
    <w:rsid w:val="00587F1D"/>
    <w:rsid w:val="00590348"/>
    <w:rsid w:val="00591161"/>
    <w:rsid w:val="005921B2"/>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4E0E"/>
    <w:rsid w:val="005C6485"/>
    <w:rsid w:val="005C663C"/>
    <w:rsid w:val="005D0594"/>
    <w:rsid w:val="005D1023"/>
    <w:rsid w:val="005D148F"/>
    <w:rsid w:val="005D2AD2"/>
    <w:rsid w:val="005D4A86"/>
    <w:rsid w:val="005D5EB1"/>
    <w:rsid w:val="005D6A29"/>
    <w:rsid w:val="005D6C8C"/>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5F6F7F"/>
    <w:rsid w:val="006000DD"/>
    <w:rsid w:val="00600F63"/>
    <w:rsid w:val="006012E1"/>
    <w:rsid w:val="00602253"/>
    <w:rsid w:val="006023E1"/>
    <w:rsid w:val="006036BB"/>
    <w:rsid w:val="00605531"/>
    <w:rsid w:val="006058AA"/>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17AD0"/>
    <w:rsid w:val="0062052C"/>
    <w:rsid w:val="00620D7C"/>
    <w:rsid w:val="00621089"/>
    <w:rsid w:val="00621E1F"/>
    <w:rsid w:val="006228B2"/>
    <w:rsid w:val="006228E1"/>
    <w:rsid w:val="00622E32"/>
    <w:rsid w:val="00623688"/>
    <w:rsid w:val="006247E0"/>
    <w:rsid w:val="00625F82"/>
    <w:rsid w:val="00627999"/>
    <w:rsid w:val="006301E3"/>
    <w:rsid w:val="00630CD7"/>
    <w:rsid w:val="00630FF7"/>
    <w:rsid w:val="00633433"/>
    <w:rsid w:val="006341B5"/>
    <w:rsid w:val="006346C9"/>
    <w:rsid w:val="00634727"/>
    <w:rsid w:val="00634B64"/>
    <w:rsid w:val="0063578C"/>
    <w:rsid w:val="00636069"/>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0D"/>
    <w:rsid w:val="00660BF0"/>
    <w:rsid w:val="0066189C"/>
    <w:rsid w:val="006630CF"/>
    <w:rsid w:val="00663EFF"/>
    <w:rsid w:val="00666F74"/>
    <w:rsid w:val="00667FEA"/>
    <w:rsid w:val="006706E1"/>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486"/>
    <w:rsid w:val="006975D4"/>
    <w:rsid w:val="0069780E"/>
    <w:rsid w:val="00697D13"/>
    <w:rsid w:val="006A24D5"/>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0D0A"/>
    <w:rsid w:val="006D399F"/>
    <w:rsid w:val="006D4F0C"/>
    <w:rsid w:val="006D5645"/>
    <w:rsid w:val="006E0A4F"/>
    <w:rsid w:val="006E0C8A"/>
    <w:rsid w:val="006E2A23"/>
    <w:rsid w:val="006E35E5"/>
    <w:rsid w:val="006E3C72"/>
    <w:rsid w:val="006E4F20"/>
    <w:rsid w:val="006E649A"/>
    <w:rsid w:val="006F08DC"/>
    <w:rsid w:val="006F1D42"/>
    <w:rsid w:val="006F3948"/>
    <w:rsid w:val="006F4403"/>
    <w:rsid w:val="006F4535"/>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5DDC"/>
    <w:rsid w:val="0073673C"/>
    <w:rsid w:val="00736935"/>
    <w:rsid w:val="007431C5"/>
    <w:rsid w:val="00743DE7"/>
    <w:rsid w:val="0074509E"/>
    <w:rsid w:val="00745B9F"/>
    <w:rsid w:val="0074726F"/>
    <w:rsid w:val="0075015C"/>
    <w:rsid w:val="00752D4F"/>
    <w:rsid w:val="00752DC8"/>
    <w:rsid w:val="0075409F"/>
    <w:rsid w:val="0075525A"/>
    <w:rsid w:val="00755609"/>
    <w:rsid w:val="00755874"/>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5431"/>
    <w:rsid w:val="00766F4D"/>
    <w:rsid w:val="00770268"/>
    <w:rsid w:val="007706B9"/>
    <w:rsid w:val="007707ED"/>
    <w:rsid w:val="00771C3B"/>
    <w:rsid w:val="007726F9"/>
    <w:rsid w:val="00773B94"/>
    <w:rsid w:val="00773C65"/>
    <w:rsid w:val="00775937"/>
    <w:rsid w:val="00776C11"/>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6F4E"/>
    <w:rsid w:val="007A7678"/>
    <w:rsid w:val="007B0CD8"/>
    <w:rsid w:val="007B0DE0"/>
    <w:rsid w:val="007B21DE"/>
    <w:rsid w:val="007B2BB9"/>
    <w:rsid w:val="007B43E8"/>
    <w:rsid w:val="007B4740"/>
    <w:rsid w:val="007B502C"/>
    <w:rsid w:val="007B5F3B"/>
    <w:rsid w:val="007C02B0"/>
    <w:rsid w:val="007C063E"/>
    <w:rsid w:val="007C068C"/>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090C"/>
    <w:rsid w:val="007E1411"/>
    <w:rsid w:val="007E1882"/>
    <w:rsid w:val="007E1BB4"/>
    <w:rsid w:val="007E3514"/>
    <w:rsid w:val="007E4AAA"/>
    <w:rsid w:val="007E4BD2"/>
    <w:rsid w:val="007E4C29"/>
    <w:rsid w:val="007E514A"/>
    <w:rsid w:val="007E5E44"/>
    <w:rsid w:val="007F0DDA"/>
    <w:rsid w:val="007F1939"/>
    <w:rsid w:val="007F365C"/>
    <w:rsid w:val="007F4A2A"/>
    <w:rsid w:val="007F5066"/>
    <w:rsid w:val="007F621C"/>
    <w:rsid w:val="007F7155"/>
    <w:rsid w:val="007F79DB"/>
    <w:rsid w:val="00800C28"/>
    <w:rsid w:val="0080245E"/>
    <w:rsid w:val="00803480"/>
    <w:rsid w:val="0080359C"/>
    <w:rsid w:val="008037AE"/>
    <w:rsid w:val="008043F4"/>
    <w:rsid w:val="00804BB4"/>
    <w:rsid w:val="00805BE8"/>
    <w:rsid w:val="00805D9F"/>
    <w:rsid w:val="00807A4D"/>
    <w:rsid w:val="00807F30"/>
    <w:rsid w:val="008103DC"/>
    <w:rsid w:val="0081119F"/>
    <w:rsid w:val="0081134D"/>
    <w:rsid w:val="00811EDA"/>
    <w:rsid w:val="00812403"/>
    <w:rsid w:val="00812FD7"/>
    <w:rsid w:val="00820623"/>
    <w:rsid w:val="00820CBA"/>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01"/>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30A"/>
    <w:rsid w:val="008519E8"/>
    <w:rsid w:val="008525FF"/>
    <w:rsid w:val="00852C03"/>
    <w:rsid w:val="0085590C"/>
    <w:rsid w:val="008575EB"/>
    <w:rsid w:val="00862DDD"/>
    <w:rsid w:val="0086326D"/>
    <w:rsid w:val="00863CC1"/>
    <w:rsid w:val="00865B01"/>
    <w:rsid w:val="00866D7A"/>
    <w:rsid w:val="00866EE3"/>
    <w:rsid w:val="008701E5"/>
    <w:rsid w:val="008706C5"/>
    <w:rsid w:val="00871D24"/>
    <w:rsid w:val="00871F04"/>
    <w:rsid w:val="008746C1"/>
    <w:rsid w:val="00880224"/>
    <w:rsid w:val="0088244C"/>
    <w:rsid w:val="00883367"/>
    <w:rsid w:val="00884C47"/>
    <w:rsid w:val="00884E92"/>
    <w:rsid w:val="00885E6F"/>
    <w:rsid w:val="008861AC"/>
    <w:rsid w:val="008868E4"/>
    <w:rsid w:val="00886A60"/>
    <w:rsid w:val="0088759B"/>
    <w:rsid w:val="008909B4"/>
    <w:rsid w:val="008922E8"/>
    <w:rsid w:val="00893916"/>
    <w:rsid w:val="008941B9"/>
    <w:rsid w:val="0089442C"/>
    <w:rsid w:val="008952F5"/>
    <w:rsid w:val="00895818"/>
    <w:rsid w:val="008A2585"/>
    <w:rsid w:val="008A2718"/>
    <w:rsid w:val="008A4CF6"/>
    <w:rsid w:val="008A4E42"/>
    <w:rsid w:val="008A51AA"/>
    <w:rsid w:val="008A6A12"/>
    <w:rsid w:val="008B0DC6"/>
    <w:rsid w:val="008B2B9E"/>
    <w:rsid w:val="008B31F5"/>
    <w:rsid w:val="008B4C79"/>
    <w:rsid w:val="008B5D2D"/>
    <w:rsid w:val="008B6022"/>
    <w:rsid w:val="008B6361"/>
    <w:rsid w:val="008C0320"/>
    <w:rsid w:val="008C1A51"/>
    <w:rsid w:val="008C2A81"/>
    <w:rsid w:val="008C3863"/>
    <w:rsid w:val="008C4BDC"/>
    <w:rsid w:val="008C50FF"/>
    <w:rsid w:val="008C5435"/>
    <w:rsid w:val="008C6BD1"/>
    <w:rsid w:val="008D2DB5"/>
    <w:rsid w:val="008D3F10"/>
    <w:rsid w:val="008D611D"/>
    <w:rsid w:val="008E1B6A"/>
    <w:rsid w:val="008E3054"/>
    <w:rsid w:val="008E32FF"/>
    <w:rsid w:val="008E53F3"/>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47F5"/>
    <w:rsid w:val="00915EBA"/>
    <w:rsid w:val="00917093"/>
    <w:rsid w:val="0092030E"/>
    <w:rsid w:val="009203D0"/>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47A5F"/>
    <w:rsid w:val="009503E5"/>
    <w:rsid w:val="00950F71"/>
    <w:rsid w:val="00952F2C"/>
    <w:rsid w:val="009532E3"/>
    <w:rsid w:val="00953615"/>
    <w:rsid w:val="00953A42"/>
    <w:rsid w:val="00954BAF"/>
    <w:rsid w:val="00955F48"/>
    <w:rsid w:val="009560B3"/>
    <w:rsid w:val="0095745E"/>
    <w:rsid w:val="00957CE0"/>
    <w:rsid w:val="0096002E"/>
    <w:rsid w:val="0096039E"/>
    <w:rsid w:val="00962CEF"/>
    <w:rsid w:val="00963766"/>
    <w:rsid w:val="00963D60"/>
    <w:rsid w:val="00963FDF"/>
    <w:rsid w:val="00964780"/>
    <w:rsid w:val="00964C32"/>
    <w:rsid w:val="0096528F"/>
    <w:rsid w:val="009653F2"/>
    <w:rsid w:val="009661B8"/>
    <w:rsid w:val="009661DF"/>
    <w:rsid w:val="009667BD"/>
    <w:rsid w:val="00967674"/>
    <w:rsid w:val="00967CE2"/>
    <w:rsid w:val="00971DA3"/>
    <w:rsid w:val="00972161"/>
    <w:rsid w:val="0097261B"/>
    <w:rsid w:val="009744FD"/>
    <w:rsid w:val="00974881"/>
    <w:rsid w:val="0097606C"/>
    <w:rsid w:val="00976448"/>
    <w:rsid w:val="009771D1"/>
    <w:rsid w:val="0098012D"/>
    <w:rsid w:val="00980845"/>
    <w:rsid w:val="00981BD9"/>
    <w:rsid w:val="0098225F"/>
    <w:rsid w:val="00983A3C"/>
    <w:rsid w:val="00983EFA"/>
    <w:rsid w:val="00984C15"/>
    <w:rsid w:val="00987829"/>
    <w:rsid w:val="00991276"/>
    <w:rsid w:val="009923E7"/>
    <w:rsid w:val="00992697"/>
    <w:rsid w:val="00992D4E"/>
    <w:rsid w:val="00993D1B"/>
    <w:rsid w:val="00994621"/>
    <w:rsid w:val="009947FF"/>
    <w:rsid w:val="0099544B"/>
    <w:rsid w:val="00996770"/>
    <w:rsid w:val="009A053D"/>
    <w:rsid w:val="009A07A6"/>
    <w:rsid w:val="009A0D56"/>
    <w:rsid w:val="009A3017"/>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6C20"/>
    <w:rsid w:val="009D0219"/>
    <w:rsid w:val="009D0D55"/>
    <w:rsid w:val="009D2295"/>
    <w:rsid w:val="009D2511"/>
    <w:rsid w:val="009D291D"/>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4B6"/>
    <w:rsid w:val="00A01A90"/>
    <w:rsid w:val="00A02370"/>
    <w:rsid w:val="00A04685"/>
    <w:rsid w:val="00A04C57"/>
    <w:rsid w:val="00A06340"/>
    <w:rsid w:val="00A0684F"/>
    <w:rsid w:val="00A06867"/>
    <w:rsid w:val="00A10148"/>
    <w:rsid w:val="00A104FE"/>
    <w:rsid w:val="00A10776"/>
    <w:rsid w:val="00A113FD"/>
    <w:rsid w:val="00A11DDE"/>
    <w:rsid w:val="00A127A7"/>
    <w:rsid w:val="00A129F4"/>
    <w:rsid w:val="00A136F4"/>
    <w:rsid w:val="00A150F7"/>
    <w:rsid w:val="00A160D3"/>
    <w:rsid w:val="00A16DC9"/>
    <w:rsid w:val="00A20225"/>
    <w:rsid w:val="00A24269"/>
    <w:rsid w:val="00A243E4"/>
    <w:rsid w:val="00A25ED4"/>
    <w:rsid w:val="00A263DA"/>
    <w:rsid w:val="00A26C5C"/>
    <w:rsid w:val="00A30BDE"/>
    <w:rsid w:val="00A3131C"/>
    <w:rsid w:val="00A31F14"/>
    <w:rsid w:val="00A324DC"/>
    <w:rsid w:val="00A32B5A"/>
    <w:rsid w:val="00A33CCC"/>
    <w:rsid w:val="00A33ECB"/>
    <w:rsid w:val="00A34DE0"/>
    <w:rsid w:val="00A35728"/>
    <w:rsid w:val="00A36EE3"/>
    <w:rsid w:val="00A37435"/>
    <w:rsid w:val="00A40DA9"/>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0762"/>
    <w:rsid w:val="00A74F9F"/>
    <w:rsid w:val="00A750B3"/>
    <w:rsid w:val="00A75559"/>
    <w:rsid w:val="00A7623D"/>
    <w:rsid w:val="00A824A7"/>
    <w:rsid w:val="00A83644"/>
    <w:rsid w:val="00A83C07"/>
    <w:rsid w:val="00A83F40"/>
    <w:rsid w:val="00A84945"/>
    <w:rsid w:val="00A85226"/>
    <w:rsid w:val="00A85543"/>
    <w:rsid w:val="00A8728B"/>
    <w:rsid w:val="00A903D3"/>
    <w:rsid w:val="00A91682"/>
    <w:rsid w:val="00A922CE"/>
    <w:rsid w:val="00A92E4A"/>
    <w:rsid w:val="00A958CA"/>
    <w:rsid w:val="00A966B6"/>
    <w:rsid w:val="00A96B46"/>
    <w:rsid w:val="00A96C55"/>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D"/>
    <w:rsid w:val="00AC61BE"/>
    <w:rsid w:val="00AD0CB4"/>
    <w:rsid w:val="00AD11E9"/>
    <w:rsid w:val="00AD1FF2"/>
    <w:rsid w:val="00AD2A21"/>
    <w:rsid w:val="00AD3B43"/>
    <w:rsid w:val="00AD4FF2"/>
    <w:rsid w:val="00AD506C"/>
    <w:rsid w:val="00AD6BE5"/>
    <w:rsid w:val="00AD7675"/>
    <w:rsid w:val="00AD783E"/>
    <w:rsid w:val="00AE1393"/>
    <w:rsid w:val="00AE3BC6"/>
    <w:rsid w:val="00AE3E2F"/>
    <w:rsid w:val="00AE4D4F"/>
    <w:rsid w:val="00AE627C"/>
    <w:rsid w:val="00AE62B0"/>
    <w:rsid w:val="00AE68A2"/>
    <w:rsid w:val="00AF0029"/>
    <w:rsid w:val="00AF0354"/>
    <w:rsid w:val="00AF1236"/>
    <w:rsid w:val="00AF1E2F"/>
    <w:rsid w:val="00AF201E"/>
    <w:rsid w:val="00AF38AF"/>
    <w:rsid w:val="00AF3C29"/>
    <w:rsid w:val="00AF4401"/>
    <w:rsid w:val="00AF4463"/>
    <w:rsid w:val="00AF53CB"/>
    <w:rsid w:val="00AF553C"/>
    <w:rsid w:val="00AF65C5"/>
    <w:rsid w:val="00B03CE2"/>
    <w:rsid w:val="00B059A9"/>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8EE"/>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27E9"/>
    <w:rsid w:val="00B33294"/>
    <w:rsid w:val="00B33657"/>
    <w:rsid w:val="00B34885"/>
    <w:rsid w:val="00B34D68"/>
    <w:rsid w:val="00B36117"/>
    <w:rsid w:val="00B362E3"/>
    <w:rsid w:val="00B37C73"/>
    <w:rsid w:val="00B4009B"/>
    <w:rsid w:val="00B400A1"/>
    <w:rsid w:val="00B40A2B"/>
    <w:rsid w:val="00B420CB"/>
    <w:rsid w:val="00B428D1"/>
    <w:rsid w:val="00B4401C"/>
    <w:rsid w:val="00B44802"/>
    <w:rsid w:val="00B455D1"/>
    <w:rsid w:val="00B46135"/>
    <w:rsid w:val="00B467E4"/>
    <w:rsid w:val="00B472AB"/>
    <w:rsid w:val="00B47CE4"/>
    <w:rsid w:val="00B503A8"/>
    <w:rsid w:val="00B5121D"/>
    <w:rsid w:val="00B525C0"/>
    <w:rsid w:val="00B52FAB"/>
    <w:rsid w:val="00B5319A"/>
    <w:rsid w:val="00B539F9"/>
    <w:rsid w:val="00B53E56"/>
    <w:rsid w:val="00B546C3"/>
    <w:rsid w:val="00B54BD9"/>
    <w:rsid w:val="00B5503C"/>
    <w:rsid w:val="00B55640"/>
    <w:rsid w:val="00B559B4"/>
    <w:rsid w:val="00B57107"/>
    <w:rsid w:val="00B60D27"/>
    <w:rsid w:val="00B619E4"/>
    <w:rsid w:val="00B61D0B"/>
    <w:rsid w:val="00B6439A"/>
    <w:rsid w:val="00B6443B"/>
    <w:rsid w:val="00B6517B"/>
    <w:rsid w:val="00B65E71"/>
    <w:rsid w:val="00B66C26"/>
    <w:rsid w:val="00B705C4"/>
    <w:rsid w:val="00B71FB3"/>
    <w:rsid w:val="00B73492"/>
    <w:rsid w:val="00B7512A"/>
    <w:rsid w:val="00B76548"/>
    <w:rsid w:val="00B76BED"/>
    <w:rsid w:val="00B806E6"/>
    <w:rsid w:val="00B82DC1"/>
    <w:rsid w:val="00B835D5"/>
    <w:rsid w:val="00B84028"/>
    <w:rsid w:val="00B84307"/>
    <w:rsid w:val="00B8430D"/>
    <w:rsid w:val="00B8541E"/>
    <w:rsid w:val="00B85661"/>
    <w:rsid w:val="00B85C8A"/>
    <w:rsid w:val="00B86FBD"/>
    <w:rsid w:val="00B91B86"/>
    <w:rsid w:val="00B91F25"/>
    <w:rsid w:val="00B927CA"/>
    <w:rsid w:val="00B928AE"/>
    <w:rsid w:val="00B93CDA"/>
    <w:rsid w:val="00B942E9"/>
    <w:rsid w:val="00B9433A"/>
    <w:rsid w:val="00B948EE"/>
    <w:rsid w:val="00B949F5"/>
    <w:rsid w:val="00B94BF3"/>
    <w:rsid w:val="00B94F90"/>
    <w:rsid w:val="00B95DC5"/>
    <w:rsid w:val="00B97E34"/>
    <w:rsid w:val="00B97FEF"/>
    <w:rsid w:val="00BA1354"/>
    <w:rsid w:val="00BA24F8"/>
    <w:rsid w:val="00BA31AA"/>
    <w:rsid w:val="00BA45D8"/>
    <w:rsid w:val="00BA5828"/>
    <w:rsid w:val="00BA647A"/>
    <w:rsid w:val="00BA64B3"/>
    <w:rsid w:val="00BA7228"/>
    <w:rsid w:val="00BA754A"/>
    <w:rsid w:val="00BA7820"/>
    <w:rsid w:val="00BA794C"/>
    <w:rsid w:val="00BB09FB"/>
    <w:rsid w:val="00BB1617"/>
    <w:rsid w:val="00BB238D"/>
    <w:rsid w:val="00BB37CC"/>
    <w:rsid w:val="00BB48C4"/>
    <w:rsid w:val="00BB4956"/>
    <w:rsid w:val="00BB5C6F"/>
    <w:rsid w:val="00BB6907"/>
    <w:rsid w:val="00BB7A20"/>
    <w:rsid w:val="00BC15B1"/>
    <w:rsid w:val="00BC16E9"/>
    <w:rsid w:val="00BC1D4B"/>
    <w:rsid w:val="00BC3C06"/>
    <w:rsid w:val="00BC4E8B"/>
    <w:rsid w:val="00BC5622"/>
    <w:rsid w:val="00BC6060"/>
    <w:rsid w:val="00BC6596"/>
    <w:rsid w:val="00BC7897"/>
    <w:rsid w:val="00BD0F35"/>
    <w:rsid w:val="00BD3C97"/>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28DA"/>
    <w:rsid w:val="00BF373A"/>
    <w:rsid w:val="00BF37A5"/>
    <w:rsid w:val="00BF557C"/>
    <w:rsid w:val="00BF62D2"/>
    <w:rsid w:val="00BF6D9E"/>
    <w:rsid w:val="00BF6E3E"/>
    <w:rsid w:val="00BF71BB"/>
    <w:rsid w:val="00BF76F7"/>
    <w:rsid w:val="00BF7C9F"/>
    <w:rsid w:val="00C00012"/>
    <w:rsid w:val="00C000A5"/>
    <w:rsid w:val="00C006B4"/>
    <w:rsid w:val="00C00938"/>
    <w:rsid w:val="00C00E2A"/>
    <w:rsid w:val="00C025B9"/>
    <w:rsid w:val="00C03EA2"/>
    <w:rsid w:val="00C044B4"/>
    <w:rsid w:val="00C05105"/>
    <w:rsid w:val="00C05A5D"/>
    <w:rsid w:val="00C0622F"/>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2578"/>
    <w:rsid w:val="00C33916"/>
    <w:rsid w:val="00C33BCF"/>
    <w:rsid w:val="00C34D1D"/>
    <w:rsid w:val="00C353A0"/>
    <w:rsid w:val="00C368D7"/>
    <w:rsid w:val="00C36FD1"/>
    <w:rsid w:val="00C371A5"/>
    <w:rsid w:val="00C372AF"/>
    <w:rsid w:val="00C400B0"/>
    <w:rsid w:val="00C40F4E"/>
    <w:rsid w:val="00C413FC"/>
    <w:rsid w:val="00C4203B"/>
    <w:rsid w:val="00C422C5"/>
    <w:rsid w:val="00C4245C"/>
    <w:rsid w:val="00C43D33"/>
    <w:rsid w:val="00C44407"/>
    <w:rsid w:val="00C456E8"/>
    <w:rsid w:val="00C46630"/>
    <w:rsid w:val="00C47A2F"/>
    <w:rsid w:val="00C50D18"/>
    <w:rsid w:val="00C51179"/>
    <w:rsid w:val="00C5282C"/>
    <w:rsid w:val="00C52FBE"/>
    <w:rsid w:val="00C5355E"/>
    <w:rsid w:val="00C535E2"/>
    <w:rsid w:val="00C539FF"/>
    <w:rsid w:val="00C53FC1"/>
    <w:rsid w:val="00C56438"/>
    <w:rsid w:val="00C570B3"/>
    <w:rsid w:val="00C6009F"/>
    <w:rsid w:val="00C60417"/>
    <w:rsid w:val="00C6046F"/>
    <w:rsid w:val="00C638C2"/>
    <w:rsid w:val="00C651D4"/>
    <w:rsid w:val="00C6669E"/>
    <w:rsid w:val="00C672B0"/>
    <w:rsid w:val="00C70415"/>
    <w:rsid w:val="00C729C7"/>
    <w:rsid w:val="00C761FA"/>
    <w:rsid w:val="00C777AD"/>
    <w:rsid w:val="00C80C53"/>
    <w:rsid w:val="00C81195"/>
    <w:rsid w:val="00C85387"/>
    <w:rsid w:val="00C857BE"/>
    <w:rsid w:val="00C85E52"/>
    <w:rsid w:val="00C86471"/>
    <w:rsid w:val="00C8677B"/>
    <w:rsid w:val="00C86F96"/>
    <w:rsid w:val="00C909C6"/>
    <w:rsid w:val="00C923B7"/>
    <w:rsid w:val="00C93A9C"/>
    <w:rsid w:val="00C94D4C"/>
    <w:rsid w:val="00CA012C"/>
    <w:rsid w:val="00CA0AA6"/>
    <w:rsid w:val="00CA2897"/>
    <w:rsid w:val="00CA44F3"/>
    <w:rsid w:val="00CA51BA"/>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0E0A"/>
    <w:rsid w:val="00CC1783"/>
    <w:rsid w:val="00CC38E9"/>
    <w:rsid w:val="00CC3B46"/>
    <w:rsid w:val="00CC3D8B"/>
    <w:rsid w:val="00CC49EE"/>
    <w:rsid w:val="00CC4E27"/>
    <w:rsid w:val="00CC570C"/>
    <w:rsid w:val="00CC62B6"/>
    <w:rsid w:val="00CC76AA"/>
    <w:rsid w:val="00CC7CD2"/>
    <w:rsid w:val="00CD05CF"/>
    <w:rsid w:val="00CD06AB"/>
    <w:rsid w:val="00CD1FAE"/>
    <w:rsid w:val="00CD232F"/>
    <w:rsid w:val="00CD279E"/>
    <w:rsid w:val="00CD2986"/>
    <w:rsid w:val="00CD2F92"/>
    <w:rsid w:val="00CD3899"/>
    <w:rsid w:val="00CD4EB0"/>
    <w:rsid w:val="00CD512D"/>
    <w:rsid w:val="00CD5831"/>
    <w:rsid w:val="00CD6F6E"/>
    <w:rsid w:val="00CE08D1"/>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1A37"/>
    <w:rsid w:val="00D6240A"/>
    <w:rsid w:val="00D63093"/>
    <w:rsid w:val="00D63599"/>
    <w:rsid w:val="00D63EBD"/>
    <w:rsid w:val="00D64AAA"/>
    <w:rsid w:val="00D64B69"/>
    <w:rsid w:val="00D67101"/>
    <w:rsid w:val="00D7106D"/>
    <w:rsid w:val="00D71B45"/>
    <w:rsid w:val="00D71F8A"/>
    <w:rsid w:val="00D75603"/>
    <w:rsid w:val="00D75FEE"/>
    <w:rsid w:val="00D76933"/>
    <w:rsid w:val="00D76D88"/>
    <w:rsid w:val="00D77CC9"/>
    <w:rsid w:val="00D83D4B"/>
    <w:rsid w:val="00D871C6"/>
    <w:rsid w:val="00D91010"/>
    <w:rsid w:val="00DA0FA7"/>
    <w:rsid w:val="00DA12B0"/>
    <w:rsid w:val="00DA2BA0"/>
    <w:rsid w:val="00DA39AD"/>
    <w:rsid w:val="00DA5523"/>
    <w:rsid w:val="00DA5B13"/>
    <w:rsid w:val="00DA6917"/>
    <w:rsid w:val="00DA6926"/>
    <w:rsid w:val="00DB0965"/>
    <w:rsid w:val="00DB0E47"/>
    <w:rsid w:val="00DB2BDD"/>
    <w:rsid w:val="00DB4121"/>
    <w:rsid w:val="00DB46C3"/>
    <w:rsid w:val="00DB5742"/>
    <w:rsid w:val="00DB5EDF"/>
    <w:rsid w:val="00DB6C46"/>
    <w:rsid w:val="00DB72B8"/>
    <w:rsid w:val="00DC16AF"/>
    <w:rsid w:val="00DC1B3F"/>
    <w:rsid w:val="00DC2A9A"/>
    <w:rsid w:val="00DC2E2E"/>
    <w:rsid w:val="00DC4D68"/>
    <w:rsid w:val="00DC6463"/>
    <w:rsid w:val="00DC7822"/>
    <w:rsid w:val="00DC7AF1"/>
    <w:rsid w:val="00DD2D92"/>
    <w:rsid w:val="00DD3026"/>
    <w:rsid w:val="00DD33DC"/>
    <w:rsid w:val="00DD3BB0"/>
    <w:rsid w:val="00DD4A46"/>
    <w:rsid w:val="00DD61F5"/>
    <w:rsid w:val="00DE2FC2"/>
    <w:rsid w:val="00DE3223"/>
    <w:rsid w:val="00DE64A6"/>
    <w:rsid w:val="00DE66EB"/>
    <w:rsid w:val="00DE7035"/>
    <w:rsid w:val="00DF12E3"/>
    <w:rsid w:val="00DF3F1D"/>
    <w:rsid w:val="00DF595C"/>
    <w:rsid w:val="00DF7EA7"/>
    <w:rsid w:val="00E04548"/>
    <w:rsid w:val="00E045D4"/>
    <w:rsid w:val="00E0484E"/>
    <w:rsid w:val="00E063F8"/>
    <w:rsid w:val="00E079AF"/>
    <w:rsid w:val="00E114D6"/>
    <w:rsid w:val="00E1166E"/>
    <w:rsid w:val="00E11DBD"/>
    <w:rsid w:val="00E13211"/>
    <w:rsid w:val="00E16FB5"/>
    <w:rsid w:val="00E179D6"/>
    <w:rsid w:val="00E21407"/>
    <w:rsid w:val="00E22668"/>
    <w:rsid w:val="00E227D3"/>
    <w:rsid w:val="00E22BFF"/>
    <w:rsid w:val="00E22CB0"/>
    <w:rsid w:val="00E23798"/>
    <w:rsid w:val="00E2585D"/>
    <w:rsid w:val="00E258BE"/>
    <w:rsid w:val="00E25DBD"/>
    <w:rsid w:val="00E25FA2"/>
    <w:rsid w:val="00E2723D"/>
    <w:rsid w:val="00E27C77"/>
    <w:rsid w:val="00E3179E"/>
    <w:rsid w:val="00E32AC9"/>
    <w:rsid w:val="00E34586"/>
    <w:rsid w:val="00E354DA"/>
    <w:rsid w:val="00E354F5"/>
    <w:rsid w:val="00E35EAA"/>
    <w:rsid w:val="00E3687E"/>
    <w:rsid w:val="00E372DD"/>
    <w:rsid w:val="00E40974"/>
    <w:rsid w:val="00E40A5C"/>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256"/>
    <w:rsid w:val="00E6344A"/>
    <w:rsid w:val="00E64E69"/>
    <w:rsid w:val="00E64FB7"/>
    <w:rsid w:val="00E669A1"/>
    <w:rsid w:val="00E679BA"/>
    <w:rsid w:val="00E70243"/>
    <w:rsid w:val="00E72CC6"/>
    <w:rsid w:val="00E73D44"/>
    <w:rsid w:val="00E7494A"/>
    <w:rsid w:val="00E74BE2"/>
    <w:rsid w:val="00E74C66"/>
    <w:rsid w:val="00E74FA2"/>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2A3F"/>
    <w:rsid w:val="00EB309B"/>
    <w:rsid w:val="00EB3AA2"/>
    <w:rsid w:val="00EB4763"/>
    <w:rsid w:val="00EB6CB7"/>
    <w:rsid w:val="00EC078B"/>
    <w:rsid w:val="00EC07A0"/>
    <w:rsid w:val="00EC08E4"/>
    <w:rsid w:val="00EC1A23"/>
    <w:rsid w:val="00EC3CB4"/>
    <w:rsid w:val="00EC443E"/>
    <w:rsid w:val="00EC4D83"/>
    <w:rsid w:val="00EC4EEE"/>
    <w:rsid w:val="00EC634F"/>
    <w:rsid w:val="00EC7B97"/>
    <w:rsid w:val="00ED049C"/>
    <w:rsid w:val="00ED07B7"/>
    <w:rsid w:val="00ED19D7"/>
    <w:rsid w:val="00ED2167"/>
    <w:rsid w:val="00ED351E"/>
    <w:rsid w:val="00ED4063"/>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5FB9"/>
    <w:rsid w:val="00EF61C1"/>
    <w:rsid w:val="00EF6E68"/>
    <w:rsid w:val="00EF76DB"/>
    <w:rsid w:val="00F005FD"/>
    <w:rsid w:val="00F024E2"/>
    <w:rsid w:val="00F02C04"/>
    <w:rsid w:val="00F03AF1"/>
    <w:rsid w:val="00F04BCD"/>
    <w:rsid w:val="00F05A8C"/>
    <w:rsid w:val="00F06211"/>
    <w:rsid w:val="00F10A54"/>
    <w:rsid w:val="00F10D35"/>
    <w:rsid w:val="00F123D0"/>
    <w:rsid w:val="00F13200"/>
    <w:rsid w:val="00F13411"/>
    <w:rsid w:val="00F143BA"/>
    <w:rsid w:val="00F14D98"/>
    <w:rsid w:val="00F170BB"/>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51CC"/>
    <w:rsid w:val="00F574D0"/>
    <w:rsid w:val="00F6031F"/>
    <w:rsid w:val="00F61664"/>
    <w:rsid w:val="00F61B99"/>
    <w:rsid w:val="00F61BA8"/>
    <w:rsid w:val="00F64C45"/>
    <w:rsid w:val="00F6502B"/>
    <w:rsid w:val="00F65811"/>
    <w:rsid w:val="00F6612A"/>
    <w:rsid w:val="00F66724"/>
    <w:rsid w:val="00F67F04"/>
    <w:rsid w:val="00F70207"/>
    <w:rsid w:val="00F702CB"/>
    <w:rsid w:val="00F70F4A"/>
    <w:rsid w:val="00F71AC2"/>
    <w:rsid w:val="00F739D4"/>
    <w:rsid w:val="00F77D43"/>
    <w:rsid w:val="00F80953"/>
    <w:rsid w:val="00F81312"/>
    <w:rsid w:val="00F81B90"/>
    <w:rsid w:val="00F81E6F"/>
    <w:rsid w:val="00F82F25"/>
    <w:rsid w:val="00F82FF3"/>
    <w:rsid w:val="00F8453C"/>
    <w:rsid w:val="00F84D4C"/>
    <w:rsid w:val="00F8657D"/>
    <w:rsid w:val="00F8730F"/>
    <w:rsid w:val="00F87631"/>
    <w:rsid w:val="00F87DA3"/>
    <w:rsid w:val="00F90004"/>
    <w:rsid w:val="00F90EF4"/>
    <w:rsid w:val="00F917BF"/>
    <w:rsid w:val="00F920B4"/>
    <w:rsid w:val="00F9260D"/>
    <w:rsid w:val="00F92727"/>
    <w:rsid w:val="00F93CCF"/>
    <w:rsid w:val="00F94307"/>
    <w:rsid w:val="00F9580B"/>
    <w:rsid w:val="00F95F15"/>
    <w:rsid w:val="00F968C6"/>
    <w:rsid w:val="00F975CA"/>
    <w:rsid w:val="00FA0B60"/>
    <w:rsid w:val="00FA2528"/>
    <w:rsid w:val="00FA5535"/>
    <w:rsid w:val="00FA7206"/>
    <w:rsid w:val="00FA7E01"/>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C7223"/>
    <w:rsid w:val="00FD0F60"/>
    <w:rsid w:val="00FD13EA"/>
    <w:rsid w:val="00FD5EC4"/>
    <w:rsid w:val="00FD67EC"/>
    <w:rsid w:val="00FD7858"/>
    <w:rsid w:val="00FD7A8D"/>
    <w:rsid w:val="00FE1330"/>
    <w:rsid w:val="00FE1CE5"/>
    <w:rsid w:val="00FE27D9"/>
    <w:rsid w:val="00FE2832"/>
    <w:rsid w:val="00FE2D38"/>
    <w:rsid w:val="00FE3929"/>
    <w:rsid w:val="00FE40D3"/>
    <w:rsid w:val="00FE6577"/>
    <w:rsid w:val="00FF097B"/>
    <w:rsid w:val="00FF0B6E"/>
    <w:rsid w:val="00FF1C1B"/>
    <w:rsid w:val="00FF2067"/>
    <w:rsid w:val="00FF3984"/>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B88CD27"/>
  <w15:docId w15:val="{EF420317-D056-43EE-B1A3-6BEC00578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31A2"/>
    <w:rPr>
      <w:rFonts w:ascii="Arial" w:hAnsi="Arial"/>
      <w:szCs w:val="24"/>
      <w:lang w:eastAsia="de-DE"/>
    </w:rPr>
  </w:style>
  <w:style w:type="paragraph" w:styleId="Titre1">
    <w:name w:val="heading 1"/>
    <w:basedOn w:val="Normal"/>
    <w:next w:val="Normal"/>
    <w:link w:val="Titre1Car"/>
    <w:qFormat/>
    <w:rsid w:val="009E7724"/>
    <w:pPr>
      <w:keepNext/>
      <w:numPr>
        <w:numId w:val="5"/>
      </w:numPr>
      <w:spacing w:before="240" w:after="60"/>
      <w:outlineLvl w:val="0"/>
    </w:pPr>
    <w:rPr>
      <w:rFonts w:cs="Arial"/>
      <w:b/>
      <w:bCs/>
      <w:kern w:val="32"/>
      <w:sz w:val="24"/>
      <w:szCs w:val="32"/>
    </w:rPr>
  </w:style>
  <w:style w:type="paragraph" w:styleId="Titre2">
    <w:name w:val="heading 2"/>
    <w:basedOn w:val="Normal"/>
    <w:next w:val="Normal"/>
    <w:link w:val="Titre2Car"/>
    <w:qFormat/>
    <w:rsid w:val="00886A60"/>
    <w:pPr>
      <w:keepNext/>
      <w:keepLines/>
      <w:spacing w:before="200" w:after="120"/>
      <w:outlineLvl w:val="1"/>
    </w:pPr>
    <w:rPr>
      <w:b/>
      <w:bCs/>
      <w:szCs w:val="26"/>
    </w:rPr>
  </w:style>
  <w:style w:type="paragraph" w:styleId="Titre3">
    <w:name w:val="heading 3"/>
    <w:basedOn w:val="Normal"/>
    <w:next w:val="Normal"/>
    <w:link w:val="Titre3Car"/>
    <w:qFormat/>
    <w:rsid w:val="003865E5"/>
    <w:pPr>
      <w:keepNext/>
      <w:keepLines/>
      <w:spacing w:before="200"/>
      <w:outlineLvl w:val="2"/>
    </w:pPr>
    <w:rPr>
      <w:rFonts w:ascii="Cambria" w:hAnsi="Cambria"/>
      <w:b/>
      <w:bCs/>
      <w:color w:val="4F81BD"/>
    </w:rPr>
  </w:style>
  <w:style w:type="paragraph" w:styleId="Titre4">
    <w:name w:val="heading 4"/>
    <w:basedOn w:val="Normal"/>
    <w:next w:val="Normal"/>
    <w:link w:val="Titre4Car"/>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Titre5">
    <w:name w:val="heading 5"/>
    <w:aliases w:val="Questions"/>
    <w:basedOn w:val="Normal"/>
    <w:next w:val="Normal"/>
    <w:link w:val="Titre5Car"/>
    <w:qFormat/>
    <w:rsid w:val="00E9344E"/>
    <w:pPr>
      <w:keepNext/>
      <w:keepLines/>
      <w:numPr>
        <w:numId w:val="13"/>
      </w:numPr>
      <w:spacing w:before="200"/>
      <w:jc w:val="both"/>
      <w:outlineLvl w:val="4"/>
    </w:pPr>
    <w:rPr>
      <w:b/>
    </w:rPr>
  </w:style>
  <w:style w:type="paragraph" w:styleId="Titre6">
    <w:name w:val="heading 6"/>
    <w:basedOn w:val="Normal"/>
    <w:next w:val="Normal"/>
    <w:link w:val="Titre6Car"/>
    <w:qFormat/>
    <w:rsid w:val="003609B6"/>
    <w:pPr>
      <w:numPr>
        <w:ilvl w:val="5"/>
        <w:numId w:val="4"/>
      </w:numPr>
      <w:spacing w:before="240" w:after="60"/>
      <w:outlineLvl w:val="5"/>
    </w:pPr>
    <w:rPr>
      <w:rFonts w:ascii="Times New Roman" w:hAnsi="Times New Roman"/>
      <w:b/>
      <w:bCs/>
      <w:szCs w:val="22"/>
    </w:rPr>
  </w:style>
  <w:style w:type="paragraph" w:styleId="Titre7">
    <w:name w:val="heading 7"/>
    <w:basedOn w:val="Normal"/>
    <w:next w:val="Normal"/>
    <w:link w:val="Titre7Car"/>
    <w:unhideWhenUsed/>
    <w:qFormat/>
    <w:rsid w:val="002D6E1A"/>
    <w:pPr>
      <w:spacing w:before="240" w:after="60"/>
      <w:ind w:left="1296" w:hanging="1296"/>
      <w:outlineLvl w:val="6"/>
    </w:pPr>
    <w:rPr>
      <w:rFonts w:ascii="Times New Roman" w:hAnsi="Times New Roman"/>
    </w:rPr>
  </w:style>
  <w:style w:type="paragraph" w:styleId="Titre8">
    <w:name w:val="heading 8"/>
    <w:basedOn w:val="Normal"/>
    <w:next w:val="Normal"/>
    <w:link w:val="Titre8Car"/>
    <w:qFormat/>
    <w:rsid w:val="003609B6"/>
    <w:pPr>
      <w:numPr>
        <w:ilvl w:val="7"/>
        <w:numId w:val="4"/>
      </w:numPr>
      <w:spacing w:before="240" w:after="60"/>
      <w:outlineLvl w:val="7"/>
    </w:pPr>
    <w:rPr>
      <w:rFonts w:ascii="Times New Roman" w:hAnsi="Times New Roman"/>
      <w:i/>
      <w:iCs/>
    </w:rPr>
  </w:style>
  <w:style w:type="paragraph" w:styleId="Titre9">
    <w:name w:val="heading 9"/>
    <w:basedOn w:val="Normal"/>
    <w:next w:val="Normal"/>
    <w:link w:val="Titre9Car"/>
    <w:qFormat/>
    <w:rsid w:val="00A06867"/>
    <w:pPr>
      <w:tabs>
        <w:tab w:val="num" w:pos="1584"/>
      </w:tabs>
      <w:spacing w:before="240" w:after="60"/>
      <w:ind w:left="1584" w:hanging="1584"/>
      <w:outlineLvl w:val="8"/>
    </w:pPr>
    <w:rPr>
      <w:rFonts w:cs="Arial"/>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5B64CB"/>
    <w:pPr>
      <w:tabs>
        <w:tab w:val="center" w:pos="4536"/>
        <w:tab w:val="right" w:pos="9072"/>
      </w:tabs>
    </w:pPr>
  </w:style>
  <w:style w:type="paragraph" w:styleId="Pieddepage">
    <w:name w:val="footer"/>
    <w:basedOn w:val="Normal"/>
    <w:link w:val="PieddepageCar"/>
    <w:uiPriority w:val="99"/>
    <w:rsid w:val="005B64CB"/>
    <w:pPr>
      <w:tabs>
        <w:tab w:val="center" w:pos="4536"/>
        <w:tab w:val="right" w:pos="9072"/>
      </w:tabs>
    </w:pPr>
  </w:style>
  <w:style w:type="table" w:styleId="Grilledutableau">
    <w:name w:val="Table Grid"/>
    <w:basedOn w:val="Tableau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Numrodepage">
    <w:name w:val="page number"/>
    <w:basedOn w:val="Policepardfau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M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Lienhypertexte">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Notedebasdepage">
    <w:name w:val="footnote text"/>
    <w:aliases w:val="Char3, Char3,Fußnotentextf,Fußnotentextr,stile 1,Footnote1,Footnote2,Footnote3,Footnote4,Footnote5,Footnote6,Footnote7,Footnote8,Footnote9,Footnote10,Footnote11,Footnote21,Footnote31,Footnote41,Footnote51,Footnote61,Footnote71, Cha"/>
    <w:basedOn w:val="Normal"/>
    <w:link w:val="NotedebasdepageCar"/>
    <w:uiPriority w:val="99"/>
    <w:qFormat/>
    <w:rsid w:val="001725A5"/>
    <w:pPr>
      <w:spacing w:line="200" w:lineRule="exact"/>
    </w:pPr>
    <w:rPr>
      <w:sz w:val="16"/>
      <w:szCs w:val="20"/>
    </w:rPr>
  </w:style>
  <w:style w:type="character" w:styleId="Appelnotedebasdep">
    <w:name w:val="footnote reference"/>
    <w:aliases w:val="SUPERS,Footnote reference number,Footnote symbol,note TESI,-E Fußnotenzeichen,number,BVI fnr,Footnote,Footnote Reference Superscript,(Footnote Reference),EN Footnote Reference,Voetnootverwijzing,Times 10 Point,Exposant 3 Poi"/>
    <w:uiPriority w:val="99"/>
    <w:qFormat/>
    <w:rsid w:val="00C274F3"/>
    <w:rPr>
      <w:vertAlign w:val="superscript"/>
    </w:rPr>
  </w:style>
  <w:style w:type="paragraph" w:styleId="TM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Marquedecommentaire">
    <w:name w:val="annotation reference"/>
    <w:rsid w:val="004B1E61"/>
    <w:rPr>
      <w:sz w:val="16"/>
      <w:szCs w:val="16"/>
    </w:rPr>
  </w:style>
  <w:style w:type="paragraph" w:styleId="Commentaire">
    <w:name w:val="annotation text"/>
    <w:basedOn w:val="Normal"/>
    <w:link w:val="CommentaireCar"/>
    <w:rsid w:val="004B1E61"/>
    <w:rPr>
      <w:szCs w:val="20"/>
    </w:rPr>
  </w:style>
  <w:style w:type="character" w:customStyle="1" w:styleId="CommentaireCar">
    <w:name w:val="Commentaire Car"/>
    <w:link w:val="Commentaire"/>
    <w:uiPriority w:val="99"/>
    <w:rsid w:val="004B1E61"/>
    <w:rPr>
      <w:rFonts w:ascii="Georgia" w:hAnsi="Georgia"/>
      <w:lang w:eastAsia="de-DE"/>
    </w:rPr>
  </w:style>
  <w:style w:type="paragraph" w:styleId="Objetducommentaire">
    <w:name w:val="annotation subject"/>
    <w:basedOn w:val="Commentaire"/>
    <w:next w:val="Commentaire"/>
    <w:link w:val="ObjetducommentaireCar"/>
    <w:rsid w:val="004B1E61"/>
    <w:rPr>
      <w:b/>
      <w:bCs/>
    </w:rPr>
  </w:style>
  <w:style w:type="character" w:customStyle="1" w:styleId="ObjetducommentaireCar">
    <w:name w:val="Objet du commentaire Car"/>
    <w:link w:val="Objetducommentaire"/>
    <w:rsid w:val="004B1E61"/>
    <w:rPr>
      <w:rFonts w:ascii="Georgia" w:hAnsi="Georgia"/>
      <w:b/>
      <w:bCs/>
      <w:lang w:eastAsia="de-DE"/>
    </w:rPr>
  </w:style>
  <w:style w:type="paragraph" w:styleId="Textedebulles">
    <w:name w:val="Balloon Text"/>
    <w:basedOn w:val="Normal"/>
    <w:link w:val="TextedebullesCar"/>
    <w:rsid w:val="004B1E61"/>
    <w:rPr>
      <w:rFonts w:ascii="Tahoma" w:hAnsi="Tahoma" w:cs="Tahoma"/>
      <w:sz w:val="16"/>
      <w:szCs w:val="16"/>
    </w:rPr>
  </w:style>
  <w:style w:type="character" w:customStyle="1" w:styleId="TextedebullesCar">
    <w:name w:val="Texte de bulles Car"/>
    <w:link w:val="Textedebulles"/>
    <w:rsid w:val="004B1E61"/>
    <w:rPr>
      <w:rFonts w:ascii="Tahoma" w:hAnsi="Tahoma" w:cs="Tahoma"/>
      <w:sz w:val="16"/>
      <w:szCs w:val="16"/>
      <w:lang w:eastAsia="de-DE"/>
    </w:rPr>
  </w:style>
  <w:style w:type="paragraph" w:styleId="Paragraphedeliste">
    <w:name w:val="List Paragraph"/>
    <w:aliases w:val="Paragraphe EI,Paragraphe de liste1,EC"/>
    <w:basedOn w:val="Normal"/>
    <w:link w:val="ParagraphedelisteCar"/>
    <w:uiPriority w:val="34"/>
    <w:qFormat/>
    <w:rsid w:val="002A0C82"/>
    <w:pPr>
      <w:ind w:left="720"/>
      <w:contextualSpacing/>
    </w:pPr>
  </w:style>
  <w:style w:type="paragraph" w:styleId="En-ttedetabledesmatires">
    <w:name w:val="TOC Heading"/>
    <w:basedOn w:val="Titre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NotedebasdepageCar">
    <w:name w:val="Note de bas de page Car"/>
    <w:aliases w:val="Char3 Car, Char3 Car,Fußnotentextf Car,Fußnotentextr Car,stile 1 Car,Footnote1 Car,Footnote2 Car,Footnote3 Car,Footnote4 Car,Footnote5 Car,Footnote6 Car,Footnote7 Car,Footnote8 Car,Footnote9 Car,Footnote10 Car,Footnote11 Car"/>
    <w:link w:val="Notedebasdepage"/>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Policepardfau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Titre1Car">
    <w:name w:val="Titre 1 Car"/>
    <w:link w:val="Titre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Accentuation">
    <w:name w:val="Emphasis"/>
    <w:uiPriority w:val="20"/>
    <w:qFormat/>
    <w:rsid w:val="005F028E"/>
    <w:rPr>
      <w:i/>
      <w:iCs/>
    </w:rPr>
  </w:style>
  <w:style w:type="paragraph" w:styleId="Rvision">
    <w:name w:val="Revision"/>
    <w:link w:val="RvisionCar"/>
    <w:hidden/>
    <w:uiPriority w:val="99"/>
    <w:semiHidden/>
    <w:rsid w:val="008E6A37"/>
    <w:rPr>
      <w:rFonts w:ascii="Georgia" w:hAnsi="Georgia"/>
      <w:sz w:val="22"/>
      <w:szCs w:val="24"/>
      <w:lang w:eastAsia="de-DE"/>
    </w:rPr>
  </w:style>
  <w:style w:type="paragraph" w:styleId="TM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M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M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M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M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M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M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Lgende">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Explorateurdedocuments">
    <w:name w:val="Document Map"/>
    <w:basedOn w:val="Normal"/>
    <w:link w:val="ExplorateurdedocumentsCar"/>
    <w:rsid w:val="00AA016B"/>
    <w:rPr>
      <w:rFonts w:ascii="Tahoma" w:hAnsi="Tahoma" w:cs="Tahoma"/>
      <w:sz w:val="16"/>
      <w:szCs w:val="16"/>
    </w:rPr>
  </w:style>
  <w:style w:type="character" w:customStyle="1" w:styleId="ExplorateurdedocumentsCar">
    <w:name w:val="Explorateur de documents Car"/>
    <w:link w:val="Explorateurdedocuments"/>
    <w:rsid w:val="00AA016B"/>
    <w:rPr>
      <w:rFonts w:ascii="Tahoma" w:hAnsi="Tahoma" w:cs="Tahoma"/>
      <w:sz w:val="16"/>
      <w:szCs w:val="16"/>
      <w:lang w:eastAsia="de-DE"/>
    </w:rPr>
  </w:style>
  <w:style w:type="paragraph" w:styleId="Textebrut">
    <w:name w:val="Plain Text"/>
    <w:basedOn w:val="Normal"/>
    <w:link w:val="TextebrutCar"/>
    <w:unhideWhenUsed/>
    <w:rsid w:val="00AA016B"/>
    <w:rPr>
      <w:rFonts w:ascii="Consolas" w:hAnsi="Consolas"/>
      <w:sz w:val="21"/>
      <w:szCs w:val="21"/>
      <w:lang w:val="de-DE"/>
    </w:rPr>
  </w:style>
  <w:style w:type="character" w:customStyle="1" w:styleId="TextebrutCar">
    <w:name w:val="Texte brut Car"/>
    <w:link w:val="Textebrut"/>
    <w:rsid w:val="00AA016B"/>
    <w:rPr>
      <w:rFonts w:ascii="Consolas" w:hAnsi="Consolas"/>
      <w:sz w:val="21"/>
      <w:szCs w:val="21"/>
      <w:lang w:val="de-DE" w:eastAsia="de-DE"/>
    </w:rPr>
  </w:style>
  <w:style w:type="paragraph" w:styleId="Corpsdetexte">
    <w:name w:val="Body Text"/>
    <w:basedOn w:val="Normal"/>
    <w:link w:val="CorpsdetexteCar"/>
    <w:unhideWhenUsed/>
    <w:rsid w:val="00AA016B"/>
    <w:pPr>
      <w:numPr>
        <w:numId w:val="8"/>
      </w:numPr>
      <w:spacing w:after="240"/>
      <w:jc w:val="both"/>
    </w:pPr>
    <w:rPr>
      <w:rFonts w:ascii="Times New Roman" w:hAnsi="Times New Roman"/>
      <w:sz w:val="24"/>
      <w:szCs w:val="20"/>
      <w:lang w:eastAsia="en-GB"/>
    </w:rPr>
  </w:style>
  <w:style w:type="character" w:customStyle="1" w:styleId="CorpsdetexteCar">
    <w:name w:val="Corps de texte Car"/>
    <w:link w:val="Corpsdetexte"/>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lev">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Titre2Car">
    <w:name w:val="Titre 2 Car"/>
    <w:link w:val="Titre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Titre9Car">
    <w:name w:val="Titre 9 Car"/>
    <w:link w:val="Titre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Titre7Car">
    <w:name w:val="Titre 7 Car"/>
    <w:link w:val="Titre7"/>
    <w:rsid w:val="002D6E1A"/>
    <w:rPr>
      <w:sz w:val="22"/>
      <w:szCs w:val="24"/>
      <w:lang w:eastAsia="de-DE"/>
    </w:rPr>
  </w:style>
  <w:style w:type="character" w:customStyle="1" w:styleId="Titre6Car">
    <w:name w:val="Titre 6 Car"/>
    <w:link w:val="Titre6"/>
    <w:rsid w:val="002D6E1A"/>
    <w:rPr>
      <w:b/>
      <w:bCs/>
      <w:szCs w:val="22"/>
      <w:lang w:eastAsia="de-DE"/>
    </w:rPr>
  </w:style>
  <w:style w:type="character" w:customStyle="1" w:styleId="Titre8Car">
    <w:name w:val="Titre 8 Car"/>
    <w:link w:val="Titre8"/>
    <w:rsid w:val="002D6E1A"/>
    <w:rPr>
      <w:i/>
      <w:iCs/>
      <w:szCs w:val="24"/>
      <w:lang w:eastAsia="de-DE"/>
    </w:rPr>
  </w:style>
  <w:style w:type="numbering" w:customStyle="1" w:styleId="NoList1">
    <w:name w:val="No List1"/>
    <w:next w:val="Aucuneliste"/>
    <w:uiPriority w:val="99"/>
    <w:semiHidden/>
    <w:unhideWhenUsed/>
    <w:rsid w:val="002D6E1A"/>
  </w:style>
  <w:style w:type="character" w:styleId="Lienhypertextesuivivisit">
    <w:name w:val="FollowedHyperlink"/>
    <w:unhideWhenUsed/>
    <w:rsid w:val="002D6E1A"/>
    <w:rPr>
      <w:color w:val="800080"/>
      <w:u w:val="single"/>
    </w:rPr>
  </w:style>
  <w:style w:type="character" w:customStyle="1" w:styleId="En-tteCar">
    <w:name w:val="En-tête Car"/>
    <w:link w:val="En-tte"/>
    <w:rsid w:val="002D6E1A"/>
    <w:rPr>
      <w:rFonts w:ascii="Georgia" w:hAnsi="Georgia"/>
      <w:sz w:val="22"/>
      <w:szCs w:val="24"/>
      <w:lang w:eastAsia="de-DE"/>
    </w:rPr>
  </w:style>
  <w:style w:type="character" w:customStyle="1" w:styleId="PieddepageCar">
    <w:name w:val="Pied de page Car"/>
    <w:link w:val="Pieddepage"/>
    <w:uiPriority w:val="99"/>
    <w:rsid w:val="002D6E1A"/>
    <w:rPr>
      <w:rFonts w:ascii="Georgia" w:hAnsi="Georgia"/>
      <w:sz w:val="22"/>
      <w:szCs w:val="24"/>
      <w:lang w:eastAsia="de-DE"/>
    </w:rPr>
  </w:style>
  <w:style w:type="paragraph" w:styleId="Notedefin">
    <w:name w:val="endnote text"/>
    <w:basedOn w:val="Normal"/>
    <w:link w:val="NotedefinCar"/>
    <w:unhideWhenUsed/>
    <w:rsid w:val="002D6E1A"/>
    <w:rPr>
      <w:szCs w:val="20"/>
    </w:rPr>
  </w:style>
  <w:style w:type="character" w:customStyle="1" w:styleId="NotedefinCar">
    <w:name w:val="Note de fin Car"/>
    <w:link w:val="Notedefin"/>
    <w:rsid w:val="002D6E1A"/>
    <w:rPr>
      <w:rFonts w:ascii="Georgia" w:hAnsi="Georgia"/>
      <w:lang w:eastAsia="de-DE"/>
    </w:rPr>
  </w:style>
  <w:style w:type="paragraph" w:styleId="Listenumros">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ParagraphedelisteCar">
    <w:name w:val="Paragraphe de liste Car"/>
    <w:aliases w:val="Paragraphe EI Car,Paragraphe de liste1 Car,EC Car"/>
    <w:link w:val="Paragraphedeliste"/>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Paragraphedeliste"/>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Appeldenotedefin">
    <w:name w:val="endnote reference"/>
    <w:unhideWhenUsed/>
    <w:rsid w:val="002D6E1A"/>
    <w:rPr>
      <w:vertAlign w:val="superscript"/>
    </w:rPr>
  </w:style>
  <w:style w:type="character" w:styleId="Textedelespacerserv">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au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ucuneliste"/>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Numrodeligne">
    <w:name w:val="line number"/>
    <w:basedOn w:val="Policepardfau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Lgende"/>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Titre5Car">
    <w:name w:val="Titre 5 Car"/>
    <w:aliases w:val="Questions Car"/>
    <w:link w:val="Titre5"/>
    <w:rsid w:val="00E9344E"/>
    <w:rPr>
      <w:rFonts w:ascii="Arial" w:hAnsi="Arial"/>
      <w:b/>
      <w:szCs w:val="24"/>
      <w:lang w:eastAsia="de-DE"/>
    </w:rPr>
  </w:style>
  <w:style w:type="character" w:customStyle="1" w:styleId="Titre3Car">
    <w:name w:val="Titre 3 Car"/>
    <w:link w:val="Titre3"/>
    <w:rsid w:val="003865E5"/>
    <w:rPr>
      <w:rFonts w:ascii="Cambria" w:eastAsia="Times New Roman" w:hAnsi="Cambria" w:cs="Times New Roman"/>
      <w:b/>
      <w:bCs/>
      <w:color w:val="4F81BD"/>
      <w:sz w:val="22"/>
      <w:szCs w:val="24"/>
      <w:lang w:eastAsia="de-DE"/>
    </w:rPr>
  </w:style>
  <w:style w:type="character" w:customStyle="1" w:styleId="Titre4Car">
    <w:name w:val="Titre 4 Car"/>
    <w:link w:val="Titre4"/>
    <w:rsid w:val="00CB7286"/>
    <w:rPr>
      <w:b/>
      <w:bCs/>
      <w:sz w:val="28"/>
      <w:szCs w:val="28"/>
      <w:lang w:eastAsia="de-DE"/>
    </w:rPr>
  </w:style>
  <w:style w:type="table" w:styleId="Listeclaire-Accent3">
    <w:name w:val="Light List Accent 3"/>
    <w:basedOn w:val="Tableau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au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Titre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Titre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Titre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enumros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enumros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enumros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epuces">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epuces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epuces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epuces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desillustration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Titre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re">
    <w:name w:val="Title"/>
    <w:basedOn w:val="Normal"/>
    <w:next w:val="Normal"/>
    <w:link w:val="TitreC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reCar">
    <w:name w:val="Titre Car"/>
    <w:link w:val="Titr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visionCar">
    <w:name w:val="Révision Car"/>
    <w:link w:val="Rvision"/>
    <w:uiPriority w:val="99"/>
    <w:semiHidden/>
    <w:locked/>
    <w:rsid w:val="000D2D0B"/>
    <w:rPr>
      <w:rFonts w:ascii="Georgia" w:hAnsi="Georgia"/>
      <w:sz w:val="22"/>
      <w:szCs w:val="24"/>
      <w:lang w:eastAsia="de-DE"/>
    </w:rPr>
  </w:style>
  <w:style w:type="table" w:customStyle="1" w:styleId="TableGrid2">
    <w:name w:val="Table Grid2"/>
    <w:basedOn w:val="TableauNormal"/>
    <w:next w:val="Grilledutableau"/>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eple">
    <w:name w:val="Subtle Emphasis"/>
    <w:aliases w:val="Question,Text,Diskret betoning"/>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Policepardfau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Emphaseintense">
    <w:name w:val="Intense Emphasis"/>
    <w:basedOn w:val="Policepardfaut"/>
    <w:uiPriority w:val="21"/>
    <w:qFormat/>
    <w:rsid w:val="00D34282"/>
    <w:rPr>
      <w:b/>
      <w:bCs/>
      <w:i/>
      <w:iCs/>
    </w:rPr>
  </w:style>
  <w:style w:type="character" w:customStyle="1" w:styleId="CPTitle1Char">
    <w:name w:val="CP_Title1 Char"/>
    <w:basedOn w:val="Policepardfaut"/>
    <w:link w:val="CPTitle1"/>
    <w:locked/>
    <w:rsid w:val="00D34282"/>
    <w:rPr>
      <w:rFonts w:asciiTheme="majorHAnsi" w:eastAsiaTheme="majorEastAsia" w:hAnsiTheme="majorHAnsi" w:cstheme="majorHAnsi"/>
      <w:b/>
      <w:sz w:val="32"/>
      <w:szCs w:val="32"/>
    </w:rPr>
  </w:style>
  <w:style w:type="paragraph" w:customStyle="1" w:styleId="CPTitle1">
    <w:name w:val="CP_Title1"/>
    <w:basedOn w:val="Titre1"/>
    <w:link w:val="CPTitle1Char"/>
    <w:qFormat/>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Titre2"/>
    <w:qFormat/>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Policepardfau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976448"/>
    <w:pPr>
      <w:numPr>
        <w:numId w:val="36"/>
      </w:num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Policepardfaut"/>
    <w:link w:val="Questionstyle"/>
    <w:rsid w:val="00976448"/>
    <w:rPr>
      <w:rFonts w:asciiTheme="minorHAnsi" w:eastAsiaTheme="minorEastAsia" w:hAnsiTheme="minorHAnsi" w:cstheme="minorBidi"/>
      <w:b/>
      <w:sz w:val="22"/>
      <w:lang w:eastAsia="en-US"/>
    </w:rPr>
  </w:style>
  <w:style w:type="paragraph" w:styleId="Sous-titre">
    <w:name w:val="Subtitle"/>
    <w:basedOn w:val="Normal"/>
    <w:next w:val="Normal"/>
    <w:link w:val="Sous-titreCar"/>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Sous-titreCar">
    <w:name w:val="Sous-titre Car"/>
    <w:basedOn w:val="Policepardfaut"/>
    <w:link w:val="Sous-titre"/>
    <w:uiPriority w:val="11"/>
    <w:rsid w:val="006A24D5"/>
    <w:rPr>
      <w:rFonts w:asciiTheme="majorHAnsi" w:eastAsiaTheme="majorEastAsia" w:hAnsiTheme="majorHAnsi" w:cstheme="majorBidi"/>
      <w:b/>
      <w:sz w:val="28"/>
      <w:szCs w:val="24"/>
      <w:lang w:eastAsia="en-US"/>
    </w:rPr>
  </w:style>
  <w:style w:type="paragraph" w:customStyle="1" w:styleId="ParagraphoftheCP">
    <w:name w:val="Paragraph of the CP"/>
    <w:basedOn w:val="Paragraphedeliste"/>
    <w:link w:val="ParagraphoftheCPChar"/>
    <w:qFormat/>
    <w:rsid w:val="00820CBA"/>
    <w:pPr>
      <w:keepNext/>
      <w:spacing w:after="120" w:line="264" w:lineRule="auto"/>
      <w:ind w:left="0"/>
      <w:contextualSpacing w:val="0"/>
      <w:jc w:val="both"/>
    </w:pPr>
    <w:rPr>
      <w:rFonts w:asciiTheme="minorHAnsi" w:eastAsiaTheme="minorEastAsia" w:hAnsiTheme="minorHAnsi" w:cstheme="minorBidi"/>
      <w:sz w:val="22"/>
      <w:szCs w:val="22"/>
      <w:shd w:val="clear" w:color="auto" w:fill="FFFFFF"/>
      <w:lang w:eastAsia="en-US"/>
    </w:rPr>
  </w:style>
  <w:style w:type="character" w:customStyle="1" w:styleId="ParagraphoftheCPChar">
    <w:name w:val="Paragraph of the CP Char"/>
    <w:basedOn w:val="Policepardfaut"/>
    <w:link w:val="ParagraphoftheCP"/>
    <w:rsid w:val="00820CBA"/>
    <w:rPr>
      <w:rFonts w:asciiTheme="minorHAnsi" w:eastAsiaTheme="minorEastAsia" w:hAnsiTheme="minorHAnsi" w:cstheme="minorBidi"/>
      <w:sz w:val="22"/>
      <w:szCs w:val="22"/>
      <w:lang w:eastAsia="en-US"/>
    </w:rPr>
  </w:style>
  <w:style w:type="character" w:customStyle="1" w:styleId="myNormalChar0">
    <w:name w:val="myNormal Char"/>
    <w:basedOn w:val="Policepardfaut"/>
    <w:link w:val="myNormal0"/>
    <w:locked/>
    <w:rsid w:val="00AF38AF"/>
    <w:rPr>
      <w:rFonts w:ascii="Georgia" w:hAnsi="Georgia"/>
      <w:lang w:eastAsia="de-DE"/>
    </w:rPr>
  </w:style>
  <w:style w:type="paragraph" w:customStyle="1" w:styleId="myNormal0">
    <w:name w:val="myNormal"/>
    <w:basedOn w:val="Normal"/>
    <w:link w:val="myNormalChar0"/>
    <w:rsid w:val="00AF38AF"/>
    <w:pPr>
      <w:tabs>
        <w:tab w:val="num" w:pos="360"/>
      </w:tabs>
      <w:spacing w:after="250" w:line="276" w:lineRule="auto"/>
      <w:jc w:val="both"/>
    </w:pPr>
    <w:rPr>
      <w:rFonts w:ascii="Georgia" w:hAnsi="Georgia"/>
      <w:szCs w:val="20"/>
    </w:rPr>
  </w:style>
  <w:style w:type="paragraph" w:customStyle="1" w:styleId="Paragraph">
    <w:name w:val="Paragraph"/>
    <w:basedOn w:val="Normal"/>
    <w:link w:val="ParagraphChar"/>
    <w:qFormat/>
    <w:rsid w:val="00106124"/>
    <w:pPr>
      <w:spacing w:before="120" w:after="120" w:line="276" w:lineRule="auto"/>
      <w:ind w:left="360" w:hanging="360"/>
      <w:jc w:val="both"/>
    </w:pPr>
    <w:rPr>
      <w:rFonts w:asciiTheme="minorHAnsi" w:hAnsiTheme="minorHAnsi"/>
      <w:sz w:val="22"/>
      <w:szCs w:val="20"/>
      <w:lang w:eastAsia="en-US"/>
    </w:rPr>
  </w:style>
  <w:style w:type="character" w:customStyle="1" w:styleId="ParagraphChar">
    <w:name w:val="Paragraph Char"/>
    <w:link w:val="Paragraph"/>
    <w:locked/>
    <w:rsid w:val="00106124"/>
    <w:rPr>
      <w:rFonts w:asciiTheme="minorHAnsi" w:hAnsiTheme="minorHAnsi"/>
      <w:sz w:val="22"/>
      <w:lang w:eastAsia="en-US"/>
    </w:rPr>
  </w:style>
  <w:style w:type="paragraph" w:customStyle="1" w:styleId="xmsonormal">
    <w:name w:val="x_msonormal"/>
    <w:basedOn w:val="Normal"/>
    <w:rsid w:val="00976448"/>
    <w:pPr>
      <w:spacing w:before="100" w:beforeAutospacing="1" w:after="100" w:afterAutospacing="1"/>
    </w:pPr>
    <w:rPr>
      <w:rFonts w:ascii="Times New Roman" w:hAnsi="Times New Roman"/>
      <w:sz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68493509">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498666560">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17816576">
      <w:bodyDiv w:val="1"/>
      <w:marLeft w:val="0"/>
      <w:marRight w:val="0"/>
      <w:marTop w:val="0"/>
      <w:marBottom w:val="0"/>
      <w:divBdr>
        <w:top w:val="none" w:sz="0" w:space="0" w:color="auto"/>
        <w:left w:val="none" w:sz="0" w:space="0" w:color="auto"/>
        <w:bottom w:val="none" w:sz="0" w:space="0" w:color="auto"/>
        <w:right w:val="none" w:sz="0" w:space="0" w:color="auto"/>
      </w:divBdr>
    </w:div>
    <w:div w:id="521747332">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12478384">
      <w:bodyDiv w:val="1"/>
      <w:marLeft w:val="0"/>
      <w:marRight w:val="0"/>
      <w:marTop w:val="0"/>
      <w:marBottom w:val="0"/>
      <w:divBdr>
        <w:top w:val="none" w:sz="0" w:space="0" w:color="auto"/>
        <w:left w:val="none" w:sz="0" w:space="0" w:color="auto"/>
        <w:bottom w:val="none" w:sz="0" w:space="0" w:color="auto"/>
        <w:right w:val="none" w:sz="0" w:space="0" w:color="auto"/>
      </w:divBdr>
    </w:div>
    <w:div w:id="836698984">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997073813">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08445353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15711491">
      <w:bodyDiv w:val="1"/>
      <w:marLeft w:val="0"/>
      <w:marRight w:val="0"/>
      <w:marTop w:val="0"/>
      <w:marBottom w:val="0"/>
      <w:divBdr>
        <w:top w:val="none" w:sz="0" w:space="0" w:color="auto"/>
        <w:left w:val="none" w:sz="0" w:space="0" w:color="auto"/>
        <w:bottom w:val="none" w:sz="0" w:space="0" w:color="auto"/>
        <w:right w:val="none" w:sz="0" w:space="0" w:color="auto"/>
      </w:divBdr>
    </w:div>
    <w:div w:id="1144159185">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292249008">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758867293">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www.esma.europa.eu/about-esma/data-protection"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3b122f42-3680-41b8-abdb-8f838d66b94f">ESMA35-42-1086</_dlc_DocId>
    <_dlc_DocIdUrl xmlns="3b122f42-3680-41b8-abdb-8f838d66b94f">
      <Url>https://sherpa.esma.europa.eu/sites/INIIPI/_layouts/15/DocIdRedir.aspx?ID=ESMA35-42-1086</Url>
      <Description>ESMA35-42-1086</Description>
    </_dlc_DocIdUrl>
    <TaxCatchAll xmlns="3b122f42-3680-41b8-abdb-8f838d66b94f">
      <Value>125</Value>
      <Value>62</Value>
      <Value>30</Value>
      <Value>309</Value>
      <Value>49</Value>
    </TaxCatchAll>
    <MeetingDate xmlns="3b122f42-3680-41b8-abdb-8f838d66b94f">2020-11-04T23:00:00+00:00</MeetingDate>
    <Year xmlns="3b122f42-3680-41b8-abdb-8f838d66b94f">2020</Year>
    <f926fd9ddf4e43dc9baf43a17188d082 xmlns="3b122f42-3680-41b8-abdb-8f838d66b94f">
      <Terms xmlns="http://schemas.microsoft.com/office/infopath/2007/PartnerControls">
        <TermInfo xmlns="http://schemas.microsoft.com/office/infopath/2007/PartnerControls">
          <TermName xmlns="http://schemas.microsoft.com/office/infopath/2007/PartnerControls">Sustainable Finance</TermName>
          <TermId xmlns="http://schemas.microsoft.com/office/infopath/2007/PartnerControls">2b3d71a9-35a3-4434-9d75-bd09a37940bf</TermId>
        </TermInfo>
      </Terms>
    </f926fd9ddf4e43dc9baf43a17188d082>
    <ldf822d702374457a75b2650fd19956f xmlns="3b122f42-3680-41b8-abdb-8f838d66b94f">
      <Terms xmlns="http://schemas.microsoft.com/office/infopath/2007/PartnerControls"/>
    </ldf822d702374457a75b2650fd19956f>
    <IconOverlay xmlns="http://schemas.microsoft.com/sharepoint/v4" xsi:nil="true"/>
    <b1f7cdd549a8454fb97376e5c37040fc xmlns="3b122f42-3680-41b8-abdb-8f838d66b94f">
      <Terms xmlns="http://schemas.microsoft.com/office/infopath/2007/PartnerControls">
        <TermInfo xmlns="http://schemas.microsoft.com/office/infopath/2007/PartnerControls">
          <TermName xmlns="http://schemas.microsoft.com/office/infopath/2007/PartnerControls">Questionnaire</TermName>
          <TermId xmlns="http://schemas.microsoft.com/office/infopath/2007/PartnerControls">a849d609-a31c-415e-a1a8-503bcc16b083</TermId>
        </TermInfo>
      </Terms>
    </b1f7cdd549a8454fb97376e5c37040fc>
    <i5ab60d4d76744fa8f19029305834a0f xmlns="3b122f42-3680-41b8-abdb-8f838d66b94f">
      <Terms xmlns="http://schemas.microsoft.com/office/infopath/2007/PartnerControls">
        <TermInfo xmlns="http://schemas.microsoft.com/office/infopath/2007/PartnerControls">
          <TermName xmlns="http://schemas.microsoft.com/office/infopath/2007/PartnerControls">Investor Protection and Intermediaries</TermName>
          <TermId xmlns="http://schemas.microsoft.com/office/infopath/2007/PartnerControls">98c55de3-414a-4dc7-97ca-58b003cd9a35</TermId>
        </TermInfo>
      </Terms>
    </i5ab60d4d76744fa8f19029305834a0f>
    <ja89261ff8244daf864530e8b7973c66 xmlns="3b122f42-3680-41b8-abdb-8f838d66b94f">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a0c619ff-bd46-48f0-b213-6b7c03fe156d</TermId>
        </TermInfo>
      </Terms>
    </ja89261ff8244daf864530e8b7973c66>
    <nd85f6bbfc564f3fa1f39842b48e85f3 xmlns="3b122f42-3680-41b8-abdb-8f838d66b94f">
      <Terms xmlns="http://schemas.microsoft.com/office/infopath/2007/PartnerControls">
        <TermInfo xmlns="http://schemas.microsoft.com/office/infopath/2007/PartnerControls">
          <TermName xmlns="http://schemas.microsoft.com/office/infopath/2007/PartnerControls">Other Work</TermName>
          <TermId xmlns="http://schemas.microsoft.com/office/infopath/2007/PartnerControls">8e467236-62cb-4258-b359-81b56229d8cf</TermId>
        </TermInfo>
      </Terms>
    </nd85f6bbfc564f3fa1f39842b48e85f3>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Other Work Document" ma:contentTypeID="0x0101004C1F842F26F0BF46AAFF4A33AAF0FAB9020E00058A08C15AC1864D8EE7048745AAA068" ma:contentTypeVersion="145" ma:contentTypeDescription="" ma:contentTypeScope="" ma:versionID="2309983eb822269fd72e2a60a53940d4">
  <xsd:schema xmlns:xsd="http://www.w3.org/2001/XMLSchema" xmlns:xs="http://www.w3.org/2001/XMLSchema" xmlns:p="http://schemas.microsoft.com/office/2006/metadata/properties" xmlns:ns2="3b122f42-3680-41b8-abdb-8f838d66b94f" xmlns:ns3="http://schemas.microsoft.com/sharepoint/v4" targetNamespace="http://schemas.microsoft.com/office/2006/metadata/properties" ma:root="true" ma:fieldsID="c86cf930dbcd5bc90d4a71097f38bcb6" ns2:_="" ns3:_="">
    <xsd:import namespace="3b122f42-3680-41b8-abdb-8f838d66b94f"/>
    <xsd:import namespace="http://schemas.microsoft.com/sharepoint/v4"/>
    <xsd:element name="properties">
      <xsd:complexType>
        <xsd:sequence>
          <xsd:element name="documentManagement">
            <xsd:complexType>
              <xsd:all>
                <xsd:element ref="ns2:Year"/>
                <xsd:element ref="ns2:MeetingDate" minOccurs="0"/>
                <xsd:element ref="ns2:_dlc_DocId" minOccurs="0"/>
                <xsd:element ref="ns2:TaxCatchAll" minOccurs="0"/>
                <xsd:element ref="ns2:_dlc_DocIdUrl" minOccurs="0"/>
                <xsd:element ref="ns2:_dlc_DocIdPersistId" minOccurs="0"/>
                <xsd:element ref="ns2:i5ab60d4d76744fa8f19029305834a0f" minOccurs="0"/>
                <xsd:element ref="ns2:b1f7cdd549a8454fb97376e5c37040fc" minOccurs="0"/>
                <xsd:element ref="ns2:ja89261ff8244daf864530e8b7973c66" minOccurs="0"/>
                <xsd:element ref="ns2:ldf822d702374457a75b2650fd19956f" minOccurs="0"/>
                <xsd:element ref="ns2:nd85f6bbfc564f3fa1f39842b48e85f3" minOccurs="0"/>
                <xsd:element ref="ns2:TaxCatchAllLabel" minOccurs="0"/>
                <xsd:element ref="ns2:f926fd9ddf4e43dc9baf43a17188d082"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122f42-3680-41b8-abdb-8f838d66b94f" elementFormDefault="qualified">
    <xsd:import namespace="http://schemas.microsoft.com/office/2006/documentManagement/types"/>
    <xsd:import namespace="http://schemas.microsoft.com/office/infopath/2007/PartnerControls"/>
    <xsd:element name="Year" ma:index="6" ma:displayName="Year" ma:description="" ma:internalName="Year">
      <xsd:simpleType>
        <xsd:restriction base="dms:Text">
          <xsd:maxLength value="4"/>
        </xsd:restriction>
      </xsd:simpleType>
    </xsd:element>
    <xsd:element name="MeetingDate" ma:index="8" nillable="true" ma:displayName="Meeting Date" ma:description="" ma:format="DateOnly" ma:internalName="MeetingDate" ma:readOnly="false">
      <xsd:simpleType>
        <xsd:restriction base="dms:DateTime"/>
      </xsd:simple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TaxCatchAll" ma:index="11" nillable="true" ma:displayName="Taxonomy Catch All Column" ma:hidden="true" ma:list="{1d591544-b9e9-463f-8aea-85c90ce7dc60}" ma:internalName="TaxCatchAll" ma:showField="CatchAllData" ma:web="3b122f42-3680-41b8-abdb-8f838d66b94f">
      <xsd:complexType>
        <xsd:complexContent>
          <xsd:extension base="dms:MultiChoiceLookup">
            <xsd:sequence>
              <xsd:element name="Value" type="dms:Lookup" maxOccurs="unbounded" minOccurs="0" nillable="true"/>
            </xsd:sequence>
          </xsd:extension>
        </xsd:complexContent>
      </xsd:complex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i5ab60d4d76744fa8f19029305834a0f" ma:index="14" ma:taxonomy="true" ma:internalName="i5ab60d4d76744fa8f19029305834a0f" ma:taxonomyFieldName="TeamName" ma:displayName="Team Name" ma:default="30;#Investor Protection and Intermediaries|98c55de3-414a-4dc7-97ca-58b003cd9a35" ma:fieldId="{25ab60d4-d767-44fa-8f19-029305834a0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b1f7cdd549a8454fb97376e5c37040fc" ma:index="16" ma:taxonomy="true" ma:internalName="b1f7cdd549a8454fb97376e5c37040fc" ma:taxonomyFieldName="DocumentType" ma:displayName="Document Type" ma:readOnly="false" ma:default="" ma:fieldId="{b1f7cdd5-49a8-454f-b973-76e5c37040fc}"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a89261ff8244daf864530e8b7973c66" ma:index="18" ma:taxonomy="true" ma:internalName="ja89261ff8244daf864530e8b7973c66" ma:taxonomyFieldName="ConfidentialityLevel" ma:displayName="Confidentiality Level" ma:readOnly="false" ma:default="15;#Regular|07f1e362-856b-423d-bea6-a14079762141" ma:fieldId="{3a89261f-f824-4daf-8645-30e8b7973c66}"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ldf822d702374457a75b2650fd19956f" ma:index="20" nillable="true" ma:taxonomy="true" ma:internalName="ldf822d702374457a75b2650fd19956f" ma:taxonomyFieldName="EsmaAudience" ma:displayName="Audience" ma:default="" ma:fieldId="{5df822d7-0237-4457-a75b-2650fd19956f}"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nd85f6bbfc564f3fa1f39842b48e85f3" ma:index="23" nillable="true" ma:taxonomy="true" ma:internalName="nd85f6bbfc564f3fa1f39842b48e85f3" ma:taxonomyFieldName="TeamTopic" ma:displayName="Team Topic" ma:readOnly="false" ma:default="125;#Other Work|8e467236-62cb-4258-b359-81b56229d8cf" ma:fieldId="{7d85f6bb-fc56-4f3f-a1f3-9842b48e85f3}" ma:taxonomyMulti="true" ma:sspId="0ac1876e-32bf-4158-94e7-cdbcd053a335" ma:termSetId="850502f9-36b0-41fb-966b-d9fcd2f00296" ma:anchorId="00000000-0000-0000-0000-000000000000" ma:open="false" ma:isKeyword="false">
      <xsd:complexType>
        <xsd:sequence>
          <xsd:element ref="pc:Terms" minOccurs="0" maxOccurs="1"/>
        </xsd:sequence>
      </xsd:complexType>
    </xsd:element>
    <xsd:element name="TaxCatchAllLabel" ma:index="24" nillable="true" ma:displayName="Taxonomy Catch All Column1" ma:hidden="true" ma:list="{1d591544-b9e9-463f-8aea-85c90ce7dc60}" ma:internalName="TaxCatchAllLabel" ma:readOnly="true" ma:showField="CatchAllDataLabel" ma:web="3b122f42-3680-41b8-abdb-8f838d66b94f">
      <xsd:complexType>
        <xsd:complexContent>
          <xsd:extension base="dms:MultiChoiceLookup">
            <xsd:sequence>
              <xsd:element name="Value" type="dms:Lookup" maxOccurs="unbounded" minOccurs="0" nillable="true"/>
            </xsd:sequence>
          </xsd:extension>
        </xsd:complexContent>
      </xsd:complexType>
    </xsd:element>
    <xsd:element name="f926fd9ddf4e43dc9baf43a17188d082" ma:index="25" nillable="true" ma:taxonomy="true" ma:internalName="f926fd9ddf4e43dc9baf43a17188d082" ma:taxonomyFieldName="Topic" ma:displayName="Topic" ma:default="" ma:fieldId="{f926fd9d-df4e-43dc-9baf-43a17188d082}" ma:sspId="0ac1876e-32bf-4158-94e7-cdbcd053a335" ma:termSetId="1204d773-6b06-4d02-bc01-ea5b5466ecfd"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773D7-C2BB-4D87-8953-46CB848F19A7}">
  <ds:schemaRefs>
    <ds:schemaRef ds:uri="http://schemas.microsoft.com/sharepoint/events"/>
  </ds:schemaRefs>
</ds:datastoreItem>
</file>

<file path=customXml/itemProps2.xml><?xml version="1.0" encoding="utf-8"?>
<ds:datastoreItem xmlns:ds="http://schemas.openxmlformats.org/officeDocument/2006/customXml" ds:itemID="{A1823ED9-4C25-4A0F-AA35-0F2F3F3B90A3}">
  <ds:schemaRefs>
    <ds:schemaRef ds:uri="http://schemas.microsoft.com/sharepoint/v4"/>
    <ds:schemaRef ds:uri="http://purl.org/dc/terms/"/>
    <ds:schemaRef ds:uri="http://schemas.microsoft.com/office/2006/metadata/properties"/>
    <ds:schemaRef ds:uri="http://schemas.microsoft.com/office/2006/documentManagement/types"/>
    <ds:schemaRef ds:uri="http://schemas.microsoft.com/office/infopath/2007/PartnerControls"/>
    <ds:schemaRef ds:uri="3b122f42-3680-41b8-abdb-8f838d66b94f"/>
    <ds:schemaRef ds:uri="http://purl.org/dc/elements/1.1/"/>
    <ds:schemaRef ds:uri="http://purl.org/dc/dcmitype/"/>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0EEA42A5-84E9-48B4-AED0-CBEF87EA7FDE}">
  <ds:schemaRefs>
    <ds:schemaRef ds:uri="http://schemas.microsoft.com/sharepoint/v3/contenttype/forms"/>
  </ds:schemaRefs>
</ds:datastoreItem>
</file>

<file path=customXml/itemProps4.xml><?xml version="1.0" encoding="utf-8"?>
<ds:datastoreItem xmlns:ds="http://schemas.openxmlformats.org/officeDocument/2006/customXml" ds:itemID="{BA53AC4E-1B9E-4EAF-B866-EE07015F1C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122f42-3680-41b8-abdb-8f838d66b94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1ADD8BB-CCBE-4256-85C2-0B08CA2158DE}">
  <ds:schemaRefs>
    <ds:schemaRef ds:uri="http://schemas.openxmlformats.org/officeDocument/2006/bibliography"/>
  </ds:schemaRefs>
</ds:datastoreItem>
</file>

<file path=customXml/itemProps6.xml><?xml version="1.0" encoding="utf-8"?>
<ds:datastoreItem xmlns:ds="http://schemas.openxmlformats.org/officeDocument/2006/customXml" ds:itemID="{0AA63209-7EBA-4D3D-9F66-DFE1D6C68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8421</Words>
  <Characters>43947</Characters>
  <Application>Microsoft Office Word</Application>
  <DocSecurity>8</DocSecurity>
  <Lines>366</Lines>
  <Paragraphs>104</Paragraphs>
  <ScaleCrop>false</ScaleCrop>
  <HeadingPairs>
    <vt:vector size="10" baseType="variant">
      <vt:variant>
        <vt:lpstr>Titre</vt:lpstr>
      </vt:variant>
      <vt:variant>
        <vt:i4>1</vt:i4>
      </vt:variant>
      <vt:variant>
        <vt:lpstr>Title</vt:lpstr>
      </vt:variant>
      <vt:variant>
        <vt:i4>1</vt:i4>
      </vt:variant>
      <vt:variant>
        <vt:lpstr>Título</vt:lpstr>
      </vt:variant>
      <vt:variant>
        <vt:i4>1</vt:i4>
      </vt:variant>
      <vt:variant>
        <vt:lpstr>Titolo</vt:lpstr>
      </vt:variant>
      <vt:variant>
        <vt:i4>1</vt:i4>
      </vt:variant>
      <vt:variant>
        <vt:lpstr>Titel</vt:lpstr>
      </vt:variant>
      <vt:variant>
        <vt:i4>1</vt:i4>
      </vt:variant>
    </vt:vector>
  </HeadingPairs>
  <TitlesOfParts>
    <vt:vector size="5" baseType="lpstr">
      <vt:lpstr>Reply form for the TR portability CP under EMIR</vt:lpstr>
      <vt:lpstr>Reply form for the TR portability CP under EMIR</vt:lpstr>
      <vt:lpstr>20110000</vt:lpstr>
      <vt:lpstr>20110000</vt:lpstr>
      <vt:lpstr>20110000</vt:lpstr>
    </vt:vector>
  </TitlesOfParts>
  <Company>ESMA</Company>
  <LinksUpToDate>false</LinksUpToDate>
  <CharactersWithSpaces>52264</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ESMA</dc:creator>
  <cp:lastModifiedBy>Darmon Thierry (AMUNDI)</cp:lastModifiedBy>
  <cp:revision>26</cp:revision>
  <cp:lastPrinted>2015-02-18T11:01:00Z</cp:lastPrinted>
  <dcterms:created xsi:type="dcterms:W3CDTF">2021-06-22T14:34:00Z</dcterms:created>
  <dcterms:modified xsi:type="dcterms:W3CDTF">2021-06-30T12:35:00Z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0x0101004C1F842F26F0BF46AAFF4A33AAF0FAB9020E00058A08C15AC1864D8EE7048745AAA068</vt:lpwstr>
  </property>
  <property fmtid="{D5CDD505-2E9C-101B-9397-08002B2CF9AE}" pid="3" name="EsmaAudience">
    <vt:lpwstr/>
  </property>
  <property fmtid="{D5CDD505-2E9C-101B-9397-08002B2CF9AE}" pid="4" name="TeamName">
    <vt:lpwstr>30;#Investor Protection and Intermediaries|98c55de3-414a-4dc7-97ca-58b003cd9a35</vt:lpwstr>
  </property>
  <property fmtid="{D5CDD505-2E9C-101B-9397-08002B2CF9AE}" pid="5" name="Topic">
    <vt:lpwstr>309;#Sustainable Finance|2b3d71a9-35a3-4434-9d75-bd09a37940bf</vt:lpwstr>
  </property>
  <property fmtid="{D5CDD505-2E9C-101B-9397-08002B2CF9AE}" pid="6" name="SubTopic">
    <vt:lpwstr>211;#ESAs|fa72426c-f4c1-4de0-83a0-2806812bd296</vt:lpwstr>
  </property>
  <property fmtid="{D5CDD505-2E9C-101B-9397-08002B2CF9AE}" pid="7" name="DocumentType">
    <vt:lpwstr>49;#Questionnaire|a849d609-a31c-415e-a1a8-503bcc16b083</vt:lpwstr>
  </property>
  <property fmtid="{D5CDD505-2E9C-101B-9397-08002B2CF9AE}" pid="8" name="ConfidentialityLevel">
    <vt:lpwstr>62;#Public|a0c619ff-bd46-48f0-b213-6b7c03fe156d</vt:lpwstr>
  </property>
  <property fmtid="{D5CDD505-2E9C-101B-9397-08002B2CF9AE}" pid="9" name="_dlc_DocIdItemGuid">
    <vt:lpwstr>8fb716ed-9d55-4b9a-8e94-42b55d51da19</vt:lpwstr>
  </property>
  <property fmtid="{D5CDD505-2E9C-101B-9397-08002B2CF9AE}" pid="10" name="f73b170dc53b40b9aa315b795e235780">
    <vt:lpwstr>Post-Trading|edaa1ce6-4b9b-4aac-a462-2b226ce43f53</vt:lpwstr>
  </property>
  <property fmtid="{D5CDD505-2E9C-101B-9397-08002B2CF9AE}" pid="11" name="ebe96076533d4a3ebf64abfb595c8cab">
    <vt:lpwstr>TRs|fa921b24-005b-470e-8d84-860d1c02e2c4</vt:lpwstr>
  </property>
  <property fmtid="{D5CDD505-2E9C-101B-9397-08002B2CF9AE}" pid="12" name="k2a4e0e239ca426ba867042d07636a92">
    <vt:lpwstr>Consultation Paper|c6238baf-c3d7-4bb8-8cf2-f28a89601f52</vt:lpwstr>
  </property>
  <property fmtid="{D5CDD505-2E9C-101B-9397-08002B2CF9AE}" pid="13" name="l41428f617fd44458265420e00c85298">
    <vt:lpwstr>Restricted|187aa7e6-627f-4951-b138-6ff841dc883d</vt:lpwstr>
  </property>
  <property fmtid="{D5CDD505-2E9C-101B-9397-08002B2CF9AE}" pid="14" name="TaxCatchAll">
    <vt:lpwstr>4;#Post-Trading|edaa1ce6-4b9b-4aac-a462-2b226ce43f53;#24;#TRs|fa921b24-005b-470e-8d84-860d1c02e2c4;#2;#Restricted|187aa7e6-627f-4951-b138-6ff841dc883d;#91;#Consultation Paper|c6238baf-c3d7-4bb8-8cf2-f28a89601f52</vt:lpwstr>
  </property>
  <property fmtid="{D5CDD505-2E9C-101B-9397-08002B2CF9AE}" pid="15" name="ec60598a2cb14c5fbb15899e6f9fdcae">
    <vt:lpwstr/>
  </property>
  <property fmtid="{D5CDD505-2E9C-101B-9397-08002B2CF9AE}" pid="16" name="InternalStakeholders">
    <vt:lpwstr/>
  </property>
  <property fmtid="{D5CDD505-2E9C-101B-9397-08002B2CF9AE}" pid="17" name="ExternalStakeholders">
    <vt:lpwstr/>
  </property>
  <property fmtid="{D5CDD505-2E9C-101B-9397-08002B2CF9AE}" pid="18" name="StatusOfLegislation">
    <vt:lpwstr/>
  </property>
  <property fmtid="{D5CDD505-2E9C-101B-9397-08002B2CF9AE}" pid="19" name="TeamTopic">
    <vt:lpwstr>125;#Other Work|8e467236-62cb-4258-b359-81b56229d8cf</vt:lpwstr>
  </property>
</Properties>
</file>