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30749A2D" w:rsidR="00C2094B" w:rsidRPr="004E49B0" w:rsidRDefault="00C2094B" w:rsidP="00337A3F">
            <w:pPr>
              <w:pStyle w:val="00bDBInfo"/>
              <w:rPr>
                <w:rFonts w:cs="Arial"/>
              </w:rPr>
            </w:pPr>
            <w:bookmarkStart w:id="0" w:name="_GoBack"/>
            <w:bookmarkEnd w:id="0"/>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7021ABAC"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 xml:space="preserve">ning </w:t>
            </w:r>
            <w:r w:rsidR="00281E71">
              <w:t xml:space="preserve"> </w:t>
            </w:r>
            <w:r w:rsidR="00281E71" w:rsidRPr="00281E71">
              <w:rPr>
                <w:rFonts w:cs="Arial"/>
              </w:rPr>
              <w:t>Taxonomy-related sustainability discl</w:t>
            </w:r>
            <w:r w:rsidR="00281E71" w:rsidRPr="00281E71">
              <w:rPr>
                <w:rFonts w:cs="Arial"/>
              </w:rPr>
              <w:t>o</w:t>
            </w:r>
            <w:r w:rsidR="00281E71" w:rsidRPr="00281E71">
              <w:rPr>
                <w:rFonts w:cs="Arial"/>
              </w:rPr>
              <w:t>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100BAE9D" w14:textId="6CAF0146" w:rsidR="005F6BE3" w:rsidRDefault="00620D7C" w:rsidP="005F6BE3">
            <w:pPr>
              <w:pStyle w:val="02Date"/>
              <w:rPr>
                <w:rFonts w:cs="Arial"/>
              </w:rPr>
            </w:pPr>
            <w:r w:rsidRPr="004E49B0">
              <w:rPr>
                <w:rFonts w:cs="Arial"/>
              </w:rPr>
              <w:lastRenderedPageBreak/>
              <w:t xml:space="preserve">Date: </w:t>
            </w:r>
            <w:r w:rsidR="00E92A28">
              <w:rPr>
                <w:rFonts w:cs="Arial"/>
              </w:rPr>
              <w:t>17 March 2021</w:t>
            </w:r>
          </w:p>
          <w:p w14:paraId="6A3CB033" w14:textId="02EF4BF2" w:rsidR="00704EED" w:rsidRPr="004E49B0" w:rsidRDefault="00704EED" w:rsidP="005F6BE3">
            <w:pPr>
              <w:pStyle w:val="02Date"/>
              <w:rPr>
                <w:rFonts w:cs="Arial"/>
              </w:rPr>
            </w:pPr>
            <w:r>
              <w:rPr>
                <w:rFonts w:cs="Arial"/>
                <w:shd w:val="clear" w:color="auto" w:fill="FFFFFF" w:themeFill="background1"/>
              </w:rPr>
              <w:t>ESMA</w:t>
            </w:r>
            <w:r w:rsidR="006C795E">
              <w:rPr>
                <w:rFonts w:cs="Arial"/>
                <w:shd w:val="clear" w:color="auto" w:fill="FFFFFF" w:themeFill="background1"/>
              </w:rPr>
              <w:t>34-45-1218</w:t>
            </w:r>
          </w:p>
        </w:tc>
      </w:tr>
    </w:tbl>
    <w:p w14:paraId="6A3CB035" w14:textId="77777777"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14:paraId="4256666B" w14:textId="2B6B0430" w:rsidR="00754AC4" w:rsidRDefault="005F6BE3" w:rsidP="00754AC4">
      <w:pPr>
        <w:spacing w:after="240"/>
        <w:jc w:val="both"/>
        <w:rPr>
          <w:rStyle w:val="nfasissutil"/>
          <w:b w:val="0"/>
          <w:bCs/>
          <w:sz w:val="22"/>
        </w:rPr>
      </w:pPr>
      <w:r w:rsidRPr="005F6BE3">
        <w:rPr>
          <w:rStyle w:val="nfasissutil"/>
          <w:b w:val="0"/>
          <w:bCs/>
          <w:sz w:val="22"/>
        </w:rPr>
        <w:t>The European Supervisory Authorities (ESAs) welcome comments on this consultation paper setting out the proposed Regulatory Technical Standards (hereinafter “RTS”) on content and presentation of disclosures pursuant to Article 8(4), 9(6) and 11(5) of Regulation (EU) 2019/2088 (hereinafter Sustainable Finance Disclosure Regulation “SFDR”)</w:t>
      </w:r>
      <w:r w:rsidR="00281E71">
        <w:rPr>
          <w:rStyle w:val="nfasissutil"/>
          <w:b w:val="0"/>
          <w:bCs/>
          <w:sz w:val="22"/>
        </w:rPr>
        <w:t xml:space="preserve"> </w:t>
      </w:r>
      <w:r w:rsidR="00754AC4" w:rsidRPr="00754AC4">
        <w:rPr>
          <w:rStyle w:val="nfasissutil"/>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nfasissutil"/>
          <w:b w:val="0"/>
          <w:bCs/>
          <w:sz w:val="22"/>
        </w:rPr>
      </w:pPr>
      <w:r w:rsidRPr="00754AC4">
        <w:rPr>
          <w:rStyle w:val="nfasissutil"/>
          <w:b w:val="0"/>
          <w:bCs/>
          <w:sz w:val="22"/>
        </w:rPr>
        <w:t>Comments are most helpful if they:</w:t>
      </w:r>
    </w:p>
    <w:p w14:paraId="443F1C2C" w14:textId="77777777" w:rsidR="00754AC4" w:rsidRPr="00754AC4" w:rsidRDefault="00754AC4" w:rsidP="00666A17">
      <w:pPr>
        <w:pStyle w:val="Prrafodelista"/>
        <w:numPr>
          <w:ilvl w:val="0"/>
          <w:numId w:val="39"/>
        </w:numPr>
        <w:spacing w:after="240"/>
        <w:jc w:val="both"/>
        <w:rPr>
          <w:rStyle w:val="nfasissutil"/>
          <w:b w:val="0"/>
          <w:bCs/>
          <w:sz w:val="22"/>
        </w:rPr>
      </w:pPr>
      <w:r w:rsidRPr="00754AC4">
        <w:rPr>
          <w:rStyle w:val="nfasissutil"/>
          <w:b w:val="0"/>
          <w:bCs/>
          <w:sz w:val="22"/>
        </w:rPr>
        <w:t>contain a clear rationale; and</w:t>
      </w:r>
    </w:p>
    <w:p w14:paraId="44288AF1" w14:textId="77777777" w:rsidR="00754AC4" w:rsidRPr="00754AC4" w:rsidRDefault="00754AC4" w:rsidP="00666A17">
      <w:pPr>
        <w:pStyle w:val="Prrafodelista"/>
        <w:numPr>
          <w:ilvl w:val="0"/>
          <w:numId w:val="39"/>
        </w:numPr>
        <w:spacing w:after="240"/>
        <w:jc w:val="both"/>
        <w:rPr>
          <w:rStyle w:val="nfasissutil"/>
          <w:b w:val="0"/>
          <w:bCs/>
          <w:sz w:val="22"/>
        </w:rPr>
      </w:pPr>
      <w:r w:rsidRPr="00754AC4">
        <w:rPr>
          <w:rStyle w:val="nfasissutil"/>
          <w:b w:val="0"/>
          <w:bCs/>
          <w:sz w:val="22"/>
        </w:rPr>
        <w:t>describe any alternatives the ESAs should consider.</w:t>
      </w:r>
    </w:p>
    <w:p w14:paraId="122FDDB2" w14:textId="5647B0AF" w:rsidR="00C86E1C" w:rsidRDefault="00C86E1C" w:rsidP="00754AC4">
      <w:pPr>
        <w:spacing w:after="240"/>
        <w:jc w:val="both"/>
        <w:rPr>
          <w:rStyle w:val="nfasissutil"/>
          <w:b w:val="0"/>
          <w:bCs/>
          <w:sz w:val="22"/>
        </w:rPr>
      </w:pPr>
      <w:r>
        <w:rPr>
          <w:rStyle w:val="nfasissutil"/>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nfasissutil"/>
          <w:b w:val="0"/>
          <w:sz w:val="22"/>
        </w:rPr>
      </w:pPr>
    </w:p>
    <w:p w14:paraId="6A3CB03F" w14:textId="77777777" w:rsidR="009A3017" w:rsidRPr="00E40A5C" w:rsidRDefault="009A3017" w:rsidP="009A3017">
      <w:pPr>
        <w:spacing w:after="120"/>
        <w:jc w:val="both"/>
        <w:rPr>
          <w:rStyle w:val="nfasissutil"/>
          <w:sz w:val="22"/>
        </w:rPr>
      </w:pPr>
      <w:r w:rsidRPr="00E40A5C">
        <w:rPr>
          <w:rStyle w:val="nfasissutil"/>
          <w:sz w:val="22"/>
        </w:rPr>
        <w:t>Instructions</w:t>
      </w:r>
    </w:p>
    <w:p w14:paraId="6A3CB040" w14:textId="77777777" w:rsidR="009A3017" w:rsidRPr="00E40A5C" w:rsidRDefault="009A3017" w:rsidP="009A3017">
      <w:pPr>
        <w:spacing w:after="240"/>
        <w:jc w:val="both"/>
        <w:rPr>
          <w:rStyle w:val="nfasissutil"/>
          <w:b w:val="0"/>
          <w:sz w:val="22"/>
        </w:rPr>
      </w:pPr>
      <w:r w:rsidRPr="00E40A5C">
        <w:rPr>
          <w:rStyle w:val="nfasissutil"/>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666A17">
      <w:pPr>
        <w:pStyle w:val="Prrafodelista"/>
        <w:numPr>
          <w:ilvl w:val="0"/>
          <w:numId w:val="36"/>
        </w:numPr>
        <w:spacing w:after="240" w:line="276" w:lineRule="auto"/>
        <w:ind w:left="567" w:hanging="567"/>
        <w:contextualSpacing w:val="0"/>
        <w:jc w:val="both"/>
        <w:rPr>
          <w:rStyle w:val="nfasissutil"/>
          <w:b w:val="0"/>
          <w:sz w:val="22"/>
        </w:rPr>
      </w:pPr>
      <w:r w:rsidRPr="00E40A5C">
        <w:rPr>
          <w:rStyle w:val="nfasissutil"/>
          <w:b w:val="0"/>
          <w:sz w:val="22"/>
        </w:rPr>
        <w:t xml:space="preserve">Insert your responses to the questions in the Consultation Paper in </w:t>
      </w:r>
      <w:r w:rsidR="00963D60">
        <w:rPr>
          <w:rStyle w:val="nfasissutil"/>
          <w:b w:val="0"/>
          <w:sz w:val="22"/>
        </w:rPr>
        <w:t>the present</w:t>
      </w:r>
      <w:r w:rsidR="00963D60" w:rsidRPr="00E40A5C">
        <w:rPr>
          <w:rStyle w:val="nfasissutil"/>
          <w:b w:val="0"/>
          <w:sz w:val="22"/>
        </w:rPr>
        <w:t xml:space="preserve"> </w:t>
      </w:r>
      <w:r w:rsidR="00315895">
        <w:rPr>
          <w:rStyle w:val="nfasissutil"/>
          <w:b w:val="0"/>
          <w:sz w:val="22"/>
        </w:rPr>
        <w:t xml:space="preserve">response </w:t>
      </w:r>
      <w:r w:rsidRPr="00E40A5C">
        <w:rPr>
          <w:rStyle w:val="nfasissutil"/>
          <w:b w:val="0"/>
          <w:sz w:val="22"/>
        </w:rPr>
        <w:t>form</w:t>
      </w:r>
      <w:r w:rsidR="00963D60">
        <w:rPr>
          <w:rStyle w:val="nfasissutil"/>
          <w:b w:val="0"/>
          <w:sz w:val="22"/>
        </w:rPr>
        <w:t>.</w:t>
      </w:r>
      <w:r w:rsidRPr="00E40A5C">
        <w:rPr>
          <w:rStyle w:val="nfasissutil"/>
          <w:b w:val="0"/>
          <w:sz w:val="22"/>
        </w:rPr>
        <w:t xml:space="preserve"> </w:t>
      </w:r>
    </w:p>
    <w:p w14:paraId="6A3CB042" w14:textId="7681A708" w:rsidR="009A3017" w:rsidRPr="00E40A5C" w:rsidRDefault="009A3017" w:rsidP="00666A17">
      <w:pPr>
        <w:pStyle w:val="Prrafodelista"/>
        <w:numPr>
          <w:ilvl w:val="0"/>
          <w:numId w:val="36"/>
        </w:numPr>
        <w:spacing w:after="240" w:line="276" w:lineRule="auto"/>
        <w:ind w:left="567" w:hanging="567"/>
        <w:contextualSpacing w:val="0"/>
        <w:jc w:val="both"/>
        <w:rPr>
          <w:rStyle w:val="nfasissutil"/>
          <w:b w:val="0"/>
          <w:sz w:val="22"/>
        </w:rPr>
      </w:pPr>
      <w:r w:rsidRPr="00E40A5C">
        <w:rPr>
          <w:rStyle w:val="nfasissutil"/>
          <w:b w:val="0"/>
          <w:sz w:val="22"/>
        </w:rPr>
        <w:t>Please do not remove tags of the type &lt;ESA_QUESTION_</w:t>
      </w:r>
      <w:r w:rsidR="00C86E1C">
        <w:rPr>
          <w:rStyle w:val="nfasissutil"/>
          <w:b w:val="0"/>
          <w:sz w:val="22"/>
        </w:rPr>
        <w:t>ESG</w:t>
      </w:r>
      <w:r w:rsidRPr="00E40A5C">
        <w:rPr>
          <w:rStyle w:val="nfasissutil"/>
          <w:b w:val="0"/>
          <w:sz w:val="22"/>
        </w:rPr>
        <w:t>_1&gt;. Your response to each question has to be framed by the two tags corresponding to the question.</w:t>
      </w:r>
    </w:p>
    <w:p w14:paraId="6A3CB043" w14:textId="77777777" w:rsidR="009A3017" w:rsidRPr="00E40A5C" w:rsidRDefault="009A3017" w:rsidP="00666A17">
      <w:pPr>
        <w:pStyle w:val="Prrafodelista"/>
        <w:numPr>
          <w:ilvl w:val="0"/>
          <w:numId w:val="36"/>
        </w:numPr>
        <w:spacing w:after="240" w:line="276" w:lineRule="auto"/>
        <w:ind w:left="567" w:hanging="567"/>
        <w:contextualSpacing w:val="0"/>
        <w:jc w:val="both"/>
        <w:rPr>
          <w:rStyle w:val="nfasissutil"/>
          <w:b w:val="0"/>
          <w:sz w:val="22"/>
        </w:rPr>
      </w:pPr>
      <w:r w:rsidRPr="00E40A5C">
        <w:rPr>
          <w:rStyle w:val="nfasissutil"/>
          <w:b w:val="0"/>
          <w:sz w:val="22"/>
        </w:rPr>
        <w:t>If you do not wish to respond to a given question, please do not delete it but simply leave the text “TYPE YOUR TEXT HERE” between the tags.</w:t>
      </w:r>
    </w:p>
    <w:p w14:paraId="6A3CB044" w14:textId="04FB3B90" w:rsidR="009A3017" w:rsidRPr="00E40A5C" w:rsidRDefault="009A3017" w:rsidP="00666A17">
      <w:pPr>
        <w:pStyle w:val="Prrafodelista"/>
        <w:numPr>
          <w:ilvl w:val="0"/>
          <w:numId w:val="36"/>
        </w:numPr>
        <w:spacing w:after="240" w:line="276" w:lineRule="auto"/>
        <w:ind w:left="567" w:hanging="567"/>
        <w:contextualSpacing w:val="0"/>
        <w:jc w:val="both"/>
        <w:rPr>
          <w:rStyle w:val="nfasissutil"/>
          <w:b w:val="0"/>
          <w:sz w:val="22"/>
        </w:rPr>
      </w:pPr>
      <w:r w:rsidRPr="00E40A5C">
        <w:rPr>
          <w:rStyle w:val="nfasissutil"/>
          <w:b w:val="0"/>
          <w:sz w:val="22"/>
        </w:rPr>
        <w:t>When you have drafted your response, name your response form according to the follo</w:t>
      </w:r>
      <w:r w:rsidRPr="00E40A5C">
        <w:rPr>
          <w:rStyle w:val="nfasissutil"/>
          <w:b w:val="0"/>
          <w:sz w:val="22"/>
        </w:rPr>
        <w:t>w</w:t>
      </w:r>
      <w:r w:rsidRPr="00E40A5C">
        <w:rPr>
          <w:rStyle w:val="nfasissutil"/>
          <w:b w:val="0"/>
          <w:sz w:val="22"/>
        </w:rPr>
        <w:t>ing convention: ESA_</w:t>
      </w:r>
      <w:r w:rsidR="00C86E1C">
        <w:rPr>
          <w:rStyle w:val="nfasissutil"/>
          <w:b w:val="0"/>
          <w:sz w:val="22"/>
        </w:rPr>
        <w:t>ESG</w:t>
      </w:r>
      <w:r w:rsidRPr="00E40A5C">
        <w:rPr>
          <w:rStyle w:val="nfasissutil"/>
          <w:b w:val="0"/>
          <w:sz w:val="22"/>
        </w:rPr>
        <w:t>_nameofrespondent_RESPONSEFORM. For example, for a r</w:t>
      </w:r>
      <w:r w:rsidRPr="00E40A5C">
        <w:rPr>
          <w:rStyle w:val="nfasissutil"/>
          <w:b w:val="0"/>
          <w:sz w:val="22"/>
        </w:rPr>
        <w:t>e</w:t>
      </w:r>
      <w:r w:rsidRPr="00E40A5C">
        <w:rPr>
          <w:rStyle w:val="nfasissutil"/>
          <w:b w:val="0"/>
          <w:sz w:val="22"/>
        </w:rPr>
        <w:t>spondent named ABCD, the response form would be entitled ESA_</w:t>
      </w:r>
      <w:r w:rsidR="00C86E1C">
        <w:rPr>
          <w:rStyle w:val="nfasissutil"/>
          <w:b w:val="0"/>
          <w:sz w:val="22"/>
        </w:rPr>
        <w:t>ESG</w:t>
      </w:r>
      <w:r w:rsidRPr="00E40A5C">
        <w:rPr>
          <w:rStyle w:val="nfasissutil"/>
          <w:b w:val="0"/>
          <w:sz w:val="22"/>
        </w:rPr>
        <w:t>_ABCD_RESPONSEFORM.</w:t>
      </w:r>
    </w:p>
    <w:p w14:paraId="180C2205" w14:textId="03F3D16A" w:rsidR="00197794" w:rsidRPr="00197794" w:rsidRDefault="00197794" w:rsidP="00666A17">
      <w:pPr>
        <w:pStyle w:val="Prrafodelista"/>
        <w:numPr>
          <w:ilvl w:val="0"/>
          <w:numId w:val="36"/>
        </w:numPr>
        <w:spacing w:after="240" w:line="276" w:lineRule="auto"/>
        <w:ind w:left="567" w:hanging="567"/>
        <w:contextualSpacing w:val="0"/>
        <w:jc w:val="both"/>
        <w:rPr>
          <w:rStyle w:val="nfasissutil"/>
          <w:b w:val="0"/>
          <w:sz w:val="22"/>
        </w:rPr>
      </w:pPr>
      <w:r w:rsidRPr="00197794">
        <w:rPr>
          <w:rStyle w:val="nfasissutil"/>
          <w:b w:val="0"/>
          <w:sz w:val="22"/>
        </w:rPr>
        <w:t>The consultation paper is available on the websites of the three ESAs</w:t>
      </w:r>
      <w:r w:rsidR="00764042">
        <w:rPr>
          <w:rStyle w:val="nfasissutil"/>
          <w:b w:val="0"/>
          <w:sz w:val="22"/>
        </w:rPr>
        <w:t xml:space="preserve"> and the Joint Co</w:t>
      </w:r>
      <w:r w:rsidR="00764042">
        <w:rPr>
          <w:rStyle w:val="nfasissutil"/>
          <w:b w:val="0"/>
          <w:sz w:val="22"/>
        </w:rPr>
        <w:t>m</w:t>
      </w:r>
      <w:r w:rsidR="00764042">
        <w:rPr>
          <w:rStyle w:val="nfasissutil"/>
          <w:b w:val="0"/>
          <w:sz w:val="22"/>
        </w:rPr>
        <w:t>mittee</w:t>
      </w:r>
      <w:r w:rsidRPr="00197794">
        <w:rPr>
          <w:rStyle w:val="nfasissutil"/>
          <w:b w:val="0"/>
          <w:sz w:val="22"/>
        </w:rPr>
        <w:t xml:space="preserve">. Comments on this consultation paper can be sent using the response form, via the </w:t>
      </w:r>
      <w:hyperlink r:id="rId17" w:history="1">
        <w:r w:rsidRPr="00197794">
          <w:rPr>
            <w:rStyle w:val="Hipervnculo"/>
            <w:rFonts w:cs="Arial"/>
            <w:sz w:val="22"/>
          </w:rPr>
          <w:t>ESMA website</w:t>
        </w:r>
      </w:hyperlink>
      <w:r w:rsidRPr="00197794">
        <w:rPr>
          <w:rStyle w:val="nfasissutil"/>
          <w:b w:val="0"/>
          <w:sz w:val="24"/>
        </w:rPr>
        <w:t xml:space="preserve"> </w:t>
      </w:r>
      <w:r w:rsidRPr="00197794">
        <w:rPr>
          <w:rStyle w:val="nfasissutil"/>
          <w:b w:val="0"/>
          <w:sz w:val="22"/>
        </w:rPr>
        <w:t>under the heading ‘Your input - Consultations’ by</w:t>
      </w:r>
      <w:r w:rsidR="005F6BE3">
        <w:rPr>
          <w:rStyle w:val="nfasissutil"/>
          <w:b w:val="0"/>
          <w:sz w:val="22"/>
        </w:rPr>
        <w:t xml:space="preserve"> </w:t>
      </w:r>
      <w:r w:rsidR="00AA1B9D">
        <w:rPr>
          <w:rStyle w:val="nfasissutil"/>
          <w:b w:val="0"/>
          <w:sz w:val="22"/>
        </w:rPr>
        <w:t>12 May 2021</w:t>
      </w:r>
      <w:r w:rsidRPr="00197794">
        <w:rPr>
          <w:rStyle w:val="nfasissutil"/>
          <w:b w:val="0"/>
          <w:sz w:val="22"/>
        </w:rPr>
        <w:t>.</w:t>
      </w:r>
    </w:p>
    <w:p w14:paraId="2481E1E6" w14:textId="67CDDA3F" w:rsidR="00197794" w:rsidRDefault="00197794" w:rsidP="00666A17">
      <w:pPr>
        <w:pStyle w:val="Prrafodelista"/>
        <w:numPr>
          <w:ilvl w:val="0"/>
          <w:numId w:val="36"/>
        </w:numPr>
        <w:spacing w:after="240" w:line="276" w:lineRule="auto"/>
        <w:ind w:left="567" w:hanging="567"/>
        <w:contextualSpacing w:val="0"/>
        <w:jc w:val="both"/>
        <w:rPr>
          <w:rStyle w:val="nfasissutil"/>
          <w:b w:val="0"/>
          <w:sz w:val="22"/>
        </w:rPr>
      </w:pPr>
      <w:r w:rsidRPr="00197794">
        <w:rPr>
          <w:rStyle w:val="nfasissutil"/>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nfasissutil"/>
          <w:b w:val="0"/>
          <w:sz w:val="22"/>
        </w:rPr>
      </w:pPr>
    </w:p>
    <w:p w14:paraId="5E94D042" w14:textId="77777777" w:rsidR="00D5594A" w:rsidRPr="00197794" w:rsidRDefault="00D5594A" w:rsidP="00197794">
      <w:pPr>
        <w:spacing w:after="240" w:line="276" w:lineRule="auto"/>
        <w:jc w:val="both"/>
        <w:rPr>
          <w:rStyle w:val="nfasissutil"/>
          <w:b w:val="0"/>
          <w:sz w:val="22"/>
        </w:rPr>
      </w:pPr>
    </w:p>
    <w:p w14:paraId="6A3CB046" w14:textId="77777777" w:rsidR="00210E59" w:rsidRPr="00210E59" w:rsidRDefault="00210E59" w:rsidP="00210E59">
      <w:pPr>
        <w:spacing w:after="120"/>
        <w:jc w:val="both"/>
        <w:rPr>
          <w:rStyle w:val="nfasissutil"/>
          <w:sz w:val="22"/>
        </w:rPr>
      </w:pPr>
      <w:r w:rsidRPr="00210E59">
        <w:rPr>
          <w:rStyle w:val="nfasissutil"/>
          <w:sz w:val="22"/>
        </w:rPr>
        <w:t>Publication of responses</w:t>
      </w:r>
    </w:p>
    <w:p w14:paraId="0B308639" w14:textId="77777777" w:rsidR="00197794" w:rsidRPr="00197794" w:rsidRDefault="00197794" w:rsidP="005F6BE3">
      <w:pPr>
        <w:jc w:val="both"/>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w:t>
      </w:r>
      <w:r w:rsidRPr="00197794">
        <w:rPr>
          <w:sz w:val="22"/>
          <w:szCs w:val="22"/>
        </w:rPr>
        <w:t>u</w:t>
      </w:r>
      <w:r w:rsidRPr="00197794">
        <w:rPr>
          <w:sz w:val="22"/>
          <w:szCs w:val="22"/>
        </w:rPr>
        <w:t>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nfasissutil"/>
          <w:sz w:val="22"/>
          <w:lang w:eastAsia="en-GB"/>
        </w:rPr>
      </w:pPr>
    </w:p>
    <w:p w14:paraId="3561D6A6" w14:textId="77777777" w:rsidR="00197794" w:rsidRDefault="00197794" w:rsidP="004E6AE4">
      <w:pPr>
        <w:rPr>
          <w:rStyle w:val="nfasissutil"/>
          <w:sz w:val="22"/>
          <w:lang w:eastAsia="en-GB"/>
        </w:rPr>
      </w:pPr>
    </w:p>
    <w:p w14:paraId="6A3CB048" w14:textId="1D432EA9" w:rsidR="009A3017" w:rsidRPr="00E40A5C" w:rsidRDefault="009A3017" w:rsidP="004E6AE4">
      <w:pPr>
        <w:rPr>
          <w:rStyle w:val="nfasissutil"/>
          <w:sz w:val="22"/>
          <w:lang w:eastAsia="en-GB"/>
        </w:rPr>
      </w:pPr>
      <w:r w:rsidRPr="00E40A5C">
        <w:rPr>
          <w:rStyle w:val="nfasissutil"/>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5F6BE3">
      <w:pPr>
        <w:jc w:val="both"/>
        <w:rPr>
          <w:rFonts w:cs="Arial"/>
          <w:sz w:val="24"/>
        </w:rPr>
      </w:pPr>
      <w:r w:rsidRPr="00197794">
        <w:rPr>
          <w:rFonts w:cs="Arial"/>
          <w:sz w:val="22"/>
        </w:rPr>
        <w:t>The protection of individuals with regard to the processing of personal data by the ESAs is based on Regulation (EU) 2018/1725</w:t>
      </w:r>
      <w:r w:rsidRPr="00197794">
        <w:rPr>
          <w:rStyle w:val="Refdenotaalpie"/>
          <w:rFonts w:cs="Arial"/>
          <w:sz w:val="22"/>
        </w:rPr>
        <w:footnoteReference w:id="2"/>
      </w:r>
      <w:r w:rsidRPr="00197794">
        <w:rPr>
          <w:rFonts w:cs="Arial"/>
          <w:sz w:val="22"/>
        </w:rPr>
        <w:t xml:space="preserve">. Further information on data protection can be found under the </w:t>
      </w:r>
      <w:hyperlink r:id="rId18" w:history="1">
        <w:r w:rsidRPr="00197794">
          <w:rPr>
            <w:rStyle w:val="Hipervnculo"/>
            <w:rFonts w:cs="Arial"/>
            <w:sz w:val="22"/>
          </w:rPr>
          <w:t>Legal notice</w:t>
        </w:r>
      </w:hyperlink>
      <w:r w:rsidRPr="00197794">
        <w:rPr>
          <w:rFonts w:cs="Arial"/>
          <w:sz w:val="22"/>
        </w:rPr>
        <w:t xml:space="preserve"> section of the EBA website and under the </w:t>
      </w:r>
      <w:hyperlink r:id="rId19" w:history="1">
        <w:r w:rsidRPr="00197794">
          <w:rPr>
            <w:rStyle w:val="Hipervnculo"/>
            <w:rFonts w:cs="Arial"/>
            <w:sz w:val="22"/>
          </w:rPr>
          <w:t>Legal notice</w:t>
        </w:r>
      </w:hyperlink>
      <w:r w:rsidRPr="00197794">
        <w:rPr>
          <w:rFonts w:cs="Arial"/>
          <w:sz w:val="22"/>
        </w:rPr>
        <w:t xml:space="preserve"> section of the EIOPA website and under the </w:t>
      </w:r>
      <w:hyperlink r:id="rId20" w:history="1">
        <w:r w:rsidRPr="00197794">
          <w:rPr>
            <w:rStyle w:val="Hipervnculo"/>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nfasissutil"/>
          <w:sz w:val="22"/>
          <w:lang w:eastAsia="en-GB"/>
        </w:rPr>
      </w:pPr>
    </w:p>
    <w:bookmarkEnd w:id="1"/>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Ttulo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9C25F3">
        <w:tc>
          <w:tcPr>
            <w:tcW w:w="3929" w:type="dxa"/>
            <w:shd w:val="clear" w:color="auto" w:fill="auto"/>
          </w:tcPr>
          <w:p w14:paraId="6A3CB050" w14:textId="77777777" w:rsidR="00B327E9" w:rsidRPr="00E40A5C" w:rsidRDefault="00B327E9" w:rsidP="009C25F3">
            <w:pPr>
              <w:rPr>
                <w:rFonts w:cs="Arial"/>
                <w:sz w:val="22"/>
              </w:rPr>
            </w:pPr>
            <w:permStart w:id="233722365" w:edGrp="everyone" w:colFirst="1" w:colLast="1"/>
            <w:r w:rsidRPr="00E40A5C">
              <w:rPr>
                <w:rFonts w:cs="Arial"/>
                <w:sz w:val="22"/>
              </w:rPr>
              <w:t>Name of the company / organisation</w:t>
            </w:r>
          </w:p>
        </w:tc>
        <w:sdt>
          <w:sdtPr>
            <w:rPr>
              <w:rStyle w:val="Textodelmarcadordeposicin"/>
              <w:rFonts w:cs="Arial"/>
            </w:rPr>
            <w:id w:val="-1905066999"/>
            <w:showingPlcHdr/>
            <w:text/>
          </w:sdtPr>
          <w:sdtEndPr>
            <w:rPr>
              <w:rStyle w:val="Textodelmarcadordeposicin"/>
            </w:rPr>
          </w:sdtEndPr>
          <w:sdtContent>
            <w:tc>
              <w:tcPr>
                <w:tcW w:w="5595" w:type="dxa"/>
                <w:shd w:val="clear" w:color="auto" w:fill="auto"/>
              </w:tcPr>
              <w:p w14:paraId="6A3CB051" w14:textId="77777777" w:rsidR="00B327E9" w:rsidRPr="00AB6D88" w:rsidRDefault="00B327E9" w:rsidP="009C25F3">
                <w:pPr>
                  <w:rPr>
                    <w:rStyle w:val="Textodelmarcadordeposicin"/>
                    <w:rFonts w:cs="Arial"/>
                  </w:rPr>
                </w:pPr>
                <w:r w:rsidRPr="00AB6D88">
                  <w:rPr>
                    <w:rStyle w:val="Textodelmarcadordeposicin"/>
                    <w:rFonts w:cs="Arial"/>
                  </w:rPr>
                  <w:t>Click here to enter text.</w:t>
                </w:r>
              </w:p>
            </w:tc>
          </w:sdtContent>
        </w:sdt>
      </w:tr>
      <w:tr w:rsidR="00B327E9" w:rsidRPr="00AB6D88" w14:paraId="6A3CB055" w14:textId="77777777" w:rsidTr="009C25F3">
        <w:tc>
          <w:tcPr>
            <w:tcW w:w="3929" w:type="dxa"/>
            <w:shd w:val="clear" w:color="auto" w:fill="auto"/>
          </w:tcPr>
          <w:p w14:paraId="6A3CB053" w14:textId="77777777" w:rsidR="00B327E9" w:rsidRPr="00E40A5C" w:rsidRDefault="00B327E9" w:rsidP="009C25F3">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77777777" w:rsidR="00B327E9" w:rsidRPr="00AB6D88" w:rsidRDefault="00286DAF" w:rsidP="009C25F3">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327E9" w:rsidRPr="007C7357">
                  <w:rPr>
                    <w:rFonts w:cs="Arial"/>
                  </w:rPr>
                  <w:t>Choose an item.</w:t>
                </w:r>
              </w:sdtContent>
            </w:sdt>
          </w:p>
        </w:tc>
      </w:tr>
      <w:tr w:rsidR="00B327E9" w:rsidRPr="00AB6D88" w14:paraId="6A3CB058" w14:textId="77777777" w:rsidTr="009C25F3">
        <w:tc>
          <w:tcPr>
            <w:tcW w:w="3929" w:type="dxa"/>
            <w:shd w:val="clear" w:color="auto" w:fill="auto"/>
          </w:tcPr>
          <w:p w14:paraId="6A3CB056" w14:textId="77777777" w:rsidR="00B327E9" w:rsidRPr="00E40A5C" w:rsidRDefault="00B327E9" w:rsidP="009C25F3">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1B675611" w:rsidR="00B327E9" w:rsidRPr="00AB6D88" w:rsidRDefault="00281E71" w:rsidP="009C25F3">
                <w:pPr>
                  <w:rPr>
                    <w:rFonts w:cs="Arial"/>
                  </w:rPr>
                </w:pPr>
                <w:r>
                  <w:rPr>
                    <w:rFonts w:ascii="MS Gothic" w:eastAsia="MS Gothic" w:hAnsi="MS Gothic" w:cs="Arial" w:hint="eastAsia"/>
                  </w:rPr>
                  <w:t>☒</w:t>
                </w:r>
              </w:p>
            </w:tc>
          </w:sdtContent>
        </w:sdt>
      </w:tr>
      <w:tr w:rsidR="00B327E9" w:rsidRPr="00AB6D88" w14:paraId="6A3CB05B" w14:textId="77777777" w:rsidTr="009C25F3">
        <w:tc>
          <w:tcPr>
            <w:tcW w:w="3929" w:type="dxa"/>
            <w:shd w:val="clear" w:color="auto" w:fill="auto"/>
          </w:tcPr>
          <w:p w14:paraId="6A3CB059" w14:textId="77777777" w:rsidR="00B327E9" w:rsidRPr="00E40A5C" w:rsidRDefault="00B327E9" w:rsidP="009C25F3">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77777777" w:rsidR="00B327E9" w:rsidRPr="00AB6D88" w:rsidRDefault="00B327E9" w:rsidP="009C25F3">
                <w:pPr>
                  <w:rPr>
                    <w:rFonts w:cs="Arial"/>
                  </w:rPr>
                </w:pPr>
                <w:r w:rsidRPr="00AB6D88">
                  <w:rPr>
                    <w:rStyle w:val="Textodelmarcadordeposicin"/>
                    <w:rFonts w:cs="Arial"/>
                  </w:rPr>
                  <w:t>Choose an item.</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Ttulo1"/>
        <w:numPr>
          <w:ilvl w:val="0"/>
          <w:numId w:val="0"/>
        </w:numPr>
        <w:ind w:left="431" w:hanging="431"/>
      </w:pPr>
      <w:r>
        <w:t>Introduction</w:t>
      </w:r>
    </w:p>
    <w:p w14:paraId="6A3CB05E" w14:textId="77777777" w:rsidR="00B327E9" w:rsidRPr="00E40A5C" w:rsidRDefault="00B327E9" w:rsidP="00B327E9">
      <w:pPr>
        <w:rPr>
          <w:rStyle w:val="nfasisintenso"/>
          <w:sz w:val="22"/>
        </w:rPr>
      </w:pPr>
      <w:r w:rsidRPr="00E40A5C">
        <w:rPr>
          <w:rStyle w:val="nfasisintenso"/>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nfasissutil"/>
          <w:b w:val="0"/>
          <w:sz w:val="22"/>
        </w:rPr>
        <w:t>ESG</w:t>
      </w:r>
      <w:r w:rsidRPr="006F4535">
        <w:t>_1&gt;</w:t>
      </w:r>
    </w:p>
    <w:p w14:paraId="04D414C1" w14:textId="77777777" w:rsidR="001520D5" w:rsidRPr="001520D5" w:rsidRDefault="001520D5" w:rsidP="004C3112">
      <w:pPr>
        <w:jc w:val="both"/>
      </w:pPr>
      <w:permStart w:id="411981036" w:edGrp="everyone"/>
      <w:r w:rsidRPr="001520D5">
        <w:t xml:space="preserve">A key goal of the Taxonomy is to provide clarity to investors and their end asset owners when investing in green or sustainable financial products. </w:t>
      </w:r>
    </w:p>
    <w:p w14:paraId="572CD580" w14:textId="1E0A1B23" w:rsidR="001520D5" w:rsidRPr="001520D5" w:rsidRDefault="001520D5" w:rsidP="004C3112">
      <w:pPr>
        <w:jc w:val="both"/>
      </w:pPr>
      <w:r w:rsidRPr="001520D5">
        <w:t>The Platform, when considering reporting obligations for Finan</w:t>
      </w:r>
      <w:r w:rsidR="00C16118">
        <w:t>cial Market Participants under A</w:t>
      </w:r>
      <w:r w:rsidRPr="001520D5">
        <w:t>rticles 5, 6 and 8 have based our recommendations on 6 principles:</w:t>
      </w:r>
    </w:p>
    <w:p w14:paraId="6E0781D7" w14:textId="77777777" w:rsidR="001520D5" w:rsidRPr="001520D5" w:rsidRDefault="001520D5" w:rsidP="004C3112">
      <w:pPr>
        <w:numPr>
          <w:ilvl w:val="0"/>
          <w:numId w:val="40"/>
        </w:numPr>
        <w:jc w:val="both"/>
      </w:pPr>
      <w:r w:rsidRPr="001520D5">
        <w:t>Principle 1: Integrity</w:t>
      </w:r>
    </w:p>
    <w:p w14:paraId="310CF5FD" w14:textId="77777777" w:rsidR="001520D5" w:rsidRPr="001520D5" w:rsidRDefault="001520D5" w:rsidP="004C3112">
      <w:pPr>
        <w:numPr>
          <w:ilvl w:val="0"/>
          <w:numId w:val="40"/>
        </w:numPr>
        <w:jc w:val="both"/>
      </w:pPr>
      <w:r w:rsidRPr="001520D5">
        <w:t>Principle 2: Relevance</w:t>
      </w:r>
    </w:p>
    <w:p w14:paraId="5945BF81" w14:textId="77777777" w:rsidR="001520D5" w:rsidRPr="001520D5" w:rsidRDefault="001520D5" w:rsidP="004C3112">
      <w:pPr>
        <w:numPr>
          <w:ilvl w:val="0"/>
          <w:numId w:val="40"/>
        </w:numPr>
        <w:jc w:val="both"/>
      </w:pPr>
      <w:r w:rsidRPr="001520D5">
        <w:t>Principle 3: Proportionality</w:t>
      </w:r>
    </w:p>
    <w:p w14:paraId="63D09479" w14:textId="77777777" w:rsidR="001520D5" w:rsidRPr="001520D5" w:rsidRDefault="001520D5" w:rsidP="004C3112">
      <w:pPr>
        <w:numPr>
          <w:ilvl w:val="0"/>
          <w:numId w:val="40"/>
        </w:numPr>
        <w:jc w:val="both"/>
      </w:pPr>
      <w:r w:rsidRPr="001520D5">
        <w:t>Principle 4: Consistency</w:t>
      </w:r>
    </w:p>
    <w:p w14:paraId="53DCD347" w14:textId="77777777" w:rsidR="001520D5" w:rsidRPr="001520D5" w:rsidRDefault="001520D5" w:rsidP="004C3112">
      <w:pPr>
        <w:numPr>
          <w:ilvl w:val="0"/>
          <w:numId w:val="40"/>
        </w:numPr>
        <w:jc w:val="both"/>
      </w:pPr>
      <w:r w:rsidRPr="001520D5">
        <w:t>Principle 5: Predictability</w:t>
      </w:r>
    </w:p>
    <w:p w14:paraId="59A22528" w14:textId="77777777" w:rsidR="001520D5" w:rsidRPr="001520D5" w:rsidRDefault="001520D5" w:rsidP="004C3112">
      <w:pPr>
        <w:numPr>
          <w:ilvl w:val="0"/>
          <w:numId w:val="40"/>
        </w:numPr>
        <w:jc w:val="both"/>
      </w:pPr>
      <w:r w:rsidRPr="001520D5">
        <w:t>Principle 6: International application</w:t>
      </w:r>
    </w:p>
    <w:p w14:paraId="3C784B9E" w14:textId="77777777" w:rsidR="001520D5" w:rsidRPr="001520D5" w:rsidRDefault="001520D5" w:rsidP="004C3112">
      <w:pPr>
        <w:jc w:val="both"/>
      </w:pPr>
    </w:p>
    <w:p w14:paraId="6DF9CF4D" w14:textId="77777777" w:rsidR="001520D5" w:rsidRPr="001520D5" w:rsidRDefault="001520D5" w:rsidP="004C3112">
      <w:pPr>
        <w:jc w:val="both"/>
      </w:pPr>
      <w:r w:rsidRPr="001520D5">
        <w:t xml:space="preserve">On this basis, please find the recommendations of the Platform on the proposal by the ESAs. </w:t>
      </w:r>
    </w:p>
    <w:p w14:paraId="2392B430" w14:textId="77777777" w:rsidR="001520D5" w:rsidRPr="001520D5" w:rsidRDefault="001520D5" w:rsidP="004C3112">
      <w:pPr>
        <w:jc w:val="both"/>
      </w:pPr>
    </w:p>
    <w:p w14:paraId="4E17489D" w14:textId="7E96FB83" w:rsidR="001520D5" w:rsidRPr="00B3750E" w:rsidRDefault="001520D5" w:rsidP="004C3112">
      <w:pPr>
        <w:jc w:val="both"/>
      </w:pPr>
      <w:r w:rsidRPr="00B3750E">
        <w:t>The Platfor</w:t>
      </w:r>
      <w:r w:rsidR="00C16118">
        <w:t>m recognises the importance of A</w:t>
      </w:r>
      <w:r w:rsidRPr="00B3750E">
        <w:t>rticle 8 disclosures from</w:t>
      </w:r>
      <w:r w:rsidR="00E04111" w:rsidRPr="00B3750E">
        <w:t xml:space="preserve"> financial and non-financial </w:t>
      </w:r>
      <w:r w:rsidRPr="00B3750E">
        <w:t xml:space="preserve">corporates within the scope of </w:t>
      </w:r>
      <w:r w:rsidR="00DA1A66" w:rsidRPr="00B3750E">
        <w:t>CSRD</w:t>
      </w:r>
      <w:r w:rsidRPr="00B3750E">
        <w:t xml:space="preserve"> to infor</w:t>
      </w:r>
      <w:r w:rsidR="00C16118">
        <w:t>m the reporting required under A</w:t>
      </w:r>
      <w:r w:rsidRPr="00B3750E">
        <w:t>rticles 5 and 6. The Platform agrees with the ESAs’ view</w:t>
      </w:r>
      <w:r w:rsidR="00C16118">
        <w:t xml:space="preserve"> that it is essential that the A</w:t>
      </w:r>
      <w:r w:rsidRPr="00B3750E">
        <w:t>rticle 8 data used by investors to report under articles 5 and 6 is clear, consistent and comparable. This will be particularly important for</w:t>
      </w:r>
      <w:r w:rsidR="00E04111" w:rsidRPr="00B3750E">
        <w:t xml:space="preserve"> financial institutions that will have to report a</w:t>
      </w:r>
      <w:r w:rsidR="00C16118">
        <w:t>gainst A</w:t>
      </w:r>
      <w:r w:rsidR="00E04111" w:rsidRPr="00B3750E">
        <w:t>rticles 5 and 6 and 8; as well as for</w:t>
      </w:r>
      <w:r w:rsidRPr="00B3750E">
        <w:t xml:space="preserve"> large financial institutions whose asset management business will have to report against article</w:t>
      </w:r>
      <w:r w:rsidR="00EA791F">
        <w:t>s</w:t>
      </w:r>
      <w:r w:rsidRPr="00B3750E">
        <w:t xml:space="preserve"> 5 and 6, as well as at entity-level within SFDR.  </w:t>
      </w:r>
    </w:p>
    <w:p w14:paraId="6E498B32" w14:textId="77777777" w:rsidR="001520D5" w:rsidRPr="00B3750E" w:rsidRDefault="001520D5" w:rsidP="00FB5EAE"/>
    <w:p w14:paraId="166DE70A" w14:textId="0E8DD289" w:rsidR="001520D5" w:rsidRPr="00B3750E" w:rsidRDefault="001520D5" w:rsidP="004C3112">
      <w:pPr>
        <w:jc w:val="both"/>
      </w:pPr>
      <w:r w:rsidRPr="00B3750E">
        <w:t xml:space="preserve">The Taxonomy does not operate in a regulatory vacuum. It is intrinsically related to the </w:t>
      </w:r>
      <w:r w:rsidR="00DA1A66" w:rsidRPr="00B3750E">
        <w:t>CSRD</w:t>
      </w:r>
      <w:r w:rsidRPr="00B3750E">
        <w:t xml:space="preserve"> - which is currently being revised and the SFDR (as recognised in this RTS), but it might also be affected by other pieces of legislation such as the Benchmark Regulation, AIFMD, MiFID II suitability, the Eco-Label as well as b</w:t>
      </w:r>
      <w:r w:rsidR="00C16118">
        <w:t>y national requirements (e.g., A</w:t>
      </w:r>
      <w:r w:rsidRPr="00B3750E">
        <w:t>rticle 29 of the Energy Law</w:t>
      </w:r>
      <w:r w:rsidR="00E04111" w:rsidRPr="00B3750E">
        <w:t xml:space="preserve"> </w:t>
      </w:r>
      <w:r w:rsidRPr="00B3750E">
        <w:t xml:space="preserve">in France) or the InvestEU and Common Provisions Regulation for shared management funds or other European Commission </w:t>
      </w:r>
      <w:r w:rsidR="004508CE">
        <w:t xml:space="preserve">(EC) </w:t>
      </w:r>
      <w:r w:rsidRPr="00B3750E">
        <w:t xml:space="preserve">sectorial strategies.  The success of the entire regulatory package will be determined by how interconnected, consistent, aligned and complementary the different regulatory pieces are in practice. </w:t>
      </w:r>
    </w:p>
    <w:p w14:paraId="11453770" w14:textId="77777777" w:rsidR="001520D5" w:rsidRPr="00B3750E" w:rsidRDefault="001520D5" w:rsidP="00FB5EAE"/>
    <w:p w14:paraId="276C7E22" w14:textId="3B7CD1B3" w:rsidR="001520D5" w:rsidRPr="00B3750E" w:rsidRDefault="001520D5" w:rsidP="004C3112">
      <w:pPr>
        <w:jc w:val="both"/>
      </w:pPr>
      <w:r w:rsidRPr="00B3750E">
        <w:t xml:space="preserve">Coherence between the different sustainable finance regulations is an important and necessary precondition for the Taxonomy to work in practice, </w:t>
      </w:r>
      <w:r w:rsidR="00C16118">
        <w:t>especially consistency between Article 8 and A</w:t>
      </w:r>
      <w:r w:rsidRPr="00B3750E">
        <w:t>rticles 5 and 6 within the Taxonomy Regulation. The Platform’s recommendations in this response draw upon a few key themes:</w:t>
      </w:r>
    </w:p>
    <w:p w14:paraId="78B5E4CD" w14:textId="0EB6A208" w:rsidR="00E04111" w:rsidRPr="00B3750E" w:rsidRDefault="001520D5" w:rsidP="004C3112">
      <w:pPr>
        <w:pStyle w:val="Prrafodelista"/>
        <w:numPr>
          <w:ilvl w:val="0"/>
          <w:numId w:val="55"/>
        </w:numPr>
        <w:jc w:val="both"/>
      </w:pPr>
      <w:r w:rsidRPr="00B3750E">
        <w:t>The ability to use an</w:t>
      </w:r>
      <w:r w:rsidR="00C16118">
        <w:t>d apply the 3 KPIs detailed in A</w:t>
      </w:r>
      <w:r w:rsidRPr="00B3750E">
        <w:t>rticle 8 of the Taxonomy Regulation to inform the percentage of alignment a financial product has to the EU Taxonomy. The Platform believes that</w:t>
      </w:r>
      <w:r w:rsidR="00EA791F">
        <w:t>:</w:t>
      </w:r>
      <w:r w:rsidRPr="00B3750E">
        <w:t xml:space="preserve"> </w:t>
      </w:r>
    </w:p>
    <w:p w14:paraId="75177718" w14:textId="7BA71CD7" w:rsidR="00E04111" w:rsidRPr="00B3750E" w:rsidRDefault="00E04111" w:rsidP="004C3112">
      <w:pPr>
        <w:pStyle w:val="Prrafodelista"/>
        <w:numPr>
          <w:ilvl w:val="2"/>
          <w:numId w:val="56"/>
        </w:numPr>
        <w:jc w:val="both"/>
      </w:pPr>
      <w:r w:rsidRPr="00B3750E">
        <w:t xml:space="preserve">Investors should report on </w:t>
      </w:r>
      <w:r w:rsidR="00B3750E" w:rsidRPr="00B3750E">
        <w:t xml:space="preserve">both </w:t>
      </w:r>
      <w:r w:rsidRPr="00B3750E">
        <w:t>revenues for all equity (private or public) and gene</w:t>
      </w:r>
      <w:r w:rsidR="00EA791F">
        <w:t>ral purpose debt funds, and on CapEx/OpE</w:t>
      </w:r>
      <w:r w:rsidRPr="00B3750E">
        <w:t xml:space="preserve">x for the part of the fund they have the underlying information. </w:t>
      </w:r>
    </w:p>
    <w:p w14:paraId="0209642B" w14:textId="168E1382" w:rsidR="006F6A7B" w:rsidRPr="00B3750E" w:rsidRDefault="00B3750E" w:rsidP="004C3112">
      <w:pPr>
        <w:pStyle w:val="Prrafodelista"/>
        <w:numPr>
          <w:ilvl w:val="2"/>
          <w:numId w:val="56"/>
        </w:numPr>
        <w:jc w:val="both"/>
      </w:pPr>
      <w:r w:rsidRPr="00B3750E">
        <w:t xml:space="preserve">The only exception is </w:t>
      </w:r>
      <w:r w:rsidR="00E04111" w:rsidRPr="00B3750E">
        <w:t>for use-of-proceeds based products</w:t>
      </w:r>
      <w:r w:rsidRPr="00B3750E">
        <w:t>, for which</w:t>
      </w:r>
      <w:r w:rsidR="00E04111" w:rsidRPr="00B3750E">
        <w:t xml:space="preserve"> an investor should report on expenditures (proceeds-alignment) unless the % of alignment is unknown. </w:t>
      </w:r>
      <w:r w:rsidR="006F6A7B" w:rsidRPr="00B3750E">
        <w:t xml:space="preserve"> </w:t>
      </w:r>
      <w:r w:rsidRPr="00B3750E">
        <w:t>T</w:t>
      </w:r>
      <w:r w:rsidR="006F6A7B" w:rsidRPr="00B3750E">
        <w:t>he Taxonomy should be app</w:t>
      </w:r>
      <w:r w:rsidR="00EA791F">
        <w:t xml:space="preserve">lied in a waterfall logic, with </w:t>
      </w:r>
      <w:r w:rsidR="00880CF2">
        <w:t>priority given to Taxonomy-</w:t>
      </w:r>
      <w:r w:rsidR="006F6A7B" w:rsidRPr="00B3750E">
        <w:t>aligned use of proceeds to debt products followed by any general-purpose de</w:t>
      </w:r>
      <w:r w:rsidR="00880CF2">
        <w:t>bt or equity where the Taxonomy-</w:t>
      </w:r>
      <w:r w:rsidR="006F6A7B" w:rsidRPr="00B3750E">
        <w:t>aligned revenue or CapEx of the issuer or parent would apply.</w:t>
      </w:r>
    </w:p>
    <w:p w14:paraId="5A3C2FA7" w14:textId="6EA28A4A" w:rsidR="006F6A7B" w:rsidRPr="00B3750E" w:rsidRDefault="00B3750E" w:rsidP="004C3112">
      <w:pPr>
        <w:pStyle w:val="Prrafodelista"/>
        <w:numPr>
          <w:ilvl w:val="2"/>
          <w:numId w:val="56"/>
        </w:numPr>
        <w:jc w:val="both"/>
      </w:pPr>
      <w:r w:rsidRPr="00B3750E">
        <w:t xml:space="preserve">This means that there will be some very specific </w:t>
      </w:r>
      <w:r w:rsidR="00E04111" w:rsidRPr="00B3750E">
        <w:t>cases</w:t>
      </w:r>
      <w:r w:rsidRPr="00B3750E">
        <w:t xml:space="preserve"> where </w:t>
      </w:r>
      <w:r w:rsidR="00E04111" w:rsidRPr="00B3750E">
        <w:t xml:space="preserve">investors might have to split reporting to avoid adding apples to carrots </w:t>
      </w:r>
      <w:r w:rsidRPr="00B3750E">
        <w:t xml:space="preserve">because the fund contains both </w:t>
      </w:r>
      <w:r w:rsidR="00E04111" w:rsidRPr="00B3750E">
        <w:t>use of proceeds and shares/general purpose bonds with no info</w:t>
      </w:r>
      <w:r w:rsidRPr="00B3750E">
        <w:t>rmation</w:t>
      </w:r>
      <w:r w:rsidR="00E04111" w:rsidRPr="00B3750E">
        <w:t xml:space="preserve"> on expenditures. Clarity is needed on which KPI will be used per </w:t>
      </w:r>
      <w:r w:rsidR="00EA791F">
        <w:t xml:space="preserve">the </w:t>
      </w:r>
      <w:r w:rsidR="00E04111" w:rsidRPr="00B3750E">
        <w:t xml:space="preserve">type of asset class or financial instrument within </w:t>
      </w:r>
      <w:r w:rsidRPr="00B3750E">
        <w:t xml:space="preserve">such </w:t>
      </w:r>
      <w:r w:rsidR="00E04111" w:rsidRPr="00B3750E">
        <w:t>hybrid fund</w:t>
      </w:r>
      <w:r w:rsidRPr="00B3750E">
        <w:t>s</w:t>
      </w:r>
      <w:r w:rsidR="00E04111" w:rsidRPr="00B3750E">
        <w:t xml:space="preserve">.  </w:t>
      </w:r>
    </w:p>
    <w:p w14:paraId="57A484AA" w14:textId="54FDD209" w:rsidR="006F6A7B" w:rsidRPr="00B3750E" w:rsidRDefault="00E04111" w:rsidP="004C3112">
      <w:pPr>
        <w:pStyle w:val="Prrafodelista"/>
        <w:numPr>
          <w:ilvl w:val="2"/>
          <w:numId w:val="56"/>
        </w:numPr>
        <w:jc w:val="both"/>
      </w:pPr>
      <w:r w:rsidRPr="00B3750E">
        <w:rPr>
          <w:lang w:val="en-US"/>
        </w:rPr>
        <w:t>The Platform believes that investors can choose either KPI or a combination of those for selection purposes.</w:t>
      </w:r>
      <w:r w:rsidR="00B3750E" w:rsidRPr="00B3750E">
        <w:rPr>
          <w:lang w:val="en-US"/>
        </w:rPr>
        <w:t xml:space="preserve"> They just need </w:t>
      </w:r>
      <w:r w:rsidRPr="00B3750E">
        <w:rPr>
          <w:lang w:val="en-US"/>
        </w:rPr>
        <w:t>to be clear ex-ante of their strategy (selection process needs to be specified in pre-contractual disclosures).</w:t>
      </w:r>
    </w:p>
    <w:p w14:paraId="65DC72C9" w14:textId="5B53A938" w:rsidR="00B3750E" w:rsidRPr="00B3750E" w:rsidRDefault="00B3750E" w:rsidP="004C3112">
      <w:pPr>
        <w:pStyle w:val="Prrafodelista"/>
        <w:numPr>
          <w:ilvl w:val="2"/>
          <w:numId w:val="56"/>
        </w:numPr>
        <w:jc w:val="both"/>
        <w:rPr>
          <w:lang w:val="en-US"/>
        </w:rPr>
      </w:pPr>
      <w:r w:rsidRPr="00B3750E">
        <w:rPr>
          <w:lang w:val="en-US"/>
        </w:rPr>
        <w:t>While turnover will be undoubtedly the most used KPI given the diffic</w:t>
      </w:r>
      <w:r w:rsidR="00880CF2">
        <w:rPr>
          <w:lang w:val="en-US"/>
        </w:rPr>
        <w:t xml:space="preserve">ulties to access CapEx and OpEx </w:t>
      </w:r>
      <w:r w:rsidRPr="00B3750E">
        <w:rPr>
          <w:lang w:val="en-US"/>
        </w:rPr>
        <w:t xml:space="preserve">alignment for non-EU companies, we should foster the use of CapEx and OpEx as part of the decision-making process (and encourage investors to ask non-EU companies to voluntarily disclose their CapEx alignment). </w:t>
      </w:r>
    </w:p>
    <w:p w14:paraId="082FABE8" w14:textId="65848CD6" w:rsidR="001520D5" w:rsidRPr="00B3750E" w:rsidRDefault="00880CF2" w:rsidP="004C3112">
      <w:pPr>
        <w:pStyle w:val="Prrafodelista"/>
        <w:numPr>
          <w:ilvl w:val="2"/>
          <w:numId w:val="56"/>
        </w:numPr>
        <w:jc w:val="both"/>
      </w:pPr>
      <w:r>
        <w:rPr>
          <w:lang w:val="en-US"/>
        </w:rPr>
        <w:t xml:space="preserve">When investors disclose CapEx </w:t>
      </w:r>
      <w:r w:rsidR="00E04111" w:rsidRPr="00B3750E">
        <w:rPr>
          <w:lang w:val="en-US"/>
        </w:rPr>
        <w:t>alignment, financial institutions will be excluded from the numerator and be treated as excluded asset cl</w:t>
      </w:r>
      <w:r>
        <w:rPr>
          <w:lang w:val="en-US"/>
        </w:rPr>
        <w:t xml:space="preserve">asses as CapEx </w:t>
      </w:r>
      <w:r w:rsidR="00E04111" w:rsidRPr="00B3750E">
        <w:rPr>
          <w:lang w:val="en-US"/>
        </w:rPr>
        <w:t>alignment wil</w:t>
      </w:r>
      <w:r w:rsidR="00C2235C" w:rsidRPr="00B3750E">
        <w:rPr>
          <w:lang w:val="en-US"/>
        </w:rPr>
        <w:t>l only be available for their CS</w:t>
      </w:r>
      <w:r w:rsidR="00E04111" w:rsidRPr="00B3750E">
        <w:rPr>
          <w:lang w:val="en-US"/>
        </w:rPr>
        <w:t>RD investments and/or lending.</w:t>
      </w:r>
    </w:p>
    <w:p w14:paraId="6257E130" w14:textId="77777777" w:rsidR="006F6A7B" w:rsidRPr="00B3750E" w:rsidRDefault="006F6A7B" w:rsidP="006F6A7B">
      <w:pPr>
        <w:pStyle w:val="Prrafodelista"/>
        <w:ind w:left="1069"/>
      </w:pPr>
    </w:p>
    <w:p w14:paraId="79FB6D2F" w14:textId="305E90F5" w:rsidR="001520D5" w:rsidRPr="00B3750E" w:rsidRDefault="00880CF2" w:rsidP="004C3112">
      <w:pPr>
        <w:pStyle w:val="Prrafodelista"/>
        <w:numPr>
          <w:ilvl w:val="0"/>
          <w:numId w:val="55"/>
        </w:numPr>
        <w:jc w:val="both"/>
      </w:pPr>
      <w:r>
        <w:t>The ability for all Financial Market P</w:t>
      </w:r>
      <w:r w:rsidR="001520D5" w:rsidRPr="00B3750E">
        <w:t>articipants, be they asset managers, banks or insurers, to clearly and consistently apply the Taxonomy to their financial products. The Platform observes inconsistencies in approach across these financial actors an</w:t>
      </w:r>
      <w:r>
        <w:t>d asks for that to be addressed, in particular:</w:t>
      </w:r>
    </w:p>
    <w:p w14:paraId="3D9899B6" w14:textId="6602F5E8" w:rsidR="001520D5" w:rsidRPr="00B3750E" w:rsidRDefault="00880CF2" w:rsidP="004C3112">
      <w:pPr>
        <w:pStyle w:val="Prrafodelista"/>
        <w:numPr>
          <w:ilvl w:val="2"/>
          <w:numId w:val="57"/>
        </w:numPr>
        <w:jc w:val="both"/>
      </w:pPr>
      <w:r>
        <w:t>There should be c</w:t>
      </w:r>
      <w:r w:rsidR="001520D5" w:rsidRPr="00B3750E">
        <w:t xml:space="preserve">onsistent application of numerators and denominators for financial products, including the consistency of in-scope asset classes. The Platform asks for the following to be excluded:  cash, goodwill, sovereign debt (except for Taxonomy-aligned use-of-proceeds debt instruments) and derivatives </w:t>
      </w:r>
      <w:r w:rsidR="00A541A5" w:rsidRPr="00B3750E">
        <w:t xml:space="preserve">initially, with a view to recommend more detailed </w:t>
      </w:r>
      <w:r w:rsidR="007F7342">
        <w:t>derivative based reporting in three-</w:t>
      </w:r>
      <w:r w:rsidRPr="00B3750E">
        <w:t>years’ time</w:t>
      </w:r>
      <w:r w:rsidR="001520D5" w:rsidRPr="00B3750E">
        <w:t>.</w:t>
      </w:r>
    </w:p>
    <w:p w14:paraId="1B2C60C8" w14:textId="1D727AF0" w:rsidR="001520D5" w:rsidRPr="00B3750E" w:rsidRDefault="001520D5" w:rsidP="004C3112">
      <w:pPr>
        <w:pStyle w:val="Prrafodelista"/>
        <w:numPr>
          <w:ilvl w:val="0"/>
          <w:numId w:val="55"/>
        </w:numPr>
        <w:jc w:val="both"/>
      </w:pPr>
      <w:r w:rsidRPr="00B3750E">
        <w:t xml:space="preserve">The </w:t>
      </w:r>
      <w:r w:rsidR="00880CF2">
        <w:t>ability for</w:t>
      </w:r>
      <w:r w:rsidRPr="00B3750E">
        <w:t xml:space="preserve"> non-</w:t>
      </w:r>
      <w:r w:rsidR="00A541A5" w:rsidRPr="00B3750E">
        <w:t>CS</w:t>
      </w:r>
      <w:r w:rsidRPr="00B3750E">
        <w:t>RD companies</w:t>
      </w:r>
      <w:r w:rsidR="00880CF2">
        <w:t xml:space="preserve"> – </w:t>
      </w:r>
      <w:r w:rsidRPr="00B3750E">
        <w:t>such as non-listed SMEs and international holdings who are not themselves obliged to report their Taxonomy alignment, but who may form a meaningful part of a sustainable investment product</w:t>
      </w:r>
      <w:r w:rsidR="00880CF2">
        <w:t xml:space="preserve"> – to voluntarily disclose ‘taxonomy estimated alignment’</w:t>
      </w:r>
      <w:r w:rsidRPr="00B3750E">
        <w:t>. The Platform recommends the inclusion of ‘</w:t>
      </w:r>
      <w:r w:rsidR="00A541A5" w:rsidRPr="00B3750E">
        <w:t>taxonomy estimated</w:t>
      </w:r>
      <w:r w:rsidRPr="00B3750E">
        <w:t xml:space="preserve"> align</w:t>
      </w:r>
      <w:r w:rsidR="00A541A5" w:rsidRPr="00B3750E">
        <w:t>ment</w:t>
      </w:r>
      <w:r w:rsidRPr="00B3750E">
        <w:t xml:space="preserve">’ as a voluntary </w:t>
      </w:r>
      <w:r w:rsidR="006F6A7B" w:rsidRPr="00B3750E">
        <w:t xml:space="preserve">additional disclosure </w:t>
      </w:r>
      <w:r w:rsidRPr="00B3750E">
        <w:t>for non-</w:t>
      </w:r>
      <w:r w:rsidR="00A541A5" w:rsidRPr="00B3750E">
        <w:t>CS</w:t>
      </w:r>
      <w:r w:rsidRPr="00B3750E">
        <w:t>RD companies, using a revenue-based model</w:t>
      </w:r>
      <w:r w:rsidR="006F6A7B" w:rsidRPr="00B3750E">
        <w:t xml:space="preserve"> (gi</w:t>
      </w:r>
      <w:r w:rsidR="00880CF2">
        <w:t>ven the impossibility to model CapEx and OpE</w:t>
      </w:r>
      <w:r w:rsidR="006F6A7B" w:rsidRPr="00B3750E">
        <w:t>x alignment)</w:t>
      </w:r>
      <w:r w:rsidRPr="00B3750E">
        <w:t>.</w:t>
      </w:r>
    </w:p>
    <w:p w14:paraId="1089902E" w14:textId="70E5210E" w:rsidR="001520D5" w:rsidRPr="00B3750E" w:rsidRDefault="001520D5" w:rsidP="004C3112">
      <w:pPr>
        <w:pStyle w:val="Prrafodelista"/>
        <w:numPr>
          <w:ilvl w:val="0"/>
          <w:numId w:val="55"/>
        </w:numPr>
        <w:jc w:val="both"/>
      </w:pPr>
      <w:r w:rsidRPr="00B3750E">
        <w:t>Harmonising the</w:t>
      </w:r>
      <w:r w:rsidR="00C16118">
        <w:t xml:space="preserve"> reporting obligation for SFDR A</w:t>
      </w:r>
      <w:r w:rsidRPr="00B3750E">
        <w:t>rticle</w:t>
      </w:r>
      <w:r w:rsidR="000D175B">
        <w:t>s</w:t>
      </w:r>
      <w:r w:rsidRPr="00B3750E">
        <w:t xml:space="preserve"> 8 and 9 products across both regimes.</w:t>
      </w:r>
    </w:p>
    <w:p w14:paraId="086CFF0B" w14:textId="363AC174" w:rsidR="001520D5" w:rsidRPr="00B3750E" w:rsidRDefault="001520D5" w:rsidP="004C3112">
      <w:pPr>
        <w:pStyle w:val="Prrafodelista"/>
        <w:numPr>
          <w:ilvl w:val="0"/>
          <w:numId w:val="55"/>
        </w:numPr>
        <w:jc w:val="both"/>
      </w:pPr>
      <w:r w:rsidRPr="00B3750E">
        <w:t>Recognition that the Taxonomy is still evolving and that the reporting obligations should be revisited in three years to assess the inclusion of any subsequently proposed social or significant harm Taxonomy</w:t>
      </w:r>
      <w:r w:rsidR="00A541A5" w:rsidRPr="00B3750E">
        <w:t>, and the treatment of derivative instruments</w:t>
      </w:r>
      <w:r w:rsidR="006F6A7B" w:rsidRPr="00B3750E">
        <w:t xml:space="preserve"> (</w:t>
      </w:r>
      <w:r w:rsidR="000D175B">
        <w:t>as well as</w:t>
      </w:r>
      <w:r w:rsidR="006F6A7B" w:rsidRPr="00B3750E">
        <w:t xml:space="preserve"> other asset classes</w:t>
      </w:r>
      <w:r w:rsidR="00B3750E" w:rsidRPr="00B3750E">
        <w:t>)</w:t>
      </w:r>
      <w:r w:rsidR="00A541A5" w:rsidRPr="00B3750E">
        <w:t>.</w:t>
      </w:r>
    </w:p>
    <w:p w14:paraId="588103AA" w14:textId="77777777" w:rsidR="001520D5" w:rsidRDefault="001520D5" w:rsidP="00FB5EAE"/>
    <w:p w14:paraId="6A3CB062" w14:textId="239129E7" w:rsidR="00B327E9" w:rsidRPr="00BF28DA" w:rsidRDefault="000D175B" w:rsidP="00B327E9">
      <w:r>
        <w:t>The Platform would highlight that t</w:t>
      </w:r>
      <w:r w:rsidR="001520D5">
        <w:t>here is a proliferation of reporting frameworks appearing across markets that reflect multiple expectations. Many European companies operate globally and are subject t</w:t>
      </w:r>
      <w:r>
        <w:t>o different reporting regimes; f</w:t>
      </w:r>
      <w:r w:rsidR="001520D5">
        <w:t xml:space="preserve">inancial institutions more so. At the same time, there are other jurisdictions that are developing their own taxonomies, some of which are based on the EU Taxonomy. It is therefore in the interest of all to take into consideration how reporting requirements fit within international frameworks (e.g., IFRS) and to encourage greater harmonisation on Taxonomy-related disclosures (and ESG in general).  </w:t>
      </w:r>
      <w:permEnd w:id="411981036"/>
      <w:r w:rsidR="00B327E9" w:rsidRPr="00BF28DA">
        <w:t>&lt;ESA_COMMENT_</w:t>
      </w:r>
      <w:r w:rsidR="00C86E1C">
        <w:rPr>
          <w:rStyle w:val="nfasissutil"/>
          <w:b w:val="0"/>
          <w:sz w:val="22"/>
        </w:rPr>
        <w:t>ESG</w:t>
      </w:r>
      <w:r w:rsidR="000A58BE">
        <w:t>_</w:t>
      </w:r>
      <w:r w:rsidR="00B327E9" w:rsidRPr="00BF28DA">
        <w:t>1&gt;</w:t>
      </w:r>
    </w:p>
    <w:p w14:paraId="6A3CB063" w14:textId="77777777" w:rsidR="00F31E57" w:rsidRPr="00BF28DA" w:rsidRDefault="00F31E57" w:rsidP="00D34282"/>
    <w:p w14:paraId="741317CF" w14:textId="3418CC97" w:rsidR="003E573C" w:rsidRDefault="00F31E57" w:rsidP="007118EB">
      <w:pPr>
        <w:pStyle w:val="Questionstyle"/>
      </w:pPr>
      <w:r w:rsidRPr="0075015C">
        <w:br w:type="page"/>
      </w:r>
      <w:r w:rsidR="003E573C">
        <w:t xml:space="preserve">: </w:t>
      </w:r>
      <w:r w:rsidR="001969F6" w:rsidRPr="001969F6">
        <w:t>Do you have any views regarding the ESAs’ proposed approach to amend the existing SFDR RTS instead of drafting a new set of draft RTS?</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6496FAC5" w14:textId="588DE4A2" w:rsidR="003E573C" w:rsidRPr="00B3750E" w:rsidRDefault="00291CED" w:rsidP="004C3112">
      <w:pPr>
        <w:jc w:val="both"/>
        <w:rPr>
          <w:rFonts w:cs="Arial"/>
        </w:rPr>
      </w:pPr>
      <w:permStart w:id="1221819945" w:edGrp="everyone"/>
      <w:r w:rsidRPr="00B3750E">
        <w:rPr>
          <w:rFonts w:cs="Arial"/>
        </w:rPr>
        <w:t>The Platform is supportive of</w:t>
      </w:r>
      <w:r w:rsidR="00C2235C" w:rsidRPr="00B3750E">
        <w:rPr>
          <w:rFonts w:cs="Arial"/>
        </w:rPr>
        <w:t xml:space="preserve"> working towards</w:t>
      </w:r>
      <w:r w:rsidRPr="00B3750E">
        <w:rPr>
          <w:rFonts w:cs="Arial"/>
        </w:rPr>
        <w:t xml:space="preserve"> combining SFDR and the Taxonomy Regulation reporting obli</w:t>
      </w:r>
      <w:r w:rsidR="00C16118">
        <w:rPr>
          <w:rFonts w:cs="Arial"/>
        </w:rPr>
        <w:t>gations, where it impacts both A</w:t>
      </w:r>
      <w:r w:rsidRPr="00B3750E">
        <w:rPr>
          <w:rFonts w:cs="Arial"/>
        </w:rPr>
        <w:t>rticle</w:t>
      </w:r>
      <w:r w:rsidR="000D175B">
        <w:rPr>
          <w:rFonts w:cs="Arial"/>
        </w:rPr>
        <w:t>s</w:t>
      </w:r>
      <w:r w:rsidRPr="00B3750E">
        <w:rPr>
          <w:rFonts w:cs="Arial"/>
        </w:rPr>
        <w:t xml:space="preserve"> 8 and 9 products. This will simplify the reporting obligation placed on sustainably marketed products and recognise the interconnection between pursuing an environmental strategy without negatively impacting other sustainable factors, as detailed in the Principle Adverse Indicator</w:t>
      </w:r>
      <w:r w:rsidR="004C3112">
        <w:rPr>
          <w:rFonts w:cs="Arial"/>
        </w:rPr>
        <w:t>s</w:t>
      </w:r>
      <w:r w:rsidRPr="00B3750E">
        <w:rPr>
          <w:rFonts w:cs="Arial"/>
        </w:rPr>
        <w:t xml:space="preserve"> </w:t>
      </w:r>
      <w:r w:rsidR="004C3112">
        <w:rPr>
          <w:rFonts w:cs="Arial"/>
        </w:rPr>
        <w:t xml:space="preserve">(PAI) </w:t>
      </w:r>
      <w:r w:rsidRPr="00B3750E">
        <w:rPr>
          <w:rFonts w:cs="Arial"/>
        </w:rPr>
        <w:t>list.</w:t>
      </w:r>
      <w:r w:rsidR="00963E5D" w:rsidRPr="00B3750E">
        <w:rPr>
          <w:rFonts w:cs="Arial"/>
        </w:rPr>
        <w:t xml:space="preserve"> Nevertheless, we recognise that more work needs to be done to fully harmonise both reporting requirements. </w:t>
      </w:r>
    </w:p>
    <w:p w14:paraId="535B34D8" w14:textId="77777777" w:rsidR="009C02BB" w:rsidRPr="00B3750E" w:rsidRDefault="009C02BB" w:rsidP="009C02BB">
      <w:pPr>
        <w:rPr>
          <w:rFonts w:cs="Arial"/>
        </w:rPr>
      </w:pPr>
    </w:p>
    <w:p w14:paraId="4ED8308C" w14:textId="0B9F948F" w:rsidR="009C02BB" w:rsidRPr="00B3750E" w:rsidRDefault="009D1775" w:rsidP="004C3112">
      <w:pPr>
        <w:contextualSpacing/>
        <w:jc w:val="both"/>
        <w:rPr>
          <w:rFonts w:cs="Arial"/>
        </w:rPr>
      </w:pPr>
      <w:r w:rsidRPr="00B3750E">
        <w:rPr>
          <w:rFonts w:cs="Arial"/>
        </w:rPr>
        <w:t>The Platform agrees with ESAs that investors should not have to report on PA</w:t>
      </w:r>
      <w:r w:rsidR="004C3112">
        <w:rPr>
          <w:rFonts w:cs="Arial"/>
        </w:rPr>
        <w:t xml:space="preserve">Is for the </w:t>
      </w:r>
      <w:r w:rsidR="00C16118">
        <w:rPr>
          <w:rFonts w:cs="Arial"/>
        </w:rPr>
        <w:t>portion of their A</w:t>
      </w:r>
      <w:r w:rsidR="004C3112">
        <w:rPr>
          <w:rFonts w:cs="Arial"/>
        </w:rPr>
        <w:t>rticles</w:t>
      </w:r>
      <w:r w:rsidRPr="00B3750E">
        <w:rPr>
          <w:rFonts w:cs="Arial"/>
        </w:rPr>
        <w:t xml:space="preserve"> 8 and 9 funds that </w:t>
      </w:r>
      <w:r w:rsidR="004C3112">
        <w:rPr>
          <w:rFonts w:cs="Arial"/>
        </w:rPr>
        <w:t xml:space="preserve">are aligned with the Taxonomy. </w:t>
      </w:r>
      <w:r w:rsidRPr="00B3750E">
        <w:rPr>
          <w:rFonts w:cs="Arial"/>
        </w:rPr>
        <w:t>The Platform also recognises that investors will need to report SFDR PAI against all investments that are not aligned with the Taxon</w:t>
      </w:r>
      <w:r w:rsidR="00C16118">
        <w:rPr>
          <w:rFonts w:cs="Arial"/>
        </w:rPr>
        <w:t>omy under A</w:t>
      </w:r>
      <w:r w:rsidRPr="00B3750E">
        <w:rPr>
          <w:rFonts w:cs="Arial"/>
        </w:rPr>
        <w:t>rticle</w:t>
      </w:r>
      <w:r w:rsidR="004C3112">
        <w:rPr>
          <w:rFonts w:cs="Arial"/>
        </w:rPr>
        <w:t>s</w:t>
      </w:r>
      <w:r w:rsidRPr="00B3750E">
        <w:rPr>
          <w:rFonts w:cs="Arial"/>
        </w:rPr>
        <w:t xml:space="preserve"> 8 and 9.  But given that PAIs are calculated at company-level and the Taxonomy at activity-level, in practice investors might decide to report on both for the entire fund. </w:t>
      </w:r>
      <w:r w:rsidR="00B91D60" w:rsidRPr="00B3750E">
        <w:rPr>
          <w:rFonts w:cs="Arial"/>
        </w:rPr>
        <w:t xml:space="preserve"> </w:t>
      </w:r>
      <w:r w:rsidR="009C02BB" w:rsidRPr="00B3750E">
        <w:rPr>
          <w:rFonts w:cs="Arial"/>
        </w:rPr>
        <w:t>Th</w:t>
      </w:r>
      <w:r w:rsidRPr="00B3750E">
        <w:rPr>
          <w:rFonts w:cs="Arial"/>
        </w:rPr>
        <w:t xml:space="preserve">is </w:t>
      </w:r>
      <w:r w:rsidR="00B91D60" w:rsidRPr="00B3750E">
        <w:rPr>
          <w:rFonts w:cs="Arial"/>
        </w:rPr>
        <w:t xml:space="preserve">means </w:t>
      </w:r>
      <w:r w:rsidR="009C02BB" w:rsidRPr="00B3750E">
        <w:rPr>
          <w:rFonts w:cs="Arial"/>
        </w:rPr>
        <w:t>that for operational simplicity a</w:t>
      </w:r>
      <w:r w:rsidR="00787DD8">
        <w:rPr>
          <w:rFonts w:cs="Arial"/>
        </w:rPr>
        <w:t xml:space="preserve"> Financial Market Participant </w:t>
      </w:r>
      <w:r w:rsidR="009C02BB" w:rsidRPr="00B3750E">
        <w:rPr>
          <w:rFonts w:cs="Arial"/>
        </w:rPr>
        <w:t>may wish to report SFDR PAI</w:t>
      </w:r>
      <w:r w:rsidR="00C16118">
        <w:rPr>
          <w:rFonts w:cs="Arial"/>
        </w:rPr>
        <w:t xml:space="preserve"> against all investments under A</w:t>
      </w:r>
      <w:r w:rsidR="009C02BB" w:rsidRPr="00B3750E">
        <w:rPr>
          <w:rFonts w:cs="Arial"/>
        </w:rPr>
        <w:t>rticle</w:t>
      </w:r>
      <w:r w:rsidR="004C3112">
        <w:rPr>
          <w:rFonts w:cs="Arial"/>
        </w:rPr>
        <w:t>s</w:t>
      </w:r>
      <w:r w:rsidR="009C02BB" w:rsidRPr="00B3750E">
        <w:rPr>
          <w:rFonts w:cs="Arial"/>
        </w:rPr>
        <w:t xml:space="preserve"> 8 and 9, due to:</w:t>
      </w:r>
    </w:p>
    <w:p w14:paraId="56CB575B" w14:textId="4E125C0C" w:rsidR="009C02BB" w:rsidRPr="00B3750E" w:rsidRDefault="009C02BB" w:rsidP="004C3112">
      <w:pPr>
        <w:pStyle w:val="Prrafodelista"/>
        <w:numPr>
          <w:ilvl w:val="0"/>
          <w:numId w:val="48"/>
        </w:numPr>
        <w:jc w:val="both"/>
        <w:rPr>
          <w:rFonts w:cs="Arial"/>
        </w:rPr>
      </w:pPr>
      <w:r w:rsidRPr="00B3750E">
        <w:rPr>
          <w:rFonts w:cs="Arial"/>
        </w:rPr>
        <w:t>Investment products with both environmental and social objectives</w:t>
      </w:r>
      <w:r w:rsidR="00C13BE2" w:rsidRPr="00B3750E">
        <w:rPr>
          <w:rFonts w:cs="Arial"/>
        </w:rPr>
        <w:t xml:space="preserve"> </w:t>
      </w:r>
    </w:p>
    <w:p w14:paraId="39AC0694" w14:textId="5BC4BDC0" w:rsidR="00C13BE2" w:rsidRPr="00B3750E" w:rsidRDefault="00C13BE2" w:rsidP="004C3112">
      <w:pPr>
        <w:pStyle w:val="Prrafodelista"/>
        <w:numPr>
          <w:ilvl w:val="0"/>
          <w:numId w:val="48"/>
        </w:numPr>
        <w:jc w:val="both"/>
        <w:rPr>
          <w:rFonts w:cs="Arial"/>
        </w:rPr>
      </w:pPr>
      <w:r w:rsidRPr="00B3750E">
        <w:rPr>
          <w:rFonts w:cs="Arial"/>
        </w:rPr>
        <w:t>Investment products with social objectives</w:t>
      </w:r>
      <w:r w:rsidR="004C3112">
        <w:rPr>
          <w:rFonts w:cs="Arial"/>
        </w:rPr>
        <w:t>,</w:t>
      </w:r>
      <w:r w:rsidRPr="00B3750E">
        <w:rPr>
          <w:rFonts w:cs="Arial"/>
        </w:rPr>
        <w:t xml:space="preserve"> in the absence of a social </w:t>
      </w:r>
      <w:r w:rsidR="001520D5" w:rsidRPr="00B3750E">
        <w:rPr>
          <w:rFonts w:cs="Arial"/>
        </w:rPr>
        <w:t>Taxonomy</w:t>
      </w:r>
    </w:p>
    <w:p w14:paraId="51E3187F" w14:textId="7DAF2505" w:rsidR="009C02BB" w:rsidRPr="00B3750E" w:rsidRDefault="009C02BB" w:rsidP="004C3112">
      <w:pPr>
        <w:pStyle w:val="Prrafodelista"/>
        <w:numPr>
          <w:ilvl w:val="0"/>
          <w:numId w:val="48"/>
        </w:numPr>
        <w:jc w:val="both"/>
        <w:rPr>
          <w:rFonts w:cs="Arial"/>
        </w:rPr>
      </w:pPr>
      <w:r w:rsidRPr="00B3750E">
        <w:rPr>
          <w:rFonts w:cs="Arial"/>
        </w:rPr>
        <w:t xml:space="preserve">Investments with environmental objectives but where a portion of the investee companies are not yet operating in eligible </w:t>
      </w:r>
      <w:r w:rsidR="001520D5" w:rsidRPr="00B3750E">
        <w:rPr>
          <w:rFonts w:cs="Arial"/>
        </w:rPr>
        <w:t>Taxonomy</w:t>
      </w:r>
      <w:r w:rsidRPr="00B3750E">
        <w:rPr>
          <w:rFonts w:cs="Arial"/>
        </w:rPr>
        <w:t xml:space="preserve"> sectors</w:t>
      </w:r>
    </w:p>
    <w:p w14:paraId="4D51CD99" w14:textId="647EE4E5" w:rsidR="00C13BE2" w:rsidRPr="00B3750E" w:rsidRDefault="00C13BE2" w:rsidP="004C3112">
      <w:pPr>
        <w:jc w:val="both"/>
        <w:rPr>
          <w:rFonts w:cs="Arial"/>
        </w:rPr>
      </w:pPr>
    </w:p>
    <w:p w14:paraId="0E946D97" w14:textId="54291C97" w:rsidR="009C02BB" w:rsidRPr="00B3750E" w:rsidRDefault="009C02BB" w:rsidP="004C3112">
      <w:pPr>
        <w:jc w:val="both"/>
        <w:rPr>
          <w:rFonts w:cs="Arial"/>
        </w:rPr>
      </w:pPr>
      <w:r w:rsidRPr="00B3750E">
        <w:rPr>
          <w:rFonts w:cs="Arial"/>
        </w:rPr>
        <w:t>The Platform believes that a reporti</w:t>
      </w:r>
      <w:r w:rsidR="00C16118">
        <w:rPr>
          <w:rFonts w:cs="Arial"/>
        </w:rPr>
        <w:t>ng framework should treat SFDR A</w:t>
      </w:r>
      <w:r w:rsidRPr="00B3750E">
        <w:rPr>
          <w:rFonts w:cs="Arial"/>
        </w:rPr>
        <w:t>rticle</w:t>
      </w:r>
      <w:r w:rsidR="004C3112">
        <w:rPr>
          <w:rFonts w:cs="Arial"/>
        </w:rPr>
        <w:t>s</w:t>
      </w:r>
      <w:r w:rsidRPr="00B3750E">
        <w:rPr>
          <w:rFonts w:cs="Arial"/>
        </w:rPr>
        <w:t xml:space="preserve"> 8 and 9 products similarly in that:</w:t>
      </w:r>
    </w:p>
    <w:p w14:paraId="6F3CE4B6" w14:textId="1B142C8F" w:rsidR="009C02BB" w:rsidRPr="00B3750E" w:rsidRDefault="00C16118" w:rsidP="004C3112">
      <w:pPr>
        <w:pStyle w:val="Prrafodelista"/>
        <w:numPr>
          <w:ilvl w:val="0"/>
          <w:numId w:val="45"/>
        </w:numPr>
        <w:jc w:val="both"/>
        <w:rPr>
          <w:rFonts w:cs="Arial"/>
        </w:rPr>
      </w:pPr>
      <w:r>
        <w:rPr>
          <w:rFonts w:cs="Arial"/>
        </w:rPr>
        <w:t>If the A</w:t>
      </w:r>
      <w:r w:rsidR="009C02BB" w:rsidRPr="00B3750E">
        <w:rPr>
          <w:rFonts w:cs="Arial"/>
        </w:rPr>
        <w:t xml:space="preserve">rticle 8 or 9 product is promoting or pursuing environmental objectives, then the periodic and pre-contractual disclosures </w:t>
      </w:r>
      <w:r w:rsidR="00A541A5" w:rsidRPr="00B3750E">
        <w:rPr>
          <w:rFonts w:cs="Arial"/>
        </w:rPr>
        <w:t>is permitted to</w:t>
      </w:r>
      <w:r w:rsidR="009C02BB" w:rsidRPr="00B3750E">
        <w:rPr>
          <w:rFonts w:cs="Arial"/>
        </w:rPr>
        <w:t xml:space="preserve"> only </w:t>
      </w:r>
      <w:r w:rsidR="00A541A5" w:rsidRPr="00B3750E">
        <w:rPr>
          <w:rFonts w:cs="Arial"/>
        </w:rPr>
        <w:t>report using</w:t>
      </w:r>
      <w:r w:rsidR="009C02BB" w:rsidRPr="00B3750E">
        <w:rPr>
          <w:rFonts w:cs="Arial"/>
        </w:rPr>
        <w:t xml:space="preserve"> </w:t>
      </w:r>
      <w:r w:rsidR="00D53B94" w:rsidRPr="00B3750E">
        <w:rPr>
          <w:rFonts w:cs="Arial"/>
        </w:rPr>
        <w:t xml:space="preserve">a </w:t>
      </w:r>
      <w:r w:rsidR="009C02BB" w:rsidRPr="00B3750E">
        <w:rPr>
          <w:rFonts w:cs="Arial"/>
        </w:rPr>
        <w:t xml:space="preserve">detailed Taxonomy assessment. </w:t>
      </w:r>
    </w:p>
    <w:p w14:paraId="0E1F166D" w14:textId="54B2DB89" w:rsidR="009C02BB" w:rsidRPr="00B3750E" w:rsidRDefault="009C02BB" w:rsidP="004C3112">
      <w:pPr>
        <w:pStyle w:val="Prrafodelista"/>
        <w:numPr>
          <w:ilvl w:val="0"/>
          <w:numId w:val="45"/>
        </w:numPr>
        <w:jc w:val="both"/>
        <w:rPr>
          <w:rFonts w:cs="Arial"/>
        </w:rPr>
      </w:pPr>
      <w:r w:rsidRPr="00B3750E">
        <w:rPr>
          <w:rFonts w:cs="Arial"/>
        </w:rPr>
        <w:t>The Taxonomy assessment is the true indication of environmental sustainability of such a product, and should take priority over SFDR PAI in delivery to the end asset owner.</w:t>
      </w:r>
    </w:p>
    <w:p w14:paraId="6C9CF7CD" w14:textId="49771667" w:rsidR="00A541A5" w:rsidRPr="00B3750E" w:rsidRDefault="00A541A5" w:rsidP="004C3112">
      <w:pPr>
        <w:pStyle w:val="Prrafodelista"/>
        <w:numPr>
          <w:ilvl w:val="0"/>
          <w:numId w:val="45"/>
        </w:numPr>
        <w:jc w:val="both"/>
        <w:rPr>
          <w:rFonts w:cs="Arial"/>
        </w:rPr>
      </w:pPr>
      <w:r w:rsidRPr="00B3750E">
        <w:rPr>
          <w:rFonts w:cs="Arial"/>
        </w:rPr>
        <w:t>The Platform support</w:t>
      </w:r>
      <w:r w:rsidR="0087699D" w:rsidRPr="00B3750E">
        <w:rPr>
          <w:rFonts w:cs="Arial"/>
        </w:rPr>
        <w:t>s</w:t>
      </w:r>
      <w:r w:rsidRPr="00B3750E">
        <w:rPr>
          <w:rFonts w:cs="Arial"/>
        </w:rPr>
        <w:t xml:space="preserve"> the inclusion of principle adverse indicators in the </w:t>
      </w:r>
      <w:r w:rsidR="004C3112">
        <w:rPr>
          <w:rFonts w:cs="Arial"/>
        </w:rPr>
        <w:t>CSRD</w:t>
      </w:r>
      <w:r w:rsidRPr="00B3750E">
        <w:rPr>
          <w:rFonts w:cs="Arial"/>
        </w:rPr>
        <w:t>, to be used as a reference to assess whether companies are meeting minimum social safeguards for investee companies not currently in the scope of the Taxonomy Delegated Acts.</w:t>
      </w:r>
    </w:p>
    <w:p w14:paraId="732B4785" w14:textId="77777777" w:rsidR="00C2235C" w:rsidRPr="00B3750E" w:rsidRDefault="00C2235C" w:rsidP="004C3112">
      <w:pPr>
        <w:jc w:val="both"/>
        <w:rPr>
          <w:rFonts w:cs="Arial"/>
        </w:rPr>
      </w:pPr>
    </w:p>
    <w:p w14:paraId="12ECC80C" w14:textId="17C94FC2" w:rsidR="0087699D" w:rsidRPr="00B3750E" w:rsidRDefault="009C02BB" w:rsidP="004C3112">
      <w:pPr>
        <w:jc w:val="both"/>
        <w:rPr>
          <w:rFonts w:cs="Arial"/>
        </w:rPr>
      </w:pPr>
      <w:r w:rsidRPr="00B3750E">
        <w:rPr>
          <w:rFonts w:cs="Arial"/>
        </w:rPr>
        <w:t xml:space="preserve">The Platform believes that there should be further work to harmonise the SFDR and Taxonomy reporting regime, when work on the proposed social </w:t>
      </w:r>
      <w:r w:rsidR="001520D5" w:rsidRPr="00B3750E">
        <w:rPr>
          <w:rFonts w:cs="Arial"/>
        </w:rPr>
        <w:t>Taxonomy</w:t>
      </w:r>
      <w:r w:rsidRPr="00B3750E">
        <w:rPr>
          <w:rFonts w:cs="Arial"/>
        </w:rPr>
        <w:t xml:space="preserve"> and significant harm </w:t>
      </w:r>
      <w:r w:rsidR="0087699D" w:rsidRPr="00B3750E">
        <w:rPr>
          <w:rFonts w:cs="Arial"/>
        </w:rPr>
        <w:t xml:space="preserve">(SH) </w:t>
      </w:r>
      <w:r w:rsidR="001520D5" w:rsidRPr="00B3750E">
        <w:rPr>
          <w:rFonts w:cs="Arial"/>
        </w:rPr>
        <w:t>Taxonomy</w:t>
      </w:r>
      <w:r w:rsidRPr="00B3750E">
        <w:rPr>
          <w:rFonts w:cs="Arial"/>
        </w:rPr>
        <w:t xml:space="preserve"> has concluded.</w:t>
      </w:r>
      <w:r w:rsidR="00C13BE2" w:rsidRPr="00B3750E">
        <w:rPr>
          <w:rFonts w:cs="Arial"/>
        </w:rPr>
        <w:t xml:space="preserve"> </w:t>
      </w:r>
      <w:r w:rsidR="0087699D" w:rsidRPr="00B3750E">
        <w:rPr>
          <w:rFonts w:cs="Arial"/>
        </w:rPr>
        <w:t>If d</w:t>
      </w:r>
      <w:r w:rsidR="007200BD">
        <w:rPr>
          <w:rFonts w:cs="Arial"/>
        </w:rPr>
        <w:t>eveloped, a harmful-activities T</w:t>
      </w:r>
      <w:r w:rsidR="0087699D" w:rsidRPr="00B3750E">
        <w:rPr>
          <w:rFonts w:cs="Arial"/>
        </w:rPr>
        <w:t>axonomy would be the right instrument to capt</w:t>
      </w:r>
      <w:r w:rsidR="007200BD">
        <w:rPr>
          <w:rFonts w:cs="Arial"/>
        </w:rPr>
        <w:t>ure SH across portfolios. Such T</w:t>
      </w:r>
      <w:r w:rsidR="0087699D" w:rsidRPr="00B3750E">
        <w:rPr>
          <w:rFonts w:cs="Arial"/>
        </w:rPr>
        <w:t xml:space="preserve">axonomy could replace most environmental indicators – with probably the notable exception of carbon emissions. </w:t>
      </w:r>
    </w:p>
    <w:p w14:paraId="52ADFE5B" w14:textId="77777777" w:rsidR="009D1775" w:rsidRPr="00B3750E" w:rsidRDefault="009D1775" w:rsidP="004C3112">
      <w:pPr>
        <w:spacing w:line="252" w:lineRule="auto"/>
        <w:contextualSpacing/>
        <w:jc w:val="both"/>
        <w:rPr>
          <w:rFonts w:cs="Arial"/>
        </w:rPr>
      </w:pPr>
    </w:p>
    <w:p w14:paraId="06C367BC" w14:textId="1D185328" w:rsidR="009D1775" w:rsidRPr="00B3750E" w:rsidRDefault="009D1775" w:rsidP="004C3112">
      <w:pPr>
        <w:jc w:val="both"/>
        <w:rPr>
          <w:rFonts w:cs="Arial"/>
        </w:rPr>
      </w:pPr>
      <w:r w:rsidRPr="00B3750E">
        <w:rPr>
          <w:rFonts w:cs="Arial"/>
        </w:rPr>
        <w:t xml:space="preserve">The PAIs have taken, as starting point, the same principles embedded in the minimum social safeguards of the Taxonomy Regulation – the UN Guiding Principles on Business and Human Rights (UNGPs), the OECD MNEs and the ILO conventions.  However, the UNGPs are not clearly specified in the SFDR PAIs. We believe that a clear mention of the UNGPs will improve consistency between both regulations. The Platform considers that further work is needed to converge towards one set of social indicators (minimum safeguards, CSRD and PAIs within SFDR). </w:t>
      </w:r>
      <w:r w:rsidR="0087699D" w:rsidRPr="00B3750E">
        <w:rPr>
          <w:rFonts w:cs="Arial"/>
        </w:rPr>
        <w:t xml:space="preserve">In order to ensure that minimum social safeguards are interpreted and are fully consistent with SFDR, we recommend the </w:t>
      </w:r>
      <w:r w:rsidR="004508CE">
        <w:rPr>
          <w:rFonts w:cs="Arial"/>
        </w:rPr>
        <w:t>EC</w:t>
      </w:r>
      <w:r w:rsidR="0087699D" w:rsidRPr="00B3750E">
        <w:rPr>
          <w:rFonts w:cs="Arial"/>
        </w:rPr>
        <w:t xml:space="preserve"> to identify a handful of salient indicators in line with social PAIs, and the future </w:t>
      </w:r>
      <w:r w:rsidRPr="00B3750E">
        <w:rPr>
          <w:rFonts w:cs="Arial"/>
        </w:rPr>
        <w:t>CS</w:t>
      </w:r>
      <w:r w:rsidR="0087699D" w:rsidRPr="00B3750E">
        <w:rPr>
          <w:rFonts w:cs="Arial"/>
        </w:rPr>
        <w:t>RD. These indicators could be used as a reference to assess whether non-NFRD</w:t>
      </w:r>
      <w:r w:rsidRPr="00B3750E">
        <w:rPr>
          <w:rFonts w:cs="Arial"/>
        </w:rPr>
        <w:t xml:space="preserve"> (CSRD)</w:t>
      </w:r>
      <w:r w:rsidR="0087699D" w:rsidRPr="00B3750E">
        <w:rPr>
          <w:rFonts w:cs="Arial"/>
        </w:rPr>
        <w:t xml:space="preserve"> companies meet minimum social safeguards. It will also facilitate consistency in the assessments made between European and non-European companies.</w:t>
      </w:r>
    </w:p>
    <w:p w14:paraId="116F38F1" w14:textId="77777777" w:rsidR="009D1775" w:rsidRPr="00B3750E" w:rsidRDefault="009D1775" w:rsidP="004C3112">
      <w:pPr>
        <w:spacing w:line="252" w:lineRule="auto"/>
        <w:contextualSpacing/>
        <w:jc w:val="both"/>
        <w:rPr>
          <w:rFonts w:cs="Arial"/>
        </w:rPr>
      </w:pPr>
    </w:p>
    <w:p w14:paraId="10AEDC6A" w14:textId="0B29626D" w:rsidR="00741B88" w:rsidRDefault="0012042A" w:rsidP="004C3112">
      <w:pPr>
        <w:spacing w:line="252" w:lineRule="auto"/>
        <w:contextualSpacing/>
        <w:jc w:val="both"/>
        <w:rPr>
          <w:rFonts w:cs="Arial"/>
        </w:rPr>
      </w:pPr>
      <w:r w:rsidRPr="00B3750E">
        <w:rPr>
          <w:rFonts w:cs="Arial"/>
        </w:rPr>
        <w:t>On this basis, the Platform</w:t>
      </w:r>
      <w:r w:rsidR="007B777F" w:rsidRPr="00B3750E">
        <w:rPr>
          <w:rFonts w:cs="Arial"/>
        </w:rPr>
        <w:t xml:space="preserve"> recommend </w:t>
      </w:r>
      <w:r w:rsidRPr="00B3750E">
        <w:rPr>
          <w:rFonts w:cs="Arial"/>
        </w:rPr>
        <w:t>a revision of</w:t>
      </w:r>
      <w:r w:rsidR="00C16118">
        <w:rPr>
          <w:rFonts w:cs="Arial"/>
        </w:rPr>
        <w:t xml:space="preserve"> the Delegated Acts on A</w:t>
      </w:r>
      <w:r w:rsidR="007B777F" w:rsidRPr="00B3750E">
        <w:rPr>
          <w:rFonts w:cs="Arial"/>
        </w:rPr>
        <w:t>rticle</w:t>
      </w:r>
      <w:r w:rsidR="004C3112">
        <w:rPr>
          <w:rFonts w:cs="Arial"/>
        </w:rPr>
        <w:t>s</w:t>
      </w:r>
      <w:r w:rsidR="007F7342">
        <w:rPr>
          <w:rFonts w:cs="Arial"/>
        </w:rPr>
        <w:t xml:space="preserve"> 5, 6 and 8 in three-</w:t>
      </w:r>
      <w:r w:rsidR="00A00B28" w:rsidRPr="00B3750E">
        <w:rPr>
          <w:rFonts w:cs="Arial"/>
        </w:rPr>
        <w:t>years’ time</w:t>
      </w:r>
      <w:r w:rsidR="007B777F" w:rsidRPr="00B3750E">
        <w:rPr>
          <w:rFonts w:cs="Arial"/>
        </w:rPr>
        <w:t xml:space="preserve"> in order to integrate the learning and data developments together with the legislative changes currently in the pipeline – including the </w:t>
      </w:r>
      <w:r w:rsidR="00DA1A66" w:rsidRPr="00B3750E">
        <w:rPr>
          <w:rFonts w:cs="Arial"/>
        </w:rPr>
        <w:t>CSRD</w:t>
      </w:r>
      <w:r w:rsidR="007B777F" w:rsidRPr="00B3750E">
        <w:rPr>
          <w:rFonts w:cs="Arial"/>
        </w:rPr>
        <w:t xml:space="preserve"> and the potential extension of the Taxonomy to cover social objectives and/or harmful activities.</w:t>
      </w:r>
      <w:r w:rsidR="009D1775" w:rsidRPr="00B3750E">
        <w:rPr>
          <w:rFonts w:cs="Arial"/>
        </w:rPr>
        <w:t xml:space="preserve"> </w:t>
      </w:r>
    </w:p>
    <w:permEnd w:id="1221819945"/>
    <w:p w14:paraId="0F1F4245" w14:textId="105822F6" w:rsidR="003E573C" w:rsidRDefault="003E573C" w:rsidP="003E573C">
      <w:pPr>
        <w:rPr>
          <w:rFonts w:cs="Arial"/>
        </w:rPr>
      </w:pPr>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5CDEC866" w:rsidR="003E573C" w:rsidRDefault="003E573C" w:rsidP="007118EB">
      <w:pPr>
        <w:pStyle w:val="Questionstyle"/>
      </w:pPr>
      <w:r>
        <w:t xml:space="preserve">: </w:t>
      </w:r>
      <w:r w:rsidR="001969F6" w:rsidRPr="001969F6">
        <w:t>Do you have any views on the KPI for the disclosure of the extent to which investments are aligned with the taxonomy, which is based on the share of the taxonomy-aligned turnover, capital expenditure or operational expenditure of all underlying non-financial investee companies? Do you agree with that the same approach should apply to all investments made by a given financial product?</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10A03546" w14:textId="2A3EB17C" w:rsidR="00B91D60" w:rsidRPr="00B3750E" w:rsidRDefault="00B91D60" w:rsidP="00C16118">
      <w:pPr>
        <w:contextualSpacing/>
        <w:jc w:val="both"/>
        <w:rPr>
          <w:rFonts w:cs="Arial"/>
        </w:rPr>
      </w:pPr>
      <w:permStart w:id="729947415" w:edGrp="everyone"/>
      <w:r w:rsidRPr="00B91D60">
        <w:rPr>
          <w:rFonts w:cs="Arial"/>
        </w:rPr>
        <w:t xml:space="preserve">The </w:t>
      </w:r>
      <w:r w:rsidRPr="00B3750E">
        <w:rPr>
          <w:rFonts w:cs="Arial"/>
        </w:rPr>
        <w:t>Platform agrees with reporting requirements focus on reporting turnover and expenditure (CapEx and OpEx) alignment, as defined by the 3 KPIs. Investors should be able to use an</w:t>
      </w:r>
      <w:r w:rsidR="00C16118">
        <w:rPr>
          <w:rFonts w:cs="Arial"/>
        </w:rPr>
        <w:t>d apply the 3 KPIs detailed in A</w:t>
      </w:r>
      <w:r w:rsidRPr="00B3750E">
        <w:rPr>
          <w:rFonts w:cs="Arial"/>
        </w:rPr>
        <w:t xml:space="preserve">rticle 8 of the Taxonomy Regulation to inform the percentage of alignment a financial product has to the EU Taxonomy. </w:t>
      </w:r>
    </w:p>
    <w:p w14:paraId="054F4F50" w14:textId="77777777" w:rsidR="00B91D60" w:rsidRPr="00B3750E" w:rsidRDefault="00B91D60" w:rsidP="00C16118">
      <w:pPr>
        <w:contextualSpacing/>
        <w:jc w:val="both"/>
        <w:rPr>
          <w:rFonts w:cs="Arial"/>
        </w:rPr>
      </w:pPr>
    </w:p>
    <w:p w14:paraId="6D2886E2" w14:textId="7BF9B4E0" w:rsidR="00B91D60" w:rsidRPr="00B3750E" w:rsidRDefault="00B91D60" w:rsidP="00C16118">
      <w:pPr>
        <w:contextualSpacing/>
        <w:jc w:val="both"/>
        <w:rPr>
          <w:rFonts w:cs="Arial"/>
        </w:rPr>
      </w:pPr>
      <w:r w:rsidRPr="00B3750E">
        <w:rPr>
          <w:rFonts w:cs="Arial"/>
        </w:rPr>
        <w:t xml:space="preserve">The Platform </w:t>
      </w:r>
      <w:r w:rsidR="00C16118">
        <w:rPr>
          <w:rFonts w:cs="Arial"/>
        </w:rPr>
        <w:t xml:space="preserve">also </w:t>
      </w:r>
      <w:r w:rsidRPr="00B3750E">
        <w:rPr>
          <w:rFonts w:cs="Arial"/>
        </w:rPr>
        <w:t>believes investors should report on revenues for all equity (private or public) and gene</w:t>
      </w:r>
      <w:r w:rsidR="00C16118">
        <w:rPr>
          <w:rFonts w:cs="Arial"/>
        </w:rPr>
        <w:t>ral purpose debt funds, and on CapEx/OpE</w:t>
      </w:r>
      <w:r w:rsidRPr="00B3750E">
        <w:rPr>
          <w:rFonts w:cs="Arial"/>
        </w:rPr>
        <w:t xml:space="preserve">x for the part of the fund they have the underlying information. </w:t>
      </w:r>
    </w:p>
    <w:p w14:paraId="4EA2693B" w14:textId="77777777" w:rsidR="00B91D60" w:rsidRPr="00B3750E" w:rsidRDefault="00B91D60" w:rsidP="00C16118">
      <w:pPr>
        <w:contextualSpacing/>
        <w:jc w:val="both"/>
        <w:rPr>
          <w:rFonts w:cs="Arial"/>
        </w:rPr>
      </w:pPr>
    </w:p>
    <w:p w14:paraId="07CA1592" w14:textId="0C468BD5" w:rsidR="00B91D60" w:rsidRPr="00B3750E" w:rsidRDefault="00B91D60" w:rsidP="00C16118">
      <w:pPr>
        <w:contextualSpacing/>
        <w:jc w:val="both"/>
        <w:rPr>
          <w:rFonts w:cs="Arial"/>
        </w:rPr>
      </w:pPr>
      <w:r w:rsidRPr="00B3750E">
        <w:rPr>
          <w:rFonts w:cs="Arial"/>
        </w:rPr>
        <w:t xml:space="preserve">The Platform </w:t>
      </w:r>
      <w:r w:rsidR="00C16118">
        <w:rPr>
          <w:rFonts w:cs="Arial"/>
        </w:rPr>
        <w:t>would recommend that</w:t>
      </w:r>
      <w:r w:rsidR="00B3750E" w:rsidRPr="00B3750E">
        <w:rPr>
          <w:rFonts w:cs="Arial"/>
        </w:rPr>
        <w:t xml:space="preserve"> an exception should be made</w:t>
      </w:r>
      <w:r w:rsidRPr="00B3750E">
        <w:rPr>
          <w:rFonts w:cs="Arial"/>
        </w:rPr>
        <w:t xml:space="preserve"> for use-of-proceeds based </w:t>
      </w:r>
      <w:r w:rsidR="00B3750E" w:rsidRPr="00B3750E">
        <w:rPr>
          <w:rFonts w:cs="Arial"/>
        </w:rPr>
        <w:t xml:space="preserve">instruments for which </w:t>
      </w:r>
      <w:r w:rsidRPr="00B3750E">
        <w:rPr>
          <w:rFonts w:cs="Arial"/>
        </w:rPr>
        <w:t xml:space="preserve">an investor should report on expenditures (proceeds-alignment) unless the % of alignment is unknown. </w:t>
      </w:r>
      <w:r w:rsidR="00B3750E" w:rsidRPr="00B3750E">
        <w:rPr>
          <w:rFonts w:cs="Arial"/>
        </w:rPr>
        <w:t xml:space="preserve">This means that there will be some very specific cases where investors might have to split re-porting to avoid adding apples to carrots because the fund contains both use of proceeds and shares/general purpose bonds with no information on expenditures. Clarity, in these cases, is needed on which KPI will be used per type of asset class or financial instrument within such hybrid funds.  </w:t>
      </w:r>
    </w:p>
    <w:p w14:paraId="1E16692A" w14:textId="77777777" w:rsidR="00B3750E" w:rsidRPr="00B3750E" w:rsidRDefault="00B3750E" w:rsidP="00C16118">
      <w:pPr>
        <w:contextualSpacing/>
        <w:jc w:val="both"/>
        <w:rPr>
          <w:rFonts w:cs="Arial"/>
        </w:rPr>
      </w:pPr>
    </w:p>
    <w:p w14:paraId="6EAA2DA5" w14:textId="46F40868" w:rsidR="00B91D60" w:rsidRPr="00B3750E" w:rsidRDefault="00B91D60" w:rsidP="00C16118">
      <w:pPr>
        <w:contextualSpacing/>
        <w:jc w:val="both"/>
        <w:rPr>
          <w:rFonts w:cs="Arial"/>
        </w:rPr>
      </w:pPr>
      <w:r w:rsidRPr="00B3750E">
        <w:rPr>
          <w:rFonts w:cs="Arial"/>
        </w:rPr>
        <w:t>The Platform believes that investors can choose either KPI or a combination of those for selection purposes. They just need to be clear ex-ante of their strategy (selection process needs to be specified in pre-contractual disclosures).</w:t>
      </w:r>
    </w:p>
    <w:p w14:paraId="29AF05EB" w14:textId="77777777" w:rsidR="00B91D60" w:rsidRPr="00B3750E" w:rsidRDefault="00B91D60" w:rsidP="00C16118">
      <w:pPr>
        <w:contextualSpacing/>
        <w:jc w:val="both"/>
        <w:rPr>
          <w:rFonts w:cs="Arial"/>
        </w:rPr>
      </w:pPr>
    </w:p>
    <w:p w14:paraId="509C1AD1" w14:textId="513D7E91" w:rsidR="00B91D60" w:rsidRPr="00B3750E" w:rsidRDefault="00B91D60" w:rsidP="00C16118">
      <w:pPr>
        <w:jc w:val="both"/>
        <w:rPr>
          <w:rFonts w:cs="Arial"/>
        </w:rPr>
      </w:pPr>
      <w:r w:rsidRPr="00B3750E">
        <w:rPr>
          <w:rFonts w:cs="Arial"/>
        </w:rPr>
        <w:t>While turnover will be undoubtedly the most used KPI given the difficulties to ac</w:t>
      </w:r>
      <w:r w:rsidR="00C16118">
        <w:rPr>
          <w:rFonts w:cs="Arial"/>
        </w:rPr>
        <w:t xml:space="preserve">cess CapEx and OpEx </w:t>
      </w:r>
      <w:r w:rsidRPr="00B3750E">
        <w:rPr>
          <w:rFonts w:cs="Arial"/>
        </w:rPr>
        <w:t>alignment for non-EU companies, the Platform recommends fostering the use of CapEx and OpEx as part of the decision-making process (and encourage investors to ask non-EU to voluntarily di</w:t>
      </w:r>
      <w:r w:rsidR="00C16118">
        <w:rPr>
          <w:rFonts w:cs="Arial"/>
        </w:rPr>
        <w:t xml:space="preserve">sclose their CapEx alignment). </w:t>
      </w:r>
      <w:r w:rsidRPr="00B3750E">
        <w:rPr>
          <w:rFonts w:cs="Arial"/>
        </w:rPr>
        <w:t xml:space="preserve">Capex and OpEx as defined by ESMA and the TEG play an invaluable role in transition finance. </w:t>
      </w:r>
    </w:p>
    <w:p w14:paraId="131C1D4F" w14:textId="49CBD0E2" w:rsidR="009C25F3" w:rsidRPr="00B3750E" w:rsidRDefault="009C25F3" w:rsidP="00C16118">
      <w:pPr>
        <w:jc w:val="both"/>
        <w:rPr>
          <w:rFonts w:cs="Arial"/>
        </w:rPr>
      </w:pPr>
    </w:p>
    <w:p w14:paraId="0F138E20" w14:textId="593F8B23" w:rsidR="00F939CB" w:rsidRPr="00B3750E" w:rsidRDefault="00F939CB" w:rsidP="00C16118">
      <w:pPr>
        <w:jc w:val="both"/>
        <w:rPr>
          <w:rFonts w:cs="Arial"/>
        </w:rPr>
      </w:pPr>
      <w:r w:rsidRPr="00B3750E">
        <w:rPr>
          <w:rFonts w:cs="Arial"/>
        </w:rPr>
        <w:t>The Platform agree</w:t>
      </w:r>
      <w:r w:rsidR="00C16118">
        <w:rPr>
          <w:rFonts w:cs="Arial"/>
        </w:rPr>
        <w:t>s with using the definition of ‘net turnover’</w:t>
      </w:r>
      <w:r w:rsidRPr="00B3750E">
        <w:rPr>
          <w:rFonts w:cs="Arial"/>
        </w:rPr>
        <w:t xml:space="preserve"> in Article 2(5) of the Accounting Directive as the reference point. We recommend IFRS preparers to count the amounts that are presented as “revenue” according to IAS1 paragraph 82(a) in line with ESMA’s proposed definition</w:t>
      </w:r>
      <w:r w:rsidR="00784383" w:rsidRPr="00B3750E">
        <w:rPr>
          <w:rFonts w:cs="Arial"/>
        </w:rPr>
        <w:t>, and as it relates to the turnover or revenue of the underlying investee company.</w:t>
      </w:r>
      <w:r w:rsidR="009C25F3" w:rsidRPr="00B3750E">
        <w:rPr>
          <w:rFonts w:cs="Arial"/>
        </w:rPr>
        <w:t xml:space="preserve"> The Platform also agrees with the descriptions of </w:t>
      </w:r>
      <w:r w:rsidR="001520D5" w:rsidRPr="00B3750E">
        <w:rPr>
          <w:rFonts w:cs="Arial"/>
        </w:rPr>
        <w:t>CapEx</w:t>
      </w:r>
      <w:r w:rsidR="009C25F3" w:rsidRPr="00B3750E">
        <w:rPr>
          <w:rFonts w:cs="Arial"/>
        </w:rPr>
        <w:t xml:space="preserve"> and </w:t>
      </w:r>
      <w:r w:rsidR="001520D5" w:rsidRPr="00B3750E">
        <w:rPr>
          <w:rFonts w:cs="Arial"/>
        </w:rPr>
        <w:t>OpEx</w:t>
      </w:r>
      <w:r w:rsidR="009C25F3" w:rsidRPr="00B3750E">
        <w:rPr>
          <w:rFonts w:cs="Arial"/>
        </w:rPr>
        <w:t xml:space="preserve"> provided by ESMA. </w:t>
      </w:r>
    </w:p>
    <w:p w14:paraId="7D4D7408" w14:textId="0128DA1A" w:rsidR="00751470" w:rsidRPr="00B3750E" w:rsidRDefault="00751470" w:rsidP="00291CED">
      <w:pPr>
        <w:rPr>
          <w:rFonts w:cs="Arial"/>
        </w:rPr>
      </w:pPr>
    </w:p>
    <w:p w14:paraId="11453046" w14:textId="08C527AE" w:rsidR="00B91D60" w:rsidRPr="00B3750E" w:rsidRDefault="00C16118" w:rsidP="00C16118">
      <w:pPr>
        <w:contextualSpacing/>
        <w:jc w:val="both"/>
        <w:rPr>
          <w:rFonts w:cs="Arial"/>
        </w:rPr>
      </w:pPr>
      <w:r>
        <w:rPr>
          <w:rFonts w:cs="Arial"/>
        </w:rPr>
        <w:t xml:space="preserve">When investors disclose CapEx </w:t>
      </w:r>
      <w:r w:rsidR="00B91D60" w:rsidRPr="00B3750E">
        <w:rPr>
          <w:rFonts w:cs="Arial"/>
        </w:rPr>
        <w:t xml:space="preserve">alignment, financial institutions will be excluded from the numerator and be treated as </w:t>
      </w:r>
      <w:r>
        <w:rPr>
          <w:rFonts w:cs="Arial"/>
        </w:rPr>
        <w:t xml:space="preserve">excluded asset classes as CapEx </w:t>
      </w:r>
      <w:r w:rsidR="00B91D60" w:rsidRPr="00B3750E">
        <w:rPr>
          <w:rFonts w:cs="Arial"/>
        </w:rPr>
        <w:t>alignment wi</w:t>
      </w:r>
      <w:r w:rsidR="00B3750E" w:rsidRPr="00B3750E">
        <w:rPr>
          <w:rFonts w:cs="Arial"/>
        </w:rPr>
        <w:t>ll only be available for their CS</w:t>
      </w:r>
      <w:r w:rsidR="00B91D60" w:rsidRPr="00B3750E">
        <w:rPr>
          <w:rFonts w:cs="Arial"/>
        </w:rPr>
        <w:t xml:space="preserve">RD investments and/or lending. </w:t>
      </w:r>
    </w:p>
    <w:p w14:paraId="7C4EC1DF" w14:textId="77777777" w:rsidR="00B91D60" w:rsidRPr="00B3750E" w:rsidRDefault="00B91D60" w:rsidP="00C16118">
      <w:pPr>
        <w:jc w:val="both"/>
        <w:rPr>
          <w:rFonts w:cs="Arial"/>
        </w:rPr>
      </w:pPr>
    </w:p>
    <w:p w14:paraId="4D4CB0C4" w14:textId="0AB85210" w:rsidR="00291CED" w:rsidRPr="00B3750E" w:rsidRDefault="00751470" w:rsidP="00C16118">
      <w:pPr>
        <w:jc w:val="both"/>
        <w:rPr>
          <w:rFonts w:cs="Arial"/>
        </w:rPr>
      </w:pPr>
      <w:r w:rsidRPr="00B3750E">
        <w:rPr>
          <w:rFonts w:cs="Arial"/>
        </w:rPr>
        <w:t>The Platform agrees that reporting of the 3 KPIs relate to the investment activities and not</w:t>
      </w:r>
      <w:r w:rsidR="00B91D60" w:rsidRPr="00B3750E">
        <w:rPr>
          <w:rFonts w:cs="Arial"/>
        </w:rPr>
        <w:t xml:space="preserve"> the operational activities of financial i</w:t>
      </w:r>
      <w:r w:rsidRPr="00B3750E">
        <w:rPr>
          <w:rFonts w:cs="Arial"/>
        </w:rPr>
        <w:t>nstitution</w:t>
      </w:r>
      <w:r w:rsidR="00B91D60" w:rsidRPr="00B3750E">
        <w:rPr>
          <w:rFonts w:cs="Arial"/>
        </w:rPr>
        <w:t>s</w:t>
      </w:r>
      <w:r w:rsidRPr="00B3750E">
        <w:rPr>
          <w:rFonts w:cs="Arial"/>
        </w:rPr>
        <w:t>.</w:t>
      </w:r>
      <w:r w:rsidR="002A760B">
        <w:rPr>
          <w:rFonts w:cs="Arial"/>
        </w:rPr>
        <w:t xml:space="preserve"> Reporting the </w:t>
      </w:r>
      <w:r w:rsidR="00787DD8">
        <w:rPr>
          <w:rFonts w:cs="Arial"/>
        </w:rPr>
        <w:t>turnover and CapE</w:t>
      </w:r>
      <w:r w:rsidR="000F6EBA">
        <w:rPr>
          <w:rFonts w:cs="Arial"/>
        </w:rPr>
        <w:t xml:space="preserve">x </w:t>
      </w:r>
      <w:r w:rsidR="002A760B">
        <w:rPr>
          <w:rFonts w:cs="Arial"/>
        </w:rPr>
        <w:t>breakdown</w:t>
      </w:r>
      <w:r w:rsidR="00787DD8">
        <w:rPr>
          <w:rFonts w:cs="Arial"/>
        </w:rPr>
        <w:t xml:space="preserve"> by environmental objectives, in addition to</w:t>
      </w:r>
      <w:r w:rsidR="002A760B">
        <w:rPr>
          <w:rFonts w:cs="Arial"/>
        </w:rPr>
        <w:t xml:space="preserve"> transitional and enabling activities</w:t>
      </w:r>
      <w:r w:rsidR="00787DD8">
        <w:rPr>
          <w:rFonts w:cs="Arial"/>
        </w:rPr>
        <w:t>,</w:t>
      </w:r>
      <w:r w:rsidR="002A760B">
        <w:rPr>
          <w:rFonts w:cs="Arial"/>
        </w:rPr>
        <w:t xml:space="preserve"> is essential. </w:t>
      </w:r>
      <w:r w:rsidR="00B91D60" w:rsidRPr="00B3750E">
        <w:rPr>
          <w:rFonts w:cs="Arial"/>
        </w:rPr>
        <w:t xml:space="preserve"> </w:t>
      </w:r>
      <w:r w:rsidR="008565A4" w:rsidRPr="00B3750E">
        <w:rPr>
          <w:rFonts w:cs="Arial"/>
        </w:rPr>
        <w:t>Special attention should be given to the ratios of financial institutions a</w:t>
      </w:r>
      <w:r w:rsidR="00C16118">
        <w:rPr>
          <w:rFonts w:cs="Arial"/>
        </w:rPr>
        <w:t>s it pertains to A</w:t>
      </w:r>
      <w:r w:rsidR="00291CED" w:rsidRPr="00B3750E">
        <w:rPr>
          <w:rFonts w:cs="Arial"/>
        </w:rPr>
        <w:t>rticle</w:t>
      </w:r>
      <w:r w:rsidR="00787DD8">
        <w:rPr>
          <w:rFonts w:cs="Arial"/>
        </w:rPr>
        <w:t>s</w:t>
      </w:r>
      <w:r w:rsidR="00291CED" w:rsidRPr="00B3750E">
        <w:rPr>
          <w:rFonts w:cs="Arial"/>
        </w:rPr>
        <w:t xml:space="preserve"> 5 and 6 disclosures:</w:t>
      </w:r>
    </w:p>
    <w:p w14:paraId="09C79B4F" w14:textId="77777777" w:rsidR="008565A4" w:rsidRPr="00B3750E" w:rsidRDefault="008565A4" w:rsidP="00C16118">
      <w:pPr>
        <w:jc w:val="both"/>
        <w:rPr>
          <w:rFonts w:cs="Arial"/>
        </w:rPr>
      </w:pPr>
    </w:p>
    <w:p w14:paraId="5C1071A6" w14:textId="08F9C55F" w:rsidR="00291CED" w:rsidRPr="00B3750E" w:rsidRDefault="00787DD8" w:rsidP="00C16118">
      <w:pPr>
        <w:pStyle w:val="Prrafodelista"/>
        <w:numPr>
          <w:ilvl w:val="0"/>
          <w:numId w:val="41"/>
        </w:numPr>
        <w:jc w:val="both"/>
        <w:rPr>
          <w:rFonts w:cs="Arial"/>
        </w:rPr>
      </w:pPr>
      <w:r>
        <w:rPr>
          <w:rFonts w:cs="Arial"/>
        </w:rPr>
        <w:t>The Platform recommends</w:t>
      </w:r>
      <w:r w:rsidR="00C16118">
        <w:rPr>
          <w:rFonts w:cs="Arial"/>
        </w:rPr>
        <w:t xml:space="preserve"> a common methodology</w:t>
      </w:r>
      <w:r>
        <w:rPr>
          <w:rFonts w:cs="Arial"/>
        </w:rPr>
        <w:t xml:space="preserve"> is applied</w:t>
      </w:r>
      <w:r w:rsidR="00C16118">
        <w:rPr>
          <w:rFonts w:cs="Arial"/>
        </w:rPr>
        <w:t xml:space="preserve"> to the A</w:t>
      </w:r>
      <w:r w:rsidR="00291CED" w:rsidRPr="00B3750E">
        <w:rPr>
          <w:rFonts w:cs="Arial"/>
        </w:rPr>
        <w:t>rticle 8 disclosure requirements f</w:t>
      </w:r>
      <w:r w:rsidR="0026185A" w:rsidRPr="00B3750E">
        <w:rPr>
          <w:rFonts w:cs="Arial"/>
        </w:rPr>
        <w:t>or financial</w:t>
      </w:r>
      <w:r w:rsidR="00D939A6" w:rsidRPr="00B3750E">
        <w:rPr>
          <w:rFonts w:cs="Arial"/>
        </w:rPr>
        <w:t xml:space="preserve"> institutions</w:t>
      </w:r>
      <w:r w:rsidR="00C8563A" w:rsidRPr="00B3750E">
        <w:rPr>
          <w:rFonts w:cs="Arial"/>
        </w:rPr>
        <w:t xml:space="preserve">, so that </w:t>
      </w:r>
      <w:r w:rsidR="00D939A6" w:rsidRPr="00B3750E">
        <w:rPr>
          <w:rFonts w:cs="Arial"/>
        </w:rPr>
        <w:t xml:space="preserve">their ratios </w:t>
      </w:r>
      <w:r w:rsidR="00C8563A" w:rsidRPr="00B3750E">
        <w:rPr>
          <w:rFonts w:cs="Arial"/>
        </w:rPr>
        <w:t>can be cleanly and consistently applied to financial products which pursue environmental objectives</w:t>
      </w:r>
      <w:r w:rsidR="00D939A6" w:rsidRPr="00B3750E">
        <w:rPr>
          <w:rFonts w:cs="Arial"/>
        </w:rPr>
        <w:t xml:space="preserve"> or have environmental characteristics</w:t>
      </w:r>
      <w:r w:rsidR="0026185A" w:rsidRPr="00B3750E">
        <w:rPr>
          <w:rFonts w:cs="Arial"/>
        </w:rPr>
        <w:t xml:space="preserve">. </w:t>
      </w:r>
    </w:p>
    <w:p w14:paraId="1C10B854" w14:textId="24D67611" w:rsidR="00D939A6" w:rsidRPr="00B3750E" w:rsidRDefault="00787DD8" w:rsidP="00C16118">
      <w:pPr>
        <w:pStyle w:val="Prrafodelista"/>
        <w:numPr>
          <w:ilvl w:val="0"/>
          <w:numId w:val="41"/>
        </w:numPr>
        <w:jc w:val="both"/>
        <w:rPr>
          <w:rFonts w:cs="Arial"/>
        </w:rPr>
      </w:pPr>
      <w:r>
        <w:rPr>
          <w:rFonts w:cs="Arial"/>
        </w:rPr>
        <w:t>Financial Market P</w:t>
      </w:r>
      <w:r w:rsidR="00D939A6" w:rsidRPr="00B3750E">
        <w:rPr>
          <w:rFonts w:cs="Arial"/>
        </w:rPr>
        <w:t>articipants need clear guidance on which ratio for each type of financial instituti</w:t>
      </w:r>
      <w:r w:rsidR="00B91D60" w:rsidRPr="00B3750E">
        <w:rPr>
          <w:rFonts w:cs="Arial"/>
        </w:rPr>
        <w:t>ons ought to be used (</w:t>
      </w:r>
      <w:r>
        <w:rPr>
          <w:rFonts w:cs="Arial"/>
        </w:rPr>
        <w:t>e.g.</w:t>
      </w:r>
      <w:r w:rsidR="007F7342">
        <w:rPr>
          <w:rFonts w:cs="Arial"/>
        </w:rPr>
        <w:t>,</w:t>
      </w:r>
      <w:r>
        <w:rPr>
          <w:rFonts w:cs="Arial"/>
        </w:rPr>
        <w:t xml:space="preserve"> </w:t>
      </w:r>
      <w:r w:rsidR="00B91D60" w:rsidRPr="00B3750E">
        <w:rPr>
          <w:rFonts w:cs="Arial"/>
        </w:rPr>
        <w:t xml:space="preserve">insurers might </w:t>
      </w:r>
      <w:r w:rsidR="00D939A6" w:rsidRPr="00B3750E">
        <w:rPr>
          <w:rFonts w:cs="Arial"/>
        </w:rPr>
        <w:t xml:space="preserve">have to disclose two ratios and banks several ratios). </w:t>
      </w:r>
    </w:p>
    <w:p w14:paraId="2570CF8B" w14:textId="0FE7F590" w:rsidR="00710D85" w:rsidRPr="00B3750E" w:rsidRDefault="00787DD8" w:rsidP="00C16118">
      <w:pPr>
        <w:pStyle w:val="Prrafodelista"/>
        <w:numPr>
          <w:ilvl w:val="0"/>
          <w:numId w:val="41"/>
        </w:numPr>
        <w:jc w:val="both"/>
        <w:rPr>
          <w:rFonts w:cs="Arial"/>
        </w:rPr>
      </w:pPr>
      <w:r>
        <w:rPr>
          <w:rFonts w:cs="Arial"/>
        </w:rPr>
        <w:t>The Platform would also</w:t>
      </w:r>
      <w:r w:rsidR="00710D85" w:rsidRPr="00B3750E">
        <w:rPr>
          <w:rFonts w:cs="Arial"/>
        </w:rPr>
        <w:t xml:space="preserve"> recommend the disclosure of one primary ratio per institution based on turnover (or the turnover disclosures of the underlying companies). </w:t>
      </w:r>
      <w:r>
        <w:rPr>
          <w:rFonts w:cs="Arial"/>
        </w:rPr>
        <w:t>F</w:t>
      </w:r>
      <w:r w:rsidR="00710D85" w:rsidRPr="00B3750E">
        <w:rPr>
          <w:rFonts w:cs="Arial"/>
        </w:rPr>
        <w:t xml:space="preserve">inancial actors </w:t>
      </w:r>
      <w:r>
        <w:rPr>
          <w:rFonts w:cs="Arial"/>
        </w:rPr>
        <w:t>should also</w:t>
      </w:r>
      <w:r w:rsidR="00710D85" w:rsidRPr="00B3750E">
        <w:rPr>
          <w:rFonts w:cs="Arial"/>
        </w:rPr>
        <w:t xml:space="preserve"> disclose their primary ratio based on CapEx and OpEx (or the reported expenditures of the underlying companies) where and when feasible and to the extent possible.</w:t>
      </w:r>
    </w:p>
    <w:p w14:paraId="6D6125A5" w14:textId="3710D778" w:rsidR="00F34497" w:rsidRPr="00B3750E" w:rsidRDefault="00F34497" w:rsidP="00C16118">
      <w:pPr>
        <w:pStyle w:val="Prrafodelista"/>
        <w:numPr>
          <w:ilvl w:val="0"/>
          <w:numId w:val="41"/>
        </w:numPr>
        <w:spacing w:line="252" w:lineRule="auto"/>
        <w:jc w:val="both"/>
        <w:rPr>
          <w:rFonts w:cs="Arial"/>
          <w:bCs/>
          <w:szCs w:val="20"/>
        </w:rPr>
      </w:pPr>
      <w:r w:rsidRPr="00B3750E">
        <w:rPr>
          <w:rFonts w:cs="Arial"/>
          <w:bCs/>
          <w:szCs w:val="20"/>
        </w:rPr>
        <w:t>Asset managers, insurers (as key asset owners) and investment firms’ primary ratios (to be used by i</w:t>
      </w:r>
      <w:r w:rsidR="00787DD8">
        <w:rPr>
          <w:rFonts w:cs="Arial"/>
          <w:bCs/>
          <w:szCs w:val="20"/>
        </w:rPr>
        <w:t>nvestors for reporting against A</w:t>
      </w:r>
      <w:r w:rsidRPr="00B3750E">
        <w:rPr>
          <w:rFonts w:cs="Arial"/>
          <w:bCs/>
          <w:szCs w:val="20"/>
        </w:rPr>
        <w:t>rt</w:t>
      </w:r>
      <w:r w:rsidR="002A2D72" w:rsidRPr="00B3750E">
        <w:rPr>
          <w:rFonts w:cs="Arial"/>
          <w:bCs/>
          <w:szCs w:val="20"/>
        </w:rPr>
        <w:t xml:space="preserve">icles </w:t>
      </w:r>
      <w:r w:rsidRPr="00B3750E">
        <w:rPr>
          <w:rFonts w:cs="Arial"/>
          <w:bCs/>
          <w:szCs w:val="20"/>
        </w:rPr>
        <w:t>5 and 6) should capture the proportion of their AUM aligned with the Taxonomy</w:t>
      </w:r>
      <w:r w:rsidR="00787DD8">
        <w:rPr>
          <w:rFonts w:cs="Arial"/>
          <w:bCs/>
          <w:szCs w:val="20"/>
        </w:rPr>
        <w:t>. Likewise</w:t>
      </w:r>
      <w:r w:rsidRPr="00B3750E">
        <w:rPr>
          <w:rFonts w:cs="Arial"/>
          <w:bCs/>
          <w:szCs w:val="20"/>
        </w:rPr>
        <w:t xml:space="preserve"> for banks</w:t>
      </w:r>
      <w:r w:rsidR="00787DD8">
        <w:rPr>
          <w:rFonts w:cs="Arial"/>
          <w:bCs/>
          <w:szCs w:val="20"/>
        </w:rPr>
        <w:t>,</w:t>
      </w:r>
      <w:r w:rsidRPr="00B3750E">
        <w:rPr>
          <w:rFonts w:cs="Arial"/>
          <w:bCs/>
          <w:szCs w:val="20"/>
        </w:rPr>
        <w:t xml:space="preserve"> </w:t>
      </w:r>
      <w:r w:rsidR="00787DD8">
        <w:rPr>
          <w:rFonts w:cs="Arial"/>
          <w:bCs/>
          <w:szCs w:val="20"/>
        </w:rPr>
        <w:t xml:space="preserve">the primary ratios should capture </w:t>
      </w:r>
      <w:r w:rsidRPr="00B3750E">
        <w:rPr>
          <w:rFonts w:cs="Arial"/>
          <w:bCs/>
          <w:szCs w:val="20"/>
        </w:rPr>
        <w:t xml:space="preserve">the proportion of their lending </w:t>
      </w:r>
      <w:r w:rsidR="00B91D60" w:rsidRPr="00B3750E">
        <w:rPr>
          <w:rFonts w:cs="Arial"/>
          <w:bCs/>
          <w:szCs w:val="20"/>
        </w:rPr>
        <w:t xml:space="preserve">and investment </w:t>
      </w:r>
      <w:r w:rsidRPr="00B3750E">
        <w:rPr>
          <w:rFonts w:cs="Arial"/>
          <w:bCs/>
          <w:szCs w:val="20"/>
        </w:rPr>
        <w:t xml:space="preserve">portfolios aligned with the Taxonomy </w:t>
      </w:r>
      <w:r w:rsidR="00787DD8">
        <w:rPr>
          <w:rFonts w:cs="Arial"/>
          <w:bCs/>
          <w:szCs w:val="20"/>
        </w:rPr>
        <w:t>as expressed in</w:t>
      </w:r>
      <w:r w:rsidRPr="00B3750E">
        <w:rPr>
          <w:rFonts w:cs="Arial"/>
          <w:bCs/>
          <w:szCs w:val="20"/>
        </w:rPr>
        <w:t xml:space="preserve"> the ESAs proposals for the different financial actors. In concrete: </w:t>
      </w:r>
    </w:p>
    <w:p w14:paraId="59AFAD30" w14:textId="3C68BB2B" w:rsidR="004A4B1D" w:rsidRPr="00B3750E" w:rsidRDefault="00787DD8" w:rsidP="00C16118">
      <w:pPr>
        <w:pStyle w:val="Prrafodelista"/>
        <w:numPr>
          <w:ilvl w:val="1"/>
          <w:numId w:val="41"/>
        </w:numPr>
        <w:spacing w:line="252" w:lineRule="auto"/>
        <w:jc w:val="both"/>
        <w:rPr>
          <w:rFonts w:cs="Arial"/>
          <w:bCs/>
          <w:szCs w:val="20"/>
        </w:rPr>
      </w:pPr>
      <w:r>
        <w:rPr>
          <w:rFonts w:cs="Arial"/>
          <w:bCs/>
          <w:szCs w:val="20"/>
        </w:rPr>
        <w:t>The Platform</w:t>
      </w:r>
      <w:r w:rsidR="00F34497" w:rsidRPr="00B3750E">
        <w:rPr>
          <w:rFonts w:cs="Arial"/>
          <w:bCs/>
          <w:szCs w:val="20"/>
        </w:rPr>
        <w:t xml:space="preserve"> recommend</w:t>
      </w:r>
      <w:r>
        <w:rPr>
          <w:rFonts w:cs="Arial"/>
          <w:bCs/>
          <w:szCs w:val="20"/>
        </w:rPr>
        <w:t>s</w:t>
      </w:r>
      <w:r w:rsidR="00F34497" w:rsidRPr="00B3750E">
        <w:rPr>
          <w:rFonts w:cs="Arial"/>
          <w:bCs/>
          <w:szCs w:val="20"/>
        </w:rPr>
        <w:t xml:space="preserve"> that the primary ratio for asset managers</w:t>
      </w:r>
      <w:r w:rsidR="0027055C" w:rsidRPr="00B3750E">
        <w:rPr>
          <w:rFonts w:cs="Arial"/>
          <w:bCs/>
          <w:szCs w:val="20"/>
        </w:rPr>
        <w:t xml:space="preserve"> </w:t>
      </w:r>
      <w:r w:rsidR="00F34497" w:rsidRPr="00B3750E">
        <w:rPr>
          <w:rFonts w:cs="Arial"/>
          <w:bCs/>
          <w:szCs w:val="20"/>
        </w:rPr>
        <w:t>should correspond to the portion of thei</w:t>
      </w:r>
      <w:r w:rsidR="004E0237">
        <w:rPr>
          <w:rFonts w:cs="Arial"/>
          <w:bCs/>
          <w:szCs w:val="20"/>
        </w:rPr>
        <w:t>r investments that are Taxonomy-</w:t>
      </w:r>
      <w:r w:rsidR="00F34497" w:rsidRPr="00B3750E">
        <w:rPr>
          <w:rFonts w:cs="Arial"/>
          <w:bCs/>
          <w:szCs w:val="20"/>
        </w:rPr>
        <w:t xml:space="preserve">aligned. </w:t>
      </w:r>
      <w:r w:rsidR="004E0237">
        <w:rPr>
          <w:rFonts w:cs="Arial"/>
          <w:bCs/>
          <w:szCs w:val="20"/>
        </w:rPr>
        <w:t>The Platform</w:t>
      </w:r>
      <w:r w:rsidR="00F34497" w:rsidRPr="00B3750E">
        <w:rPr>
          <w:rFonts w:cs="Arial"/>
          <w:bCs/>
          <w:szCs w:val="20"/>
        </w:rPr>
        <w:t xml:space="preserve"> agree</w:t>
      </w:r>
      <w:r w:rsidR="004E0237">
        <w:rPr>
          <w:rFonts w:cs="Arial"/>
          <w:bCs/>
          <w:szCs w:val="20"/>
        </w:rPr>
        <w:t>s</w:t>
      </w:r>
      <w:r w:rsidR="00F34497" w:rsidRPr="00B3750E">
        <w:rPr>
          <w:rFonts w:cs="Arial"/>
          <w:bCs/>
          <w:szCs w:val="20"/>
        </w:rPr>
        <w:t xml:space="preserve"> with the numerator and denominator as defined by ESMA.   </w:t>
      </w:r>
    </w:p>
    <w:p w14:paraId="78B8B9DC" w14:textId="7ECF77C3" w:rsidR="004A4B1D" w:rsidRPr="00B3750E" w:rsidRDefault="004A4B1D" w:rsidP="00C16118">
      <w:pPr>
        <w:pStyle w:val="Prrafodelista"/>
        <w:numPr>
          <w:ilvl w:val="1"/>
          <w:numId w:val="41"/>
        </w:numPr>
        <w:spacing w:line="252" w:lineRule="auto"/>
        <w:jc w:val="both"/>
        <w:rPr>
          <w:rFonts w:cs="Arial"/>
          <w:bCs/>
          <w:szCs w:val="20"/>
        </w:rPr>
      </w:pPr>
      <w:r w:rsidRPr="00B3750E">
        <w:rPr>
          <w:rFonts w:cs="Arial"/>
          <w:bCs/>
          <w:szCs w:val="20"/>
        </w:rPr>
        <w:t>In line with EIOPA</w:t>
      </w:r>
      <w:r w:rsidR="004E0237">
        <w:rPr>
          <w:rFonts w:cs="Arial"/>
          <w:bCs/>
          <w:szCs w:val="20"/>
        </w:rPr>
        <w:t>,</w:t>
      </w:r>
      <w:r w:rsidRPr="00B3750E">
        <w:rPr>
          <w:rFonts w:cs="Arial"/>
          <w:bCs/>
          <w:szCs w:val="20"/>
        </w:rPr>
        <w:t xml:space="preserve"> insurers </w:t>
      </w:r>
      <w:r w:rsidR="004E0237">
        <w:rPr>
          <w:rFonts w:cs="Arial"/>
          <w:bCs/>
          <w:szCs w:val="20"/>
        </w:rPr>
        <w:t>should be</w:t>
      </w:r>
      <w:r w:rsidRPr="00B3750E">
        <w:rPr>
          <w:rFonts w:cs="Arial"/>
          <w:bCs/>
          <w:szCs w:val="20"/>
        </w:rPr>
        <w:t xml:space="preserve"> treated as asset managers when it comes the r</w:t>
      </w:r>
      <w:r w:rsidR="004E0237">
        <w:rPr>
          <w:rFonts w:cs="Arial"/>
          <w:bCs/>
          <w:szCs w:val="20"/>
        </w:rPr>
        <w:t>atio to be used by investors, for example,</w:t>
      </w:r>
      <w:r w:rsidRPr="00B3750E">
        <w:rPr>
          <w:rFonts w:cs="Arial"/>
          <w:bCs/>
          <w:szCs w:val="20"/>
        </w:rPr>
        <w:t xml:space="preserve"> the proportion of the insurer’s or reinsurer’s ’ ‘investments’ – in relation to ‘total investments’ – that are directed at funding, or are associated with, economic activities that qualify as environmentally sustainable.  </w:t>
      </w:r>
    </w:p>
    <w:p w14:paraId="5FCE12D9" w14:textId="27F8D335" w:rsidR="00C340E0" w:rsidRPr="00B3750E" w:rsidRDefault="004E0237" w:rsidP="00C16118">
      <w:pPr>
        <w:pStyle w:val="Prrafodelista"/>
        <w:numPr>
          <w:ilvl w:val="1"/>
          <w:numId w:val="41"/>
        </w:numPr>
        <w:spacing w:line="252" w:lineRule="auto"/>
        <w:jc w:val="both"/>
        <w:rPr>
          <w:rFonts w:cs="Arial"/>
          <w:bCs/>
          <w:szCs w:val="20"/>
        </w:rPr>
      </w:pPr>
      <w:r>
        <w:rPr>
          <w:rFonts w:cs="Arial"/>
          <w:bCs/>
          <w:szCs w:val="20"/>
        </w:rPr>
        <w:t>The Platform</w:t>
      </w:r>
      <w:r w:rsidR="004A4B1D" w:rsidRPr="00B3750E">
        <w:rPr>
          <w:rFonts w:cs="Arial"/>
          <w:bCs/>
          <w:szCs w:val="20"/>
        </w:rPr>
        <w:t xml:space="preserve"> support</w:t>
      </w:r>
      <w:r>
        <w:rPr>
          <w:rFonts w:cs="Arial"/>
          <w:bCs/>
          <w:szCs w:val="20"/>
        </w:rPr>
        <w:t>s</w:t>
      </w:r>
      <w:r w:rsidR="004A4B1D" w:rsidRPr="00B3750E">
        <w:rPr>
          <w:rFonts w:cs="Arial"/>
          <w:bCs/>
          <w:szCs w:val="20"/>
        </w:rPr>
        <w:t xml:space="preserve"> the need for banks to disclose the overall level of alignment of their eligible financing activities (including lending and equity holdi</w:t>
      </w:r>
      <w:r>
        <w:rPr>
          <w:rFonts w:cs="Arial"/>
          <w:bCs/>
          <w:szCs w:val="20"/>
        </w:rPr>
        <w:t>ngs) with the Taxonomy, or the ‘Main KPI’</w:t>
      </w:r>
      <w:r w:rsidR="004A4B1D" w:rsidRPr="00B3750E">
        <w:rPr>
          <w:rFonts w:cs="Arial"/>
          <w:bCs/>
          <w:szCs w:val="20"/>
        </w:rPr>
        <w:t xml:space="preserve"> as specified by EBA. </w:t>
      </w:r>
    </w:p>
    <w:p w14:paraId="057F506B" w14:textId="76FB0103" w:rsidR="004A4B1D" w:rsidRPr="00B3750E" w:rsidRDefault="004A4B1D" w:rsidP="00C16118">
      <w:pPr>
        <w:pStyle w:val="Prrafodelista"/>
        <w:numPr>
          <w:ilvl w:val="2"/>
          <w:numId w:val="41"/>
        </w:numPr>
        <w:spacing w:line="252" w:lineRule="auto"/>
        <w:jc w:val="both"/>
        <w:rPr>
          <w:rFonts w:cs="Arial"/>
          <w:bCs/>
          <w:szCs w:val="20"/>
        </w:rPr>
      </w:pPr>
      <w:r w:rsidRPr="00B3750E">
        <w:rPr>
          <w:rFonts w:cs="Arial"/>
          <w:bCs/>
          <w:szCs w:val="20"/>
        </w:rPr>
        <w:t xml:space="preserve">However, the approach to calculate this ratio diverts from that of asset managers and insurers in the following ways: </w:t>
      </w:r>
      <w:bookmarkStart w:id="2" w:name="_Hlk69291661"/>
      <w:r w:rsidR="004E0237">
        <w:rPr>
          <w:rFonts w:cs="Arial"/>
          <w:bCs/>
          <w:szCs w:val="20"/>
        </w:rPr>
        <w:t xml:space="preserve">(i) </w:t>
      </w:r>
      <w:r w:rsidR="00F34497" w:rsidRPr="00B3750E">
        <w:rPr>
          <w:rFonts w:cs="Arial"/>
          <w:bCs/>
          <w:szCs w:val="20"/>
        </w:rPr>
        <w:t xml:space="preserve">it adds two </w:t>
      </w:r>
      <w:r w:rsidR="00710D85" w:rsidRPr="00B3750E">
        <w:rPr>
          <w:rFonts w:cs="Arial"/>
          <w:bCs/>
          <w:szCs w:val="20"/>
        </w:rPr>
        <w:t xml:space="preserve">financial </w:t>
      </w:r>
      <w:r w:rsidR="00F34497" w:rsidRPr="00B3750E">
        <w:rPr>
          <w:rFonts w:cs="Arial"/>
          <w:bCs/>
          <w:szCs w:val="20"/>
        </w:rPr>
        <w:t xml:space="preserve">activities </w:t>
      </w:r>
      <w:r w:rsidR="00710D85" w:rsidRPr="00B3750E">
        <w:rPr>
          <w:rFonts w:cs="Arial"/>
          <w:bCs/>
          <w:szCs w:val="20"/>
        </w:rPr>
        <w:t xml:space="preserve">of different nature </w:t>
      </w:r>
      <w:r w:rsidR="004E0237">
        <w:rPr>
          <w:rFonts w:cs="Arial"/>
          <w:bCs/>
          <w:szCs w:val="20"/>
        </w:rPr>
        <w:t>(lending and investments);</w:t>
      </w:r>
      <w:r w:rsidR="00F34497" w:rsidRPr="00B3750E">
        <w:rPr>
          <w:rFonts w:cs="Arial"/>
          <w:bCs/>
          <w:szCs w:val="20"/>
        </w:rPr>
        <w:t xml:space="preserve"> </w:t>
      </w:r>
      <w:r w:rsidR="004E0237">
        <w:rPr>
          <w:rFonts w:cs="Arial"/>
          <w:bCs/>
          <w:szCs w:val="20"/>
        </w:rPr>
        <w:t xml:space="preserve">(ii) </w:t>
      </w:r>
      <w:r w:rsidR="00F34497" w:rsidRPr="00B3750E">
        <w:rPr>
          <w:rFonts w:cs="Arial"/>
          <w:bCs/>
          <w:szCs w:val="20"/>
        </w:rPr>
        <w:t>the denomina</w:t>
      </w:r>
      <w:r w:rsidR="004E0237">
        <w:rPr>
          <w:rFonts w:cs="Arial"/>
          <w:bCs/>
          <w:szCs w:val="20"/>
        </w:rPr>
        <w:t>tor does not reflect all assets; and (iii)</w:t>
      </w:r>
      <w:r w:rsidR="00F34497" w:rsidRPr="00B3750E">
        <w:rPr>
          <w:rFonts w:cs="Arial"/>
          <w:bCs/>
          <w:szCs w:val="20"/>
        </w:rPr>
        <w:t xml:space="preserve"> it adds up </w:t>
      </w:r>
      <w:r w:rsidR="001520D5" w:rsidRPr="00B3750E">
        <w:rPr>
          <w:rFonts w:cs="Arial"/>
          <w:bCs/>
          <w:szCs w:val="20"/>
        </w:rPr>
        <w:t>CapEx</w:t>
      </w:r>
      <w:r w:rsidR="00F34497" w:rsidRPr="00B3750E">
        <w:rPr>
          <w:rFonts w:cs="Arial"/>
          <w:bCs/>
          <w:szCs w:val="20"/>
        </w:rPr>
        <w:t xml:space="preserve"> and turnover.  </w:t>
      </w:r>
    </w:p>
    <w:p w14:paraId="036119C0" w14:textId="681D0F4F" w:rsidR="002A2D72" w:rsidRPr="00B3750E" w:rsidRDefault="004A4B1D" w:rsidP="00C16118">
      <w:pPr>
        <w:pStyle w:val="Prrafodelista"/>
        <w:numPr>
          <w:ilvl w:val="2"/>
          <w:numId w:val="41"/>
        </w:numPr>
        <w:jc w:val="both"/>
        <w:rPr>
          <w:rFonts w:cs="Arial"/>
          <w:bCs/>
          <w:szCs w:val="20"/>
        </w:rPr>
      </w:pPr>
      <w:r w:rsidRPr="00B3750E">
        <w:rPr>
          <w:rFonts w:cs="Arial"/>
          <w:bCs/>
          <w:szCs w:val="20"/>
        </w:rPr>
        <w:t xml:space="preserve">While </w:t>
      </w:r>
      <w:r w:rsidR="004E0237">
        <w:rPr>
          <w:rFonts w:cs="Arial"/>
          <w:bCs/>
          <w:szCs w:val="20"/>
        </w:rPr>
        <w:t>the Platform</w:t>
      </w:r>
      <w:r w:rsidRPr="00B3750E">
        <w:rPr>
          <w:rFonts w:cs="Arial"/>
          <w:bCs/>
          <w:szCs w:val="20"/>
        </w:rPr>
        <w:t xml:space="preserve"> propose</w:t>
      </w:r>
      <w:r w:rsidR="004E0237">
        <w:rPr>
          <w:rFonts w:cs="Arial"/>
          <w:bCs/>
          <w:szCs w:val="20"/>
        </w:rPr>
        <w:t>s</w:t>
      </w:r>
      <w:r w:rsidRPr="00B3750E">
        <w:rPr>
          <w:rFonts w:cs="Arial"/>
          <w:bCs/>
          <w:szCs w:val="20"/>
        </w:rPr>
        <w:t xml:space="preserve"> to use the GAR as the ratio for </w:t>
      </w:r>
      <w:r w:rsidR="004E0237">
        <w:rPr>
          <w:rFonts w:cs="Arial"/>
          <w:bCs/>
          <w:szCs w:val="20"/>
        </w:rPr>
        <w:t>Articles</w:t>
      </w:r>
      <w:r w:rsidRPr="00B3750E">
        <w:rPr>
          <w:rFonts w:cs="Arial"/>
          <w:bCs/>
          <w:szCs w:val="20"/>
        </w:rPr>
        <w:t xml:space="preserve"> 5 and 6, we think the denominator should include all assets regarding lending and investments.</w:t>
      </w:r>
    </w:p>
    <w:p w14:paraId="1992929A" w14:textId="2FFCA9BF" w:rsidR="00C340E0" w:rsidRPr="00B3750E" w:rsidRDefault="00C340E0" w:rsidP="00C16118">
      <w:pPr>
        <w:pStyle w:val="Prrafodelista"/>
        <w:numPr>
          <w:ilvl w:val="2"/>
          <w:numId w:val="41"/>
        </w:numPr>
        <w:jc w:val="both"/>
        <w:rPr>
          <w:rFonts w:cs="Arial"/>
          <w:bCs/>
          <w:szCs w:val="20"/>
        </w:rPr>
      </w:pPr>
      <w:r w:rsidRPr="00B3750E">
        <w:rPr>
          <w:rFonts w:cs="Arial"/>
          <w:bCs/>
          <w:szCs w:val="20"/>
        </w:rPr>
        <w:t xml:space="preserve">Given the importance of bank lending, banks </w:t>
      </w:r>
      <w:r w:rsidR="004E0237">
        <w:rPr>
          <w:rFonts w:cs="Arial"/>
          <w:bCs/>
          <w:szCs w:val="20"/>
        </w:rPr>
        <w:t xml:space="preserve">should also </w:t>
      </w:r>
      <w:r w:rsidRPr="00B3750E">
        <w:rPr>
          <w:rFonts w:cs="Arial"/>
          <w:bCs/>
          <w:szCs w:val="20"/>
        </w:rPr>
        <w:t>disclose the breakdown of investments and lending. The disclosure of credit portfolios alignment as a subset of the GAR gives a non-deniable opportunity to regulators and policymakers to be able to monitor and track the evolution of banks’ sustainable lending practices.</w:t>
      </w:r>
    </w:p>
    <w:p w14:paraId="4F0EBA66" w14:textId="7DC4C0EB" w:rsidR="002A2D72" w:rsidRPr="00B3750E" w:rsidRDefault="00F34497" w:rsidP="00C16118">
      <w:pPr>
        <w:pStyle w:val="Prrafodelista"/>
        <w:numPr>
          <w:ilvl w:val="2"/>
          <w:numId w:val="41"/>
        </w:numPr>
        <w:jc w:val="both"/>
        <w:rPr>
          <w:rFonts w:cs="Arial"/>
          <w:bCs/>
          <w:szCs w:val="20"/>
        </w:rPr>
      </w:pPr>
      <w:r w:rsidRPr="00B3750E">
        <w:rPr>
          <w:rFonts w:cs="Arial"/>
          <w:bCs/>
          <w:szCs w:val="20"/>
        </w:rPr>
        <w:t xml:space="preserve">The same exclusions as for asset managers </w:t>
      </w:r>
      <w:r w:rsidR="00C340E0" w:rsidRPr="00B3750E">
        <w:rPr>
          <w:rFonts w:cs="Arial"/>
          <w:bCs/>
          <w:szCs w:val="20"/>
        </w:rPr>
        <w:t xml:space="preserve">and insurers </w:t>
      </w:r>
      <w:r w:rsidRPr="00B3750E">
        <w:rPr>
          <w:rFonts w:cs="Arial"/>
          <w:bCs/>
          <w:szCs w:val="20"/>
        </w:rPr>
        <w:t>should apply to the numerator</w:t>
      </w:r>
      <w:r w:rsidR="004E0237">
        <w:rPr>
          <w:rFonts w:cs="Arial"/>
          <w:bCs/>
          <w:szCs w:val="20"/>
        </w:rPr>
        <w:t>,</w:t>
      </w:r>
      <w:r w:rsidR="00710D85" w:rsidRPr="00B3750E">
        <w:rPr>
          <w:rFonts w:cs="Arial"/>
          <w:bCs/>
          <w:szCs w:val="20"/>
        </w:rPr>
        <w:t xml:space="preserve"> and the denominator should cover the entire lending </w:t>
      </w:r>
      <w:r w:rsidR="00C340E0" w:rsidRPr="00B3750E">
        <w:rPr>
          <w:rFonts w:cs="Arial"/>
          <w:bCs/>
          <w:szCs w:val="20"/>
        </w:rPr>
        <w:t xml:space="preserve">and investment </w:t>
      </w:r>
      <w:r w:rsidR="00710D85" w:rsidRPr="00B3750E">
        <w:rPr>
          <w:rFonts w:cs="Arial"/>
          <w:bCs/>
          <w:szCs w:val="20"/>
        </w:rPr>
        <w:t>portfolio</w:t>
      </w:r>
      <w:r w:rsidRPr="00B3750E">
        <w:rPr>
          <w:rFonts w:cs="Arial"/>
          <w:bCs/>
          <w:szCs w:val="20"/>
        </w:rPr>
        <w:t xml:space="preserve">. </w:t>
      </w:r>
    </w:p>
    <w:bookmarkEnd w:id="2"/>
    <w:p w14:paraId="20883DBA" w14:textId="77777777" w:rsidR="00710D85" w:rsidRPr="00B3750E" w:rsidRDefault="00710D85" w:rsidP="00C16118">
      <w:pPr>
        <w:pStyle w:val="Prrafodelista"/>
        <w:ind w:left="1080"/>
        <w:jc w:val="both"/>
        <w:rPr>
          <w:rFonts w:cs="Arial"/>
          <w:bCs/>
          <w:szCs w:val="20"/>
        </w:rPr>
      </w:pPr>
    </w:p>
    <w:p w14:paraId="0EEC244C" w14:textId="645E2C9F" w:rsidR="0026185A" w:rsidRPr="00B3750E" w:rsidRDefault="00D66A61" w:rsidP="00C16118">
      <w:pPr>
        <w:pStyle w:val="Prrafodelista"/>
        <w:numPr>
          <w:ilvl w:val="0"/>
          <w:numId w:val="41"/>
        </w:numPr>
        <w:jc w:val="both"/>
        <w:rPr>
          <w:rFonts w:cs="Arial"/>
        </w:rPr>
      </w:pPr>
      <w:r>
        <w:rPr>
          <w:rFonts w:cs="Arial"/>
        </w:rPr>
        <w:t>U</w:t>
      </w:r>
      <w:r w:rsidRPr="00B3750E">
        <w:rPr>
          <w:rFonts w:cs="Arial"/>
        </w:rPr>
        <w:t>ntil</w:t>
      </w:r>
      <w:r>
        <w:rPr>
          <w:rFonts w:cs="Arial"/>
        </w:rPr>
        <w:t xml:space="preserve"> the</w:t>
      </w:r>
      <w:r w:rsidRPr="00B3750E">
        <w:rPr>
          <w:rFonts w:cs="Arial"/>
        </w:rPr>
        <w:t xml:space="preserve"> first revision of reporting requirements</w:t>
      </w:r>
      <w:r>
        <w:rPr>
          <w:rFonts w:cs="Arial"/>
        </w:rPr>
        <w:t>,</w:t>
      </w:r>
      <w:r w:rsidRPr="00B3750E">
        <w:rPr>
          <w:rFonts w:cs="Arial"/>
        </w:rPr>
        <w:t xml:space="preserve"> </w:t>
      </w:r>
      <w:r w:rsidR="00E35048">
        <w:rPr>
          <w:rFonts w:cs="Arial"/>
        </w:rPr>
        <w:t>t</w:t>
      </w:r>
      <w:r w:rsidR="004E0237">
        <w:rPr>
          <w:rFonts w:cs="Arial"/>
        </w:rPr>
        <w:t>he Platform</w:t>
      </w:r>
      <w:r w:rsidR="0026185A" w:rsidRPr="00B3750E">
        <w:rPr>
          <w:rFonts w:cs="Arial"/>
        </w:rPr>
        <w:t xml:space="preserve"> recommend</w:t>
      </w:r>
      <w:r w:rsidR="004E0237">
        <w:rPr>
          <w:rFonts w:cs="Arial"/>
        </w:rPr>
        <w:t>s</w:t>
      </w:r>
      <w:r w:rsidR="0026185A" w:rsidRPr="00B3750E">
        <w:rPr>
          <w:rFonts w:cs="Arial"/>
        </w:rPr>
        <w:t xml:space="preserve"> </w:t>
      </w:r>
      <w:r w:rsidR="008B13BE" w:rsidRPr="00B3750E">
        <w:rPr>
          <w:rFonts w:cs="Arial"/>
        </w:rPr>
        <w:t>excluding from the numerator the following asset cla</w:t>
      </w:r>
      <w:r>
        <w:rPr>
          <w:rFonts w:cs="Arial"/>
        </w:rPr>
        <w:t xml:space="preserve">sses and financial instruments, </w:t>
      </w:r>
      <w:r w:rsidR="0026185A" w:rsidRPr="00B3750E">
        <w:rPr>
          <w:rFonts w:cs="Arial"/>
        </w:rPr>
        <w:t xml:space="preserve">regarding investments for insurers, reinsurers and asset managers (as well as for the investment-related reporting of banks) as appropriate for each </w:t>
      </w:r>
      <w:r w:rsidR="00D939A6" w:rsidRPr="00B3750E">
        <w:rPr>
          <w:rFonts w:cs="Arial"/>
        </w:rPr>
        <w:t xml:space="preserve">financial institutions:  cash, </w:t>
      </w:r>
      <w:r w:rsidR="00C2235C" w:rsidRPr="00B3750E">
        <w:rPr>
          <w:rFonts w:cs="Arial"/>
        </w:rPr>
        <w:t>goodwill, derivatives,</w:t>
      </w:r>
      <w:r w:rsidR="0026185A" w:rsidRPr="00B3750E">
        <w:rPr>
          <w:rFonts w:cs="Arial"/>
        </w:rPr>
        <w:t xml:space="preserve"> sovereign debt (except for </w:t>
      </w:r>
      <w:r w:rsidR="001520D5" w:rsidRPr="00B3750E">
        <w:rPr>
          <w:rFonts w:cs="Arial"/>
        </w:rPr>
        <w:t>Taxonomy</w:t>
      </w:r>
      <w:r w:rsidR="004E0237">
        <w:rPr>
          <w:rFonts w:cs="Arial"/>
        </w:rPr>
        <w:t>-</w:t>
      </w:r>
      <w:r w:rsidR="00C8563A" w:rsidRPr="00B3750E">
        <w:rPr>
          <w:rFonts w:cs="Arial"/>
        </w:rPr>
        <w:t xml:space="preserve">aligned </w:t>
      </w:r>
      <w:r w:rsidR="0026185A" w:rsidRPr="00B3750E">
        <w:rPr>
          <w:rFonts w:cs="Arial"/>
        </w:rPr>
        <w:t>use-of-proceeds debt p</w:t>
      </w:r>
      <w:r w:rsidR="008565A4" w:rsidRPr="00B3750E">
        <w:rPr>
          <w:rFonts w:cs="Arial"/>
        </w:rPr>
        <w:t>roducts), foreign currencies, commodities, precious metals and cryptocurrencies.</w:t>
      </w:r>
    </w:p>
    <w:p w14:paraId="3EB05D12" w14:textId="41DD47CC" w:rsidR="008565A4" w:rsidRPr="00B3750E" w:rsidRDefault="008565A4" w:rsidP="00C16118">
      <w:pPr>
        <w:jc w:val="both"/>
        <w:rPr>
          <w:rFonts w:cs="Arial"/>
        </w:rPr>
      </w:pPr>
    </w:p>
    <w:p w14:paraId="61182736" w14:textId="13CCE75C" w:rsidR="008565A4" w:rsidRPr="00B3750E" w:rsidRDefault="00D66A61" w:rsidP="00C16118">
      <w:pPr>
        <w:jc w:val="both"/>
        <w:rPr>
          <w:rFonts w:cs="Arial"/>
        </w:rPr>
      </w:pPr>
      <w:r>
        <w:rPr>
          <w:rFonts w:cs="Arial"/>
        </w:rPr>
        <w:t xml:space="preserve">The Platform would note </w:t>
      </w:r>
      <w:r w:rsidR="008565A4" w:rsidRPr="00B3750E">
        <w:rPr>
          <w:rFonts w:cs="Arial"/>
        </w:rPr>
        <w:t xml:space="preserve">the following additional recommendations geared to ensure consistency and provide clarity to end investors: </w:t>
      </w:r>
    </w:p>
    <w:p w14:paraId="11E3FFBC" w14:textId="716C0DFC" w:rsidR="00FA6C1E" w:rsidRPr="00B3750E" w:rsidRDefault="00D66A61" w:rsidP="00C16118">
      <w:pPr>
        <w:pStyle w:val="Prrafodelista"/>
        <w:numPr>
          <w:ilvl w:val="0"/>
          <w:numId w:val="41"/>
        </w:numPr>
        <w:jc w:val="both"/>
        <w:rPr>
          <w:rFonts w:cs="Arial"/>
        </w:rPr>
      </w:pPr>
      <w:r>
        <w:rPr>
          <w:rFonts w:cs="Arial"/>
        </w:rPr>
        <w:t>Financial Market P</w:t>
      </w:r>
      <w:r w:rsidR="00291CED" w:rsidRPr="00B3750E">
        <w:rPr>
          <w:rFonts w:cs="Arial"/>
        </w:rPr>
        <w:t xml:space="preserve">articipants </w:t>
      </w:r>
      <w:r>
        <w:rPr>
          <w:rFonts w:cs="Arial"/>
        </w:rPr>
        <w:t>should be</w:t>
      </w:r>
      <w:r w:rsidR="00291CED" w:rsidRPr="00B3750E">
        <w:rPr>
          <w:rFonts w:cs="Arial"/>
        </w:rPr>
        <w:t xml:space="preserve"> allowed to differentiate in their reporting between the portions of a fund that are aligned and the ones which </w:t>
      </w:r>
      <w:r w:rsidR="00763945" w:rsidRPr="00B3750E">
        <w:rPr>
          <w:rFonts w:cs="Arial"/>
        </w:rPr>
        <w:t>have been estimated to be aligned</w:t>
      </w:r>
      <w:r w:rsidR="00291CED" w:rsidRPr="00B3750E">
        <w:rPr>
          <w:rFonts w:cs="Arial"/>
        </w:rPr>
        <w:t xml:space="preserve"> </w:t>
      </w:r>
      <w:r w:rsidR="00574DDE" w:rsidRPr="00B3750E">
        <w:rPr>
          <w:rFonts w:cs="Arial"/>
        </w:rPr>
        <w:t>o</w:t>
      </w:r>
      <w:r w:rsidR="00291CED" w:rsidRPr="00B3750E">
        <w:rPr>
          <w:rFonts w:cs="Arial"/>
        </w:rPr>
        <w:t>n a voluntary and complementary basis.</w:t>
      </w:r>
      <w:r w:rsidR="00FA6C1E" w:rsidRPr="00B3750E">
        <w:rPr>
          <w:rFonts w:cs="Arial"/>
        </w:rPr>
        <w:t xml:space="preserve"> Both values represent investment directed to environmentally sustainable outcomes.</w:t>
      </w:r>
    </w:p>
    <w:p w14:paraId="523C5A0F" w14:textId="1689AC53" w:rsidR="00763945" w:rsidRPr="00B3750E" w:rsidRDefault="00FA6C1E" w:rsidP="00C16118">
      <w:pPr>
        <w:pStyle w:val="Prrafodelista"/>
        <w:numPr>
          <w:ilvl w:val="0"/>
          <w:numId w:val="41"/>
        </w:numPr>
        <w:jc w:val="both"/>
        <w:rPr>
          <w:rFonts w:cs="Arial"/>
        </w:rPr>
      </w:pPr>
      <w:r w:rsidRPr="00B3750E">
        <w:rPr>
          <w:rFonts w:cs="Arial"/>
        </w:rPr>
        <w:t xml:space="preserve">While the overall score of the investment product will be the proportion of aligned and estimated aligned activities financed, </w:t>
      </w:r>
      <w:r w:rsidR="00E35048">
        <w:rPr>
          <w:rFonts w:cs="Arial"/>
        </w:rPr>
        <w:t>the Platform</w:t>
      </w:r>
      <w:r w:rsidR="00291CED" w:rsidRPr="00B3750E">
        <w:rPr>
          <w:rFonts w:cs="Arial"/>
        </w:rPr>
        <w:t xml:space="preserve"> recommend</w:t>
      </w:r>
      <w:r w:rsidR="00E35048">
        <w:rPr>
          <w:rFonts w:cs="Arial"/>
        </w:rPr>
        <w:t>s</w:t>
      </w:r>
      <w:r w:rsidR="00291CED" w:rsidRPr="00B3750E">
        <w:rPr>
          <w:rFonts w:cs="Arial"/>
        </w:rPr>
        <w:t xml:space="preserve"> that </w:t>
      </w:r>
      <w:r w:rsidR="00C8563A" w:rsidRPr="00B3750E">
        <w:rPr>
          <w:rFonts w:cs="Arial"/>
        </w:rPr>
        <w:t xml:space="preserve">the </w:t>
      </w:r>
      <w:r w:rsidR="00D66A61">
        <w:rPr>
          <w:rFonts w:cs="Arial"/>
        </w:rPr>
        <w:t>% Taxonomy-</w:t>
      </w:r>
      <w:r w:rsidR="00291CED" w:rsidRPr="00B3750E">
        <w:rPr>
          <w:rFonts w:cs="Arial"/>
        </w:rPr>
        <w:t xml:space="preserve">aligned </w:t>
      </w:r>
      <w:r w:rsidR="00C8563A" w:rsidRPr="00B3750E">
        <w:rPr>
          <w:rFonts w:cs="Arial"/>
        </w:rPr>
        <w:t xml:space="preserve">metric </w:t>
      </w:r>
      <w:r w:rsidR="00291CED" w:rsidRPr="00B3750E">
        <w:rPr>
          <w:rFonts w:cs="Arial"/>
        </w:rPr>
        <w:t>is given when the data has been sourced from a reporting corporate</w:t>
      </w:r>
      <w:r w:rsidR="00763945" w:rsidRPr="00B3750E">
        <w:rPr>
          <w:rFonts w:cs="Arial"/>
        </w:rPr>
        <w:t xml:space="preserve"> or from a methodology</w:t>
      </w:r>
      <w:r w:rsidR="00C2235C" w:rsidRPr="00B3750E">
        <w:rPr>
          <w:rFonts w:cs="Arial"/>
        </w:rPr>
        <w:t>*</w:t>
      </w:r>
      <w:r w:rsidR="00763945" w:rsidRPr="00B3750E">
        <w:rPr>
          <w:rFonts w:cs="Arial"/>
        </w:rPr>
        <w:t xml:space="preserve"> that an investor may be using with regard to its lending or investment practices.</w:t>
      </w:r>
    </w:p>
    <w:p w14:paraId="4162FAAF" w14:textId="4FD5A4F9" w:rsidR="00763945" w:rsidRPr="00B3750E" w:rsidRDefault="00E35048" w:rsidP="00C16118">
      <w:pPr>
        <w:pStyle w:val="Prrafodelista"/>
        <w:numPr>
          <w:ilvl w:val="0"/>
          <w:numId w:val="41"/>
        </w:numPr>
        <w:jc w:val="both"/>
        <w:rPr>
          <w:rFonts w:cs="Arial"/>
        </w:rPr>
      </w:pPr>
      <w:r>
        <w:rPr>
          <w:rFonts w:cs="Arial"/>
        </w:rPr>
        <w:t>Investors should be able to c</w:t>
      </w:r>
      <w:r w:rsidR="007200BD">
        <w:rPr>
          <w:rFonts w:cs="Arial"/>
        </w:rPr>
        <w:t>laim T</w:t>
      </w:r>
      <w:r w:rsidR="00763945" w:rsidRPr="00B3750E">
        <w:rPr>
          <w:rFonts w:cs="Arial"/>
        </w:rPr>
        <w:t>axonomy alignment f</w:t>
      </w:r>
      <w:r>
        <w:rPr>
          <w:rFonts w:cs="Arial"/>
        </w:rPr>
        <w:t>or the use-of-</w:t>
      </w:r>
      <w:r w:rsidR="00763945" w:rsidRPr="00B3750E">
        <w:rPr>
          <w:rFonts w:cs="Arial"/>
        </w:rPr>
        <w:t xml:space="preserve">proceeds of the assets invested in, or </w:t>
      </w:r>
      <w:r w:rsidR="00C340E0" w:rsidRPr="00B3750E">
        <w:rPr>
          <w:rFonts w:cs="Arial"/>
        </w:rPr>
        <w:t xml:space="preserve">when </w:t>
      </w:r>
      <w:r w:rsidR="00763945" w:rsidRPr="00B3750E">
        <w:rPr>
          <w:rFonts w:cs="Arial"/>
        </w:rPr>
        <w:t xml:space="preserve">the proportion of revenue </w:t>
      </w:r>
      <w:r w:rsidR="00C340E0" w:rsidRPr="00B3750E">
        <w:rPr>
          <w:rFonts w:cs="Arial"/>
        </w:rPr>
        <w:t xml:space="preserve">or capex </w:t>
      </w:r>
      <w:r w:rsidR="00763945" w:rsidRPr="00B3750E">
        <w:rPr>
          <w:rFonts w:cs="Arial"/>
        </w:rPr>
        <w:t>of the issuing or investee company</w:t>
      </w:r>
      <w:r w:rsidR="00FA6C1E" w:rsidRPr="00B3750E">
        <w:rPr>
          <w:rFonts w:cs="Arial"/>
        </w:rPr>
        <w:t xml:space="preserve"> is unknown</w:t>
      </w:r>
      <w:r w:rsidR="00763945" w:rsidRPr="00B3750E">
        <w:rPr>
          <w:rFonts w:cs="Arial"/>
        </w:rPr>
        <w:t xml:space="preserve">, where it meets the detailed technical screening criteria </w:t>
      </w:r>
      <w:r w:rsidR="00DC51DD">
        <w:rPr>
          <w:rFonts w:cs="Arial"/>
        </w:rPr>
        <w:t xml:space="preserve">(TSC) </w:t>
      </w:r>
      <w:r w:rsidR="00763945" w:rsidRPr="00B3750E">
        <w:rPr>
          <w:rFonts w:cs="Arial"/>
        </w:rPr>
        <w:t xml:space="preserve">within the Delegated Acts. </w:t>
      </w:r>
    </w:p>
    <w:p w14:paraId="5167A59C" w14:textId="0E97743E" w:rsidR="00763945" w:rsidRPr="00B3750E" w:rsidRDefault="007200BD" w:rsidP="00C16118">
      <w:pPr>
        <w:pStyle w:val="Prrafodelista"/>
        <w:numPr>
          <w:ilvl w:val="0"/>
          <w:numId w:val="41"/>
        </w:numPr>
        <w:jc w:val="both"/>
        <w:rPr>
          <w:rFonts w:cs="Arial"/>
        </w:rPr>
      </w:pPr>
      <w:r>
        <w:rPr>
          <w:rFonts w:cs="Arial"/>
        </w:rPr>
        <w:t>Where T</w:t>
      </w:r>
      <w:r w:rsidR="00763945" w:rsidRPr="00B3750E">
        <w:rPr>
          <w:rFonts w:cs="Arial"/>
        </w:rPr>
        <w:t xml:space="preserve">axonomy alignment has been derived from a third-party source, and not directly reported by the issuing or investee company, </w:t>
      </w:r>
      <w:r w:rsidR="00E35048">
        <w:rPr>
          <w:rFonts w:cs="Arial"/>
        </w:rPr>
        <w:t>the Platform</w:t>
      </w:r>
      <w:r w:rsidR="00763945" w:rsidRPr="00B3750E">
        <w:rPr>
          <w:rFonts w:cs="Arial"/>
        </w:rPr>
        <w:t xml:space="preserve"> </w:t>
      </w:r>
      <w:r w:rsidR="00E35048">
        <w:rPr>
          <w:rFonts w:cs="Arial"/>
        </w:rPr>
        <w:t xml:space="preserve">would </w:t>
      </w:r>
      <w:r w:rsidR="00763945" w:rsidRPr="00B3750E">
        <w:rPr>
          <w:rFonts w:cs="Arial"/>
        </w:rPr>
        <w:t xml:space="preserve">recommend this is clarified in a supplementary statement. </w:t>
      </w:r>
    </w:p>
    <w:p w14:paraId="503FF256" w14:textId="2206F7F3" w:rsidR="00291CED" w:rsidRPr="00B3750E" w:rsidRDefault="00E35048" w:rsidP="00C16118">
      <w:pPr>
        <w:pStyle w:val="Prrafodelista"/>
        <w:numPr>
          <w:ilvl w:val="0"/>
          <w:numId w:val="41"/>
        </w:numPr>
        <w:jc w:val="both"/>
        <w:rPr>
          <w:rFonts w:cs="Arial"/>
        </w:rPr>
      </w:pPr>
      <w:r>
        <w:rPr>
          <w:rFonts w:cs="Arial"/>
        </w:rPr>
        <w:t>Any third-party derived alignment should be</w:t>
      </w:r>
      <w:r w:rsidR="00763945" w:rsidRPr="00B3750E">
        <w:rPr>
          <w:rFonts w:cs="Arial"/>
        </w:rPr>
        <w:t xml:space="preserve"> </w:t>
      </w:r>
      <w:r>
        <w:rPr>
          <w:rFonts w:cs="Arial"/>
        </w:rPr>
        <w:t>clearly</w:t>
      </w:r>
      <w:r w:rsidR="00763945" w:rsidRPr="00B3750E">
        <w:rPr>
          <w:rFonts w:cs="Arial"/>
        </w:rPr>
        <w:t xml:space="preserve"> explained</w:t>
      </w:r>
      <w:r w:rsidR="00291CED" w:rsidRPr="00B3750E">
        <w:rPr>
          <w:rFonts w:cs="Arial"/>
        </w:rPr>
        <w:t xml:space="preserve"> with the method and data used to derive it</w:t>
      </w:r>
      <w:r w:rsidR="00763945" w:rsidRPr="00B3750E">
        <w:rPr>
          <w:rFonts w:cs="Arial"/>
        </w:rPr>
        <w:t>.</w:t>
      </w:r>
      <w:r w:rsidR="00291CED" w:rsidRPr="00B3750E">
        <w:rPr>
          <w:rFonts w:cs="Arial"/>
        </w:rPr>
        <w:t xml:space="preserve"> </w:t>
      </w:r>
      <w:r w:rsidR="00763945" w:rsidRPr="00B3750E">
        <w:rPr>
          <w:rFonts w:cs="Arial"/>
        </w:rPr>
        <w:t xml:space="preserve">This will provide transparency to the end asset owner, </w:t>
      </w:r>
      <w:r w:rsidR="00291CED" w:rsidRPr="00B3750E">
        <w:rPr>
          <w:rFonts w:cs="Arial"/>
        </w:rPr>
        <w:t xml:space="preserve">where a financial participant has used proxies or estimates to derive alignment in the absence of </w:t>
      </w:r>
      <w:r w:rsidR="00C8563A" w:rsidRPr="00B3750E">
        <w:rPr>
          <w:rFonts w:cs="Arial"/>
        </w:rPr>
        <w:t xml:space="preserve">a </w:t>
      </w:r>
      <w:r w:rsidR="00291CED" w:rsidRPr="00B3750E">
        <w:rPr>
          <w:rFonts w:cs="Arial"/>
        </w:rPr>
        <w:t>corporate disclosure.</w:t>
      </w:r>
    </w:p>
    <w:p w14:paraId="2A3AF22B" w14:textId="73816AB6" w:rsidR="00882AC3" w:rsidRPr="00B3750E" w:rsidRDefault="00882AC3" w:rsidP="00C16118">
      <w:pPr>
        <w:pStyle w:val="Prrafodelista"/>
        <w:numPr>
          <w:ilvl w:val="0"/>
          <w:numId w:val="41"/>
        </w:numPr>
        <w:jc w:val="both"/>
        <w:rPr>
          <w:rFonts w:cs="Arial"/>
        </w:rPr>
      </w:pPr>
      <w:r w:rsidRPr="00B3750E">
        <w:rPr>
          <w:rFonts w:cs="Arial"/>
        </w:rPr>
        <w:t xml:space="preserve">When </w:t>
      </w:r>
      <w:r w:rsidR="00763945" w:rsidRPr="00B3750E">
        <w:rPr>
          <w:rFonts w:cs="Arial"/>
        </w:rPr>
        <w:t>CS</w:t>
      </w:r>
      <w:r w:rsidRPr="00B3750E">
        <w:rPr>
          <w:rFonts w:cs="Arial"/>
        </w:rPr>
        <w:t xml:space="preserve">RD-like data </w:t>
      </w:r>
      <w:r w:rsidR="00AB532F" w:rsidRPr="00B3750E">
        <w:rPr>
          <w:rFonts w:cs="Arial"/>
        </w:rPr>
        <w:t>is</w:t>
      </w:r>
      <w:r w:rsidRPr="00B3750E">
        <w:rPr>
          <w:rFonts w:cs="Arial"/>
        </w:rPr>
        <w:t xml:space="preserve"> privately collected, including those through estimations based on company data, </w:t>
      </w:r>
      <w:r w:rsidR="00E35048">
        <w:rPr>
          <w:rFonts w:cs="Arial"/>
        </w:rPr>
        <w:t>the Platform would</w:t>
      </w:r>
      <w:r w:rsidRPr="00B3750E">
        <w:rPr>
          <w:rFonts w:cs="Arial"/>
        </w:rPr>
        <w:t xml:space="preserve"> recommend that the </w:t>
      </w:r>
      <w:r w:rsidR="004508CE">
        <w:rPr>
          <w:rFonts w:cs="Arial"/>
        </w:rPr>
        <w:t>EC</w:t>
      </w:r>
      <w:r w:rsidRPr="00B3750E">
        <w:rPr>
          <w:rFonts w:cs="Arial"/>
        </w:rPr>
        <w:t xml:space="preserve"> develop a set of criteria that will frame the methodologies for the use of modelled data, estimates and proxies, and develop guidelines on criteria for </w:t>
      </w:r>
      <w:r w:rsidRPr="00882AC3">
        <w:rPr>
          <w:rFonts w:cs="Arial"/>
        </w:rPr>
        <w:t>such methods wherever possible to ensure that such estimations are not conduciv</w:t>
      </w:r>
      <w:r w:rsidR="00E35048">
        <w:rPr>
          <w:rFonts w:cs="Arial"/>
        </w:rPr>
        <w:t>e to the risk of greenwashing. F</w:t>
      </w:r>
      <w:r w:rsidRPr="00882AC3">
        <w:rPr>
          <w:rFonts w:cs="Arial"/>
        </w:rPr>
        <w:t>inancial actors</w:t>
      </w:r>
      <w:r w:rsidR="00E35048">
        <w:rPr>
          <w:rFonts w:cs="Arial"/>
        </w:rPr>
        <w:t xml:space="preserve"> should also</w:t>
      </w:r>
      <w:r w:rsidRPr="00882AC3">
        <w:rPr>
          <w:rFonts w:cs="Arial"/>
        </w:rPr>
        <w:t xml:space="preserve"> disclose details of the methodologies used - the sources of their estimations, the nature of the proxies and the methods used to calculate estimated alignment. </w:t>
      </w:r>
      <w:r w:rsidR="00E35048">
        <w:rPr>
          <w:rFonts w:cs="Arial"/>
        </w:rPr>
        <w:t>The Platform is in</w:t>
      </w:r>
      <w:r w:rsidRPr="00882AC3">
        <w:rPr>
          <w:rFonts w:cs="Arial"/>
        </w:rPr>
        <w:t xml:space="preserve"> support</w:t>
      </w:r>
      <w:r w:rsidR="00E35048">
        <w:rPr>
          <w:rFonts w:cs="Arial"/>
        </w:rPr>
        <w:t xml:space="preserve"> of the</w:t>
      </w:r>
      <w:r w:rsidRPr="00882AC3">
        <w:rPr>
          <w:rFonts w:cs="Arial"/>
        </w:rPr>
        <w:t xml:space="preserve"> ESAs’ recommendation to the </w:t>
      </w:r>
      <w:r w:rsidR="004508CE">
        <w:rPr>
          <w:rFonts w:cs="Arial"/>
        </w:rPr>
        <w:t>EC</w:t>
      </w:r>
      <w:r w:rsidRPr="00882AC3">
        <w:rPr>
          <w:rFonts w:cs="Arial"/>
        </w:rPr>
        <w:t xml:space="preserve"> </w:t>
      </w:r>
      <w:r w:rsidR="00E35048">
        <w:rPr>
          <w:rFonts w:cs="Arial"/>
        </w:rPr>
        <w:t xml:space="preserve">to </w:t>
      </w:r>
      <w:r w:rsidRPr="00882AC3">
        <w:rPr>
          <w:rFonts w:cs="Arial"/>
        </w:rPr>
        <w:t xml:space="preserve">develop an official </w:t>
      </w:r>
      <w:r w:rsidRPr="00B3750E">
        <w:rPr>
          <w:rFonts w:cs="Arial"/>
        </w:rPr>
        <w:t xml:space="preserve">methodology when no information is available (coefficient-based). </w:t>
      </w:r>
    </w:p>
    <w:p w14:paraId="3B6B9043" w14:textId="0C2F1E1B" w:rsidR="00291CED" w:rsidRPr="00B3750E" w:rsidRDefault="00E35048" w:rsidP="00C16118">
      <w:pPr>
        <w:pStyle w:val="Prrafodelista"/>
        <w:numPr>
          <w:ilvl w:val="0"/>
          <w:numId w:val="41"/>
        </w:numPr>
        <w:jc w:val="both"/>
        <w:rPr>
          <w:rFonts w:cs="Arial"/>
        </w:rPr>
      </w:pPr>
      <w:r>
        <w:rPr>
          <w:rFonts w:cs="Arial"/>
        </w:rPr>
        <w:t>The Platform</w:t>
      </w:r>
      <w:r w:rsidR="00291CED" w:rsidRPr="00B3750E">
        <w:rPr>
          <w:rFonts w:cs="Arial"/>
        </w:rPr>
        <w:t xml:space="preserve"> recommend</w:t>
      </w:r>
      <w:r>
        <w:rPr>
          <w:rFonts w:cs="Arial"/>
        </w:rPr>
        <w:t>s</w:t>
      </w:r>
      <w:r w:rsidR="00291CED" w:rsidRPr="00B3750E">
        <w:rPr>
          <w:rFonts w:cs="Arial"/>
        </w:rPr>
        <w:t xml:space="preserve"> the precautionary approach shall be applied whenever the interpretation of the Taxonomy legislation or the data available to assess compliance is discretionary</w:t>
      </w:r>
      <w:r w:rsidR="005142EC" w:rsidRPr="00B3750E">
        <w:rPr>
          <w:rFonts w:cs="Arial"/>
        </w:rPr>
        <w:t>.</w:t>
      </w:r>
    </w:p>
    <w:p w14:paraId="5FC9AB30" w14:textId="62C2C19D" w:rsidR="00882AC3" w:rsidRPr="00B3750E" w:rsidRDefault="00882AC3" w:rsidP="00C16118">
      <w:pPr>
        <w:pStyle w:val="Prrafodelista"/>
        <w:ind w:left="360"/>
        <w:jc w:val="both"/>
        <w:rPr>
          <w:rFonts w:cs="Arial"/>
        </w:rPr>
      </w:pPr>
    </w:p>
    <w:p w14:paraId="6BC5C4FA" w14:textId="749887E6" w:rsidR="00763945" w:rsidRPr="00252B2B" w:rsidRDefault="00763945" w:rsidP="00252B2B">
      <w:pPr>
        <w:pStyle w:val="Prrafodelista"/>
        <w:ind w:left="360"/>
        <w:jc w:val="both"/>
        <w:rPr>
          <w:rFonts w:cs="Arial"/>
        </w:rPr>
      </w:pPr>
      <w:r w:rsidRPr="00B3750E">
        <w:rPr>
          <w:rFonts w:cs="Arial"/>
        </w:rPr>
        <w:t xml:space="preserve">The Platform </w:t>
      </w:r>
      <w:r w:rsidR="00252B2B">
        <w:rPr>
          <w:rFonts w:cs="Arial"/>
        </w:rPr>
        <w:t>recommends</w:t>
      </w:r>
      <w:r w:rsidRPr="00B3750E">
        <w:rPr>
          <w:rFonts w:cs="Arial"/>
        </w:rPr>
        <w:t xml:space="preserve"> that any use of estimates or proxies shall comply with the following requirements:</w:t>
      </w:r>
    </w:p>
    <w:p w14:paraId="0F4D2AFD" w14:textId="78703D31" w:rsidR="00763945" w:rsidRPr="00252B2B" w:rsidRDefault="00DA1A66" w:rsidP="00252B2B">
      <w:pPr>
        <w:pStyle w:val="Prrafodelista"/>
        <w:numPr>
          <w:ilvl w:val="0"/>
          <w:numId w:val="50"/>
        </w:numPr>
        <w:jc w:val="both"/>
        <w:rPr>
          <w:rFonts w:cs="Arial"/>
        </w:rPr>
      </w:pPr>
      <w:r w:rsidRPr="00B3750E">
        <w:rPr>
          <w:rFonts w:cs="Arial"/>
        </w:rPr>
        <w:t xml:space="preserve">Financial Market Participants </w:t>
      </w:r>
      <w:r w:rsidR="00763945" w:rsidRPr="00B3750E">
        <w:rPr>
          <w:rFonts w:cs="Arial"/>
        </w:rPr>
        <w:t xml:space="preserve">that use estimations that are not based on data provided by </w:t>
      </w:r>
      <w:r w:rsidR="00E35048">
        <w:rPr>
          <w:rFonts w:cs="Arial"/>
        </w:rPr>
        <w:t>a reporting corporate under A</w:t>
      </w:r>
      <w:r w:rsidRPr="00B3750E">
        <w:rPr>
          <w:rFonts w:cs="Arial"/>
        </w:rPr>
        <w:t>rticle 8 of the Taxonomy Regulation</w:t>
      </w:r>
      <w:r w:rsidR="00763945" w:rsidRPr="00B3750E">
        <w:rPr>
          <w:rFonts w:cs="Arial"/>
        </w:rPr>
        <w:t xml:space="preserve">, </w:t>
      </w:r>
      <w:r w:rsidR="007200BD">
        <w:rPr>
          <w:rFonts w:cs="Arial"/>
        </w:rPr>
        <w:t xml:space="preserve">shall </w:t>
      </w:r>
      <w:r w:rsidR="00763945" w:rsidRPr="00B3750E">
        <w:rPr>
          <w:rFonts w:cs="Arial"/>
        </w:rPr>
        <w:t>document and make public the methodology upon which such estimations are based, including:</w:t>
      </w:r>
    </w:p>
    <w:p w14:paraId="4108DD81" w14:textId="77777777" w:rsidR="00763945" w:rsidRPr="00B3750E" w:rsidRDefault="00763945" w:rsidP="00C16118">
      <w:pPr>
        <w:pStyle w:val="Prrafodelista"/>
        <w:numPr>
          <w:ilvl w:val="0"/>
          <w:numId w:val="52"/>
        </w:numPr>
        <w:jc w:val="both"/>
        <w:rPr>
          <w:rFonts w:cs="Arial"/>
        </w:rPr>
      </w:pPr>
      <w:r w:rsidRPr="00B3750E">
        <w:rPr>
          <w:rFonts w:cs="Arial"/>
        </w:rPr>
        <w:t>the approach and research methodology that they have used, and the main assumptions and precautionary principles underlying those estimations;</w:t>
      </w:r>
    </w:p>
    <w:p w14:paraId="2BF16BD6" w14:textId="4A73956F" w:rsidR="00763945" w:rsidRPr="00252B2B" w:rsidRDefault="00763945" w:rsidP="00252B2B">
      <w:pPr>
        <w:pStyle w:val="Prrafodelista"/>
        <w:numPr>
          <w:ilvl w:val="0"/>
          <w:numId w:val="52"/>
        </w:numPr>
        <w:jc w:val="both"/>
        <w:rPr>
          <w:rFonts w:cs="Arial"/>
        </w:rPr>
      </w:pPr>
      <w:r w:rsidRPr="00B3750E">
        <w:rPr>
          <w:rFonts w:cs="Arial"/>
        </w:rPr>
        <w:t>the external data sets used in the estimation;</w:t>
      </w:r>
    </w:p>
    <w:p w14:paraId="1BCD07ED" w14:textId="6B22E764" w:rsidR="00763945" w:rsidRPr="00B3750E" w:rsidRDefault="00DA1A66" w:rsidP="00C16118">
      <w:pPr>
        <w:pStyle w:val="Prrafodelista"/>
        <w:numPr>
          <w:ilvl w:val="0"/>
          <w:numId w:val="50"/>
        </w:numPr>
        <w:jc w:val="both"/>
        <w:rPr>
          <w:rFonts w:cs="Arial"/>
        </w:rPr>
      </w:pPr>
      <w:r w:rsidRPr="00B3750E">
        <w:rPr>
          <w:rFonts w:cs="Arial"/>
        </w:rPr>
        <w:t xml:space="preserve">Financial Market Participants </w:t>
      </w:r>
      <w:r w:rsidR="00763945" w:rsidRPr="00B3750E">
        <w:rPr>
          <w:rFonts w:cs="Arial"/>
        </w:rPr>
        <w:t>that use estimations that are based on data provided by an external data provider shall formalise, document and make public all of the following information:</w:t>
      </w:r>
    </w:p>
    <w:p w14:paraId="1795DC79" w14:textId="3CFCAA72" w:rsidR="00763945" w:rsidRPr="00B3750E" w:rsidRDefault="00763945" w:rsidP="00C16118">
      <w:pPr>
        <w:pStyle w:val="Prrafodelista"/>
        <w:numPr>
          <w:ilvl w:val="0"/>
          <w:numId w:val="51"/>
        </w:numPr>
        <w:ind w:left="1418" w:hanging="425"/>
        <w:jc w:val="both"/>
        <w:rPr>
          <w:rFonts w:cs="Arial"/>
        </w:rPr>
      </w:pPr>
      <w:r w:rsidRPr="00B3750E">
        <w:rPr>
          <w:rFonts w:cs="Arial"/>
        </w:rPr>
        <w:t>the name and contact details of the data provider;</w:t>
      </w:r>
    </w:p>
    <w:p w14:paraId="53B0F4A6" w14:textId="0820704F" w:rsidR="00763945" w:rsidRPr="00B3750E" w:rsidRDefault="00763945" w:rsidP="00C16118">
      <w:pPr>
        <w:pStyle w:val="Prrafodelista"/>
        <w:numPr>
          <w:ilvl w:val="0"/>
          <w:numId w:val="51"/>
        </w:numPr>
        <w:ind w:left="1418" w:hanging="425"/>
        <w:jc w:val="both"/>
        <w:rPr>
          <w:rFonts w:cs="Arial"/>
        </w:rPr>
      </w:pPr>
      <w:r w:rsidRPr="00B3750E">
        <w:rPr>
          <w:rFonts w:cs="Arial"/>
        </w:rPr>
        <w:t>the methodology used and the main assumptions and precautionary principles, where available;</w:t>
      </w:r>
    </w:p>
    <w:p w14:paraId="648A9EEA" w14:textId="1D933A66" w:rsidR="00763945" w:rsidRPr="00B3750E" w:rsidRDefault="00763945" w:rsidP="00C16118">
      <w:pPr>
        <w:pStyle w:val="Prrafodelista"/>
        <w:numPr>
          <w:ilvl w:val="0"/>
          <w:numId w:val="51"/>
        </w:numPr>
        <w:ind w:left="1418" w:hanging="425"/>
        <w:jc w:val="both"/>
        <w:rPr>
          <w:rFonts w:cs="Arial"/>
        </w:rPr>
      </w:pPr>
      <w:r w:rsidRPr="00B3750E">
        <w:rPr>
          <w:rFonts w:cs="Arial"/>
        </w:rPr>
        <w:t>a hyperlink to the website of the data provider, and to the relevant methodology used, where available</w:t>
      </w:r>
      <w:r w:rsidR="00C2235C" w:rsidRPr="00B3750E">
        <w:rPr>
          <w:rFonts w:cs="Arial"/>
        </w:rPr>
        <w:t>**</w:t>
      </w:r>
      <w:r w:rsidRPr="00B3750E">
        <w:rPr>
          <w:rFonts w:cs="Arial"/>
        </w:rPr>
        <w:t>.</w:t>
      </w:r>
    </w:p>
    <w:p w14:paraId="355D0196" w14:textId="77777777" w:rsidR="008565A4" w:rsidRPr="00B3750E" w:rsidRDefault="008565A4" w:rsidP="00C16118">
      <w:pPr>
        <w:pStyle w:val="Prrafodelista"/>
        <w:ind w:left="360"/>
        <w:jc w:val="both"/>
        <w:rPr>
          <w:rFonts w:cs="Arial"/>
        </w:rPr>
      </w:pPr>
    </w:p>
    <w:p w14:paraId="19510299" w14:textId="273EDCEC" w:rsidR="00291CED" w:rsidRPr="00B3750E" w:rsidRDefault="00C2235C" w:rsidP="00C16118">
      <w:pPr>
        <w:jc w:val="both"/>
        <w:rPr>
          <w:rFonts w:cs="Arial"/>
        </w:rPr>
      </w:pPr>
      <w:r w:rsidRPr="00B3750E">
        <w:rPr>
          <w:rFonts w:cs="Arial"/>
        </w:rPr>
        <w:t>*Please note that the Platform is recommending the EC to establish a set of mandatory criteria for all met</w:t>
      </w:r>
      <w:r w:rsidR="007200BD">
        <w:rPr>
          <w:rFonts w:cs="Arial"/>
        </w:rPr>
        <w:t>hodologies used for estimating T</w:t>
      </w:r>
      <w:r w:rsidRPr="00B3750E">
        <w:rPr>
          <w:rFonts w:cs="Arial"/>
        </w:rPr>
        <w:t>axonomy alignment.</w:t>
      </w:r>
    </w:p>
    <w:p w14:paraId="343424A3" w14:textId="1D12BE03" w:rsidR="00C2235C" w:rsidRDefault="00C2235C" w:rsidP="00C16118">
      <w:pPr>
        <w:jc w:val="both"/>
        <w:rPr>
          <w:rFonts w:cs="Arial"/>
        </w:rPr>
      </w:pPr>
      <w:r>
        <w:rPr>
          <w:rFonts w:cs="Arial"/>
        </w:rPr>
        <w:t xml:space="preserve">**This recommendation is based on the PAB/CTB requirements related to DNSH data sets, available at </w:t>
      </w:r>
      <w:hyperlink r:id="rId21" w:history="1">
        <w:r w:rsidR="00B3750E">
          <w:rPr>
            <w:rStyle w:val="Hipervnculo"/>
          </w:rPr>
          <w:t>EUR-Lex - 32020R1818 - EN - EUR-Lex (europa.eu)</w:t>
        </w:r>
      </w:hyperlink>
    </w:p>
    <w:permEnd w:id="729947415"/>
    <w:p w14:paraId="6415E03C" w14:textId="45BB9ACC" w:rsidR="003E573C" w:rsidRDefault="003E573C" w:rsidP="003E573C">
      <w:pPr>
        <w:rPr>
          <w:rFonts w:cs="Arial"/>
        </w:rPr>
      </w:pPr>
      <w:r>
        <w:rPr>
          <w:rFonts w:cs="Arial"/>
        </w:rPr>
        <w:t>&lt;ESA_QUESTION_</w:t>
      </w:r>
      <w:r w:rsidR="00C86E1C">
        <w:rPr>
          <w:rFonts w:cs="Arial"/>
        </w:rPr>
        <w:t>ESG</w:t>
      </w:r>
      <w:r>
        <w:rPr>
          <w:rFonts w:cs="Arial"/>
        </w:rPr>
        <w:t>_2&gt;</w:t>
      </w:r>
    </w:p>
    <w:p w14:paraId="36483E3B" w14:textId="77777777" w:rsidR="003E573C" w:rsidRDefault="003E573C" w:rsidP="003E573C">
      <w:pPr>
        <w:rPr>
          <w:rFonts w:cs="Arial"/>
        </w:rPr>
      </w:pPr>
    </w:p>
    <w:p w14:paraId="0C882E82" w14:textId="50B7F361" w:rsidR="003E573C" w:rsidRDefault="003E573C" w:rsidP="007118EB">
      <w:pPr>
        <w:pStyle w:val="Questionstyle"/>
      </w:pPr>
      <w:r>
        <w:t xml:space="preserve">: </w:t>
      </w:r>
      <w:r w:rsidR="001969F6" w:rsidRPr="001969F6">
        <w:t>Do you have any views on the benefits and drawbacks of including specifically operational expenditure of underlying non-financial investee companies as one of the possible ways to calculate the KPI referred to in question 2?</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5E3F2A30" w14:textId="13E96671" w:rsidR="0026185A" w:rsidRPr="00B3750E" w:rsidRDefault="0026185A" w:rsidP="007200BD">
      <w:pPr>
        <w:jc w:val="both"/>
        <w:rPr>
          <w:rFonts w:cs="Arial"/>
        </w:rPr>
      </w:pPr>
      <w:permStart w:id="677205538" w:edGrp="everyone"/>
      <w:r w:rsidRPr="0026185A">
        <w:rPr>
          <w:rFonts w:cs="Arial"/>
        </w:rPr>
        <w:t xml:space="preserve">While </w:t>
      </w:r>
      <w:r w:rsidR="003C6EEE">
        <w:rPr>
          <w:rFonts w:cs="Arial"/>
        </w:rPr>
        <w:t>the Platform</w:t>
      </w:r>
      <w:r w:rsidRPr="0026185A">
        <w:rPr>
          <w:rFonts w:cs="Arial"/>
        </w:rPr>
        <w:t xml:space="preserve"> agree</w:t>
      </w:r>
      <w:r w:rsidR="003C6EEE">
        <w:rPr>
          <w:rFonts w:cs="Arial"/>
        </w:rPr>
        <w:t>s</w:t>
      </w:r>
      <w:r w:rsidRPr="0026185A">
        <w:rPr>
          <w:rFonts w:cs="Arial"/>
        </w:rPr>
        <w:t xml:space="preserve"> on ESMA’s definitions for turnover, capital expenditure and operational expenditure, we are conscious of the difficulties of obtaining the last two for non-</w:t>
      </w:r>
      <w:r w:rsidR="00DA1A66">
        <w:rPr>
          <w:rFonts w:cs="Arial"/>
        </w:rPr>
        <w:t>CSRD</w:t>
      </w:r>
      <w:r w:rsidRPr="0026185A">
        <w:rPr>
          <w:rFonts w:cs="Arial"/>
        </w:rPr>
        <w:t xml:space="preserve"> compan</w:t>
      </w:r>
      <w:r w:rsidR="009233CD">
        <w:rPr>
          <w:rFonts w:cs="Arial"/>
        </w:rPr>
        <w:t xml:space="preserve">ies given that estimating CapEx and </w:t>
      </w:r>
      <w:r w:rsidR="007200BD">
        <w:rPr>
          <w:rFonts w:cs="Arial"/>
        </w:rPr>
        <w:t xml:space="preserve">OpEx </w:t>
      </w:r>
      <w:r w:rsidRPr="0026185A">
        <w:rPr>
          <w:rFonts w:cs="Arial"/>
        </w:rPr>
        <w:t>alignment might be a serious challenge if not</w:t>
      </w:r>
      <w:r w:rsidR="009233CD">
        <w:rPr>
          <w:rFonts w:cs="Arial"/>
        </w:rPr>
        <w:t xml:space="preserve"> provided by companies as </w:t>
      </w:r>
      <w:r w:rsidR="001520D5">
        <w:rPr>
          <w:rFonts w:cs="Arial"/>
        </w:rPr>
        <w:t>CapEx</w:t>
      </w:r>
      <w:r w:rsidR="009233CD">
        <w:rPr>
          <w:rFonts w:cs="Arial"/>
        </w:rPr>
        <w:t xml:space="preserve"> and </w:t>
      </w:r>
      <w:r w:rsidR="001520D5">
        <w:rPr>
          <w:rFonts w:cs="Arial"/>
        </w:rPr>
        <w:t>OpEx</w:t>
      </w:r>
      <w:r w:rsidRPr="0026185A">
        <w:rPr>
          <w:rFonts w:cs="Arial"/>
        </w:rPr>
        <w:t xml:space="preserve"> </w:t>
      </w:r>
      <w:r w:rsidRPr="00B3750E">
        <w:rPr>
          <w:rFonts w:cs="Arial"/>
        </w:rPr>
        <w:t xml:space="preserve">cannot be modelled. </w:t>
      </w:r>
      <w:r w:rsidR="007200BD">
        <w:rPr>
          <w:rFonts w:cs="Arial"/>
        </w:rPr>
        <w:t>F</w:t>
      </w:r>
      <w:r w:rsidRPr="00B3750E">
        <w:rPr>
          <w:rFonts w:cs="Arial"/>
        </w:rPr>
        <w:t>inancial institutions disclosures should reflect that constraint and therefore disclose alignment in terms of expenditures only for their part of their portfolios for which they have the information.</w:t>
      </w:r>
    </w:p>
    <w:p w14:paraId="1DF58612" w14:textId="77777777" w:rsidR="009233CD" w:rsidRPr="00B3750E" w:rsidRDefault="009233CD" w:rsidP="007200BD">
      <w:pPr>
        <w:jc w:val="both"/>
        <w:rPr>
          <w:rFonts w:cs="Arial"/>
        </w:rPr>
      </w:pPr>
    </w:p>
    <w:p w14:paraId="79BDCC44" w14:textId="76C7CD66" w:rsidR="0026185A" w:rsidRPr="00B3750E" w:rsidRDefault="0026185A" w:rsidP="007200BD">
      <w:pPr>
        <w:jc w:val="both"/>
        <w:rPr>
          <w:rFonts w:cs="Arial"/>
        </w:rPr>
      </w:pPr>
      <w:r w:rsidRPr="00B3750E">
        <w:rPr>
          <w:rFonts w:cs="Arial"/>
        </w:rPr>
        <w:t xml:space="preserve">This means that financial market participants can only disclose </w:t>
      </w:r>
      <w:r w:rsidR="001520D5" w:rsidRPr="00B3750E">
        <w:rPr>
          <w:rFonts w:cs="Arial"/>
        </w:rPr>
        <w:t>CapEx</w:t>
      </w:r>
      <w:r w:rsidRPr="00B3750E">
        <w:rPr>
          <w:rFonts w:cs="Arial"/>
        </w:rPr>
        <w:t xml:space="preserve"> and </w:t>
      </w:r>
      <w:r w:rsidR="001520D5" w:rsidRPr="00B3750E">
        <w:rPr>
          <w:rFonts w:cs="Arial"/>
        </w:rPr>
        <w:t>OpEx</w:t>
      </w:r>
      <w:r w:rsidR="007200BD">
        <w:rPr>
          <w:rFonts w:cs="Arial"/>
        </w:rPr>
        <w:t xml:space="preserve"> </w:t>
      </w:r>
      <w:r w:rsidRPr="00B3750E">
        <w:rPr>
          <w:rFonts w:cs="Arial"/>
        </w:rPr>
        <w:t>alignment for their EU-based investments</w:t>
      </w:r>
      <w:r w:rsidR="00C340E0" w:rsidRPr="00B3750E">
        <w:rPr>
          <w:rFonts w:cs="Arial"/>
        </w:rPr>
        <w:t xml:space="preserve"> or for those non-EU companies that voluntarily decide to provide the information</w:t>
      </w:r>
      <w:r w:rsidRPr="00B3750E">
        <w:rPr>
          <w:rFonts w:cs="Arial"/>
        </w:rPr>
        <w:t>.</w:t>
      </w:r>
      <w:r w:rsidR="00C8563A" w:rsidRPr="00B3750E">
        <w:rPr>
          <w:rFonts w:cs="Arial"/>
        </w:rPr>
        <w:t xml:space="preserve"> The Platform’s recommendation on ‘</w:t>
      </w:r>
      <w:r w:rsidR="00DA1A66" w:rsidRPr="00B3750E">
        <w:rPr>
          <w:rFonts w:cs="Arial"/>
        </w:rPr>
        <w:t>estimated</w:t>
      </w:r>
      <w:r w:rsidR="00C8563A" w:rsidRPr="00B3750E">
        <w:rPr>
          <w:rFonts w:cs="Arial"/>
        </w:rPr>
        <w:t xml:space="preserve"> alignment’ reporting for non-</w:t>
      </w:r>
      <w:r w:rsidR="00DA1A66" w:rsidRPr="00B3750E">
        <w:rPr>
          <w:rFonts w:cs="Arial"/>
        </w:rPr>
        <w:t>CSRD</w:t>
      </w:r>
      <w:r w:rsidR="00C8563A" w:rsidRPr="00B3750E">
        <w:rPr>
          <w:rFonts w:cs="Arial"/>
        </w:rPr>
        <w:t xml:space="preserve"> is only applicable to turnover or </w:t>
      </w:r>
      <w:r w:rsidR="00173240" w:rsidRPr="00B3750E">
        <w:rPr>
          <w:rFonts w:cs="Arial"/>
        </w:rPr>
        <w:t>revenue based</w:t>
      </w:r>
      <w:r w:rsidR="00C8563A" w:rsidRPr="00B3750E">
        <w:rPr>
          <w:rFonts w:cs="Arial"/>
        </w:rPr>
        <w:t xml:space="preserve"> reporting</w:t>
      </w:r>
      <w:r w:rsidR="007200BD">
        <w:rPr>
          <w:rFonts w:cs="Arial"/>
        </w:rPr>
        <w:t>, or applicable to use-of-</w:t>
      </w:r>
      <w:r w:rsidR="00DA1A66" w:rsidRPr="00B3750E">
        <w:rPr>
          <w:rFonts w:cs="Arial"/>
        </w:rPr>
        <w:t>proceeds of applicable debt products.</w:t>
      </w:r>
    </w:p>
    <w:p w14:paraId="327DE6CB" w14:textId="77777777" w:rsidR="0026185A" w:rsidRPr="00B3750E" w:rsidRDefault="0026185A" w:rsidP="00784383">
      <w:pPr>
        <w:rPr>
          <w:rFonts w:cs="Arial"/>
        </w:rPr>
      </w:pPr>
    </w:p>
    <w:p w14:paraId="74569760" w14:textId="24DA894C" w:rsidR="002A72C3" w:rsidRPr="00B3750E" w:rsidRDefault="00784383" w:rsidP="007200BD">
      <w:pPr>
        <w:jc w:val="both"/>
        <w:rPr>
          <w:rFonts w:cs="Arial"/>
        </w:rPr>
      </w:pPr>
      <w:r w:rsidRPr="00B3750E">
        <w:rPr>
          <w:rFonts w:cs="Arial"/>
        </w:rPr>
        <w:t>The Platform agree</w:t>
      </w:r>
      <w:r w:rsidR="00C340E0" w:rsidRPr="00B3750E">
        <w:rPr>
          <w:rFonts w:cs="Arial"/>
        </w:rPr>
        <w:t>s</w:t>
      </w:r>
      <w:r w:rsidRPr="00B3750E">
        <w:rPr>
          <w:rFonts w:cs="Arial"/>
        </w:rPr>
        <w:t xml:space="preserve"> with the recommendation that asset managers, banks and investment firm ratios are based on what they finance and what they invest in rather than on overall revenues or expenditures</w:t>
      </w:r>
      <w:r w:rsidR="00C8563A" w:rsidRPr="00B3750E">
        <w:rPr>
          <w:rFonts w:cs="Arial"/>
        </w:rPr>
        <w:t xml:space="preserve"> of the institutions themselves</w:t>
      </w:r>
      <w:r w:rsidRPr="00B3750E">
        <w:rPr>
          <w:rFonts w:cs="Arial"/>
        </w:rPr>
        <w:t xml:space="preserve">. </w:t>
      </w:r>
      <w:r w:rsidR="003C6EEE">
        <w:rPr>
          <w:rFonts w:cs="Arial"/>
        </w:rPr>
        <w:t>As highlighted in the response to Question 2, a</w:t>
      </w:r>
      <w:r w:rsidRPr="00B3750E">
        <w:rPr>
          <w:rFonts w:cs="Arial"/>
        </w:rPr>
        <w:t xml:space="preserve">sset managers, insurers (as key asset owners) and investment firms’ primary ratios should capture the proportion of their AUM </w:t>
      </w:r>
      <w:r w:rsidR="00C8563A" w:rsidRPr="00B3750E">
        <w:rPr>
          <w:rFonts w:cs="Arial"/>
        </w:rPr>
        <w:t xml:space="preserve">(as defined by ESMA) </w:t>
      </w:r>
      <w:r w:rsidRPr="00B3750E">
        <w:rPr>
          <w:rFonts w:cs="Arial"/>
        </w:rPr>
        <w:t xml:space="preserve">aligned with the Taxonomy; and for banks the proportion of their </w:t>
      </w:r>
      <w:r w:rsidR="00DA1A66" w:rsidRPr="00B3750E">
        <w:rPr>
          <w:rFonts w:cs="Arial"/>
        </w:rPr>
        <w:t xml:space="preserve">on-balance sheet </w:t>
      </w:r>
      <w:r w:rsidRPr="00B3750E">
        <w:rPr>
          <w:rFonts w:cs="Arial"/>
        </w:rPr>
        <w:t xml:space="preserve">lending </w:t>
      </w:r>
      <w:r w:rsidR="006E1D8E" w:rsidRPr="00B3750E">
        <w:rPr>
          <w:rFonts w:cs="Arial"/>
        </w:rPr>
        <w:t xml:space="preserve">and investment </w:t>
      </w:r>
      <w:r w:rsidRPr="00B3750E">
        <w:rPr>
          <w:rFonts w:cs="Arial"/>
        </w:rPr>
        <w:t>portfolios aligned with the Taxonomy</w:t>
      </w:r>
      <w:r w:rsidR="003C6EEE">
        <w:rPr>
          <w:rFonts w:cs="Arial"/>
        </w:rPr>
        <w:t>.</w:t>
      </w:r>
    </w:p>
    <w:p w14:paraId="6DE03538" w14:textId="77777777" w:rsidR="002A72C3" w:rsidRPr="00B3750E" w:rsidRDefault="002A72C3" w:rsidP="007200BD">
      <w:pPr>
        <w:jc w:val="both"/>
        <w:rPr>
          <w:rFonts w:cs="Arial"/>
        </w:rPr>
      </w:pPr>
    </w:p>
    <w:p w14:paraId="4150A85C" w14:textId="78C6C455" w:rsidR="00784383" w:rsidRPr="00B3750E" w:rsidRDefault="007200BD" w:rsidP="007200BD">
      <w:pPr>
        <w:jc w:val="both"/>
        <w:rPr>
          <w:rFonts w:cs="Arial"/>
        </w:rPr>
      </w:pPr>
      <w:r>
        <w:rPr>
          <w:rFonts w:cs="Arial"/>
        </w:rPr>
        <w:t>The Platform</w:t>
      </w:r>
      <w:r w:rsidR="008768C8" w:rsidRPr="00B3750E">
        <w:rPr>
          <w:rFonts w:cs="Arial"/>
        </w:rPr>
        <w:t xml:space="preserve"> recommend</w:t>
      </w:r>
      <w:r>
        <w:rPr>
          <w:rFonts w:cs="Arial"/>
        </w:rPr>
        <w:t>s</w:t>
      </w:r>
      <w:r w:rsidR="008768C8" w:rsidRPr="00B3750E">
        <w:rPr>
          <w:rFonts w:cs="Arial"/>
        </w:rPr>
        <w:t xml:space="preserve"> t</w:t>
      </w:r>
      <w:r w:rsidR="002A72C3" w:rsidRPr="00B3750E">
        <w:rPr>
          <w:rFonts w:cs="Arial"/>
        </w:rPr>
        <w:t>hat companies count CapEx and</w:t>
      </w:r>
      <w:r w:rsidR="008768C8" w:rsidRPr="00B3750E">
        <w:rPr>
          <w:rFonts w:cs="Arial"/>
        </w:rPr>
        <w:t xml:space="preserve"> OpEx where costs incurred relate to assets or processes which meet or are part of an activity</w:t>
      </w:r>
      <w:r w:rsidR="003C6EEE">
        <w:rPr>
          <w:rFonts w:cs="Arial"/>
        </w:rPr>
        <w:t>-</w:t>
      </w:r>
      <w:r w:rsidR="008768C8" w:rsidRPr="00B3750E">
        <w:rPr>
          <w:rFonts w:cs="Arial"/>
        </w:rPr>
        <w:t xml:space="preserve"> or asset-specific investment </w:t>
      </w:r>
      <w:r w:rsidR="00E95F91" w:rsidRPr="00B3750E">
        <w:rPr>
          <w:rFonts w:cs="Arial"/>
        </w:rPr>
        <w:t>plan to</w:t>
      </w:r>
      <w:r w:rsidR="008768C8" w:rsidRPr="00B3750E">
        <w:rPr>
          <w:rFonts w:cs="Arial"/>
        </w:rPr>
        <w:t xml:space="preserve"> meet the technical criteria specified in the Taxonomy.</w:t>
      </w:r>
    </w:p>
    <w:p w14:paraId="0F6864CA" w14:textId="32EF52C7" w:rsidR="00C1424E" w:rsidRPr="00B3750E" w:rsidRDefault="00C1424E" w:rsidP="007200BD">
      <w:pPr>
        <w:jc w:val="both"/>
        <w:rPr>
          <w:rFonts w:cs="Arial"/>
        </w:rPr>
      </w:pPr>
    </w:p>
    <w:p w14:paraId="22477B61" w14:textId="43AA0CDA" w:rsidR="00C1424E" w:rsidRPr="00B3750E" w:rsidRDefault="00C1424E" w:rsidP="007200BD">
      <w:pPr>
        <w:jc w:val="both"/>
        <w:rPr>
          <w:rFonts w:cs="Arial"/>
        </w:rPr>
      </w:pPr>
      <w:r w:rsidRPr="00B3750E">
        <w:rPr>
          <w:rFonts w:cs="Arial"/>
        </w:rPr>
        <w:t>The Platform recommend</w:t>
      </w:r>
      <w:r w:rsidR="002A72C3" w:rsidRPr="00B3750E">
        <w:rPr>
          <w:rFonts w:cs="Arial"/>
        </w:rPr>
        <w:t>s</w:t>
      </w:r>
      <w:r w:rsidRPr="00B3750E">
        <w:rPr>
          <w:rFonts w:cs="Arial"/>
        </w:rPr>
        <w:t xml:space="preserve"> that disclosure should follow a waterfall logic, whereby:</w:t>
      </w:r>
    </w:p>
    <w:p w14:paraId="4172869A" w14:textId="2B929082" w:rsidR="00C1424E" w:rsidRPr="00B3750E" w:rsidRDefault="00C1424E" w:rsidP="007200BD">
      <w:pPr>
        <w:pStyle w:val="Prrafodelista"/>
        <w:numPr>
          <w:ilvl w:val="0"/>
          <w:numId w:val="46"/>
        </w:numPr>
        <w:jc w:val="both"/>
        <w:rPr>
          <w:rFonts w:cs="Arial"/>
        </w:rPr>
      </w:pPr>
      <w:r w:rsidRPr="00B3750E">
        <w:rPr>
          <w:rFonts w:cs="Arial"/>
        </w:rPr>
        <w:t xml:space="preserve">If the asset’s use of proceeds are </w:t>
      </w:r>
      <w:r w:rsidR="001520D5" w:rsidRPr="00B3750E">
        <w:rPr>
          <w:rFonts w:cs="Arial"/>
        </w:rPr>
        <w:t>Taxonomy</w:t>
      </w:r>
      <w:r w:rsidR="007200BD">
        <w:rPr>
          <w:rFonts w:cs="Arial"/>
        </w:rPr>
        <w:t>-</w:t>
      </w:r>
      <w:r w:rsidRPr="00B3750E">
        <w:rPr>
          <w:rFonts w:cs="Arial"/>
        </w:rPr>
        <w:t>aligned; take the proportion of alignment</w:t>
      </w:r>
    </w:p>
    <w:p w14:paraId="019FFBC8" w14:textId="67C64D46" w:rsidR="00C1424E" w:rsidRPr="00B3750E" w:rsidRDefault="00C1424E" w:rsidP="007200BD">
      <w:pPr>
        <w:pStyle w:val="Prrafodelista"/>
        <w:numPr>
          <w:ilvl w:val="0"/>
          <w:numId w:val="46"/>
        </w:numPr>
        <w:jc w:val="both"/>
        <w:rPr>
          <w:rFonts w:cs="Arial"/>
        </w:rPr>
      </w:pPr>
      <w:r w:rsidRPr="00B3750E">
        <w:rPr>
          <w:rFonts w:cs="Arial"/>
        </w:rPr>
        <w:t xml:space="preserve">If not, take either the issuer or parent’s </w:t>
      </w:r>
      <w:r w:rsidR="001520D5" w:rsidRPr="00B3750E">
        <w:rPr>
          <w:rFonts w:cs="Arial"/>
        </w:rPr>
        <w:t>Taxonomy</w:t>
      </w:r>
      <w:r w:rsidR="003C6EEE">
        <w:rPr>
          <w:rFonts w:cs="Arial"/>
        </w:rPr>
        <w:t>-</w:t>
      </w:r>
      <w:r w:rsidRPr="00B3750E">
        <w:rPr>
          <w:rFonts w:cs="Arial"/>
        </w:rPr>
        <w:t>aligned turnover or expenditure (dependent on the product’s reporting preference</w:t>
      </w:r>
      <w:r w:rsidR="00173240" w:rsidRPr="00B3750E">
        <w:rPr>
          <w:rFonts w:cs="Arial"/>
        </w:rPr>
        <w:t>, so long as this approach is consistently applied for the investment product</w:t>
      </w:r>
      <w:r w:rsidRPr="00B3750E">
        <w:rPr>
          <w:rFonts w:cs="Arial"/>
        </w:rPr>
        <w:t>)</w:t>
      </w:r>
    </w:p>
    <w:p w14:paraId="21D2E9B4" w14:textId="407272C1" w:rsidR="00C1424E" w:rsidRPr="00B3750E" w:rsidRDefault="00C1424E" w:rsidP="007200BD">
      <w:pPr>
        <w:pStyle w:val="Prrafodelista"/>
        <w:numPr>
          <w:ilvl w:val="0"/>
          <w:numId w:val="46"/>
        </w:numPr>
        <w:jc w:val="both"/>
        <w:rPr>
          <w:rFonts w:cs="Arial"/>
        </w:rPr>
      </w:pPr>
      <w:r w:rsidRPr="00B3750E">
        <w:rPr>
          <w:rFonts w:cs="Arial"/>
        </w:rPr>
        <w:t>Apply this percentage as per the portfolio weighting of the holding; as detailed by ESMA</w:t>
      </w:r>
      <w:r w:rsidR="003C6EEE">
        <w:rPr>
          <w:rFonts w:cs="Arial"/>
        </w:rPr>
        <w:t>.</w:t>
      </w:r>
    </w:p>
    <w:p w14:paraId="0D653BE4" w14:textId="77777777" w:rsidR="002A72C3" w:rsidRPr="00B3750E" w:rsidRDefault="002A72C3" w:rsidP="007200BD">
      <w:pPr>
        <w:jc w:val="both"/>
        <w:rPr>
          <w:rFonts w:cs="Arial"/>
        </w:rPr>
      </w:pPr>
    </w:p>
    <w:p w14:paraId="4B635BEE" w14:textId="0290D8C5" w:rsidR="00C1424E" w:rsidRDefault="002A72C3" w:rsidP="007200BD">
      <w:pPr>
        <w:jc w:val="both"/>
        <w:rPr>
          <w:rFonts w:cs="Arial"/>
        </w:rPr>
      </w:pPr>
      <w:r>
        <w:rPr>
          <w:rFonts w:cs="Arial"/>
        </w:rPr>
        <w:t xml:space="preserve">Please note that the proceeds of some green bonds and use-of-proceeds instruments might be the reflection of a combination of </w:t>
      </w:r>
      <w:r w:rsidR="001520D5">
        <w:rPr>
          <w:rFonts w:cs="Arial"/>
        </w:rPr>
        <w:t>CapEx</w:t>
      </w:r>
      <w:r>
        <w:rPr>
          <w:rFonts w:cs="Arial"/>
        </w:rPr>
        <w:t xml:space="preserve"> and those operational expenditures attached to the project(s). </w:t>
      </w:r>
      <w:r w:rsidRPr="002A72C3">
        <w:rPr>
          <w:rFonts w:cs="Arial"/>
        </w:rPr>
        <w:t>If the issuer is a public sector actor only those green bonds for which the alignment can be calculated will be able to be included as there is no country reporting against the Taxonomy.</w:t>
      </w:r>
    </w:p>
    <w:p w14:paraId="2C8BBC67" w14:textId="77777777" w:rsidR="002A72C3" w:rsidRPr="002A72C3" w:rsidRDefault="002A72C3" w:rsidP="007200BD">
      <w:pPr>
        <w:jc w:val="both"/>
        <w:rPr>
          <w:rFonts w:cs="Arial"/>
        </w:rPr>
      </w:pPr>
    </w:p>
    <w:p w14:paraId="434F14AC" w14:textId="0F9C5E3A" w:rsidR="002A72C3" w:rsidRDefault="003C6EEE" w:rsidP="007200BD">
      <w:pPr>
        <w:jc w:val="both"/>
        <w:rPr>
          <w:rFonts w:cs="Arial"/>
        </w:rPr>
      </w:pPr>
      <w:r>
        <w:rPr>
          <w:rFonts w:cs="Arial"/>
        </w:rPr>
        <w:t>Furthermore, t</w:t>
      </w:r>
      <w:r w:rsidR="002A72C3" w:rsidRPr="002A72C3">
        <w:rPr>
          <w:rFonts w:cs="Arial"/>
        </w:rPr>
        <w:t>he use of one KP</w:t>
      </w:r>
      <w:r w:rsidR="00173240">
        <w:rPr>
          <w:rFonts w:cs="Arial"/>
        </w:rPr>
        <w:t>I</w:t>
      </w:r>
      <w:r w:rsidR="002A72C3" w:rsidRPr="002A72C3">
        <w:rPr>
          <w:rFonts w:cs="Arial"/>
        </w:rPr>
        <w:t xml:space="preserve"> for overall fund-alignment reporting should not undermine the use of all three for se</w:t>
      </w:r>
      <w:r>
        <w:rPr>
          <w:rFonts w:cs="Arial"/>
        </w:rPr>
        <w:t>lection purposes. The Platforms encourages Financial Market P</w:t>
      </w:r>
      <w:r w:rsidR="002A72C3" w:rsidRPr="002A72C3">
        <w:rPr>
          <w:rFonts w:cs="Arial"/>
        </w:rPr>
        <w:t>articipants to voluntarily disclose all three when available (e.g.</w:t>
      </w:r>
      <w:r w:rsidR="007F7342">
        <w:rPr>
          <w:rFonts w:cs="Arial"/>
        </w:rPr>
        <w:t>,</w:t>
      </w:r>
      <w:r w:rsidR="002A72C3" w:rsidRPr="002A72C3">
        <w:rPr>
          <w:rFonts w:cs="Arial"/>
        </w:rPr>
        <w:t xml:space="preserve"> when all underlying investments are </w:t>
      </w:r>
      <w:r w:rsidR="00DA1A66">
        <w:rPr>
          <w:rFonts w:cs="Arial"/>
        </w:rPr>
        <w:t>CSRD</w:t>
      </w:r>
      <w:r w:rsidR="002A72C3" w:rsidRPr="002A72C3">
        <w:rPr>
          <w:rFonts w:cs="Arial"/>
        </w:rPr>
        <w:t xml:space="preserve"> companies) or for the portion of their funds that the data </w:t>
      </w:r>
      <w:r w:rsidR="00173240">
        <w:rPr>
          <w:rFonts w:cs="Arial"/>
        </w:rPr>
        <w:t>is</w:t>
      </w:r>
      <w:r w:rsidR="002A72C3" w:rsidRPr="002A72C3">
        <w:rPr>
          <w:rFonts w:cs="Arial"/>
        </w:rPr>
        <w:t xml:space="preserve"> available.</w:t>
      </w:r>
    </w:p>
    <w:p w14:paraId="07A14FD4" w14:textId="77777777" w:rsidR="00C1424E" w:rsidRPr="00C1424E" w:rsidRDefault="00C1424E" w:rsidP="00C1424E">
      <w:pPr>
        <w:rPr>
          <w:rFonts w:cs="Arial"/>
        </w:rPr>
      </w:pPr>
    </w:p>
    <w:p w14:paraId="54D6583E" w14:textId="57D82204" w:rsidR="003E573C" w:rsidRDefault="00F939CB" w:rsidP="003E573C">
      <w:pPr>
        <w:rPr>
          <w:rFonts w:cs="Arial"/>
        </w:rPr>
      </w:pPr>
      <w:r w:rsidRPr="00F939CB">
        <w:rPr>
          <w:rFonts w:cs="Arial"/>
        </w:rPr>
        <w:t xml:space="preserve">  </w:t>
      </w:r>
      <w:permEnd w:id="677205538"/>
      <w:r w:rsidR="003E573C">
        <w:rPr>
          <w:rFonts w:cs="Arial"/>
        </w:rPr>
        <w:t>&lt;ESA_QUESTION_</w:t>
      </w:r>
      <w:r w:rsidR="00C86E1C">
        <w:rPr>
          <w:rFonts w:cs="Arial"/>
        </w:rPr>
        <w:t>ESG</w:t>
      </w:r>
      <w:r w:rsidR="003E573C">
        <w:rPr>
          <w:rFonts w:cs="Arial"/>
        </w:rPr>
        <w:t>_3&gt;</w:t>
      </w:r>
    </w:p>
    <w:p w14:paraId="3E042AC0" w14:textId="77777777" w:rsidR="003E573C" w:rsidRDefault="003E573C" w:rsidP="003E573C">
      <w:pPr>
        <w:rPr>
          <w:rFonts w:cs="Arial"/>
        </w:rPr>
      </w:pPr>
    </w:p>
    <w:p w14:paraId="40E8D4A0" w14:textId="1064B109" w:rsidR="003E573C" w:rsidRDefault="003E573C" w:rsidP="007118EB">
      <w:pPr>
        <w:pStyle w:val="Questionstyle"/>
      </w:pPr>
      <w:r>
        <w:t xml:space="preserve">: </w:t>
      </w:r>
      <w:r w:rsidR="001969F6" w:rsidRPr="001969F6">
        <w:t>The proposed KPI includes equity and debt instruments issued by financial and non-financial undertakings and real estate assets, do you agree that this could also be extended to derivatives such as contracts for differences?</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30ADF335" w14:textId="603BA5A6" w:rsidR="008565A4" w:rsidRPr="005A26CF" w:rsidRDefault="00784383" w:rsidP="00784383">
      <w:pPr>
        <w:rPr>
          <w:rFonts w:cs="Arial"/>
        </w:rPr>
      </w:pPr>
      <w:permStart w:id="1220688604" w:edGrp="everyone"/>
      <w:r>
        <w:rPr>
          <w:rFonts w:cs="Arial"/>
        </w:rPr>
        <w:t xml:space="preserve">The Platform </w:t>
      </w:r>
      <w:r w:rsidRPr="005A26CF">
        <w:rPr>
          <w:rFonts w:cs="Arial"/>
        </w:rPr>
        <w:t xml:space="preserve">recommends that </w:t>
      </w:r>
      <w:r w:rsidR="006E1D8E" w:rsidRPr="005A26CF">
        <w:rPr>
          <w:rFonts w:cs="Arial"/>
        </w:rPr>
        <w:t xml:space="preserve">in scope or included </w:t>
      </w:r>
      <w:r w:rsidRPr="005A26CF">
        <w:rPr>
          <w:rFonts w:cs="Arial"/>
        </w:rPr>
        <w:t>investment types should apply consistently across the SFDR,</w:t>
      </w:r>
      <w:r w:rsidR="003C6EEE">
        <w:rPr>
          <w:rFonts w:cs="Arial"/>
        </w:rPr>
        <w:t xml:space="preserve"> and EU Taxonomy R</w:t>
      </w:r>
      <w:r w:rsidRPr="005A26CF">
        <w:rPr>
          <w:rFonts w:cs="Arial"/>
        </w:rPr>
        <w:t>egulati</w:t>
      </w:r>
      <w:r w:rsidR="003C6EEE">
        <w:rPr>
          <w:rFonts w:cs="Arial"/>
        </w:rPr>
        <w:t>on reporting obligations under A</w:t>
      </w:r>
      <w:r w:rsidRPr="005A26CF">
        <w:rPr>
          <w:rFonts w:cs="Arial"/>
        </w:rPr>
        <w:t>rticles 5, 6 and 8. To simplify reporting, the Platform believes that Taxonomy and SFDR reporting should apply to cash equity and debt products.</w:t>
      </w:r>
    </w:p>
    <w:p w14:paraId="1BE18662" w14:textId="17851CA4" w:rsidR="00CB6A46" w:rsidRPr="005A26CF" w:rsidRDefault="00CB6A46" w:rsidP="00784383">
      <w:pPr>
        <w:rPr>
          <w:rFonts w:cs="Arial"/>
        </w:rPr>
      </w:pPr>
    </w:p>
    <w:p w14:paraId="3A10F45B" w14:textId="77777777" w:rsidR="00CB6A46" w:rsidRPr="005A26CF" w:rsidRDefault="00CB6A46" w:rsidP="00CB6A46">
      <w:pPr>
        <w:jc w:val="both"/>
        <w:rPr>
          <w:lang w:val="en-US"/>
        </w:rPr>
      </w:pPr>
      <w:r w:rsidRPr="005A26CF">
        <w:rPr>
          <w:lang w:val="en-US"/>
        </w:rPr>
        <w:t>Our suggestion for the KPI is:</w:t>
      </w:r>
    </w:p>
    <w:p w14:paraId="377B2133" w14:textId="77777777" w:rsidR="00CB6A46" w:rsidRPr="005A26CF" w:rsidRDefault="00CB6A46" w:rsidP="00CB6A46">
      <w:pPr>
        <w:jc w:val="both"/>
        <w:rPr>
          <w:lang w:val="en-US"/>
        </w:rPr>
      </w:pPr>
    </w:p>
    <w:p w14:paraId="09B568B6" w14:textId="77777777" w:rsidR="00CB6A46" w:rsidRPr="005A26CF" w:rsidRDefault="00CB6A46" w:rsidP="00CB6A46">
      <w:pPr>
        <w:jc w:val="both"/>
        <w:rPr>
          <w:lang w:val="en-US"/>
        </w:rPr>
      </w:pPr>
    </w:p>
    <w:p w14:paraId="0F7ED707" w14:textId="2C57763E" w:rsidR="00CB6A46" w:rsidRPr="005A26CF" w:rsidRDefault="00CB6A46" w:rsidP="00CB6A46">
      <w:pPr>
        <w:jc w:val="both"/>
        <w:rPr>
          <w:lang w:val="en-US"/>
        </w:rPr>
      </w:pPr>
      <m:oMathPara>
        <m:oMath>
          <m:r>
            <w:rPr>
              <w:rFonts w:ascii="Cambria Math" w:hAnsi="Cambria Math"/>
              <w:lang w:val="en-US"/>
            </w:rPr>
            <m:t xml:space="preserve">KPI = </m:t>
          </m:r>
          <m:f>
            <m:fPr>
              <m:ctrlPr>
                <w:rPr>
                  <w:rFonts w:ascii="Cambria Math" w:hAnsi="Cambria Math"/>
                  <w:i/>
                  <w:lang w:val="en-US"/>
                </w:rPr>
              </m:ctrlPr>
            </m:fPr>
            <m:num>
              <m:nary>
                <m:naryPr>
                  <m:chr m:val="∑"/>
                  <m:limLoc m:val="undOvr"/>
                  <m:ctrlPr>
                    <w:rPr>
                      <w:rFonts w:ascii="Cambria Math" w:hAnsi="Cambria Math"/>
                      <w:i/>
                      <w:lang w:val="en-US"/>
                    </w:rPr>
                  </m:ctrlPr>
                </m:naryPr>
                <m:sub>
                  <m:r>
                    <w:rPr>
                      <w:rFonts w:ascii="Cambria Math" w:hAnsi="Cambria Math"/>
                      <w:lang w:val="en-US"/>
                    </w:rPr>
                    <m:t>i</m:t>
                  </m:r>
                </m:sub>
                <m:sup>
                  <m:r>
                    <w:rPr>
                      <w:rFonts w:ascii="Cambria Math" w:hAnsi="Cambria Math"/>
                      <w:lang w:val="en-US"/>
                    </w:rPr>
                    <m:t>n</m:t>
                  </m:r>
                </m:sup>
                <m:e>
                  <m:sSub>
                    <m:sSubPr>
                      <m:ctrlPr>
                        <w:rPr>
                          <w:rFonts w:ascii="Cambria Math" w:hAnsi="Cambria Math"/>
                          <w:i/>
                          <w:lang w:val="en-US"/>
                        </w:rPr>
                      </m:ctrlPr>
                    </m:sSubPr>
                    <m:e>
                      <m:sSub>
                        <m:sSubPr>
                          <m:ctrlPr>
                            <w:rPr>
                              <w:rFonts w:ascii="Cambria Math" w:hAnsi="Cambria Math"/>
                              <w:i/>
                              <w:lang w:val="en-US"/>
                            </w:rPr>
                          </m:ctrlPr>
                        </m:sSubPr>
                        <m:e>
                          <m:sSup>
                            <m:sSupPr>
                              <m:ctrlPr>
                                <w:rPr>
                                  <w:rFonts w:ascii="Cambria Math" w:hAnsi="Cambria Math"/>
                                  <w:i/>
                                  <w:lang w:val="en-US"/>
                                </w:rPr>
                              </m:ctrlPr>
                            </m:sSupPr>
                            <m:e>
                              <m:r>
                                <w:rPr>
                                  <w:rFonts w:ascii="Cambria Math" w:hAnsi="Cambria Math"/>
                                  <w:lang w:val="en-US"/>
                                </w:rPr>
                                <m:t>alignment in scope</m:t>
                              </m:r>
                            </m:e>
                            <m:sup>
                              <m:r>
                                <w:rPr>
                                  <w:rFonts w:ascii="Cambria Math" w:hAnsi="Cambria Math"/>
                                  <w:lang w:val="en-US"/>
                                </w:rPr>
                                <m:t>1</m:t>
                              </m:r>
                            </m:sup>
                          </m:sSup>
                          <m:r>
                            <w:rPr>
                              <w:rFonts w:ascii="Cambria Math" w:hAnsi="Cambria Math"/>
                              <w:lang w:val="en-US"/>
                            </w:rPr>
                            <m:t>equity or debt investments</m:t>
                          </m:r>
                        </m:e>
                        <m:sub>
                          <m:r>
                            <w:rPr>
                              <w:rFonts w:ascii="Cambria Math" w:hAnsi="Cambria Math"/>
                              <w:lang w:val="en-US"/>
                            </w:rPr>
                            <m:t>n</m:t>
                          </m:r>
                        </m:sub>
                      </m:sSub>
                    </m:e>
                    <m:sub>
                      <m:r>
                        <w:rPr>
                          <w:rFonts w:ascii="Cambria Math" w:hAnsi="Cambria Math"/>
                          <w:lang w:val="en-US"/>
                        </w:rPr>
                        <m:t>cat 1 or 2</m:t>
                      </m:r>
                    </m:sub>
                  </m:sSub>
                </m:e>
              </m:nary>
              <m:r>
                <w:rPr>
                  <w:rFonts w:ascii="Cambria Math" w:hAnsi="Cambria Math"/>
                  <w:lang w:val="en-US"/>
                </w:rPr>
                <m:t xml:space="preserve"> +</m:t>
              </m:r>
              <m:sSup>
                <m:sSupPr>
                  <m:ctrlPr>
                    <w:rPr>
                      <w:rFonts w:ascii="Cambria Math" w:hAnsi="Cambria Math"/>
                      <w:i/>
                      <w:lang w:val="en-US"/>
                    </w:rPr>
                  </m:ctrlPr>
                </m:sSupPr>
                <m:e>
                  <m:nary>
                    <m:naryPr>
                      <m:chr m:val="∑"/>
                      <m:limLoc m:val="undOvr"/>
                      <m:ctrlPr>
                        <w:rPr>
                          <w:rFonts w:ascii="Cambria Math" w:hAnsi="Cambria Math"/>
                          <w:i/>
                          <w:lang w:val="en-US"/>
                        </w:rPr>
                      </m:ctrlPr>
                    </m:naryPr>
                    <m:sub>
                      <m:r>
                        <w:rPr>
                          <w:rFonts w:ascii="Cambria Math" w:hAnsi="Cambria Math"/>
                          <w:lang w:val="en-US"/>
                        </w:rPr>
                        <m:t>i</m:t>
                      </m:r>
                    </m:sub>
                    <m:sup>
                      <m:r>
                        <w:rPr>
                          <w:rFonts w:ascii="Cambria Math" w:hAnsi="Cambria Math"/>
                          <w:lang w:val="en-US"/>
                        </w:rPr>
                        <m:t>n</m:t>
                      </m:r>
                    </m:sup>
                    <m:e>
                      <m:r>
                        <w:rPr>
                          <w:rFonts w:ascii="Cambria Math" w:hAnsi="Cambria Math"/>
                          <w:lang w:val="en-US"/>
                        </w:rPr>
                        <m:t>g</m:t>
                      </m:r>
                      <m:sSub>
                        <m:sSubPr>
                          <m:ctrlPr>
                            <w:rPr>
                              <w:rFonts w:ascii="Cambria Math" w:hAnsi="Cambria Math"/>
                              <w:i/>
                              <w:lang w:val="en-US"/>
                            </w:rPr>
                          </m:ctrlPr>
                        </m:sSubPr>
                        <m:e>
                          <m:r>
                            <w:rPr>
                              <w:rFonts w:ascii="Cambria Math" w:hAnsi="Cambria Math"/>
                              <w:lang w:val="en-US"/>
                            </w:rPr>
                            <m:t>reen or use-of-proceeds bonds</m:t>
                          </m:r>
                        </m:e>
                        <m:sub>
                          <m:r>
                            <w:rPr>
                              <w:rFonts w:ascii="Cambria Math" w:hAnsi="Cambria Math"/>
                              <w:lang w:val="en-US"/>
                            </w:rPr>
                            <m:t>i</m:t>
                          </m:r>
                        </m:sub>
                      </m:sSub>
                    </m:e>
                  </m:nary>
                </m:e>
                <m:sup>
                  <m:r>
                    <w:rPr>
                      <w:rFonts w:ascii="Cambria Math" w:hAnsi="Cambria Math"/>
                      <w:lang w:val="en-US"/>
                    </w:rPr>
                    <m:t>2</m:t>
                  </m:r>
                </m:sup>
              </m:sSup>
              <m:r>
                <w:rPr>
                  <w:rFonts w:ascii="Cambria Math" w:hAnsi="Cambria Math"/>
                  <w:lang w:val="en-US"/>
                </w:rPr>
                <m:t xml:space="preserve"> </m:t>
              </m:r>
            </m:num>
            <m:den>
              <m:nary>
                <m:naryPr>
                  <m:chr m:val="∑"/>
                  <m:limLoc m:val="undOvr"/>
                  <m:ctrlPr>
                    <w:rPr>
                      <w:rFonts w:ascii="Cambria Math" w:hAnsi="Cambria Math"/>
                      <w:i/>
                      <w:lang w:val="en-US"/>
                    </w:rPr>
                  </m:ctrlPr>
                </m:naryPr>
                <m:sub>
                  <m:r>
                    <w:rPr>
                      <w:rFonts w:ascii="Cambria Math" w:hAnsi="Cambria Math"/>
                      <w:lang w:val="en-US"/>
                    </w:rPr>
                    <m:t>n</m:t>
                  </m:r>
                </m:sub>
                <m:sup>
                  <m:r>
                    <w:rPr>
                      <w:rFonts w:ascii="Cambria Math" w:hAnsi="Cambria Math"/>
                      <w:lang w:val="en-US"/>
                    </w:rPr>
                    <m:t>i</m:t>
                  </m:r>
                </m:sup>
                <m:e>
                  <m:sSub>
                    <m:sSubPr>
                      <m:ctrlPr>
                        <w:rPr>
                          <w:rFonts w:ascii="Cambria Math" w:hAnsi="Cambria Math"/>
                          <w:i/>
                          <w:lang w:val="en-US"/>
                        </w:rPr>
                      </m:ctrlPr>
                    </m:sSubPr>
                    <m:e>
                      <m:r>
                        <w:rPr>
                          <w:rFonts w:ascii="Cambria Math" w:hAnsi="Cambria Math"/>
                          <w:lang w:val="en-US"/>
                        </w:rPr>
                        <m:t>value asset</m:t>
                      </m:r>
                    </m:e>
                    <m:sub>
                      <m:r>
                        <w:rPr>
                          <w:rFonts w:ascii="Cambria Math" w:hAnsi="Cambria Math"/>
                          <w:lang w:val="en-US"/>
                        </w:rPr>
                        <m:t>i</m:t>
                      </m:r>
                    </m:sub>
                  </m:sSub>
                  <m:r>
                    <w:rPr>
                      <w:rFonts w:ascii="Cambria Math" w:hAnsi="Cambria Math"/>
                      <w:lang w:val="en-US"/>
                    </w:rPr>
                    <m:t xml:space="preserve"> in the financial product</m:t>
                  </m:r>
                </m:e>
              </m:nary>
            </m:den>
          </m:f>
        </m:oMath>
      </m:oMathPara>
    </w:p>
    <w:p w14:paraId="100BD0E8" w14:textId="77777777" w:rsidR="00CB6A46" w:rsidRPr="005A26CF" w:rsidRDefault="00CB6A46" w:rsidP="00CB6A46">
      <w:pPr>
        <w:jc w:val="both"/>
        <w:rPr>
          <w:lang w:val="en-US"/>
        </w:rPr>
      </w:pPr>
    </w:p>
    <w:p w14:paraId="305A11F3" w14:textId="77777777" w:rsidR="00CB6A46" w:rsidRPr="005A26CF" w:rsidRDefault="00CB6A46" w:rsidP="00CB6A46">
      <w:pPr>
        <w:jc w:val="both"/>
        <w:rPr>
          <w:lang w:val="en-US"/>
        </w:rPr>
      </w:pPr>
    </w:p>
    <w:p w14:paraId="0A6F5D90" w14:textId="0E48D085" w:rsidR="00CB6A46" w:rsidRPr="005A26CF" w:rsidRDefault="00CB6A46" w:rsidP="00CB6A46">
      <w:pPr>
        <w:jc w:val="both"/>
        <w:rPr>
          <w:i/>
          <w:szCs w:val="20"/>
          <w:lang w:val="en-US"/>
        </w:rPr>
      </w:pPr>
      <w:r w:rsidRPr="005A26CF">
        <w:rPr>
          <w:i/>
          <w:szCs w:val="20"/>
          <w:vertAlign w:val="superscript"/>
          <w:lang w:val="en-US"/>
        </w:rPr>
        <w:t>1</w:t>
      </w:r>
      <w:r w:rsidRPr="005A26CF">
        <w:rPr>
          <w:i/>
          <w:szCs w:val="20"/>
          <w:lang w:val="en-US"/>
        </w:rPr>
        <w:t xml:space="preserve">  Derivatives do not qualify as </w:t>
      </w:r>
      <w:r w:rsidR="006E1D8E" w:rsidRPr="005A26CF">
        <w:rPr>
          <w:i/>
          <w:szCs w:val="20"/>
          <w:lang w:val="en-US"/>
        </w:rPr>
        <w:t xml:space="preserve">in scope </w:t>
      </w:r>
      <w:r w:rsidRPr="005A26CF">
        <w:rPr>
          <w:i/>
          <w:szCs w:val="20"/>
          <w:lang w:val="en-US"/>
        </w:rPr>
        <w:t>investments</w:t>
      </w:r>
      <w:r w:rsidR="00DA1A66" w:rsidRPr="005A26CF">
        <w:rPr>
          <w:i/>
          <w:szCs w:val="20"/>
          <w:lang w:val="en-US"/>
        </w:rPr>
        <w:t>. Please see further comments on treatment of derivatives qualified below.</w:t>
      </w:r>
    </w:p>
    <w:p w14:paraId="6227A4E4" w14:textId="35E426E6" w:rsidR="00CB6A46" w:rsidRPr="009A51AB" w:rsidRDefault="00CB6A46" w:rsidP="00CB6A46">
      <w:pPr>
        <w:jc w:val="both"/>
        <w:rPr>
          <w:rFonts w:cs="Arial"/>
        </w:rPr>
      </w:pPr>
      <w:r w:rsidRPr="005A26CF">
        <w:rPr>
          <w:i/>
          <w:szCs w:val="20"/>
          <w:vertAlign w:val="superscript"/>
          <w:lang w:val="en-US"/>
        </w:rPr>
        <w:t>2</w:t>
      </w:r>
      <w:r w:rsidRPr="005A26CF">
        <w:rPr>
          <w:i/>
          <w:szCs w:val="20"/>
          <w:lang w:val="en-US"/>
        </w:rPr>
        <w:t xml:space="preserve">  Green corporate and sovereign bonds issued under EU-GBS qualify for 100% of their value. Green</w:t>
      </w:r>
      <w:r w:rsidR="006E1D8E" w:rsidRPr="005A26CF">
        <w:rPr>
          <w:i/>
          <w:szCs w:val="20"/>
          <w:lang w:val="en-US"/>
        </w:rPr>
        <w:t xml:space="preserve"> or use-of-proceeds</w:t>
      </w:r>
      <w:r w:rsidRPr="005A26CF">
        <w:rPr>
          <w:i/>
          <w:szCs w:val="20"/>
          <w:lang w:val="en-US"/>
        </w:rPr>
        <w:t xml:space="preserve"> corporate and sovereign bonds issued under a different framework qu</w:t>
      </w:r>
      <w:r w:rsidRPr="0002680A">
        <w:rPr>
          <w:i/>
          <w:szCs w:val="20"/>
          <w:lang w:val="en-US"/>
        </w:rPr>
        <w:t>alify for the</w:t>
      </w:r>
      <w:r>
        <w:rPr>
          <w:i/>
          <w:szCs w:val="20"/>
          <w:lang w:val="en-US"/>
        </w:rPr>
        <w:t xml:space="preserve"> </w:t>
      </w:r>
      <w:r w:rsidRPr="0002680A">
        <w:rPr>
          <w:i/>
          <w:szCs w:val="20"/>
          <w:lang w:val="en-US"/>
        </w:rPr>
        <w:t>p</w:t>
      </w:r>
      <w:r>
        <w:rPr>
          <w:i/>
          <w:szCs w:val="20"/>
          <w:lang w:val="en-US"/>
        </w:rPr>
        <w:t xml:space="preserve">roportion of value </w:t>
      </w:r>
      <w:r w:rsidRPr="0002680A">
        <w:rPr>
          <w:i/>
          <w:szCs w:val="20"/>
          <w:lang w:val="en-US"/>
        </w:rPr>
        <w:t>that corresponds to the share of proceeds used for environmentally sustainable economic</w:t>
      </w:r>
      <w:r>
        <w:rPr>
          <w:i/>
          <w:szCs w:val="20"/>
          <w:lang w:val="en-US"/>
        </w:rPr>
        <w:t xml:space="preserve"> </w:t>
      </w:r>
      <w:r w:rsidRPr="0002680A">
        <w:rPr>
          <w:i/>
          <w:szCs w:val="20"/>
          <w:lang w:val="en-US"/>
        </w:rPr>
        <w:t>activities (see definition RTS)</w:t>
      </w:r>
      <w:r>
        <w:rPr>
          <w:i/>
          <w:szCs w:val="20"/>
          <w:lang w:val="en-US"/>
        </w:rPr>
        <w:t xml:space="preserve">. If the portion of proceeds invested in line with the Taxonomy is unknown, then the % of turnover, </w:t>
      </w:r>
      <w:r w:rsidR="001520D5">
        <w:rPr>
          <w:i/>
          <w:szCs w:val="20"/>
          <w:lang w:val="en-US"/>
        </w:rPr>
        <w:t>CapEx</w:t>
      </w:r>
      <w:r>
        <w:rPr>
          <w:i/>
          <w:szCs w:val="20"/>
          <w:lang w:val="en-US"/>
        </w:rPr>
        <w:t xml:space="preserve"> and </w:t>
      </w:r>
      <w:r w:rsidR="001520D5">
        <w:rPr>
          <w:i/>
          <w:szCs w:val="20"/>
          <w:lang w:val="en-US"/>
        </w:rPr>
        <w:t>OpEx</w:t>
      </w:r>
      <w:r>
        <w:rPr>
          <w:i/>
          <w:szCs w:val="20"/>
          <w:lang w:val="en-US"/>
        </w:rPr>
        <w:t xml:space="preserve"> can be used as a proxy for the calculation (ie. Such green bonds are treated as general </w:t>
      </w:r>
      <w:r w:rsidRPr="009A51AB">
        <w:rPr>
          <w:i/>
          <w:szCs w:val="20"/>
          <w:lang w:val="en-US"/>
        </w:rPr>
        <w:t xml:space="preserve">purpose bonds). Note that if the issuer is a public sector actor only those green bonds for which the alignment can be calculated will be able to be included as there is no country </w:t>
      </w:r>
      <w:r w:rsidR="006E1D8E">
        <w:rPr>
          <w:i/>
          <w:szCs w:val="20"/>
          <w:lang w:val="en-US"/>
        </w:rPr>
        <w:t xml:space="preserve">or public sector </w:t>
      </w:r>
      <w:r w:rsidRPr="009A51AB">
        <w:rPr>
          <w:i/>
          <w:szCs w:val="20"/>
          <w:lang w:val="en-US"/>
        </w:rPr>
        <w:t>reporting against the Taxonomy.</w:t>
      </w:r>
    </w:p>
    <w:p w14:paraId="2412C0DA" w14:textId="77777777" w:rsidR="008565A4" w:rsidRPr="009A51AB" w:rsidRDefault="008565A4" w:rsidP="00784383">
      <w:pPr>
        <w:rPr>
          <w:rFonts w:cs="Arial"/>
        </w:rPr>
      </w:pPr>
    </w:p>
    <w:p w14:paraId="403C79E8" w14:textId="6A6A5D8C" w:rsidR="00CB6A46" w:rsidRPr="009A51AB" w:rsidRDefault="003C6EEE" w:rsidP="0000590A">
      <w:pPr>
        <w:jc w:val="both"/>
        <w:rPr>
          <w:rFonts w:cs="Arial"/>
        </w:rPr>
      </w:pPr>
      <w:r>
        <w:rPr>
          <w:rFonts w:cs="Arial"/>
        </w:rPr>
        <w:t>E</w:t>
      </w:r>
      <w:r w:rsidR="00784383" w:rsidRPr="009A51AB">
        <w:rPr>
          <w:rFonts w:cs="Arial"/>
        </w:rPr>
        <w:t xml:space="preserve">xclusions in terms of asset classes </w:t>
      </w:r>
      <w:r>
        <w:rPr>
          <w:rFonts w:cs="Arial"/>
        </w:rPr>
        <w:t>should be</w:t>
      </w:r>
      <w:r w:rsidR="00784383" w:rsidRPr="009A51AB">
        <w:rPr>
          <w:rFonts w:cs="Arial"/>
        </w:rPr>
        <w:t xml:space="preserve"> consistent at </w:t>
      </w:r>
      <w:r>
        <w:rPr>
          <w:rFonts w:cs="Arial"/>
        </w:rPr>
        <w:t>the asset manager-level and</w:t>
      </w:r>
      <w:r w:rsidR="00784383" w:rsidRPr="009A51AB">
        <w:rPr>
          <w:rFonts w:cs="Arial"/>
        </w:rPr>
        <w:t xml:space="preserve"> </w:t>
      </w:r>
      <w:r>
        <w:rPr>
          <w:rFonts w:cs="Arial"/>
        </w:rPr>
        <w:t>portfolio-level, as well as for</w:t>
      </w:r>
      <w:r w:rsidR="00784383" w:rsidRPr="009A51AB">
        <w:rPr>
          <w:rFonts w:cs="Arial"/>
        </w:rPr>
        <w:t xml:space="preserve"> credit portfolios and investment firms. </w:t>
      </w:r>
      <w:r>
        <w:rPr>
          <w:rFonts w:cs="Arial"/>
        </w:rPr>
        <w:t>As highlighted above, the Platform</w:t>
      </w:r>
      <w:r w:rsidR="00784383" w:rsidRPr="009A51AB">
        <w:rPr>
          <w:rFonts w:cs="Arial"/>
        </w:rPr>
        <w:t xml:space="preserve"> recommend</w:t>
      </w:r>
      <w:r>
        <w:rPr>
          <w:rFonts w:cs="Arial"/>
        </w:rPr>
        <w:t>s</w:t>
      </w:r>
      <w:r w:rsidR="00784383" w:rsidRPr="009A51AB">
        <w:rPr>
          <w:rFonts w:cs="Arial"/>
        </w:rPr>
        <w:t xml:space="preserve"> the exclusions of cash, goodwill, sovereign debt (except for </w:t>
      </w:r>
      <w:r w:rsidR="001520D5">
        <w:rPr>
          <w:rFonts w:cs="Arial"/>
        </w:rPr>
        <w:t>Taxonomy</w:t>
      </w:r>
      <w:r w:rsidR="007200BD">
        <w:rPr>
          <w:rFonts w:cs="Arial"/>
        </w:rPr>
        <w:t>-</w:t>
      </w:r>
      <w:r w:rsidR="004D0830" w:rsidRPr="009A51AB">
        <w:rPr>
          <w:rFonts w:cs="Arial"/>
        </w:rPr>
        <w:t xml:space="preserve">aligned </w:t>
      </w:r>
      <w:r w:rsidR="00784383" w:rsidRPr="009A51AB">
        <w:rPr>
          <w:rFonts w:cs="Arial"/>
        </w:rPr>
        <w:t>use-of-proceeds debt products)</w:t>
      </w:r>
      <w:r w:rsidR="00CB6A46" w:rsidRPr="009A51AB">
        <w:rPr>
          <w:rFonts w:cs="Arial"/>
        </w:rPr>
        <w:t xml:space="preserve">, </w:t>
      </w:r>
      <w:r w:rsidR="005D3714" w:rsidRPr="009A51AB">
        <w:rPr>
          <w:rFonts w:cs="Arial"/>
        </w:rPr>
        <w:t xml:space="preserve">foreign currencies, commodities, precious metals and cryptocurrencies. </w:t>
      </w:r>
    </w:p>
    <w:p w14:paraId="3D18003C" w14:textId="1F8B9B28" w:rsidR="00CB6A46" w:rsidRDefault="00CB6A46" w:rsidP="0000590A">
      <w:pPr>
        <w:jc w:val="both"/>
        <w:rPr>
          <w:rFonts w:cs="Arial"/>
        </w:rPr>
      </w:pPr>
    </w:p>
    <w:p w14:paraId="49CC0248" w14:textId="785D7586" w:rsidR="00AB7D66" w:rsidRPr="005A26CF" w:rsidRDefault="003C6EEE" w:rsidP="0000590A">
      <w:pPr>
        <w:jc w:val="both"/>
        <w:rPr>
          <w:rFonts w:cs="Arial"/>
        </w:rPr>
      </w:pPr>
      <w:r>
        <w:rPr>
          <w:rFonts w:cs="Arial"/>
        </w:rPr>
        <w:t>Nonetheless, t</w:t>
      </w:r>
      <w:r w:rsidR="00AB7D66" w:rsidRPr="005A26CF">
        <w:rPr>
          <w:rFonts w:cs="Arial"/>
        </w:rPr>
        <w:t>he Platform acknowledges that the treatment of derivatives requires careful consideration. Derivative instruments may be used:</w:t>
      </w:r>
    </w:p>
    <w:p w14:paraId="03544796" w14:textId="7856EE25" w:rsidR="00AB7D66" w:rsidRPr="005A26CF" w:rsidRDefault="00AB7D66" w:rsidP="0000590A">
      <w:pPr>
        <w:pStyle w:val="Prrafodelista"/>
        <w:numPr>
          <w:ilvl w:val="0"/>
          <w:numId w:val="53"/>
        </w:numPr>
        <w:jc w:val="both"/>
        <w:rPr>
          <w:rFonts w:cs="Arial"/>
        </w:rPr>
      </w:pPr>
      <w:r w:rsidRPr="005A26CF">
        <w:rPr>
          <w:rFonts w:cs="Arial"/>
        </w:rPr>
        <w:t>For market access, notably into emerging markets where the investor does not have direct access to purchase the underlying secu</w:t>
      </w:r>
      <w:r w:rsidR="003C6EEE">
        <w:rPr>
          <w:rFonts w:cs="Arial"/>
        </w:rPr>
        <w:t>rity;</w:t>
      </w:r>
    </w:p>
    <w:p w14:paraId="21963293" w14:textId="2CFEC97A" w:rsidR="00AB7D66" w:rsidRPr="005A26CF" w:rsidRDefault="00AB7D66" w:rsidP="0000590A">
      <w:pPr>
        <w:pStyle w:val="Prrafodelista"/>
        <w:numPr>
          <w:ilvl w:val="0"/>
          <w:numId w:val="53"/>
        </w:numPr>
        <w:jc w:val="both"/>
        <w:rPr>
          <w:rFonts w:cs="Arial"/>
        </w:rPr>
      </w:pPr>
      <w:r w:rsidRPr="005A26CF">
        <w:rPr>
          <w:rFonts w:cs="Arial"/>
        </w:rPr>
        <w:t xml:space="preserve">For hedging activities, </w:t>
      </w:r>
      <w:r w:rsidR="00D93C90" w:rsidRPr="005A26CF">
        <w:rPr>
          <w:rFonts w:cs="Arial"/>
        </w:rPr>
        <w:t xml:space="preserve">for example </w:t>
      </w:r>
      <w:r w:rsidRPr="005A26CF">
        <w:rPr>
          <w:rFonts w:cs="Arial"/>
        </w:rPr>
        <w:t>related to mitigating interest rate or equity market risk</w:t>
      </w:r>
      <w:r w:rsidR="003C6EEE">
        <w:rPr>
          <w:rFonts w:cs="Arial"/>
        </w:rPr>
        <w:t>; and</w:t>
      </w:r>
    </w:p>
    <w:p w14:paraId="7CD06E44" w14:textId="0363F6F3" w:rsidR="00AB7D66" w:rsidRPr="005A26CF" w:rsidRDefault="00AB7D66" w:rsidP="0000590A">
      <w:pPr>
        <w:pStyle w:val="Prrafodelista"/>
        <w:numPr>
          <w:ilvl w:val="0"/>
          <w:numId w:val="53"/>
        </w:numPr>
        <w:jc w:val="both"/>
        <w:rPr>
          <w:rFonts w:cs="Arial"/>
        </w:rPr>
      </w:pPr>
      <w:r w:rsidRPr="005A26CF">
        <w:rPr>
          <w:rFonts w:cs="Arial"/>
        </w:rPr>
        <w:t>As part of a sustainable investment strategy</w:t>
      </w:r>
      <w:r w:rsidR="003C6EEE">
        <w:rPr>
          <w:rFonts w:cs="Arial"/>
        </w:rPr>
        <w:t>.</w:t>
      </w:r>
    </w:p>
    <w:p w14:paraId="00EAD997" w14:textId="474BC734" w:rsidR="00AB7D66" w:rsidRPr="005A26CF" w:rsidRDefault="00AB7D66" w:rsidP="0000590A">
      <w:pPr>
        <w:jc w:val="both"/>
        <w:rPr>
          <w:rFonts w:cs="Arial"/>
        </w:rPr>
      </w:pPr>
    </w:p>
    <w:p w14:paraId="40F692F5" w14:textId="13BBB6F3" w:rsidR="00AB7D66" w:rsidRPr="005A26CF" w:rsidRDefault="00AB7D66" w:rsidP="0000590A">
      <w:pPr>
        <w:jc w:val="both"/>
        <w:rPr>
          <w:rFonts w:cs="Arial"/>
        </w:rPr>
      </w:pPr>
      <w:r w:rsidRPr="005A26CF">
        <w:rPr>
          <w:rFonts w:cs="Arial"/>
        </w:rPr>
        <w:t>Derivativ</w:t>
      </w:r>
      <w:r w:rsidR="003C6EEE">
        <w:rPr>
          <w:rFonts w:cs="Arial"/>
        </w:rPr>
        <w:t>e instruments, whether exchange-traded or over-the-</w:t>
      </w:r>
      <w:r w:rsidRPr="005A26CF">
        <w:rPr>
          <w:rFonts w:cs="Arial"/>
        </w:rPr>
        <w:t>counter, require careful consideration in the cont</w:t>
      </w:r>
      <w:r w:rsidR="007200BD">
        <w:rPr>
          <w:rFonts w:cs="Arial"/>
        </w:rPr>
        <w:t>ext of Taxonomy-</w:t>
      </w:r>
      <w:r w:rsidRPr="005A26CF">
        <w:rPr>
          <w:rFonts w:cs="Arial"/>
        </w:rPr>
        <w:t>aligned reporting. Concerns regar</w:t>
      </w:r>
      <w:r w:rsidR="003C6EEE">
        <w:rPr>
          <w:rFonts w:cs="Arial"/>
        </w:rPr>
        <w:t>ding the use of derivatives in T</w:t>
      </w:r>
      <w:r w:rsidRPr="005A26CF">
        <w:rPr>
          <w:rFonts w:cs="Arial"/>
        </w:rPr>
        <w:t>axonomy reporting would be:</w:t>
      </w:r>
    </w:p>
    <w:p w14:paraId="4CC27A89" w14:textId="756D0373" w:rsidR="00AB7D66" w:rsidRPr="005A26CF" w:rsidRDefault="00AB7D66" w:rsidP="0000590A">
      <w:pPr>
        <w:pStyle w:val="Prrafodelista"/>
        <w:numPr>
          <w:ilvl w:val="0"/>
          <w:numId w:val="54"/>
        </w:numPr>
        <w:jc w:val="both"/>
        <w:rPr>
          <w:rFonts w:cs="Arial"/>
        </w:rPr>
      </w:pPr>
      <w:r w:rsidRPr="005A26CF">
        <w:rPr>
          <w:rFonts w:cs="Arial"/>
        </w:rPr>
        <w:t xml:space="preserve">Lack of ownership of the underlying asset, and no direct transfer of capital to the underlying company. </w:t>
      </w:r>
    </w:p>
    <w:p w14:paraId="7BFBE331" w14:textId="611812C0" w:rsidR="00AB7D66" w:rsidRPr="005A26CF" w:rsidRDefault="00AB7D66" w:rsidP="0000590A">
      <w:pPr>
        <w:pStyle w:val="Prrafodelista"/>
        <w:numPr>
          <w:ilvl w:val="0"/>
          <w:numId w:val="54"/>
        </w:numPr>
        <w:jc w:val="both"/>
        <w:rPr>
          <w:rFonts w:cs="Arial"/>
        </w:rPr>
      </w:pPr>
      <w:r w:rsidRPr="005A26CF">
        <w:rPr>
          <w:rFonts w:cs="Arial"/>
        </w:rPr>
        <w:t xml:space="preserve">The notional value of derivative contracts far outweighs the issuance value of the underlying securities; as </w:t>
      </w:r>
      <w:r w:rsidR="003C6EEE">
        <w:rPr>
          <w:rFonts w:cs="Arial"/>
        </w:rPr>
        <w:t>seen with</w:t>
      </w:r>
      <w:r w:rsidRPr="005A26CF">
        <w:rPr>
          <w:rFonts w:cs="Arial"/>
        </w:rPr>
        <w:t xml:space="preserve"> credit markets where physical settlement on default was not possible as the CDS contracts notional far exceeded the debt issued.</w:t>
      </w:r>
    </w:p>
    <w:p w14:paraId="224A91A2" w14:textId="4EEDCF00" w:rsidR="00AB7D66" w:rsidRPr="005A26CF" w:rsidRDefault="00AB7D66" w:rsidP="0000590A">
      <w:pPr>
        <w:pStyle w:val="Prrafodelista"/>
        <w:numPr>
          <w:ilvl w:val="0"/>
          <w:numId w:val="54"/>
        </w:numPr>
        <w:jc w:val="both"/>
        <w:rPr>
          <w:rFonts w:cs="Arial"/>
        </w:rPr>
      </w:pPr>
      <w:r w:rsidRPr="005A26CF">
        <w:rPr>
          <w:rFonts w:cs="Arial"/>
        </w:rPr>
        <w:t>Permitting derivatives would allow for Taxonomy inflation</w:t>
      </w:r>
      <w:r w:rsidR="00D93C90" w:rsidRPr="005A26CF">
        <w:rPr>
          <w:rFonts w:cs="Arial"/>
        </w:rPr>
        <w:t xml:space="preserve">, misrepresenting </w:t>
      </w:r>
      <w:r w:rsidR="007200BD">
        <w:rPr>
          <w:rFonts w:cs="Arial"/>
        </w:rPr>
        <w:t>the scale of investment in the Taxonomy-</w:t>
      </w:r>
      <w:r w:rsidR="00D93C90" w:rsidRPr="005A26CF">
        <w:rPr>
          <w:rFonts w:cs="Arial"/>
        </w:rPr>
        <w:t>aligned activity.</w:t>
      </w:r>
    </w:p>
    <w:p w14:paraId="4F11A225" w14:textId="5E3892E9" w:rsidR="00AB7D66" w:rsidRPr="005A26CF" w:rsidRDefault="007200BD" w:rsidP="0000590A">
      <w:pPr>
        <w:pStyle w:val="Prrafodelista"/>
        <w:numPr>
          <w:ilvl w:val="0"/>
          <w:numId w:val="54"/>
        </w:numPr>
        <w:jc w:val="both"/>
        <w:rPr>
          <w:rFonts w:cs="Arial"/>
        </w:rPr>
      </w:pPr>
      <w:r>
        <w:rPr>
          <w:rFonts w:cs="Arial"/>
        </w:rPr>
        <w:t>If T</w:t>
      </w:r>
      <w:r w:rsidR="00D93C90" w:rsidRPr="005A26CF">
        <w:rPr>
          <w:rFonts w:cs="Arial"/>
        </w:rPr>
        <w:t xml:space="preserve">axonomy reporting </w:t>
      </w:r>
      <w:r w:rsidR="0000590A">
        <w:rPr>
          <w:rFonts w:cs="Arial"/>
        </w:rPr>
        <w:t>permits only</w:t>
      </w:r>
      <w:r w:rsidR="00D93C90" w:rsidRPr="005A26CF">
        <w:rPr>
          <w:rFonts w:cs="Arial"/>
        </w:rPr>
        <w:t xml:space="preserve"> certain types of derivative instrument</w:t>
      </w:r>
      <w:r w:rsidR="0000590A">
        <w:rPr>
          <w:rFonts w:cs="Arial"/>
        </w:rPr>
        <w:t>s</w:t>
      </w:r>
      <w:r w:rsidR="00D93C90" w:rsidRPr="005A26CF">
        <w:rPr>
          <w:rFonts w:cs="Arial"/>
        </w:rPr>
        <w:t xml:space="preserve">, then arbitrage opportunities </w:t>
      </w:r>
      <w:r w:rsidR="0000590A">
        <w:rPr>
          <w:rFonts w:cs="Arial"/>
        </w:rPr>
        <w:t xml:space="preserve">are created </w:t>
      </w:r>
      <w:r w:rsidR="00D93C90" w:rsidRPr="005A26CF">
        <w:rPr>
          <w:rFonts w:cs="Arial"/>
        </w:rPr>
        <w:t>between permitted and non-permitted derivative instruments (e.g.</w:t>
      </w:r>
      <w:r w:rsidR="007F7342">
        <w:rPr>
          <w:rFonts w:cs="Arial"/>
        </w:rPr>
        <w:t>,</w:t>
      </w:r>
      <w:r w:rsidR="00D93C90" w:rsidRPr="005A26CF">
        <w:rPr>
          <w:rFonts w:cs="Arial"/>
        </w:rPr>
        <w:t xml:space="preserve"> if a single name CDS/TRS counts and a basket does not, then this will incentivise</w:t>
      </w:r>
      <w:r>
        <w:rPr>
          <w:rFonts w:cs="Arial"/>
        </w:rPr>
        <w:t xml:space="preserve"> investing behaviours to avoid T</w:t>
      </w:r>
      <w:r w:rsidR="00D93C90" w:rsidRPr="005A26CF">
        <w:rPr>
          <w:rFonts w:cs="Arial"/>
        </w:rPr>
        <w:t>a</w:t>
      </w:r>
      <w:r w:rsidR="0000590A">
        <w:rPr>
          <w:rFonts w:cs="Arial"/>
        </w:rPr>
        <w:t>xonomy reporting or exaggerate T</w:t>
      </w:r>
      <w:r w:rsidR="00D93C90" w:rsidRPr="005A26CF">
        <w:rPr>
          <w:rFonts w:cs="Arial"/>
        </w:rPr>
        <w:t>axonomy alignment)</w:t>
      </w:r>
    </w:p>
    <w:p w14:paraId="4125F294" w14:textId="7891C434" w:rsidR="00AB7D66" w:rsidRPr="005A26CF" w:rsidRDefault="00D93C90" w:rsidP="0000590A">
      <w:pPr>
        <w:pStyle w:val="Prrafodelista"/>
        <w:numPr>
          <w:ilvl w:val="0"/>
          <w:numId w:val="54"/>
        </w:numPr>
        <w:jc w:val="both"/>
        <w:rPr>
          <w:rFonts w:cs="Arial"/>
        </w:rPr>
      </w:pPr>
      <w:r w:rsidRPr="005A26CF">
        <w:rPr>
          <w:rFonts w:cs="Arial"/>
        </w:rPr>
        <w:t>D</w:t>
      </w:r>
      <w:r w:rsidR="00AB7D66" w:rsidRPr="005A26CF">
        <w:rPr>
          <w:rFonts w:cs="Arial"/>
        </w:rPr>
        <w:t xml:space="preserve">erivative </w:t>
      </w:r>
      <w:r w:rsidRPr="005A26CF">
        <w:rPr>
          <w:rFonts w:cs="Arial"/>
        </w:rPr>
        <w:t>contracts do not generate</w:t>
      </w:r>
      <w:r w:rsidR="00AB7D66" w:rsidRPr="005A26CF">
        <w:rPr>
          <w:rFonts w:cs="Arial"/>
        </w:rPr>
        <w:t xml:space="preserve"> real capital for real economy substantial contribution. </w:t>
      </w:r>
    </w:p>
    <w:p w14:paraId="0B20FA3A" w14:textId="094F2D5E" w:rsidR="00D93C90" w:rsidRPr="005A26CF" w:rsidRDefault="00D93C90" w:rsidP="0000590A">
      <w:pPr>
        <w:jc w:val="both"/>
        <w:rPr>
          <w:rFonts w:cs="Arial"/>
        </w:rPr>
      </w:pPr>
    </w:p>
    <w:p w14:paraId="67DDB074" w14:textId="3D884D00" w:rsidR="00350A15" w:rsidRPr="005A26CF" w:rsidRDefault="0000590A" w:rsidP="0000590A">
      <w:pPr>
        <w:jc w:val="both"/>
        <w:rPr>
          <w:rFonts w:cs="Arial"/>
        </w:rPr>
      </w:pPr>
      <w:r>
        <w:rPr>
          <w:rFonts w:cs="Arial"/>
        </w:rPr>
        <w:t>The Platform</w:t>
      </w:r>
      <w:r w:rsidR="008565A4" w:rsidRPr="005A26CF">
        <w:rPr>
          <w:rFonts w:cs="Arial"/>
        </w:rPr>
        <w:t xml:space="preserve"> </w:t>
      </w:r>
      <w:r w:rsidR="0094492A" w:rsidRPr="005A26CF">
        <w:rPr>
          <w:rFonts w:cs="Arial"/>
        </w:rPr>
        <w:t xml:space="preserve">therefore </w:t>
      </w:r>
      <w:r w:rsidR="008565A4" w:rsidRPr="005A26CF">
        <w:rPr>
          <w:rFonts w:cs="Arial"/>
        </w:rPr>
        <w:t>recommend</w:t>
      </w:r>
      <w:r>
        <w:rPr>
          <w:rFonts w:cs="Arial"/>
        </w:rPr>
        <w:t>s</w:t>
      </w:r>
      <w:r w:rsidR="008565A4" w:rsidRPr="005A26CF">
        <w:rPr>
          <w:rFonts w:cs="Arial"/>
        </w:rPr>
        <w:t xml:space="preserve"> the exclusion of derivatives at this stage</w:t>
      </w:r>
      <w:r>
        <w:rPr>
          <w:rFonts w:cs="Arial"/>
        </w:rPr>
        <w:t xml:space="preserve"> in calculating the T</w:t>
      </w:r>
      <w:r w:rsidR="008B5C90" w:rsidRPr="005A26CF">
        <w:rPr>
          <w:rFonts w:cs="Arial"/>
        </w:rPr>
        <w:t>axonomy alignment of the investment product</w:t>
      </w:r>
      <w:r w:rsidR="005A26CF" w:rsidRPr="005A26CF">
        <w:rPr>
          <w:rFonts w:cs="Arial"/>
        </w:rPr>
        <w:t>.</w:t>
      </w:r>
      <w:r>
        <w:rPr>
          <w:rFonts w:cs="Arial"/>
        </w:rPr>
        <w:t xml:space="preserve"> An </w:t>
      </w:r>
      <w:r w:rsidR="00CB6A46" w:rsidRPr="005A26CF">
        <w:rPr>
          <w:rFonts w:cs="Arial"/>
        </w:rPr>
        <w:t>in-depth analysis on how the Taxonomy could or should be applied for the different types of derivatives will be necessary bef</w:t>
      </w:r>
      <w:r>
        <w:rPr>
          <w:rFonts w:cs="Arial"/>
        </w:rPr>
        <w:t>ore including them in the scope, and</w:t>
      </w:r>
      <w:r w:rsidR="00CB6A46" w:rsidRPr="005A26CF">
        <w:rPr>
          <w:rFonts w:cs="Arial"/>
        </w:rPr>
        <w:t xml:space="preserve"> </w:t>
      </w:r>
      <w:r>
        <w:rPr>
          <w:rFonts w:cs="Arial"/>
        </w:rPr>
        <w:t xml:space="preserve">the Platform recommends </w:t>
      </w:r>
      <w:r w:rsidR="00CB6A46" w:rsidRPr="005A26CF">
        <w:rPr>
          <w:rFonts w:cs="Arial"/>
        </w:rPr>
        <w:t>thei</w:t>
      </w:r>
      <w:r w:rsidR="00350A15" w:rsidRPr="005A26CF">
        <w:rPr>
          <w:rFonts w:cs="Arial"/>
        </w:rPr>
        <w:t>r examination in the future. Careful and detailed consideration on the treatment of both long and short derivative positions should be given in three years time, because of the complexity and variety of use cases with derivatives.</w:t>
      </w:r>
    </w:p>
    <w:p w14:paraId="5C351935" w14:textId="77777777" w:rsidR="00350A15" w:rsidRPr="005A26CF" w:rsidRDefault="00350A15" w:rsidP="00350A15">
      <w:pPr>
        <w:rPr>
          <w:rFonts w:cs="Arial"/>
        </w:rPr>
      </w:pPr>
    </w:p>
    <w:p w14:paraId="2E4ED52B" w14:textId="3CB23F64" w:rsidR="00CB6A46" w:rsidRPr="00784383" w:rsidRDefault="0000590A" w:rsidP="0000590A">
      <w:pPr>
        <w:jc w:val="both"/>
        <w:rPr>
          <w:rFonts w:cs="Arial"/>
        </w:rPr>
      </w:pPr>
      <w:r>
        <w:rPr>
          <w:rFonts w:cs="Arial"/>
        </w:rPr>
        <w:t>The Platform encourages those</w:t>
      </w:r>
      <w:r w:rsidR="00350A15" w:rsidRPr="005A26CF">
        <w:rPr>
          <w:rFonts w:cs="Arial"/>
        </w:rPr>
        <w:t xml:space="preserve"> investors who use derivatives in their funds to explain how they relate to the Taxonomy, as part of the qualitative disclosures. This is supported by current guidance on treatment of derivatives within</w:t>
      </w:r>
      <w:r w:rsidR="005A26CF">
        <w:rPr>
          <w:rFonts w:cs="Arial"/>
        </w:rPr>
        <w:t xml:space="preserve"> </w:t>
      </w:r>
      <w:r w:rsidR="00350A15" w:rsidRPr="005A26CF">
        <w:rPr>
          <w:rFonts w:cs="Arial"/>
        </w:rPr>
        <w:t>SFDR</w:t>
      </w:r>
      <w:r w:rsidR="005A26CF">
        <w:rPr>
          <w:rFonts w:cs="Arial"/>
        </w:rPr>
        <w:t>.</w:t>
      </w:r>
      <w:r>
        <w:rPr>
          <w:rFonts w:cs="Arial"/>
        </w:rPr>
        <w:t xml:space="preserve"> The Platform</w:t>
      </w:r>
      <w:r w:rsidR="00CB6A46">
        <w:rPr>
          <w:rFonts w:cs="Arial"/>
        </w:rPr>
        <w:t xml:space="preserve"> equally recommend</w:t>
      </w:r>
      <w:r>
        <w:rPr>
          <w:rFonts w:cs="Arial"/>
        </w:rPr>
        <w:t>s</w:t>
      </w:r>
      <w:r w:rsidR="00CB6A46">
        <w:rPr>
          <w:rFonts w:cs="Arial"/>
        </w:rPr>
        <w:t xml:space="preserve"> the development</w:t>
      </w:r>
      <w:r>
        <w:rPr>
          <w:rFonts w:cs="Arial"/>
        </w:rPr>
        <w:t xml:space="preserve"> of </w:t>
      </w:r>
      <w:r w:rsidR="00CB6A46">
        <w:rPr>
          <w:rFonts w:cs="Arial"/>
        </w:rPr>
        <w:t>a methodology to apply the Taxonomy to sovereign debt and public sector actors beyond use-of-proceeds financial instruments</w:t>
      </w:r>
      <w:r>
        <w:rPr>
          <w:rFonts w:cs="Arial"/>
        </w:rPr>
        <w:t xml:space="preserve"> in the future</w:t>
      </w:r>
      <w:r w:rsidR="00CB6A46">
        <w:rPr>
          <w:rFonts w:cs="Arial"/>
        </w:rPr>
        <w:t xml:space="preserve">. </w:t>
      </w:r>
    </w:p>
    <w:p w14:paraId="0563A7F6" w14:textId="77777777" w:rsidR="00CB6A46" w:rsidRDefault="00CB6A46" w:rsidP="0000590A">
      <w:pPr>
        <w:jc w:val="both"/>
        <w:rPr>
          <w:rFonts w:cs="Arial"/>
        </w:rPr>
      </w:pPr>
    </w:p>
    <w:p w14:paraId="2E313CF2" w14:textId="1AF48867" w:rsidR="005D3714" w:rsidRDefault="005D3714" w:rsidP="0000590A">
      <w:pPr>
        <w:jc w:val="both"/>
        <w:rPr>
          <w:rFonts w:cs="Arial"/>
        </w:rPr>
      </w:pPr>
      <w:r w:rsidRPr="005D3714">
        <w:rPr>
          <w:rFonts w:cs="Arial"/>
        </w:rPr>
        <w:t xml:space="preserve">Private assets classes are investments that are not exchange traded, but can be part of an investment portfolio and a financial product as defined under SFDR. </w:t>
      </w:r>
      <w:r w:rsidR="00CB6A46">
        <w:rPr>
          <w:rFonts w:cs="Arial"/>
        </w:rPr>
        <w:t>T</w:t>
      </w:r>
      <w:r w:rsidRPr="005D3714">
        <w:rPr>
          <w:rFonts w:cs="Arial"/>
        </w:rPr>
        <w:t>hese asset classes a</w:t>
      </w:r>
      <w:r w:rsidR="00CB6A46">
        <w:rPr>
          <w:rFonts w:cs="Arial"/>
        </w:rPr>
        <w:t>r</w:t>
      </w:r>
      <w:r w:rsidRPr="005D3714">
        <w:rPr>
          <w:rFonts w:cs="Arial"/>
        </w:rPr>
        <w:t xml:space="preserve">e </w:t>
      </w:r>
      <w:r w:rsidR="00CB6A46">
        <w:rPr>
          <w:rFonts w:cs="Arial"/>
        </w:rPr>
        <w:t xml:space="preserve">therefore </w:t>
      </w:r>
      <w:r w:rsidRPr="005D3714">
        <w:rPr>
          <w:rFonts w:cs="Arial"/>
        </w:rPr>
        <w:t xml:space="preserve">relevant </w:t>
      </w:r>
      <w:r w:rsidR="00CB6A46">
        <w:rPr>
          <w:rFonts w:cs="Arial"/>
        </w:rPr>
        <w:t xml:space="preserve">when reporting </w:t>
      </w:r>
      <w:r w:rsidRPr="005D3714">
        <w:rPr>
          <w:rFonts w:cs="Arial"/>
        </w:rPr>
        <w:t>Taxonomy alignment.</w:t>
      </w:r>
      <w:r w:rsidR="00CB6A46">
        <w:rPr>
          <w:rFonts w:cs="Arial"/>
        </w:rPr>
        <w:t xml:space="preserve"> </w:t>
      </w:r>
      <w:r w:rsidR="00882AC3" w:rsidRPr="005D3714">
        <w:rPr>
          <w:rFonts w:cs="Arial"/>
        </w:rPr>
        <w:t xml:space="preserve">Just like for listed assets, the </w:t>
      </w:r>
      <w:r w:rsidR="001520D5">
        <w:rPr>
          <w:rFonts w:cs="Arial"/>
        </w:rPr>
        <w:t>Taxonomy</w:t>
      </w:r>
      <w:r w:rsidR="00882AC3" w:rsidRPr="005D3714">
        <w:rPr>
          <w:rFonts w:cs="Arial"/>
        </w:rPr>
        <w:t>-aligned reve</w:t>
      </w:r>
      <w:r w:rsidR="00882AC3">
        <w:rPr>
          <w:rFonts w:cs="Arial"/>
        </w:rPr>
        <w:t>nue of these investments could</w:t>
      </w:r>
      <w:r w:rsidR="00882AC3" w:rsidRPr="005D3714">
        <w:rPr>
          <w:rFonts w:cs="Arial"/>
        </w:rPr>
        <w:t xml:space="preserve"> be included in the numerator of the KPI calculation.</w:t>
      </w:r>
    </w:p>
    <w:p w14:paraId="5EE21892" w14:textId="77777777" w:rsidR="00CB6A46" w:rsidRDefault="00CB6A46" w:rsidP="0000590A">
      <w:pPr>
        <w:jc w:val="both"/>
        <w:rPr>
          <w:rFonts w:cs="Arial"/>
        </w:rPr>
      </w:pPr>
    </w:p>
    <w:p w14:paraId="431150C6" w14:textId="49E2DA02" w:rsidR="00CB6A46" w:rsidRPr="005D3714" w:rsidRDefault="0000590A" w:rsidP="0000590A">
      <w:pPr>
        <w:jc w:val="both"/>
        <w:rPr>
          <w:rFonts w:cs="Arial"/>
        </w:rPr>
      </w:pPr>
      <w:r>
        <w:rPr>
          <w:rFonts w:cs="Arial"/>
        </w:rPr>
        <w:t>The Platform</w:t>
      </w:r>
      <w:r w:rsidR="00CB6A46">
        <w:rPr>
          <w:rFonts w:cs="Arial"/>
        </w:rPr>
        <w:t xml:space="preserve"> recommend the inclusion of the following private asset classes: </w:t>
      </w:r>
    </w:p>
    <w:p w14:paraId="31FBE6D5" w14:textId="77777777" w:rsidR="005D3714" w:rsidRPr="005D3714" w:rsidRDefault="005D3714" w:rsidP="0000590A">
      <w:pPr>
        <w:jc w:val="both"/>
        <w:rPr>
          <w:rFonts w:cs="Arial"/>
        </w:rPr>
      </w:pPr>
    </w:p>
    <w:p w14:paraId="27D347D5" w14:textId="77777777" w:rsidR="005D3714" w:rsidRPr="005D3714" w:rsidRDefault="005D3714" w:rsidP="0000590A">
      <w:pPr>
        <w:jc w:val="both"/>
        <w:rPr>
          <w:rFonts w:cs="Arial"/>
        </w:rPr>
      </w:pPr>
      <w:r w:rsidRPr="005D3714">
        <w:rPr>
          <w:rFonts w:cs="Arial"/>
        </w:rPr>
        <w:t xml:space="preserve">a) Infrastructure </w:t>
      </w:r>
    </w:p>
    <w:p w14:paraId="42D02782" w14:textId="77777777" w:rsidR="00CB6A46" w:rsidRDefault="00CB6A46" w:rsidP="0000590A">
      <w:pPr>
        <w:jc w:val="both"/>
        <w:rPr>
          <w:rFonts w:cs="Arial"/>
        </w:rPr>
      </w:pPr>
    </w:p>
    <w:p w14:paraId="6F7770AC" w14:textId="199406B1" w:rsidR="005D3714" w:rsidRPr="005D3714" w:rsidRDefault="005D3714" w:rsidP="0000590A">
      <w:pPr>
        <w:jc w:val="both"/>
        <w:rPr>
          <w:rFonts w:cs="Arial"/>
        </w:rPr>
      </w:pPr>
      <w:r w:rsidRPr="005D3714">
        <w:rPr>
          <w:rFonts w:cs="Arial"/>
        </w:rPr>
        <w:t xml:space="preserve">Infrastructure activities play an important role in the EU Taxonomy. </w:t>
      </w:r>
      <w:r w:rsidR="00CB6A46">
        <w:rPr>
          <w:rFonts w:cs="Arial"/>
        </w:rPr>
        <w:t>Here is a</w:t>
      </w:r>
      <w:r w:rsidRPr="005D3714">
        <w:rPr>
          <w:rFonts w:cs="Arial"/>
        </w:rPr>
        <w:t xml:space="preserve"> selection of infrastructure activities that are Taxonomy eligible: </w:t>
      </w:r>
    </w:p>
    <w:p w14:paraId="542A5C76" w14:textId="77777777" w:rsidR="005D3714" w:rsidRPr="005D3714" w:rsidRDefault="005D3714" w:rsidP="0000590A">
      <w:pPr>
        <w:jc w:val="both"/>
        <w:rPr>
          <w:rFonts w:cs="Arial"/>
        </w:rPr>
      </w:pPr>
    </w:p>
    <w:p w14:paraId="7829FCF2" w14:textId="77777777" w:rsidR="005D3714" w:rsidRPr="005D3714" w:rsidRDefault="005D3714" w:rsidP="0000590A">
      <w:pPr>
        <w:jc w:val="both"/>
        <w:rPr>
          <w:rFonts w:cs="Arial"/>
        </w:rPr>
      </w:pPr>
      <w:r w:rsidRPr="005D3714">
        <w:rPr>
          <w:rFonts w:cs="Arial"/>
        </w:rPr>
        <w:t>•</w:t>
      </w:r>
      <w:r w:rsidRPr="005D3714">
        <w:rPr>
          <w:rFonts w:cs="Arial"/>
        </w:rPr>
        <w:tab/>
        <w:t>Transmission and distribution of electricity</w:t>
      </w:r>
    </w:p>
    <w:p w14:paraId="7DD9C732" w14:textId="77777777" w:rsidR="005D3714" w:rsidRPr="005D3714" w:rsidRDefault="005D3714" w:rsidP="0000590A">
      <w:pPr>
        <w:jc w:val="both"/>
        <w:rPr>
          <w:rFonts w:cs="Arial"/>
        </w:rPr>
      </w:pPr>
      <w:r w:rsidRPr="005D3714">
        <w:rPr>
          <w:rFonts w:cs="Arial"/>
        </w:rPr>
        <w:t>•</w:t>
      </w:r>
      <w:r w:rsidRPr="005D3714">
        <w:rPr>
          <w:rFonts w:cs="Arial"/>
        </w:rPr>
        <w:tab/>
        <w:t>Transmission networks for renewables (like green hydrogen)</w:t>
      </w:r>
    </w:p>
    <w:p w14:paraId="26BBCFF6" w14:textId="77777777" w:rsidR="005D3714" w:rsidRPr="005D3714" w:rsidRDefault="005D3714" w:rsidP="0000590A">
      <w:pPr>
        <w:jc w:val="both"/>
        <w:rPr>
          <w:rFonts w:cs="Arial"/>
        </w:rPr>
      </w:pPr>
      <w:r w:rsidRPr="005D3714">
        <w:rPr>
          <w:rFonts w:cs="Arial"/>
        </w:rPr>
        <w:t>•</w:t>
      </w:r>
      <w:r w:rsidRPr="005D3714">
        <w:rPr>
          <w:rFonts w:cs="Arial"/>
        </w:rPr>
        <w:tab/>
        <w:t>Transportation networks for CO2</w:t>
      </w:r>
    </w:p>
    <w:p w14:paraId="0E25E185" w14:textId="77777777" w:rsidR="005D3714" w:rsidRPr="005D3714" w:rsidRDefault="005D3714" w:rsidP="0000590A">
      <w:pPr>
        <w:jc w:val="both"/>
        <w:rPr>
          <w:rFonts w:cs="Arial"/>
        </w:rPr>
      </w:pPr>
      <w:r w:rsidRPr="005D3714">
        <w:rPr>
          <w:rFonts w:cs="Arial"/>
        </w:rPr>
        <w:t>•</w:t>
      </w:r>
      <w:r w:rsidRPr="005D3714">
        <w:rPr>
          <w:rFonts w:cs="Arial"/>
        </w:rPr>
        <w:tab/>
        <w:t>Infrastructure for rail transport and low carbon road transport</w:t>
      </w:r>
    </w:p>
    <w:p w14:paraId="5E4953ED" w14:textId="77777777" w:rsidR="005D3714" w:rsidRPr="005D3714" w:rsidRDefault="005D3714" w:rsidP="0000590A">
      <w:pPr>
        <w:jc w:val="both"/>
        <w:rPr>
          <w:rFonts w:cs="Arial"/>
        </w:rPr>
      </w:pPr>
      <w:r w:rsidRPr="005D3714">
        <w:rPr>
          <w:rFonts w:cs="Arial"/>
        </w:rPr>
        <w:t>•</w:t>
      </w:r>
      <w:r w:rsidRPr="005D3714">
        <w:rPr>
          <w:rFonts w:cs="Arial"/>
        </w:rPr>
        <w:tab/>
        <w:t xml:space="preserve">Various adaptation activities </w:t>
      </w:r>
    </w:p>
    <w:p w14:paraId="3E25962C" w14:textId="77777777" w:rsidR="005D3714" w:rsidRPr="005D3714" w:rsidRDefault="005D3714" w:rsidP="0000590A">
      <w:pPr>
        <w:jc w:val="both"/>
        <w:rPr>
          <w:rFonts w:cs="Arial"/>
        </w:rPr>
      </w:pPr>
    </w:p>
    <w:p w14:paraId="42FEDF1D" w14:textId="0A9D8939" w:rsidR="005D3714" w:rsidRPr="005D3714" w:rsidRDefault="005D3714" w:rsidP="0000590A">
      <w:pPr>
        <w:jc w:val="both"/>
        <w:rPr>
          <w:rFonts w:cs="Arial"/>
        </w:rPr>
      </w:pPr>
      <w:r w:rsidRPr="005D3714">
        <w:rPr>
          <w:rFonts w:cs="Arial"/>
        </w:rPr>
        <w:t xml:space="preserve">Various pension funds have exposure to real estate assets (funds). Infrastructure assets include a variety of activities like toll roads, renewable energy equipment and networks, rail, airports, hospitals etc.  The investments can be either equity or debt instruments. </w:t>
      </w:r>
    </w:p>
    <w:p w14:paraId="46C2402A" w14:textId="77777777" w:rsidR="005D3714" w:rsidRPr="005D3714" w:rsidRDefault="005D3714" w:rsidP="0000590A">
      <w:pPr>
        <w:jc w:val="both"/>
        <w:rPr>
          <w:rFonts w:cs="Arial"/>
        </w:rPr>
      </w:pPr>
    </w:p>
    <w:p w14:paraId="252462ED" w14:textId="29F2CF75" w:rsidR="005D3714" w:rsidRDefault="005D3714" w:rsidP="0000590A">
      <w:pPr>
        <w:jc w:val="both"/>
        <w:rPr>
          <w:rFonts w:cs="Arial"/>
        </w:rPr>
      </w:pPr>
      <w:r w:rsidRPr="005D3714">
        <w:rPr>
          <w:rFonts w:cs="Arial"/>
        </w:rPr>
        <w:t xml:space="preserve">b) Private real estate </w:t>
      </w:r>
    </w:p>
    <w:p w14:paraId="630D7F16" w14:textId="77777777" w:rsidR="00173240" w:rsidRPr="005D3714" w:rsidRDefault="00173240" w:rsidP="0000590A">
      <w:pPr>
        <w:jc w:val="both"/>
        <w:rPr>
          <w:rFonts w:cs="Arial"/>
        </w:rPr>
      </w:pPr>
    </w:p>
    <w:p w14:paraId="4AB863AC" w14:textId="3E106422" w:rsidR="005D3714" w:rsidRDefault="005D3714" w:rsidP="0000590A">
      <w:pPr>
        <w:jc w:val="both"/>
        <w:rPr>
          <w:rFonts w:cs="Arial"/>
        </w:rPr>
      </w:pPr>
      <w:r w:rsidRPr="005D3714">
        <w:rPr>
          <w:rFonts w:cs="Arial"/>
        </w:rPr>
        <w:t xml:space="preserve">Private real estate activities span a broad range of investments in different types of real estate: offices, shopping centres, distribution centres and residential properties. The Taxonomy alignment of these properties can be calculated using the screening criteria for real estate. </w:t>
      </w:r>
    </w:p>
    <w:p w14:paraId="15DE47C4" w14:textId="77777777" w:rsidR="00882AC3" w:rsidRPr="005D3714" w:rsidRDefault="00882AC3" w:rsidP="0000590A">
      <w:pPr>
        <w:jc w:val="both"/>
        <w:rPr>
          <w:rFonts w:cs="Arial"/>
        </w:rPr>
      </w:pPr>
    </w:p>
    <w:p w14:paraId="1ED4A736" w14:textId="17D1690E" w:rsidR="005D3714" w:rsidRDefault="005D3714" w:rsidP="0000590A">
      <w:pPr>
        <w:jc w:val="both"/>
        <w:rPr>
          <w:rFonts w:cs="Arial"/>
        </w:rPr>
      </w:pPr>
      <w:r w:rsidRPr="005D3714">
        <w:rPr>
          <w:rFonts w:cs="Arial"/>
        </w:rPr>
        <w:t>c) Private equity, venture capital and hedge funds</w:t>
      </w:r>
    </w:p>
    <w:p w14:paraId="57B7ED71" w14:textId="77777777" w:rsidR="00173240" w:rsidRPr="005D3714" w:rsidRDefault="00173240" w:rsidP="0000590A">
      <w:pPr>
        <w:jc w:val="both"/>
        <w:rPr>
          <w:rFonts w:cs="Arial"/>
        </w:rPr>
      </w:pPr>
    </w:p>
    <w:p w14:paraId="5F1F8168" w14:textId="3C628E6C" w:rsidR="005D3714" w:rsidRPr="005D3714" w:rsidRDefault="005D3714" w:rsidP="0000590A">
      <w:pPr>
        <w:jc w:val="both"/>
        <w:rPr>
          <w:rFonts w:cs="Arial"/>
        </w:rPr>
      </w:pPr>
      <w:r w:rsidRPr="005D3714">
        <w:rPr>
          <w:rFonts w:cs="Arial"/>
        </w:rPr>
        <w:t xml:space="preserve">Private equity, venture capital funds and hedge funds can be regarded as non-listed equity funds. </w:t>
      </w:r>
    </w:p>
    <w:p w14:paraId="56B454DC" w14:textId="77777777" w:rsidR="005D3714" w:rsidRPr="005D3714" w:rsidRDefault="005D3714" w:rsidP="0000590A">
      <w:pPr>
        <w:jc w:val="both"/>
        <w:rPr>
          <w:rFonts w:cs="Arial"/>
        </w:rPr>
      </w:pPr>
    </w:p>
    <w:p w14:paraId="69666902" w14:textId="461CDA19" w:rsidR="005D3714" w:rsidRDefault="005D3714" w:rsidP="0000590A">
      <w:pPr>
        <w:jc w:val="both"/>
        <w:rPr>
          <w:rFonts w:cs="Arial"/>
        </w:rPr>
      </w:pPr>
      <w:r w:rsidRPr="005D3714">
        <w:rPr>
          <w:rFonts w:cs="Arial"/>
        </w:rPr>
        <w:t>d) Securitization</w:t>
      </w:r>
    </w:p>
    <w:p w14:paraId="5BE7C6F3" w14:textId="77777777" w:rsidR="00173240" w:rsidRPr="005D3714" w:rsidRDefault="00173240" w:rsidP="0000590A">
      <w:pPr>
        <w:jc w:val="both"/>
        <w:rPr>
          <w:rFonts w:cs="Arial"/>
        </w:rPr>
      </w:pPr>
    </w:p>
    <w:p w14:paraId="18D76019" w14:textId="5FD9435E" w:rsidR="005D3714" w:rsidRDefault="005D3714" w:rsidP="0000590A">
      <w:pPr>
        <w:jc w:val="both"/>
        <w:rPr>
          <w:rFonts w:cs="Arial"/>
        </w:rPr>
      </w:pPr>
      <w:r w:rsidRPr="005D3714">
        <w:rPr>
          <w:rFonts w:cs="Arial"/>
        </w:rPr>
        <w:t>Some i</w:t>
      </w:r>
      <w:r w:rsidR="0000590A">
        <w:rPr>
          <w:rFonts w:cs="Arial"/>
        </w:rPr>
        <w:t>nstitutional investors invest in securitisation funds. These</w:t>
      </w:r>
      <w:r w:rsidRPr="005D3714">
        <w:rPr>
          <w:rFonts w:cs="Arial"/>
        </w:rPr>
        <w:t xml:space="preserve"> can be mortgages, car loans or</w:t>
      </w:r>
      <w:r w:rsidR="0000590A">
        <w:rPr>
          <w:rFonts w:cs="Arial"/>
        </w:rPr>
        <w:t>,</w:t>
      </w:r>
      <w:r w:rsidRPr="005D3714">
        <w:rPr>
          <w:rFonts w:cs="Arial"/>
        </w:rPr>
        <w:t xml:space="preserve"> for example</w:t>
      </w:r>
      <w:r w:rsidR="0000590A">
        <w:rPr>
          <w:rFonts w:cs="Arial"/>
        </w:rPr>
        <w:t>,</w:t>
      </w:r>
      <w:r w:rsidRPr="005D3714">
        <w:rPr>
          <w:rFonts w:cs="Arial"/>
        </w:rPr>
        <w:t xml:space="preserve"> mortgage backed securities. In analogy with the calculation of the </w:t>
      </w:r>
      <w:r w:rsidR="0000590A">
        <w:rPr>
          <w:rFonts w:cs="Arial"/>
        </w:rPr>
        <w:t>GAR</w:t>
      </w:r>
      <w:r w:rsidRPr="005D3714">
        <w:rPr>
          <w:rFonts w:cs="Arial"/>
        </w:rPr>
        <w:t xml:space="preserve"> for a bank, the outstanding amount invested in these types of loans could be checked for Taxonomy alignment and be included in the numerator of the KPI calculation. </w:t>
      </w:r>
      <w:r w:rsidR="00882AC3">
        <w:rPr>
          <w:rFonts w:cs="Arial"/>
        </w:rPr>
        <w:t>T</w:t>
      </w:r>
      <w:r>
        <w:rPr>
          <w:rFonts w:cs="Arial"/>
        </w:rPr>
        <w:t xml:space="preserve">he Platform has recommended the inclusion </w:t>
      </w:r>
      <w:r w:rsidRPr="008768C8">
        <w:rPr>
          <w:rFonts w:cs="Arial"/>
        </w:rPr>
        <w:t xml:space="preserve">of mortgages </w:t>
      </w:r>
      <w:r w:rsidR="0000590A">
        <w:rPr>
          <w:rFonts w:cs="Arial"/>
        </w:rPr>
        <w:t>in addition to</w:t>
      </w:r>
      <w:r w:rsidRPr="008768C8">
        <w:rPr>
          <w:rFonts w:cs="Arial"/>
        </w:rPr>
        <w:t xml:space="preserve"> car loans and leases for households as part of the credit ratio for banks.</w:t>
      </w:r>
    </w:p>
    <w:p w14:paraId="74097368" w14:textId="0F7C7375" w:rsidR="005D3714" w:rsidRDefault="005D3714" w:rsidP="0000590A">
      <w:pPr>
        <w:jc w:val="both"/>
        <w:rPr>
          <w:rFonts w:cs="Arial"/>
        </w:rPr>
      </w:pPr>
    </w:p>
    <w:p w14:paraId="5CABEE50" w14:textId="5EA89539" w:rsidR="005D3714" w:rsidRDefault="005D3714" w:rsidP="0000590A">
      <w:pPr>
        <w:jc w:val="both"/>
        <w:rPr>
          <w:lang w:val="en-US"/>
        </w:rPr>
      </w:pPr>
      <w:r w:rsidRPr="005D3714">
        <w:rPr>
          <w:lang w:val="en-US"/>
        </w:rPr>
        <w:t>Private asset class</w:t>
      </w:r>
      <w:r w:rsidR="0000590A">
        <w:rPr>
          <w:lang w:val="en-US"/>
        </w:rPr>
        <w:t>es may not be relevant for UCITs</w:t>
      </w:r>
      <w:r w:rsidRPr="005D3714">
        <w:rPr>
          <w:lang w:val="en-US"/>
        </w:rPr>
        <w:t xml:space="preserve"> that exclusively invest in listed securities. However, for AIFs, portfolio management and pension </w:t>
      </w:r>
      <w:r w:rsidR="00173240" w:rsidRPr="005D3714">
        <w:rPr>
          <w:lang w:val="en-US"/>
        </w:rPr>
        <w:t>products, private</w:t>
      </w:r>
      <w:r w:rsidRPr="005D3714">
        <w:rPr>
          <w:lang w:val="en-US"/>
        </w:rPr>
        <w:t xml:space="preserve"> asset classes are often a substantial part of the asset mix.</w:t>
      </w:r>
    </w:p>
    <w:p w14:paraId="64655649" w14:textId="77777777" w:rsidR="005D3714" w:rsidRDefault="005D3714" w:rsidP="005D3714">
      <w:pPr>
        <w:jc w:val="both"/>
        <w:rPr>
          <w:lang w:val="en-US"/>
        </w:rPr>
      </w:pPr>
    </w:p>
    <w:p w14:paraId="226ED4F2" w14:textId="77777777" w:rsidR="005D3714" w:rsidRDefault="005D3714" w:rsidP="005D3714">
      <w:pPr>
        <w:ind w:left="705" w:hanging="705"/>
        <w:jc w:val="both"/>
        <w:rPr>
          <w:lang w:val="en-US"/>
        </w:rPr>
      </w:pPr>
    </w:p>
    <w:permEnd w:id="1220688604"/>
    <w:p w14:paraId="53DA6878" w14:textId="3826CEB9"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63ED05A3" w:rsidR="003E573C" w:rsidRDefault="003E573C" w:rsidP="007118EB">
      <w:pPr>
        <w:pStyle w:val="Questionstyle"/>
      </w:pPr>
      <w:r>
        <w:t xml:space="preserve">: </w:t>
      </w:r>
      <w:r w:rsidR="001969F6" w:rsidRPr="001969F6">
        <w:t>Is the use of “equities” and “debt instruments” sufficiently clear to capture relevant instruments issued by investee companies? If not, how could that be clarified? Are any specific valuation criteria necessary to ensure that the disclosures are comparable?</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093DB89D" w14:textId="48A8B136" w:rsidR="0024319A" w:rsidRPr="0000590A" w:rsidRDefault="0000590A" w:rsidP="0000590A">
      <w:pPr>
        <w:jc w:val="both"/>
        <w:rPr>
          <w:rFonts w:cs="Arial"/>
        </w:rPr>
      </w:pPr>
      <w:permStart w:id="209390932" w:edGrp="everyone"/>
      <w:r>
        <w:rPr>
          <w:rFonts w:cs="Arial"/>
        </w:rPr>
        <w:t>The Platforms agre</w:t>
      </w:r>
      <w:r w:rsidR="0024319A" w:rsidRPr="00784383">
        <w:rPr>
          <w:rFonts w:cs="Arial"/>
        </w:rPr>
        <w:t>e</w:t>
      </w:r>
      <w:r>
        <w:rPr>
          <w:rFonts w:cs="Arial"/>
        </w:rPr>
        <w:t>s</w:t>
      </w:r>
      <w:r w:rsidR="0024319A" w:rsidRPr="00784383">
        <w:rPr>
          <w:rFonts w:cs="Arial"/>
        </w:rPr>
        <w:t xml:space="preserve"> with the ESAs that </w:t>
      </w:r>
      <w:r w:rsidR="00E95F91">
        <w:rPr>
          <w:rFonts w:cs="Arial"/>
        </w:rPr>
        <w:t>cash equity</w:t>
      </w:r>
      <w:r w:rsidR="005A26CF">
        <w:rPr>
          <w:rFonts w:cs="Arial"/>
        </w:rPr>
        <w:t xml:space="preserve"> a</w:t>
      </w:r>
      <w:r w:rsidR="00E95F91">
        <w:rPr>
          <w:rFonts w:cs="Arial"/>
        </w:rPr>
        <w:t>nd debt products (including qualified green sovereign debt products) should be eligible investment types.</w:t>
      </w:r>
      <w:r>
        <w:rPr>
          <w:rFonts w:cs="Arial"/>
        </w:rPr>
        <w:t xml:space="preserve"> </w:t>
      </w:r>
      <w:r w:rsidR="0024319A">
        <w:rPr>
          <w:rFonts w:cs="Arial"/>
          <w:bCs/>
          <w:szCs w:val="20"/>
        </w:rPr>
        <w:t>The Platform</w:t>
      </w:r>
      <w:r>
        <w:rPr>
          <w:rFonts w:cs="Arial"/>
          <w:bCs/>
          <w:szCs w:val="20"/>
        </w:rPr>
        <w:t xml:space="preserve"> also</w:t>
      </w:r>
      <w:r w:rsidR="0024319A">
        <w:rPr>
          <w:rFonts w:cs="Arial"/>
          <w:bCs/>
          <w:szCs w:val="20"/>
        </w:rPr>
        <w:t xml:space="preserve"> observes that certain financial instruments (sovereign and non-sovereign) used in development finance may be subject to disclosure requirements. The nature of these financial instruments is such that </w:t>
      </w:r>
      <w:r w:rsidR="00DC51DD">
        <w:rPr>
          <w:rFonts w:cs="Arial"/>
          <w:bCs/>
          <w:szCs w:val="20"/>
        </w:rPr>
        <w:t xml:space="preserve">the </w:t>
      </w:r>
      <w:r w:rsidR="0024319A">
        <w:rPr>
          <w:rFonts w:cs="Arial"/>
          <w:bCs/>
          <w:szCs w:val="20"/>
        </w:rPr>
        <w:t>full due diligence needed under TSC and DNSH may not be possible due to the communities the instrument purports to</w:t>
      </w:r>
      <w:r w:rsidR="00DC51DD">
        <w:rPr>
          <w:rFonts w:cs="Arial"/>
          <w:bCs/>
          <w:szCs w:val="20"/>
        </w:rPr>
        <w:t xml:space="preserve"> serve (e.g.</w:t>
      </w:r>
      <w:r w:rsidR="007F7342">
        <w:rPr>
          <w:rFonts w:cs="Arial"/>
          <w:bCs/>
          <w:szCs w:val="20"/>
        </w:rPr>
        <w:t>,</w:t>
      </w:r>
      <w:r w:rsidR="0024319A">
        <w:rPr>
          <w:rFonts w:cs="Arial"/>
          <w:bCs/>
          <w:szCs w:val="20"/>
        </w:rPr>
        <w:t xml:space="preserve"> rural areas, least developed regions</w:t>
      </w:r>
      <w:r w:rsidR="00DC51DD">
        <w:rPr>
          <w:rFonts w:cs="Arial"/>
          <w:bCs/>
          <w:szCs w:val="20"/>
        </w:rPr>
        <w:t>)</w:t>
      </w:r>
      <w:r w:rsidR="0024319A">
        <w:rPr>
          <w:rFonts w:cs="Arial"/>
          <w:bCs/>
          <w:szCs w:val="20"/>
        </w:rPr>
        <w:t xml:space="preserve">. </w:t>
      </w:r>
    </w:p>
    <w:p w14:paraId="1FE00AB8" w14:textId="77777777" w:rsidR="0024319A" w:rsidRDefault="0024319A" w:rsidP="0024319A">
      <w:pPr>
        <w:pStyle w:val="Prrafodelista"/>
        <w:ind w:left="0"/>
        <w:jc w:val="both"/>
        <w:rPr>
          <w:rFonts w:cs="Arial"/>
          <w:bCs/>
          <w:szCs w:val="20"/>
        </w:rPr>
      </w:pPr>
    </w:p>
    <w:p w14:paraId="71080AB5" w14:textId="725520A1" w:rsidR="0024319A" w:rsidRDefault="00E95F91" w:rsidP="0024319A">
      <w:pPr>
        <w:pStyle w:val="Prrafodelista"/>
        <w:ind w:left="0"/>
        <w:jc w:val="both"/>
        <w:rPr>
          <w:rFonts w:cs="Arial"/>
          <w:bCs/>
          <w:szCs w:val="20"/>
        </w:rPr>
      </w:pPr>
      <w:r>
        <w:rPr>
          <w:rFonts w:cs="Arial"/>
          <w:bCs/>
          <w:szCs w:val="20"/>
        </w:rPr>
        <w:t>Similarly,</w:t>
      </w:r>
      <w:r w:rsidR="0024319A">
        <w:rPr>
          <w:rFonts w:cs="Arial"/>
          <w:bCs/>
          <w:szCs w:val="20"/>
        </w:rPr>
        <w:t xml:space="preserve"> for blended finance instruments, comprised of public and private players, the complexity of the fund or bond’s internal project governance is often cumbersome to maintain to the detriment of the projects’ success, as prices may be too high or reporting costs may be deducted as fees and do not go to the identified community to be served by the instrument. Adding require</w:t>
      </w:r>
      <w:r w:rsidR="007200BD">
        <w:rPr>
          <w:rFonts w:cs="Arial"/>
          <w:bCs/>
          <w:szCs w:val="20"/>
        </w:rPr>
        <w:t>ments and expenses for Taxonomy-</w:t>
      </w:r>
      <w:r w:rsidR="0024319A">
        <w:rPr>
          <w:rFonts w:cs="Arial"/>
          <w:bCs/>
          <w:szCs w:val="20"/>
        </w:rPr>
        <w:t xml:space="preserve">related reporting would </w:t>
      </w:r>
      <w:r w:rsidR="00DC51DD">
        <w:rPr>
          <w:rFonts w:cs="Arial"/>
          <w:bCs/>
          <w:szCs w:val="20"/>
        </w:rPr>
        <w:t xml:space="preserve">therefore </w:t>
      </w:r>
      <w:r w:rsidR="0024319A">
        <w:rPr>
          <w:rFonts w:cs="Arial"/>
          <w:bCs/>
          <w:szCs w:val="20"/>
        </w:rPr>
        <w:t>be counterproductive.</w:t>
      </w:r>
    </w:p>
    <w:p w14:paraId="5C8FC819" w14:textId="77777777" w:rsidR="0024319A" w:rsidRDefault="0024319A" w:rsidP="0024319A">
      <w:pPr>
        <w:pStyle w:val="Prrafodelista"/>
        <w:ind w:left="0"/>
        <w:jc w:val="both"/>
        <w:rPr>
          <w:rFonts w:cs="Arial"/>
          <w:bCs/>
          <w:szCs w:val="20"/>
        </w:rPr>
      </w:pPr>
    </w:p>
    <w:p w14:paraId="12FC5B26" w14:textId="77777777" w:rsidR="0024319A" w:rsidRDefault="0024319A" w:rsidP="0024319A">
      <w:pPr>
        <w:pStyle w:val="Prrafodelista"/>
        <w:ind w:left="0"/>
        <w:jc w:val="both"/>
        <w:rPr>
          <w:rFonts w:cs="Arial"/>
          <w:bCs/>
          <w:szCs w:val="20"/>
        </w:rPr>
      </w:pPr>
      <w:r>
        <w:rPr>
          <w:rFonts w:cs="Arial"/>
          <w:bCs/>
          <w:szCs w:val="20"/>
        </w:rPr>
        <w:t>Development finance also crosses geographical jurisdictions, with recipients or underlying projects located outside the EU, where local or regional legal specificities may apply.</w:t>
      </w:r>
    </w:p>
    <w:p w14:paraId="76418224" w14:textId="77777777" w:rsidR="0024319A" w:rsidRDefault="0024319A" w:rsidP="0024319A">
      <w:pPr>
        <w:pStyle w:val="Prrafodelista"/>
        <w:ind w:left="0"/>
        <w:jc w:val="both"/>
        <w:rPr>
          <w:rFonts w:cs="Arial"/>
          <w:bCs/>
          <w:szCs w:val="20"/>
        </w:rPr>
      </w:pPr>
    </w:p>
    <w:p w14:paraId="3FB41C0B" w14:textId="556258AB" w:rsidR="00712766" w:rsidRDefault="0024319A" w:rsidP="0024319A">
      <w:pPr>
        <w:pStyle w:val="Prrafodelista"/>
        <w:ind w:left="0"/>
        <w:jc w:val="both"/>
        <w:rPr>
          <w:rFonts w:cs="Arial"/>
          <w:bCs/>
          <w:szCs w:val="20"/>
        </w:rPr>
      </w:pPr>
      <w:r>
        <w:rPr>
          <w:rFonts w:cs="Arial"/>
          <w:bCs/>
          <w:szCs w:val="20"/>
        </w:rPr>
        <w:t xml:space="preserve">Given the factors above, </w:t>
      </w:r>
      <w:r w:rsidR="006A0031">
        <w:rPr>
          <w:rFonts w:cs="Arial"/>
          <w:bCs/>
          <w:szCs w:val="20"/>
        </w:rPr>
        <w:t>t</w:t>
      </w:r>
      <w:r>
        <w:rPr>
          <w:rFonts w:cs="Arial"/>
          <w:bCs/>
          <w:szCs w:val="20"/>
        </w:rPr>
        <w:t>he Platform recommends that the principle of proportionality should apply.</w:t>
      </w:r>
      <w:r w:rsidR="009A51AB">
        <w:rPr>
          <w:rFonts w:cs="Arial"/>
          <w:bCs/>
          <w:szCs w:val="20"/>
        </w:rPr>
        <w:t xml:space="preserve"> The Platform also recommends e</w:t>
      </w:r>
      <w:r w:rsidR="009A51AB" w:rsidRPr="009A51AB">
        <w:rPr>
          <w:rFonts w:cs="Arial"/>
          <w:bCs/>
          <w:szCs w:val="20"/>
        </w:rPr>
        <w:t xml:space="preserve">stablishing a dialogue with international financial institutions, </w:t>
      </w:r>
      <w:r w:rsidR="009A51AB">
        <w:rPr>
          <w:rFonts w:cs="Arial"/>
          <w:bCs/>
          <w:szCs w:val="20"/>
        </w:rPr>
        <w:t xml:space="preserve">including the </w:t>
      </w:r>
      <w:r w:rsidR="009A51AB" w:rsidRPr="009A51AB">
        <w:rPr>
          <w:rFonts w:cs="Arial"/>
          <w:bCs/>
          <w:szCs w:val="20"/>
        </w:rPr>
        <w:t>EIB and EBRD as members of the Platform, to identify key challenges and solutions for development finance and investments in least developed countries</w:t>
      </w:r>
      <w:r w:rsidR="00DC51DD">
        <w:rPr>
          <w:rFonts w:cs="Arial"/>
          <w:bCs/>
          <w:szCs w:val="20"/>
        </w:rPr>
        <w:t>.</w:t>
      </w:r>
    </w:p>
    <w:p w14:paraId="38F06CDE" w14:textId="77777777" w:rsidR="00DC51DD" w:rsidRDefault="00DC51DD" w:rsidP="0024319A">
      <w:pPr>
        <w:pStyle w:val="Prrafodelista"/>
        <w:ind w:left="0"/>
        <w:jc w:val="both"/>
        <w:rPr>
          <w:rFonts w:cs="Arial"/>
          <w:bCs/>
          <w:szCs w:val="20"/>
        </w:rPr>
      </w:pPr>
    </w:p>
    <w:p w14:paraId="5EC0A3E1" w14:textId="4C4670EF" w:rsidR="00712766" w:rsidRDefault="00E95F91" w:rsidP="0024319A">
      <w:pPr>
        <w:pStyle w:val="Prrafodelista"/>
        <w:ind w:left="0"/>
        <w:jc w:val="both"/>
        <w:rPr>
          <w:rFonts w:cs="Arial"/>
          <w:bCs/>
          <w:szCs w:val="20"/>
        </w:rPr>
      </w:pPr>
      <w:r w:rsidRPr="00E95F91">
        <w:rPr>
          <w:rFonts w:cs="Arial"/>
          <w:bCs/>
          <w:szCs w:val="20"/>
        </w:rPr>
        <w:t>The</w:t>
      </w:r>
      <w:r>
        <w:rPr>
          <w:rFonts w:cs="Arial"/>
          <w:bCs/>
          <w:szCs w:val="20"/>
        </w:rPr>
        <w:t xml:space="preserve"> Platform recognises that the</w:t>
      </w:r>
      <w:r w:rsidRPr="00E95F91">
        <w:rPr>
          <w:rFonts w:cs="Arial"/>
          <w:bCs/>
          <w:szCs w:val="20"/>
        </w:rPr>
        <w:t xml:space="preserve"> lack of predictability might seriously hinder the issuance of green bonds, green loans, and</w:t>
      </w:r>
      <w:r w:rsidR="00DC51DD">
        <w:rPr>
          <w:rFonts w:cs="Arial"/>
          <w:bCs/>
          <w:szCs w:val="20"/>
        </w:rPr>
        <w:t>,</w:t>
      </w:r>
      <w:r w:rsidRPr="00E95F91">
        <w:rPr>
          <w:rFonts w:cs="Arial"/>
          <w:bCs/>
          <w:szCs w:val="20"/>
        </w:rPr>
        <w:t xml:space="preserve"> more generally</w:t>
      </w:r>
      <w:r w:rsidR="00DC51DD">
        <w:rPr>
          <w:rFonts w:cs="Arial"/>
          <w:bCs/>
          <w:szCs w:val="20"/>
        </w:rPr>
        <w:t>,</w:t>
      </w:r>
      <w:r w:rsidRPr="00E95F91">
        <w:rPr>
          <w:rFonts w:cs="Arial"/>
          <w:bCs/>
          <w:szCs w:val="20"/>
        </w:rPr>
        <w:t xml:space="preserve"> could discourage the development of asset</w:t>
      </w:r>
      <w:r w:rsidR="00DC51DD">
        <w:rPr>
          <w:rFonts w:cs="Arial"/>
          <w:bCs/>
          <w:szCs w:val="20"/>
        </w:rPr>
        <w:t>-</w:t>
      </w:r>
      <w:r w:rsidRPr="00E95F91">
        <w:rPr>
          <w:rFonts w:cs="Arial"/>
          <w:bCs/>
          <w:szCs w:val="20"/>
        </w:rPr>
        <w:t xml:space="preserve"> or activity-specific investment plans geared to meet Taxonomy threshold requirements given the uncertainty that surrounds thresholds for transitioning activities. </w:t>
      </w:r>
      <w:r w:rsidR="00DC51DD">
        <w:rPr>
          <w:rFonts w:cs="Arial"/>
          <w:bCs/>
          <w:szCs w:val="20"/>
        </w:rPr>
        <w:t>For example, d</w:t>
      </w:r>
      <w:r w:rsidRPr="00E95F91">
        <w:rPr>
          <w:rFonts w:cs="Arial"/>
          <w:bCs/>
          <w:szCs w:val="20"/>
        </w:rPr>
        <w:t>u</w:t>
      </w:r>
      <w:r w:rsidR="00DC51DD">
        <w:rPr>
          <w:rFonts w:cs="Arial"/>
          <w:bCs/>
          <w:szCs w:val="20"/>
        </w:rPr>
        <w:t xml:space="preserve">ring the life of a green bond, </w:t>
      </w:r>
      <w:r w:rsidRPr="00E95F91">
        <w:rPr>
          <w:rFonts w:cs="Arial"/>
          <w:bCs/>
          <w:szCs w:val="20"/>
        </w:rPr>
        <w:t xml:space="preserve">it is likely that some thresholds of the </w:t>
      </w:r>
      <w:r w:rsidR="00DC51DD">
        <w:rPr>
          <w:rFonts w:cs="Arial"/>
          <w:bCs/>
          <w:szCs w:val="20"/>
        </w:rPr>
        <w:t xml:space="preserve">TSC </w:t>
      </w:r>
      <w:r w:rsidRPr="00E95F91">
        <w:rPr>
          <w:rFonts w:cs="Arial"/>
          <w:bCs/>
          <w:szCs w:val="20"/>
        </w:rPr>
        <w:t xml:space="preserve">in the EU Taxonomy may become lower, especially for activities in transition. Without a degree of grandfathering of TSC adherence and the bonds in question, this would lead to the immediate loss of the EU Green Bond Standard </w:t>
      </w:r>
      <w:r w:rsidR="00DC51DD">
        <w:rPr>
          <w:rFonts w:cs="Arial"/>
          <w:bCs/>
          <w:szCs w:val="20"/>
        </w:rPr>
        <w:t xml:space="preserve">(GBS) </w:t>
      </w:r>
      <w:r w:rsidRPr="00E95F91">
        <w:rPr>
          <w:rFonts w:cs="Arial"/>
          <w:bCs/>
          <w:szCs w:val="20"/>
        </w:rPr>
        <w:t>status for that particular bond, which would undermine the demand and issuance of such products. There is therefore a serious need to reconcile the practicalities and realities of the bond with the Taxonomy reporting requirements with the demands of investors with respect to their green or ESG portfolios (including, in particular, disclosure obligations).</w:t>
      </w:r>
    </w:p>
    <w:p w14:paraId="7DCB8BD0" w14:textId="2D7528B7" w:rsidR="00712766" w:rsidRDefault="00712766" w:rsidP="0024319A">
      <w:pPr>
        <w:pStyle w:val="Prrafodelista"/>
        <w:ind w:left="0"/>
        <w:jc w:val="both"/>
        <w:rPr>
          <w:rFonts w:cs="Arial"/>
          <w:bCs/>
          <w:szCs w:val="20"/>
        </w:rPr>
      </w:pPr>
    </w:p>
    <w:p w14:paraId="7512F526" w14:textId="3D81DD4B" w:rsidR="00E95F91" w:rsidRPr="00E95F91" w:rsidRDefault="00DC51DD" w:rsidP="00E95F91">
      <w:pPr>
        <w:pStyle w:val="Prrafodelista"/>
        <w:ind w:left="0"/>
        <w:jc w:val="both"/>
        <w:rPr>
          <w:rFonts w:cs="Arial"/>
          <w:bCs/>
          <w:szCs w:val="20"/>
        </w:rPr>
      </w:pPr>
      <w:r>
        <w:rPr>
          <w:rFonts w:cs="Arial"/>
          <w:bCs/>
          <w:szCs w:val="20"/>
        </w:rPr>
        <w:t>Therefore, the Platform</w:t>
      </w:r>
      <w:r w:rsidR="00E95F91" w:rsidRPr="00E95F91">
        <w:rPr>
          <w:rFonts w:cs="Arial"/>
          <w:bCs/>
          <w:szCs w:val="20"/>
        </w:rPr>
        <w:t xml:space="preserve"> recommend</w:t>
      </w:r>
      <w:r w:rsidR="005D3714">
        <w:rPr>
          <w:rFonts w:cs="Arial"/>
          <w:bCs/>
          <w:szCs w:val="20"/>
        </w:rPr>
        <w:t>s</w:t>
      </w:r>
      <w:r w:rsidR="00E95F91" w:rsidRPr="00E95F91">
        <w:rPr>
          <w:rFonts w:cs="Arial"/>
          <w:bCs/>
          <w:szCs w:val="20"/>
        </w:rPr>
        <w:t xml:space="preserve"> the grandfathering of the EU GBS</w:t>
      </w:r>
      <w:r w:rsidR="00E95F91">
        <w:rPr>
          <w:rFonts w:cs="Arial"/>
          <w:bCs/>
          <w:szCs w:val="20"/>
        </w:rPr>
        <w:t xml:space="preserve"> </w:t>
      </w:r>
      <w:r w:rsidR="006A0031">
        <w:rPr>
          <w:rFonts w:cs="Arial"/>
          <w:bCs/>
          <w:szCs w:val="20"/>
        </w:rPr>
        <w:t xml:space="preserve">and the examination of </w:t>
      </w:r>
      <w:r w:rsidR="001520D5">
        <w:rPr>
          <w:rFonts w:cs="Arial"/>
          <w:bCs/>
          <w:szCs w:val="20"/>
        </w:rPr>
        <w:t>Taxonomy</w:t>
      </w:r>
      <w:r w:rsidR="007200BD">
        <w:rPr>
          <w:rFonts w:cs="Arial"/>
          <w:bCs/>
          <w:szCs w:val="20"/>
        </w:rPr>
        <w:t>-</w:t>
      </w:r>
      <w:r w:rsidR="00E95F91">
        <w:rPr>
          <w:rFonts w:cs="Arial"/>
          <w:bCs/>
          <w:szCs w:val="20"/>
        </w:rPr>
        <w:t>aligned use of proceeds declared in debt products.</w:t>
      </w:r>
    </w:p>
    <w:p w14:paraId="7353B793" w14:textId="77777777" w:rsidR="00E95F91" w:rsidRPr="00E95F91" w:rsidRDefault="00E95F91" w:rsidP="00E95F91">
      <w:pPr>
        <w:pStyle w:val="Prrafodelista"/>
        <w:ind w:left="0"/>
        <w:jc w:val="both"/>
        <w:rPr>
          <w:rFonts w:cs="Arial"/>
          <w:bCs/>
          <w:szCs w:val="20"/>
        </w:rPr>
      </w:pPr>
    </w:p>
    <w:p w14:paraId="6DB67D82" w14:textId="0D5A8018" w:rsidR="00E95F91" w:rsidRDefault="00DC51DD" w:rsidP="00E95F91">
      <w:pPr>
        <w:pStyle w:val="Prrafodelista"/>
        <w:ind w:left="0"/>
        <w:jc w:val="both"/>
        <w:rPr>
          <w:rFonts w:cs="Arial"/>
          <w:bCs/>
          <w:szCs w:val="20"/>
        </w:rPr>
      </w:pPr>
      <w:r>
        <w:rPr>
          <w:rFonts w:cs="Arial"/>
          <w:bCs/>
          <w:szCs w:val="20"/>
        </w:rPr>
        <w:t>Furthermore, t</w:t>
      </w:r>
      <w:r w:rsidR="00E95F91" w:rsidRPr="00E95F91">
        <w:rPr>
          <w:rFonts w:cs="Arial"/>
          <w:bCs/>
          <w:szCs w:val="20"/>
        </w:rPr>
        <w:t>he prospectus and impact report should report against the Taxonomy (based on available trajectories for S</w:t>
      </w:r>
      <w:r w:rsidR="007200BD">
        <w:rPr>
          <w:rFonts w:cs="Arial"/>
          <w:bCs/>
          <w:szCs w:val="20"/>
        </w:rPr>
        <w:t xml:space="preserve">C and DNSH):  targeted Taxonomy </w:t>
      </w:r>
      <w:r w:rsidR="00E95F91" w:rsidRPr="00E95F91">
        <w:rPr>
          <w:rFonts w:cs="Arial"/>
          <w:bCs/>
          <w:szCs w:val="20"/>
        </w:rPr>
        <w:t>alignment for the former, and achieved for the latter, including performance o</w:t>
      </w:r>
      <w:r>
        <w:rPr>
          <w:rFonts w:cs="Arial"/>
          <w:bCs/>
          <w:szCs w:val="20"/>
        </w:rPr>
        <w:t>n DNSH and minimum safeguards. The Platform would n</w:t>
      </w:r>
      <w:r w:rsidR="00E95F91" w:rsidRPr="00E95F91">
        <w:rPr>
          <w:rFonts w:cs="Arial"/>
          <w:bCs/>
          <w:szCs w:val="20"/>
        </w:rPr>
        <w:t>ote that potentially other financial instruments could be grandfathered for a pre-determined period of time. There is also a strong call from the market to recommend the grandfathering of existing credible legacy green financial instruments, notably GBP-aligned bonds, and in due course bonds issued under the EU GBS. However, the decis</w:t>
      </w:r>
      <w:r>
        <w:rPr>
          <w:rFonts w:cs="Arial"/>
          <w:bCs/>
          <w:szCs w:val="20"/>
        </w:rPr>
        <w:t>ion of which type of instruments</w:t>
      </w:r>
      <w:r w:rsidR="00E95F91" w:rsidRPr="00E95F91">
        <w:rPr>
          <w:rFonts w:cs="Arial"/>
          <w:bCs/>
          <w:szCs w:val="20"/>
        </w:rPr>
        <w:t xml:space="preserve"> should be made on a case-by-case basis, </w:t>
      </w:r>
      <w:r>
        <w:rPr>
          <w:rFonts w:cs="Arial"/>
          <w:bCs/>
          <w:szCs w:val="20"/>
        </w:rPr>
        <w:t>and be limited to single use-of-proceeds-</w:t>
      </w:r>
      <w:r w:rsidR="00E95F91" w:rsidRPr="00E95F91">
        <w:rPr>
          <w:rFonts w:cs="Arial"/>
          <w:bCs/>
          <w:szCs w:val="20"/>
        </w:rPr>
        <w:t xml:space="preserve">type instruments (not funds). </w:t>
      </w:r>
      <w:r>
        <w:rPr>
          <w:rFonts w:cs="Arial"/>
          <w:bCs/>
          <w:szCs w:val="20"/>
        </w:rPr>
        <w:t>The Platform would</w:t>
      </w:r>
      <w:r w:rsidR="00E95F91" w:rsidRPr="00E95F91">
        <w:rPr>
          <w:rFonts w:cs="Arial"/>
          <w:bCs/>
          <w:szCs w:val="20"/>
        </w:rPr>
        <w:t xml:space="preserve"> favour those with an official EU certification or label.</w:t>
      </w:r>
    </w:p>
    <w:p w14:paraId="0764309A" w14:textId="77777777" w:rsidR="00562546" w:rsidRPr="00E95F91" w:rsidRDefault="00562546" w:rsidP="00E95F91">
      <w:pPr>
        <w:pStyle w:val="Prrafodelista"/>
        <w:ind w:left="0"/>
        <w:jc w:val="both"/>
        <w:rPr>
          <w:rFonts w:cs="Arial"/>
          <w:bCs/>
          <w:szCs w:val="20"/>
        </w:rPr>
      </w:pPr>
    </w:p>
    <w:p w14:paraId="3E13C011" w14:textId="02CD48EA" w:rsidR="00E95F91" w:rsidRDefault="006A0031" w:rsidP="0024319A">
      <w:pPr>
        <w:pStyle w:val="Prrafodelista"/>
        <w:ind w:left="0"/>
        <w:jc w:val="both"/>
        <w:rPr>
          <w:rFonts w:cs="Arial"/>
          <w:bCs/>
          <w:szCs w:val="20"/>
        </w:rPr>
      </w:pPr>
      <w:r w:rsidRPr="006A0031">
        <w:rPr>
          <w:rFonts w:cs="Arial"/>
          <w:bCs/>
          <w:szCs w:val="20"/>
        </w:rPr>
        <w:t>While there is agreement on the need to grandfather EU GBS, the duration of the grandfathering status</w:t>
      </w:r>
      <w:r>
        <w:rPr>
          <w:rFonts w:cs="Arial"/>
          <w:bCs/>
          <w:szCs w:val="20"/>
        </w:rPr>
        <w:t xml:space="preserve"> should be defined in the EU GBS regulation</w:t>
      </w:r>
      <w:r w:rsidRPr="006A0031">
        <w:rPr>
          <w:rFonts w:cs="Arial"/>
          <w:bCs/>
          <w:szCs w:val="20"/>
        </w:rPr>
        <w:t>.</w:t>
      </w:r>
    </w:p>
    <w:permEnd w:id="209390932"/>
    <w:p w14:paraId="61BD6C84" w14:textId="2768234A"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417ECB66" w:rsidR="003E573C" w:rsidRDefault="003E573C" w:rsidP="007118EB">
      <w:pPr>
        <w:pStyle w:val="Questionstyle"/>
      </w:pPr>
      <w:r>
        <w:t xml:space="preserve">: </w:t>
      </w:r>
      <w:r w:rsidR="001969F6" w:rsidRPr="001969F6">
        <w:t>Do you have any views about including all investments, including sovereign bonds and other assets that cannot be assessed for taxonomy-alignment, of the financial product in the denominator for the KPI?</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1974A684" w14:textId="13FB1723" w:rsidR="00F52550" w:rsidRDefault="00DC51DD" w:rsidP="00747145">
      <w:pPr>
        <w:jc w:val="both"/>
        <w:rPr>
          <w:rFonts w:cs="Arial"/>
        </w:rPr>
      </w:pPr>
      <w:permStart w:id="418122716" w:edGrp="everyone"/>
      <w:r>
        <w:rPr>
          <w:rFonts w:cs="Arial"/>
        </w:rPr>
        <w:t>The Platform</w:t>
      </w:r>
      <w:r w:rsidR="0024319A">
        <w:rPr>
          <w:rFonts w:cs="Arial"/>
        </w:rPr>
        <w:t xml:space="preserve"> </w:t>
      </w:r>
      <w:r w:rsidR="006A0031">
        <w:rPr>
          <w:rFonts w:cs="Arial"/>
        </w:rPr>
        <w:t>agree</w:t>
      </w:r>
      <w:r>
        <w:rPr>
          <w:rFonts w:cs="Arial"/>
        </w:rPr>
        <w:t>s</w:t>
      </w:r>
      <w:r w:rsidR="006A0031">
        <w:rPr>
          <w:rFonts w:cs="Arial"/>
        </w:rPr>
        <w:t xml:space="preserve"> with the </w:t>
      </w:r>
      <w:r w:rsidR="0024319A">
        <w:rPr>
          <w:rFonts w:cs="Arial"/>
        </w:rPr>
        <w:t xml:space="preserve">approach to use the financial product’s AUM as the denominator. </w:t>
      </w:r>
      <w:r w:rsidR="00F52550">
        <w:rPr>
          <w:rFonts w:cs="Arial"/>
        </w:rPr>
        <w:t>This is fundamental in order to be able to provide full clarity to end investors. Every investor should be able to know</w:t>
      </w:r>
      <w:r>
        <w:rPr>
          <w:rFonts w:cs="Arial"/>
        </w:rPr>
        <w:t xml:space="preserve"> for every euro invested in an A</w:t>
      </w:r>
      <w:r w:rsidR="00F52550">
        <w:rPr>
          <w:rFonts w:cs="Arial"/>
        </w:rPr>
        <w:t xml:space="preserve">rticle 8 or 9 financial product, how many cents go to green investments. </w:t>
      </w:r>
    </w:p>
    <w:p w14:paraId="04452477" w14:textId="77777777" w:rsidR="00F52550" w:rsidRDefault="00F52550" w:rsidP="00747145">
      <w:pPr>
        <w:jc w:val="both"/>
        <w:rPr>
          <w:rFonts w:cs="Arial"/>
        </w:rPr>
      </w:pPr>
    </w:p>
    <w:p w14:paraId="3463EC6C" w14:textId="2AEC6CF5" w:rsidR="0024319A" w:rsidRDefault="00DC51DD" w:rsidP="00747145">
      <w:pPr>
        <w:jc w:val="both"/>
        <w:rPr>
          <w:rFonts w:cs="Arial"/>
        </w:rPr>
      </w:pPr>
      <w:r>
        <w:rPr>
          <w:rFonts w:cs="Arial"/>
        </w:rPr>
        <w:t>However, the Platform</w:t>
      </w:r>
      <w:r w:rsidR="0024319A">
        <w:rPr>
          <w:rFonts w:cs="Arial"/>
        </w:rPr>
        <w:t xml:space="preserve"> recognise</w:t>
      </w:r>
      <w:r>
        <w:rPr>
          <w:rFonts w:cs="Arial"/>
        </w:rPr>
        <w:t>s</w:t>
      </w:r>
      <w:r w:rsidR="0024319A">
        <w:rPr>
          <w:rFonts w:cs="Arial"/>
        </w:rPr>
        <w:t xml:space="preserve"> that this means certain products will never be able to attain 100% </w:t>
      </w:r>
      <w:r w:rsidR="001520D5">
        <w:rPr>
          <w:rFonts w:cs="Arial"/>
        </w:rPr>
        <w:t>Taxonomy</w:t>
      </w:r>
      <w:r w:rsidR="0024319A">
        <w:rPr>
          <w:rFonts w:cs="Arial"/>
        </w:rPr>
        <w:t xml:space="preserve"> alignment due to the choice of sector allocation or the choice of financial instrument used.</w:t>
      </w:r>
      <w:r w:rsidR="004D0830">
        <w:rPr>
          <w:rFonts w:cs="Arial"/>
        </w:rPr>
        <w:t xml:space="preserve"> This is why the Platform feels strongly that representing the portion of an investment product that is eligible and then aligned to the Taxonomy will be an important metric in helping the end asset owner understand the investment’s sustainable strategy.</w:t>
      </w:r>
    </w:p>
    <w:p w14:paraId="0A4DB55D" w14:textId="62337126" w:rsidR="0024319A" w:rsidRDefault="0024319A" w:rsidP="00747145">
      <w:pPr>
        <w:jc w:val="both"/>
        <w:rPr>
          <w:rFonts w:cs="Arial"/>
        </w:rPr>
      </w:pPr>
    </w:p>
    <w:p w14:paraId="6A8899C4" w14:textId="1B27960A" w:rsidR="0024319A" w:rsidRDefault="0024319A" w:rsidP="00747145">
      <w:pPr>
        <w:jc w:val="both"/>
        <w:rPr>
          <w:rFonts w:cs="Arial"/>
        </w:rPr>
      </w:pPr>
      <w:r>
        <w:rPr>
          <w:rFonts w:cs="Arial"/>
        </w:rPr>
        <w:t xml:space="preserve">The Platform believes that </w:t>
      </w:r>
      <w:r w:rsidR="00E95F91">
        <w:rPr>
          <w:rFonts w:cs="Arial"/>
        </w:rPr>
        <w:t>calculations</w:t>
      </w:r>
      <w:r>
        <w:rPr>
          <w:rFonts w:cs="Arial"/>
        </w:rPr>
        <w:t xml:space="preserve"> with variable denominators between products would be confusing </w:t>
      </w:r>
      <w:r w:rsidR="00E95F91">
        <w:rPr>
          <w:rFonts w:cs="Arial"/>
        </w:rPr>
        <w:t>and, in some cases,</w:t>
      </w:r>
      <w:r>
        <w:rPr>
          <w:rFonts w:cs="Arial"/>
        </w:rPr>
        <w:t xml:space="preserve"> misleading to the end investor.</w:t>
      </w:r>
    </w:p>
    <w:p w14:paraId="710397A6" w14:textId="31DDB5E3" w:rsidR="0024319A" w:rsidRDefault="0024319A" w:rsidP="00747145">
      <w:pPr>
        <w:jc w:val="both"/>
        <w:rPr>
          <w:rFonts w:cs="Arial"/>
        </w:rPr>
      </w:pPr>
    </w:p>
    <w:p w14:paraId="2197A59A" w14:textId="04A82810" w:rsidR="0024319A" w:rsidRDefault="00747145" w:rsidP="00747145">
      <w:pPr>
        <w:jc w:val="both"/>
        <w:rPr>
          <w:rFonts w:cs="Arial"/>
        </w:rPr>
      </w:pPr>
      <w:r>
        <w:rPr>
          <w:rFonts w:cs="Arial"/>
        </w:rPr>
        <w:t>In addition, a</w:t>
      </w:r>
      <w:r w:rsidR="0024319A">
        <w:rPr>
          <w:rFonts w:cs="Arial"/>
        </w:rPr>
        <w:t xml:space="preserve">n asset manager should be able to add </w:t>
      </w:r>
      <w:r>
        <w:rPr>
          <w:rFonts w:cs="Arial"/>
        </w:rPr>
        <w:t>a voluntary statement in their ‘how and to what extent’</w:t>
      </w:r>
      <w:r w:rsidR="0024319A">
        <w:rPr>
          <w:rFonts w:cs="Arial"/>
        </w:rPr>
        <w:t xml:space="preserve"> disclosure that </w:t>
      </w:r>
      <w:r>
        <w:rPr>
          <w:rFonts w:cs="Arial"/>
        </w:rPr>
        <w:t>accounts</w:t>
      </w:r>
      <w:r w:rsidR="0024319A">
        <w:rPr>
          <w:rFonts w:cs="Arial"/>
        </w:rPr>
        <w:t xml:space="preserve"> for the </w:t>
      </w:r>
      <w:r w:rsidR="001520D5">
        <w:rPr>
          <w:rFonts w:cs="Arial"/>
        </w:rPr>
        <w:t>Taxonomy</w:t>
      </w:r>
      <w:r w:rsidR="0024319A">
        <w:rPr>
          <w:rFonts w:cs="Arial"/>
        </w:rPr>
        <w:t xml:space="preserve"> eligible portion of their investment</w:t>
      </w:r>
      <w:r>
        <w:rPr>
          <w:rFonts w:cs="Arial"/>
        </w:rPr>
        <w:t xml:space="preserve">, providing details on </w:t>
      </w:r>
      <w:r w:rsidR="0024319A">
        <w:rPr>
          <w:rFonts w:cs="Arial"/>
        </w:rPr>
        <w:t xml:space="preserve">what percentage is </w:t>
      </w:r>
      <w:r w:rsidR="001520D5">
        <w:rPr>
          <w:rFonts w:cs="Arial"/>
        </w:rPr>
        <w:t>Taxonomy</w:t>
      </w:r>
      <w:r w:rsidR="007200BD">
        <w:rPr>
          <w:rFonts w:cs="Arial"/>
        </w:rPr>
        <w:t>-</w:t>
      </w:r>
      <w:r w:rsidR="0024319A">
        <w:rPr>
          <w:rFonts w:cs="Arial"/>
        </w:rPr>
        <w:t xml:space="preserve">aligned. </w:t>
      </w:r>
      <w:r w:rsidR="00E95F91">
        <w:rPr>
          <w:rFonts w:cs="Arial"/>
        </w:rPr>
        <w:t>However,</w:t>
      </w:r>
      <w:r w:rsidR="0024319A">
        <w:rPr>
          <w:rFonts w:cs="Arial"/>
        </w:rPr>
        <w:t xml:space="preserve"> the Platform agrees with the ESAs that AUM, regardless of the proportion of eligible </w:t>
      </w:r>
      <w:r>
        <w:rPr>
          <w:rFonts w:cs="Arial"/>
        </w:rPr>
        <w:t>and</w:t>
      </w:r>
      <w:r w:rsidR="0024319A">
        <w:rPr>
          <w:rFonts w:cs="Arial"/>
        </w:rPr>
        <w:t xml:space="preserve"> non-eligible investment, should be the consistently applied denominator.</w:t>
      </w:r>
    </w:p>
    <w:p w14:paraId="0F5209E9" w14:textId="752091F0" w:rsidR="0024319A" w:rsidRDefault="0024319A" w:rsidP="00747145">
      <w:pPr>
        <w:jc w:val="both"/>
        <w:rPr>
          <w:rFonts w:cs="Arial"/>
        </w:rPr>
      </w:pPr>
    </w:p>
    <w:p w14:paraId="7D8B9148" w14:textId="708F0C86" w:rsidR="008D51CC" w:rsidRDefault="00747145" w:rsidP="00747145">
      <w:pPr>
        <w:jc w:val="both"/>
        <w:rPr>
          <w:rFonts w:cs="Arial"/>
        </w:rPr>
      </w:pPr>
      <w:r>
        <w:rPr>
          <w:rFonts w:cs="Arial"/>
        </w:rPr>
        <w:t>With that, t</w:t>
      </w:r>
      <w:r w:rsidR="008D51CC">
        <w:rPr>
          <w:rFonts w:cs="Arial"/>
        </w:rPr>
        <w:t>he Platform recommends that graphical reporting should breakout:</w:t>
      </w:r>
    </w:p>
    <w:p w14:paraId="6B38BA90" w14:textId="7735C3B2" w:rsidR="008D51CC" w:rsidRDefault="008D51CC" w:rsidP="00747145">
      <w:pPr>
        <w:pStyle w:val="Prrafodelista"/>
        <w:numPr>
          <w:ilvl w:val="0"/>
          <w:numId w:val="43"/>
        </w:numPr>
        <w:jc w:val="both"/>
        <w:rPr>
          <w:rFonts w:cs="Arial"/>
        </w:rPr>
      </w:pPr>
      <w:r>
        <w:rPr>
          <w:rFonts w:cs="Arial"/>
        </w:rPr>
        <w:t>Eligible to non-eligible investment share, using AUM as the denominator</w:t>
      </w:r>
    </w:p>
    <w:p w14:paraId="35FCA56D" w14:textId="77777777" w:rsidR="00E95F91" w:rsidRDefault="008D51CC" w:rsidP="00747145">
      <w:pPr>
        <w:pStyle w:val="Prrafodelista"/>
        <w:numPr>
          <w:ilvl w:val="0"/>
          <w:numId w:val="43"/>
        </w:numPr>
        <w:jc w:val="both"/>
        <w:rPr>
          <w:rFonts w:cs="Arial"/>
        </w:rPr>
      </w:pPr>
      <w:r>
        <w:rPr>
          <w:rFonts w:cs="Arial"/>
        </w:rPr>
        <w:t>For eligible investments, what proportion are</w:t>
      </w:r>
      <w:r w:rsidR="00E95F91">
        <w:rPr>
          <w:rFonts w:cs="Arial"/>
        </w:rPr>
        <w:t>:</w:t>
      </w:r>
    </w:p>
    <w:p w14:paraId="5CF81487" w14:textId="099517CC" w:rsidR="00E95F91" w:rsidRPr="005A26CF" w:rsidRDefault="008D51CC" w:rsidP="00747145">
      <w:pPr>
        <w:pStyle w:val="Prrafodelista"/>
        <w:numPr>
          <w:ilvl w:val="1"/>
          <w:numId w:val="43"/>
        </w:numPr>
        <w:jc w:val="both"/>
        <w:rPr>
          <w:rFonts w:cs="Arial"/>
        </w:rPr>
      </w:pPr>
      <w:r>
        <w:rPr>
          <w:rFonts w:cs="Arial"/>
        </w:rPr>
        <w:t xml:space="preserve">aligned (based on corporate disclosure </w:t>
      </w:r>
      <w:r w:rsidR="00E95F91">
        <w:rPr>
          <w:rFonts w:cs="Arial"/>
        </w:rPr>
        <w:t xml:space="preserve">of the investee company </w:t>
      </w:r>
      <w:r w:rsidR="00747145">
        <w:rPr>
          <w:rFonts w:cs="Arial"/>
        </w:rPr>
        <w:t xml:space="preserve">under Article 8); the Platform </w:t>
      </w:r>
      <w:r w:rsidR="00F8253C">
        <w:rPr>
          <w:rFonts w:cs="Arial"/>
        </w:rPr>
        <w:t>believe</w:t>
      </w:r>
      <w:r w:rsidR="00747145">
        <w:rPr>
          <w:rFonts w:cs="Arial"/>
        </w:rPr>
        <w:t>s</w:t>
      </w:r>
      <w:r w:rsidR="00F8253C">
        <w:rPr>
          <w:rFonts w:cs="Arial"/>
        </w:rPr>
        <w:t xml:space="preserve"> this metric can include non-</w:t>
      </w:r>
      <w:r w:rsidR="00DA1A66">
        <w:rPr>
          <w:rFonts w:cs="Arial"/>
        </w:rPr>
        <w:t>CSRD</w:t>
      </w:r>
      <w:r w:rsidR="00F8253C">
        <w:rPr>
          <w:rFonts w:cs="Arial"/>
        </w:rPr>
        <w:t xml:space="preserve"> companies who provide their own voluntary </w:t>
      </w:r>
      <w:r w:rsidR="001520D5" w:rsidRPr="005A26CF">
        <w:rPr>
          <w:rFonts w:cs="Arial"/>
        </w:rPr>
        <w:t>Taxonomy</w:t>
      </w:r>
      <w:r w:rsidR="00F8253C" w:rsidRPr="005A26CF">
        <w:rPr>
          <w:rFonts w:cs="Arial"/>
        </w:rPr>
        <w:t xml:space="preserve"> disclosure</w:t>
      </w:r>
      <w:r w:rsidR="00747145">
        <w:rPr>
          <w:rFonts w:cs="Arial"/>
        </w:rPr>
        <w:t>;</w:t>
      </w:r>
    </w:p>
    <w:p w14:paraId="64A186C9" w14:textId="01228D7F" w:rsidR="008D51CC" w:rsidRPr="005A26CF" w:rsidRDefault="0094492A" w:rsidP="00747145">
      <w:pPr>
        <w:pStyle w:val="Prrafodelista"/>
        <w:numPr>
          <w:ilvl w:val="1"/>
          <w:numId w:val="43"/>
        </w:numPr>
        <w:jc w:val="both"/>
        <w:rPr>
          <w:rFonts w:cs="Arial"/>
        </w:rPr>
      </w:pPr>
      <w:r w:rsidRPr="005A26CF">
        <w:rPr>
          <w:rFonts w:cs="Arial"/>
        </w:rPr>
        <w:t>estimated</w:t>
      </w:r>
      <w:r w:rsidR="008D51CC" w:rsidRPr="005A26CF">
        <w:rPr>
          <w:rFonts w:cs="Arial"/>
        </w:rPr>
        <w:t xml:space="preserve"> align</w:t>
      </w:r>
      <w:r w:rsidR="00E95F91" w:rsidRPr="005A26CF">
        <w:rPr>
          <w:rFonts w:cs="Arial"/>
        </w:rPr>
        <w:t>e</w:t>
      </w:r>
      <w:r w:rsidR="008D51CC" w:rsidRPr="005A26CF">
        <w:rPr>
          <w:rFonts w:cs="Arial"/>
        </w:rPr>
        <w:t xml:space="preserve">d (based on </w:t>
      </w:r>
      <w:r w:rsidR="00E95F91" w:rsidRPr="005A26CF">
        <w:rPr>
          <w:rFonts w:cs="Arial"/>
        </w:rPr>
        <w:t>non-</w:t>
      </w:r>
      <w:r w:rsidR="00DA1A66" w:rsidRPr="005A26CF">
        <w:rPr>
          <w:rFonts w:cs="Arial"/>
        </w:rPr>
        <w:t>CSRD</w:t>
      </w:r>
      <w:r w:rsidR="00E95F91" w:rsidRPr="005A26CF">
        <w:rPr>
          <w:rFonts w:cs="Arial"/>
        </w:rPr>
        <w:t xml:space="preserve"> eligible investments in corporates for whom the FMP can determine adherence to the TSC)</w:t>
      </w:r>
      <w:r w:rsidR="00747145">
        <w:rPr>
          <w:rFonts w:cs="Arial"/>
        </w:rPr>
        <w:t>; and</w:t>
      </w:r>
    </w:p>
    <w:p w14:paraId="53AA91A7" w14:textId="319D6FDF" w:rsidR="00E95F91" w:rsidRPr="005A26CF" w:rsidRDefault="00E95F91" w:rsidP="00747145">
      <w:pPr>
        <w:pStyle w:val="Prrafodelista"/>
        <w:numPr>
          <w:ilvl w:val="1"/>
          <w:numId w:val="43"/>
        </w:numPr>
        <w:jc w:val="both"/>
        <w:rPr>
          <w:rFonts w:cs="Arial"/>
        </w:rPr>
      </w:pPr>
      <w:r w:rsidRPr="005A26CF">
        <w:rPr>
          <w:rFonts w:cs="Arial"/>
        </w:rPr>
        <w:t>Not aligned, either due to insufficient information or due to the company not meeting the TSC.</w:t>
      </w:r>
    </w:p>
    <w:p w14:paraId="218B3CEA" w14:textId="5BA79102" w:rsidR="008D51CC" w:rsidRPr="005A26CF" w:rsidRDefault="008D51CC" w:rsidP="00747145">
      <w:pPr>
        <w:jc w:val="both"/>
        <w:rPr>
          <w:rFonts w:cs="Arial"/>
        </w:rPr>
      </w:pPr>
    </w:p>
    <w:p w14:paraId="14C58A75" w14:textId="42A7B67E" w:rsidR="00E95F91" w:rsidRPr="005A26CF" w:rsidRDefault="00E95F91" w:rsidP="00747145">
      <w:pPr>
        <w:jc w:val="both"/>
        <w:rPr>
          <w:rFonts w:cs="Arial"/>
        </w:rPr>
      </w:pPr>
      <w:r w:rsidRPr="005A26CF">
        <w:rPr>
          <w:rFonts w:cs="Arial"/>
        </w:rPr>
        <w:t>We agree with the ESA’s recommendations that alignment follows a waterfall logic, such that:</w:t>
      </w:r>
    </w:p>
    <w:p w14:paraId="3710C5AF" w14:textId="78784405" w:rsidR="00E95F91" w:rsidRPr="005A26CF" w:rsidRDefault="00E95F91" w:rsidP="00747145">
      <w:pPr>
        <w:pStyle w:val="Prrafodelista"/>
        <w:numPr>
          <w:ilvl w:val="0"/>
          <w:numId w:val="44"/>
        </w:numPr>
        <w:jc w:val="both"/>
        <w:rPr>
          <w:rFonts w:cs="Arial"/>
        </w:rPr>
      </w:pPr>
      <w:r w:rsidRPr="005A26CF">
        <w:rPr>
          <w:rFonts w:cs="Arial"/>
        </w:rPr>
        <w:t>Does the asset’s use of proceeds align with the Taxonomy, if yes apply that percentage value</w:t>
      </w:r>
      <w:r w:rsidR="00747145">
        <w:rPr>
          <w:rFonts w:cs="Arial"/>
        </w:rPr>
        <w:t>;</w:t>
      </w:r>
    </w:p>
    <w:p w14:paraId="1C400E81" w14:textId="56254035" w:rsidR="00E95F91" w:rsidRPr="005A26CF" w:rsidRDefault="00E95F91" w:rsidP="00747145">
      <w:pPr>
        <w:pStyle w:val="Prrafodelista"/>
        <w:numPr>
          <w:ilvl w:val="0"/>
          <w:numId w:val="44"/>
        </w:numPr>
        <w:jc w:val="both"/>
        <w:rPr>
          <w:rFonts w:cs="Arial"/>
        </w:rPr>
      </w:pPr>
      <w:r w:rsidRPr="005A26CF">
        <w:rPr>
          <w:rFonts w:cs="Arial"/>
        </w:rPr>
        <w:t>If not, does the investee</w:t>
      </w:r>
      <w:r w:rsidR="00F52550" w:rsidRPr="005A26CF">
        <w:rPr>
          <w:rFonts w:cs="Arial"/>
        </w:rPr>
        <w:t xml:space="preserve"> company have turnover or CapEx or </w:t>
      </w:r>
      <w:r w:rsidRPr="005A26CF">
        <w:rPr>
          <w:rFonts w:cs="Arial"/>
        </w:rPr>
        <w:t>OpEx aligned with the Taxonomy, and apply that percentage value</w:t>
      </w:r>
      <w:r w:rsidR="00747145">
        <w:rPr>
          <w:rFonts w:cs="Arial"/>
        </w:rPr>
        <w:t>.</w:t>
      </w:r>
    </w:p>
    <w:permEnd w:id="418122716"/>
    <w:p w14:paraId="29E77975" w14:textId="6590E75B" w:rsidR="003E573C" w:rsidRDefault="003E573C" w:rsidP="003E573C">
      <w:pPr>
        <w:rPr>
          <w:rFonts w:cs="Arial"/>
        </w:rPr>
      </w:pPr>
      <w:r>
        <w:rPr>
          <w:rFonts w:cs="Arial"/>
        </w:rPr>
        <w:t>&lt;ESA_QUESTION_</w:t>
      </w:r>
      <w:r w:rsidR="00C86E1C">
        <w:rPr>
          <w:rFonts w:cs="Arial"/>
        </w:rPr>
        <w:t>ESG</w:t>
      </w:r>
      <w:r>
        <w:rPr>
          <w:rFonts w:cs="Arial"/>
        </w:rPr>
        <w:t>_6&gt;</w:t>
      </w:r>
    </w:p>
    <w:p w14:paraId="302B559F" w14:textId="77777777" w:rsidR="003E573C" w:rsidRDefault="003E573C" w:rsidP="003E573C">
      <w:pPr>
        <w:rPr>
          <w:rFonts w:cs="Arial"/>
        </w:rPr>
      </w:pPr>
    </w:p>
    <w:p w14:paraId="09807F9E" w14:textId="2C94FA30" w:rsidR="003E573C" w:rsidRDefault="003E573C" w:rsidP="007118EB">
      <w:pPr>
        <w:pStyle w:val="Questionstyle"/>
      </w:pPr>
      <w:r>
        <w:t xml:space="preserve">: </w:t>
      </w:r>
      <w:r w:rsidR="001969F6" w:rsidRPr="001969F6">
        <w:t>Do you have any views on the statement of taxonomy compliance of the activities the financial product invests in and whether those statements should be subject to assessment by external or third parties?</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6A419044" w14:textId="2D52BC02" w:rsidR="005A26CF" w:rsidRPr="005A26CF" w:rsidRDefault="00562546" w:rsidP="00747145">
      <w:pPr>
        <w:jc w:val="both"/>
        <w:rPr>
          <w:rFonts w:cs="Arial"/>
        </w:rPr>
      </w:pPr>
      <w:permStart w:id="569465455" w:edGrp="everyone"/>
      <w:r>
        <w:rPr>
          <w:rFonts w:cs="Arial"/>
        </w:rPr>
        <w:t xml:space="preserve">The Platform </w:t>
      </w:r>
      <w:r w:rsidR="00F8253C">
        <w:rPr>
          <w:rFonts w:cs="Arial"/>
        </w:rPr>
        <w:t xml:space="preserve">believes that </w:t>
      </w:r>
      <w:r w:rsidR="008A1CCA" w:rsidRPr="008A1CCA">
        <w:rPr>
          <w:rFonts w:cs="Arial"/>
        </w:rPr>
        <w:t xml:space="preserve">information in the non-financial </w:t>
      </w:r>
      <w:r w:rsidR="008A1CCA" w:rsidRPr="005A26CF">
        <w:rPr>
          <w:rFonts w:cs="Arial"/>
        </w:rPr>
        <w:t xml:space="preserve">statements </w:t>
      </w:r>
      <w:r w:rsidR="009A11E7" w:rsidRPr="005A26CF">
        <w:rPr>
          <w:rFonts w:cs="Arial"/>
        </w:rPr>
        <w:t xml:space="preserve">of corporates </w:t>
      </w:r>
      <w:r w:rsidR="008A1CCA" w:rsidRPr="005A26CF">
        <w:rPr>
          <w:rFonts w:cs="Arial"/>
        </w:rPr>
        <w:t xml:space="preserve">with regards to the EU Taxonomy requires Management Committee or Board approval, and verification </w:t>
      </w:r>
      <w:r w:rsidR="00747145">
        <w:rPr>
          <w:rFonts w:cs="Arial"/>
        </w:rPr>
        <w:t>from an independent and duly accredited assurance services provider on the</w:t>
      </w:r>
      <w:r w:rsidR="008A1CCA" w:rsidRPr="005A26CF">
        <w:rPr>
          <w:rFonts w:cs="Arial"/>
        </w:rPr>
        <w:t xml:space="preserve"> segmentation </w:t>
      </w:r>
      <w:r w:rsidR="008A1CCA" w:rsidRPr="008A1CCA">
        <w:rPr>
          <w:rFonts w:cs="Arial"/>
        </w:rPr>
        <w:t xml:space="preserve">figures </w:t>
      </w:r>
      <w:r w:rsidR="00747145">
        <w:rPr>
          <w:rFonts w:cs="Arial"/>
        </w:rPr>
        <w:t>and</w:t>
      </w:r>
      <w:r w:rsidR="008A1CCA" w:rsidRPr="008A1CCA">
        <w:rPr>
          <w:rFonts w:cs="Arial"/>
        </w:rPr>
        <w:t xml:space="preserve"> EU Taxonomy requirements otherwise not enforced by a local regulation.</w:t>
      </w:r>
      <w:r w:rsidR="005A26CF">
        <w:rPr>
          <w:rFonts w:cs="Arial"/>
        </w:rPr>
        <w:t xml:space="preserve"> </w:t>
      </w:r>
      <w:r w:rsidR="00747145">
        <w:rPr>
          <w:rFonts w:cs="Arial"/>
        </w:rPr>
        <w:t>The Platform</w:t>
      </w:r>
      <w:r w:rsidR="005A26CF">
        <w:rPr>
          <w:rFonts w:cs="Arial"/>
        </w:rPr>
        <w:t xml:space="preserve"> also recommend</w:t>
      </w:r>
      <w:r w:rsidR="00747145">
        <w:rPr>
          <w:rFonts w:cs="Arial"/>
        </w:rPr>
        <w:t>s</w:t>
      </w:r>
      <w:r w:rsidR="005A26CF">
        <w:rPr>
          <w:rFonts w:cs="Arial"/>
        </w:rPr>
        <w:t xml:space="preserve"> corporate disclosures should include not only the breakdown by </w:t>
      </w:r>
      <w:r w:rsidR="005A26CF" w:rsidRPr="005A26CF">
        <w:rPr>
          <w:rFonts w:cs="Arial"/>
        </w:rPr>
        <w:t>activities that is currently proposed</w:t>
      </w:r>
      <w:r w:rsidR="00747145">
        <w:rPr>
          <w:rFonts w:cs="Arial"/>
        </w:rPr>
        <w:t>,</w:t>
      </w:r>
      <w:r w:rsidR="005A26CF" w:rsidRPr="005A26CF">
        <w:rPr>
          <w:rFonts w:cs="Arial"/>
        </w:rPr>
        <w:t xml:space="preserve"> but also the value of </w:t>
      </w:r>
      <w:r w:rsidR="005A26CF">
        <w:rPr>
          <w:rFonts w:cs="Arial"/>
        </w:rPr>
        <w:t xml:space="preserve">the environmental </w:t>
      </w:r>
      <w:r w:rsidR="005A26CF" w:rsidRPr="005A26CF">
        <w:rPr>
          <w:rFonts w:cs="Arial"/>
        </w:rPr>
        <w:t xml:space="preserve">metrics that have been used to assess Taxonomy alignment. </w:t>
      </w:r>
    </w:p>
    <w:p w14:paraId="74648A7A" w14:textId="3A6F9BFB" w:rsidR="00562546" w:rsidRDefault="00562546" w:rsidP="00747145">
      <w:pPr>
        <w:jc w:val="both"/>
        <w:rPr>
          <w:rFonts w:cs="Arial"/>
        </w:rPr>
      </w:pPr>
    </w:p>
    <w:p w14:paraId="125C6FF2" w14:textId="6CAA7C07" w:rsidR="008A1CCA" w:rsidRDefault="00562546" w:rsidP="00747145">
      <w:pPr>
        <w:jc w:val="both"/>
      </w:pPr>
      <w:r>
        <w:rPr>
          <w:rFonts w:cs="Arial"/>
        </w:rPr>
        <w:t xml:space="preserve">Given the underlying information on which the </w:t>
      </w:r>
      <w:r w:rsidR="001520D5">
        <w:rPr>
          <w:rFonts w:cs="Arial"/>
        </w:rPr>
        <w:t>Taxonomy</w:t>
      </w:r>
      <w:r>
        <w:rPr>
          <w:rFonts w:cs="Arial"/>
        </w:rPr>
        <w:t xml:space="preserve"> report is based (i.e. submission from t</w:t>
      </w:r>
      <w:r w:rsidR="00747145">
        <w:rPr>
          <w:rFonts w:cs="Arial"/>
        </w:rPr>
        <w:t>he investee corporate in their A</w:t>
      </w:r>
      <w:r>
        <w:rPr>
          <w:rFonts w:cs="Arial"/>
        </w:rPr>
        <w:t xml:space="preserve">rticle 8 disclosure), </w:t>
      </w:r>
      <w:r w:rsidR="00747145">
        <w:rPr>
          <w:rFonts w:cs="Arial"/>
        </w:rPr>
        <w:t>this</w:t>
      </w:r>
      <w:r>
        <w:rPr>
          <w:rFonts w:cs="Arial"/>
        </w:rPr>
        <w:t xml:space="preserve"> should sit alongside the annual accounts and be s</w:t>
      </w:r>
      <w:r w:rsidR="008A1CCA">
        <w:rPr>
          <w:rFonts w:cs="Arial"/>
        </w:rPr>
        <w:t>ubject to approval by the Board or top management.</w:t>
      </w:r>
      <w:r>
        <w:rPr>
          <w:rFonts w:cs="Arial"/>
        </w:rPr>
        <w:t xml:space="preserve"> The use of such information should be sufficient,</w:t>
      </w:r>
      <w:r w:rsidR="00747145">
        <w:rPr>
          <w:rFonts w:cs="Arial"/>
        </w:rPr>
        <w:t xml:space="preserve"> and</w:t>
      </w:r>
      <w:r>
        <w:rPr>
          <w:rFonts w:cs="Arial"/>
        </w:rPr>
        <w:t xml:space="preserve"> subject to internal verification or reconciliation to source.</w:t>
      </w:r>
      <w:r w:rsidR="008A1CCA" w:rsidRPr="008A1CCA">
        <w:t xml:space="preserve"> </w:t>
      </w:r>
    </w:p>
    <w:p w14:paraId="10452248" w14:textId="77777777" w:rsidR="000408CF" w:rsidRDefault="000408CF" w:rsidP="00747145">
      <w:pPr>
        <w:jc w:val="both"/>
        <w:rPr>
          <w:rFonts w:cs="Arial"/>
        </w:rPr>
      </w:pPr>
    </w:p>
    <w:p w14:paraId="588C009B" w14:textId="46EEDC00" w:rsidR="008A1CCA" w:rsidRDefault="008A1CCA" w:rsidP="00747145">
      <w:pPr>
        <w:jc w:val="both"/>
        <w:rPr>
          <w:rFonts w:cs="Arial"/>
        </w:rPr>
      </w:pPr>
      <w:r>
        <w:rPr>
          <w:rFonts w:cs="Arial"/>
        </w:rPr>
        <w:t xml:space="preserve">The Platform </w:t>
      </w:r>
      <w:r w:rsidR="009349AD">
        <w:rPr>
          <w:rFonts w:cs="Arial"/>
        </w:rPr>
        <w:t>understands</w:t>
      </w:r>
      <w:r w:rsidRPr="008A1CCA">
        <w:rPr>
          <w:rFonts w:cs="Arial"/>
        </w:rPr>
        <w:t xml:space="preserve"> </w:t>
      </w:r>
      <w:r w:rsidR="009349AD">
        <w:rPr>
          <w:rFonts w:cs="Arial"/>
        </w:rPr>
        <w:t>external third party verification</w:t>
      </w:r>
      <w:r w:rsidRPr="008A1CCA">
        <w:rPr>
          <w:rFonts w:cs="Arial"/>
        </w:rPr>
        <w:t xml:space="preserve"> may be too cumbersome and add unnecessary costs given that reporting at fund-level is based on the investee companies’ disclosures. </w:t>
      </w:r>
      <w:r w:rsidR="009349AD">
        <w:rPr>
          <w:rFonts w:cs="Arial"/>
        </w:rPr>
        <w:t xml:space="preserve">To that extent, the Platform would emphasise that </w:t>
      </w:r>
      <w:r w:rsidR="00AA3C63">
        <w:rPr>
          <w:rFonts w:cs="Arial"/>
        </w:rPr>
        <w:t>Financial Market P</w:t>
      </w:r>
      <w:r w:rsidRPr="008A1CCA">
        <w:rPr>
          <w:rFonts w:cs="Arial"/>
        </w:rPr>
        <w:t xml:space="preserve">articipants </w:t>
      </w:r>
      <w:r w:rsidR="00AA3C63">
        <w:rPr>
          <w:rFonts w:cs="Arial"/>
        </w:rPr>
        <w:t>must be</w:t>
      </w:r>
      <w:r w:rsidRPr="008A1CCA">
        <w:rPr>
          <w:rFonts w:cs="Arial"/>
        </w:rPr>
        <w:t xml:space="preserve"> very clear in their disclosures </w:t>
      </w:r>
      <w:r w:rsidR="00AA3C63">
        <w:rPr>
          <w:rFonts w:cs="Arial"/>
        </w:rPr>
        <w:t>in explaining</w:t>
      </w:r>
      <w:r w:rsidRPr="008A1CCA">
        <w:rPr>
          <w:rFonts w:cs="Arial"/>
        </w:rPr>
        <w:t xml:space="preserve"> the methodologies used for any estimations (following the set of criteria developed by the </w:t>
      </w:r>
      <w:r w:rsidR="004508CE">
        <w:rPr>
          <w:rFonts w:cs="Arial"/>
        </w:rPr>
        <w:t>EC</w:t>
      </w:r>
      <w:r w:rsidRPr="008A1CCA">
        <w:rPr>
          <w:rFonts w:cs="Arial"/>
        </w:rPr>
        <w:t xml:space="preserve"> as recommended and the coefficient-based methodology in the absence of data)</w:t>
      </w:r>
      <w:r>
        <w:rPr>
          <w:rFonts w:cs="Arial"/>
        </w:rPr>
        <w:t xml:space="preserve">. </w:t>
      </w:r>
    </w:p>
    <w:p w14:paraId="60F50358" w14:textId="77777777" w:rsidR="009A11E7" w:rsidRDefault="009A11E7" w:rsidP="00747145">
      <w:pPr>
        <w:jc w:val="both"/>
        <w:rPr>
          <w:rFonts w:cs="Arial"/>
        </w:rPr>
      </w:pPr>
    </w:p>
    <w:p w14:paraId="539DD188" w14:textId="201B0D46" w:rsidR="009A11E7" w:rsidRPr="005A26CF" w:rsidRDefault="005E6F83" w:rsidP="00747145">
      <w:pPr>
        <w:jc w:val="both"/>
        <w:rPr>
          <w:rFonts w:cs="Arial"/>
        </w:rPr>
      </w:pPr>
      <w:r>
        <w:rPr>
          <w:rFonts w:cs="Arial"/>
        </w:rPr>
        <w:t>In addition to clear disclosures on the methodologies used for estimating or treating</w:t>
      </w:r>
      <w:r w:rsidR="004508CE">
        <w:rPr>
          <w:rFonts w:cs="Arial"/>
        </w:rPr>
        <w:t xml:space="preserve"> data from non-CSRD companies</w:t>
      </w:r>
      <w:r w:rsidR="00AA3C63">
        <w:rPr>
          <w:rFonts w:cs="Arial"/>
        </w:rPr>
        <w:t>, the Platform would</w:t>
      </w:r>
      <w:r w:rsidR="009A11E7" w:rsidRPr="005A26CF">
        <w:rPr>
          <w:rFonts w:cs="Arial"/>
        </w:rPr>
        <w:t xml:space="preserve"> recommend </w:t>
      </w:r>
      <w:r w:rsidR="00AA3C63">
        <w:rPr>
          <w:rFonts w:cs="Arial"/>
        </w:rPr>
        <w:t>that</w:t>
      </w:r>
      <w:r w:rsidR="009A11E7" w:rsidRPr="005A26CF">
        <w:rPr>
          <w:rFonts w:cs="Arial"/>
        </w:rPr>
        <w:t xml:space="preserve"> a distinctive internal function verifies the reporting (and encourage as bes</w:t>
      </w:r>
      <w:r w:rsidR="004508CE">
        <w:rPr>
          <w:rFonts w:cs="Arial"/>
        </w:rPr>
        <w:t>t practice an external party)</w:t>
      </w:r>
      <w:r w:rsidR="009A11E7" w:rsidRPr="005A26CF">
        <w:rPr>
          <w:rFonts w:cs="Arial"/>
        </w:rPr>
        <w:t xml:space="preserve">. </w:t>
      </w:r>
      <w:r w:rsidR="004508CE">
        <w:rPr>
          <w:rFonts w:cs="Arial"/>
        </w:rPr>
        <w:t>T</w:t>
      </w:r>
      <w:r w:rsidR="00AA3C63">
        <w:rPr>
          <w:rFonts w:cs="Arial"/>
        </w:rPr>
        <w:t>he Platform has</w:t>
      </w:r>
      <w:r w:rsidR="004508CE">
        <w:rPr>
          <w:rFonts w:cs="Arial"/>
        </w:rPr>
        <w:t xml:space="preserve"> also</w:t>
      </w:r>
      <w:r w:rsidR="009A11E7" w:rsidRPr="005A26CF">
        <w:rPr>
          <w:rFonts w:cs="Arial"/>
        </w:rPr>
        <w:t xml:space="preserve"> recommended </w:t>
      </w:r>
      <w:r w:rsidR="004508CE">
        <w:rPr>
          <w:rFonts w:cs="Arial"/>
        </w:rPr>
        <w:t xml:space="preserve">that </w:t>
      </w:r>
      <w:r w:rsidR="009A11E7" w:rsidRPr="005A26CF">
        <w:rPr>
          <w:rFonts w:cs="Arial"/>
        </w:rPr>
        <w:t xml:space="preserve">the EC to develop a set of criteria or a framework for the development and use of the methodologies. </w:t>
      </w:r>
    </w:p>
    <w:p w14:paraId="00EC8A5C" w14:textId="77777777" w:rsidR="009A11E7" w:rsidRPr="005A26CF" w:rsidRDefault="009A11E7" w:rsidP="00747145">
      <w:pPr>
        <w:jc w:val="both"/>
        <w:rPr>
          <w:rFonts w:cs="Arial"/>
        </w:rPr>
      </w:pPr>
    </w:p>
    <w:p w14:paraId="75A83762" w14:textId="1B967E48" w:rsidR="007D26D2" w:rsidRDefault="00562546" w:rsidP="00747145">
      <w:pPr>
        <w:jc w:val="both"/>
        <w:rPr>
          <w:rFonts w:cs="Arial"/>
        </w:rPr>
      </w:pPr>
      <w:r w:rsidRPr="005A26CF">
        <w:rPr>
          <w:rFonts w:cs="Arial"/>
        </w:rPr>
        <w:t>The use of ‘</w:t>
      </w:r>
      <w:r w:rsidR="0094492A" w:rsidRPr="005A26CF">
        <w:rPr>
          <w:rFonts w:cs="Arial"/>
        </w:rPr>
        <w:t>Estimated</w:t>
      </w:r>
      <w:r w:rsidRPr="005A26CF">
        <w:rPr>
          <w:rFonts w:cs="Arial"/>
        </w:rPr>
        <w:t xml:space="preserve"> Aligned’ information in reporting should be accompanied by an explanation from the investor on whether any </w:t>
      </w:r>
      <w:r w:rsidR="00DC51DD">
        <w:rPr>
          <w:rFonts w:cs="Arial"/>
        </w:rPr>
        <w:t>TSC</w:t>
      </w:r>
      <w:r w:rsidRPr="005A26CF">
        <w:rPr>
          <w:rFonts w:cs="Arial"/>
        </w:rPr>
        <w:t xml:space="preserve"> could not be verified and why, the nature of the due diligence that they have conducted, engagement with the investee company (if undertaken) and </w:t>
      </w:r>
      <w:r w:rsidRPr="00562546">
        <w:rPr>
          <w:rFonts w:cs="Arial"/>
        </w:rPr>
        <w:t>results, and the use of any estimates or proxies in their model.</w:t>
      </w:r>
      <w:r>
        <w:rPr>
          <w:rFonts w:cs="Arial"/>
        </w:rPr>
        <w:t xml:space="preserve"> The use of third party models should be permitted only when accompanied by a detailed methodology document that outlines the approach employed relative to the Taxonomy </w:t>
      </w:r>
      <w:r w:rsidR="00DC51DD">
        <w:rPr>
          <w:rFonts w:cs="Arial"/>
        </w:rPr>
        <w:t xml:space="preserve">TSC </w:t>
      </w:r>
      <w:r>
        <w:rPr>
          <w:rFonts w:cs="Arial"/>
        </w:rPr>
        <w:t>and details how the precautionary principle is</w:t>
      </w:r>
      <w:r w:rsidRPr="00562546">
        <w:rPr>
          <w:rFonts w:cs="Arial"/>
        </w:rPr>
        <w:t xml:space="preserve"> </w:t>
      </w:r>
      <w:r>
        <w:rPr>
          <w:rFonts w:cs="Arial"/>
        </w:rPr>
        <w:t>utilised.</w:t>
      </w:r>
    </w:p>
    <w:permEnd w:id="569465455"/>
    <w:p w14:paraId="2267AC0F" w14:textId="00044BD1"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47C75544" w:rsidR="003E573C" w:rsidRDefault="003E573C" w:rsidP="00666A17">
      <w:pPr>
        <w:pStyle w:val="Prrafodelista"/>
        <w:numPr>
          <w:ilvl w:val="0"/>
          <w:numId w:val="37"/>
        </w:numPr>
        <w:rPr>
          <w:rFonts w:asciiTheme="minorHAnsi" w:eastAsiaTheme="minorEastAsia" w:hAnsiTheme="minorHAnsi" w:cstheme="minorBidi"/>
          <w:b/>
          <w:sz w:val="22"/>
          <w:szCs w:val="20"/>
          <w:lang w:eastAsia="en-US"/>
        </w:rPr>
      </w:pPr>
      <w:r w:rsidRPr="001969F6">
        <w:rPr>
          <w:b/>
          <w:bCs/>
        </w:rPr>
        <w:t xml:space="preserve">: </w:t>
      </w:r>
      <w:r w:rsidR="001969F6" w:rsidRPr="001969F6">
        <w:rPr>
          <w:rFonts w:asciiTheme="minorHAnsi" w:eastAsiaTheme="minorEastAsia" w:hAnsiTheme="minorHAnsi" w:cstheme="minorBidi"/>
          <w:b/>
          <w:sz w:val="22"/>
          <w:szCs w:val="20"/>
          <w:lang w:eastAsia="en-US"/>
        </w:rPr>
        <w:t>Do you have any views on the proposed periodic disclosures which mirror the proposals for pre-contractual amendments?</w:t>
      </w:r>
    </w:p>
    <w:p w14:paraId="62D07B51" w14:textId="77777777" w:rsidR="002A73F1" w:rsidRPr="002A73F1" w:rsidRDefault="002A73F1" w:rsidP="002A73F1">
      <w:pPr>
        <w:pStyle w:val="Prrafodelista"/>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4E220CCF" w14:textId="6F448919" w:rsidR="007D26D2" w:rsidRDefault="00562546" w:rsidP="004508CE">
      <w:pPr>
        <w:jc w:val="both"/>
        <w:rPr>
          <w:rFonts w:cs="Arial"/>
        </w:rPr>
      </w:pPr>
      <w:permStart w:id="1713528049" w:edGrp="everyone"/>
      <w:r>
        <w:rPr>
          <w:rFonts w:cs="Arial"/>
        </w:rPr>
        <w:t xml:space="preserve">The Platform is </w:t>
      </w:r>
      <w:r w:rsidR="00F8253C">
        <w:rPr>
          <w:rFonts w:cs="Arial"/>
        </w:rPr>
        <w:t>supportive of</w:t>
      </w:r>
      <w:r>
        <w:rPr>
          <w:rFonts w:cs="Arial"/>
        </w:rPr>
        <w:t xml:space="preserve"> harmonising the requirements between periodic and pre-contractual reports. The Platform agrees with the ESA’s recommendations that periodic reports should give details on the progress relative to </w:t>
      </w:r>
      <w:r w:rsidR="001520D5">
        <w:rPr>
          <w:rFonts w:cs="Arial"/>
        </w:rPr>
        <w:t>Taxonomy</w:t>
      </w:r>
      <w:r>
        <w:rPr>
          <w:rFonts w:cs="Arial"/>
        </w:rPr>
        <w:t xml:space="preserve"> alignment goals of the underlying investment.</w:t>
      </w:r>
    </w:p>
    <w:p w14:paraId="4FDEFB9E" w14:textId="6E58990A" w:rsidR="00A164FA" w:rsidRDefault="00A164FA" w:rsidP="004508CE">
      <w:pPr>
        <w:jc w:val="both"/>
        <w:rPr>
          <w:rFonts w:cs="Arial"/>
        </w:rPr>
      </w:pPr>
    </w:p>
    <w:p w14:paraId="57F41476" w14:textId="23A6D873" w:rsidR="00A164FA" w:rsidRDefault="004508CE" w:rsidP="004508CE">
      <w:pPr>
        <w:jc w:val="both"/>
        <w:rPr>
          <w:rFonts w:cs="Arial"/>
        </w:rPr>
      </w:pPr>
      <w:r>
        <w:rPr>
          <w:rFonts w:cs="Arial"/>
        </w:rPr>
        <w:t>The Platform agrees that A</w:t>
      </w:r>
      <w:r w:rsidR="00A164FA" w:rsidRPr="00A164FA">
        <w:rPr>
          <w:rFonts w:cs="Arial"/>
        </w:rPr>
        <w:t>rticle</w:t>
      </w:r>
      <w:r>
        <w:rPr>
          <w:rFonts w:cs="Arial"/>
        </w:rPr>
        <w:t xml:space="preserve">s 5 and </w:t>
      </w:r>
      <w:r w:rsidR="00A164FA" w:rsidRPr="00A164FA">
        <w:rPr>
          <w:rFonts w:cs="Arial"/>
        </w:rPr>
        <w:t xml:space="preserve">6 products </w:t>
      </w:r>
      <w:r>
        <w:rPr>
          <w:rFonts w:cs="Arial"/>
        </w:rPr>
        <w:t xml:space="preserve">under the Taxonomy Regulation </w:t>
      </w:r>
      <w:r w:rsidR="00A164FA" w:rsidRPr="00A164FA">
        <w:rPr>
          <w:rFonts w:cs="Arial"/>
        </w:rPr>
        <w:t xml:space="preserve">that invest in </w:t>
      </w:r>
      <w:r w:rsidR="001520D5">
        <w:rPr>
          <w:rFonts w:cs="Arial"/>
        </w:rPr>
        <w:t>Taxonomy</w:t>
      </w:r>
      <w:r w:rsidR="00A164FA" w:rsidRPr="00A164FA">
        <w:rPr>
          <w:rFonts w:cs="Arial"/>
        </w:rPr>
        <w:t>-aligned investments are exempted from the website disclosures on contribution and DNSH for sustainable investments.</w:t>
      </w:r>
      <w:r w:rsidR="00F8253C">
        <w:rPr>
          <w:rFonts w:cs="Arial"/>
        </w:rPr>
        <w:t xml:space="preserve"> </w:t>
      </w:r>
    </w:p>
    <w:p w14:paraId="7F97FB9F" w14:textId="049CF15C" w:rsidR="00A164FA" w:rsidRDefault="00A164FA" w:rsidP="004508CE">
      <w:pPr>
        <w:jc w:val="both"/>
        <w:rPr>
          <w:rFonts w:cs="Arial"/>
        </w:rPr>
      </w:pPr>
    </w:p>
    <w:p w14:paraId="2E1CFC4C" w14:textId="6DEBE2DE" w:rsidR="007D26D2" w:rsidRPr="007D26D2" w:rsidRDefault="007D26D2" w:rsidP="004508CE">
      <w:pPr>
        <w:jc w:val="both"/>
        <w:rPr>
          <w:rFonts w:cs="Arial"/>
        </w:rPr>
      </w:pPr>
      <w:r>
        <w:rPr>
          <w:rFonts w:cs="Arial"/>
        </w:rPr>
        <w:t xml:space="preserve">The Platform also </w:t>
      </w:r>
      <w:r w:rsidRPr="007D26D2">
        <w:rPr>
          <w:rFonts w:cs="Arial"/>
        </w:rPr>
        <w:t>recommend</w:t>
      </w:r>
      <w:r w:rsidR="008A1CCA">
        <w:rPr>
          <w:rFonts w:cs="Arial"/>
        </w:rPr>
        <w:t>s</w:t>
      </w:r>
      <w:r w:rsidRPr="007D26D2">
        <w:rPr>
          <w:rFonts w:cs="Arial"/>
        </w:rPr>
        <w:t xml:space="preserve"> encouraging companies to include the Taxonomy when reporting at corporate-level on their transition strategies and/or in the context of the </w:t>
      </w:r>
      <w:r w:rsidR="00DA1A66">
        <w:rPr>
          <w:rFonts w:cs="Arial"/>
        </w:rPr>
        <w:t>CSRD</w:t>
      </w:r>
      <w:r w:rsidRPr="007D26D2">
        <w:rPr>
          <w:rFonts w:cs="Arial"/>
        </w:rPr>
        <w:t xml:space="preserve"> as follows: </w:t>
      </w:r>
    </w:p>
    <w:p w14:paraId="2907AACE" w14:textId="77777777" w:rsidR="007D26D2" w:rsidRPr="007D26D2" w:rsidRDefault="007D26D2" w:rsidP="004508CE">
      <w:pPr>
        <w:jc w:val="both"/>
        <w:rPr>
          <w:rFonts w:cs="Arial"/>
        </w:rPr>
      </w:pPr>
    </w:p>
    <w:p w14:paraId="26306758" w14:textId="1CD5DFFB" w:rsidR="007D26D2" w:rsidRPr="007D26D2" w:rsidRDefault="007D26D2" w:rsidP="004508CE">
      <w:pPr>
        <w:pStyle w:val="Prrafodelista"/>
        <w:numPr>
          <w:ilvl w:val="0"/>
          <w:numId w:val="42"/>
        </w:numPr>
        <w:jc w:val="both"/>
        <w:rPr>
          <w:rFonts w:cs="Arial"/>
        </w:rPr>
      </w:pPr>
      <w:r w:rsidRPr="007D26D2">
        <w:rPr>
          <w:rFonts w:cs="Arial"/>
        </w:rPr>
        <w:t>Description of their transition and/or sustainabi</w:t>
      </w:r>
      <w:r w:rsidR="0089123E">
        <w:rPr>
          <w:rFonts w:cs="Arial"/>
        </w:rPr>
        <w:t>lity Strategies within the TCFD-</w:t>
      </w:r>
      <w:r w:rsidRPr="007D26D2">
        <w:rPr>
          <w:rFonts w:cs="Arial"/>
        </w:rPr>
        <w:t>aligned framework in line with EU regulation (</w:t>
      </w:r>
      <w:r w:rsidR="0089123E">
        <w:rPr>
          <w:rFonts w:cs="Arial"/>
        </w:rPr>
        <w:t>taking into account</w:t>
      </w:r>
      <w:r w:rsidRPr="007D26D2">
        <w:rPr>
          <w:rFonts w:cs="Arial"/>
        </w:rPr>
        <w:t xml:space="preserve"> the </w:t>
      </w:r>
      <w:r w:rsidR="0089123E">
        <w:rPr>
          <w:rFonts w:cs="Arial"/>
        </w:rPr>
        <w:t>CSRD proposal</w:t>
      </w:r>
      <w:r w:rsidRPr="007D26D2">
        <w:rPr>
          <w:rFonts w:cs="Arial"/>
        </w:rPr>
        <w:t xml:space="preserve">) and EU sustainability targets. </w:t>
      </w:r>
    </w:p>
    <w:p w14:paraId="29F971E3" w14:textId="5AF58FA6" w:rsidR="007D26D2" w:rsidRPr="007D26D2" w:rsidRDefault="007D26D2" w:rsidP="004508CE">
      <w:pPr>
        <w:pStyle w:val="Prrafodelista"/>
        <w:numPr>
          <w:ilvl w:val="0"/>
          <w:numId w:val="42"/>
        </w:numPr>
        <w:jc w:val="both"/>
        <w:rPr>
          <w:rFonts w:cs="Arial"/>
        </w:rPr>
      </w:pPr>
      <w:r w:rsidRPr="007D26D2">
        <w:rPr>
          <w:rFonts w:cs="Arial"/>
        </w:rPr>
        <w:t>How they relate to the Taxonomy</w:t>
      </w:r>
    </w:p>
    <w:p w14:paraId="6192DFEA" w14:textId="2117CB7D" w:rsidR="007D26D2" w:rsidRPr="007D26D2" w:rsidRDefault="007D26D2" w:rsidP="004508CE">
      <w:pPr>
        <w:pStyle w:val="Prrafodelista"/>
        <w:numPr>
          <w:ilvl w:val="0"/>
          <w:numId w:val="42"/>
        </w:numPr>
        <w:jc w:val="both"/>
        <w:rPr>
          <w:rFonts w:cs="Arial"/>
        </w:rPr>
      </w:pPr>
      <w:r w:rsidRPr="007D26D2">
        <w:rPr>
          <w:rFonts w:cs="Arial"/>
        </w:rPr>
        <w:t>What targets relating to the Taxonomy-relevant KPIs are set (as recommended within the TCFD framework on climate target setting) How Taxonomy relevant KPIs are managed and overseen within the company’s governance structures as part of the overall corporate climate</w:t>
      </w:r>
      <w:r w:rsidR="0089123E">
        <w:rPr>
          <w:rFonts w:cs="Arial"/>
        </w:rPr>
        <w:t xml:space="preserve"> strategy. Complement their CapEx/OpE</w:t>
      </w:r>
      <w:r w:rsidRPr="007D26D2">
        <w:rPr>
          <w:rFonts w:cs="Arial"/>
        </w:rPr>
        <w:t xml:space="preserve">x performance disclosures for the reporting year with a description on: </w:t>
      </w:r>
    </w:p>
    <w:p w14:paraId="5AA4F4AA" w14:textId="0663B611" w:rsidR="007D26D2" w:rsidRPr="007D26D2" w:rsidRDefault="007D26D2" w:rsidP="0089123E">
      <w:pPr>
        <w:pStyle w:val="Prrafodelista"/>
        <w:numPr>
          <w:ilvl w:val="1"/>
          <w:numId w:val="59"/>
        </w:numPr>
        <w:jc w:val="both"/>
        <w:rPr>
          <w:rFonts w:cs="Arial"/>
        </w:rPr>
      </w:pPr>
      <w:r w:rsidRPr="007D26D2">
        <w:rPr>
          <w:rFonts w:cs="Arial"/>
        </w:rPr>
        <w:t>The activity or asset-specific investment plan(s) those expenditures support;</w:t>
      </w:r>
    </w:p>
    <w:p w14:paraId="054B03BD" w14:textId="1D756F91" w:rsidR="007D26D2" w:rsidRPr="007D26D2" w:rsidRDefault="007D26D2" w:rsidP="0089123E">
      <w:pPr>
        <w:pStyle w:val="Prrafodelista"/>
        <w:numPr>
          <w:ilvl w:val="1"/>
          <w:numId w:val="59"/>
        </w:numPr>
        <w:jc w:val="both"/>
        <w:rPr>
          <w:rFonts w:cs="Arial"/>
        </w:rPr>
      </w:pPr>
      <w:r w:rsidRPr="007D26D2">
        <w:rPr>
          <w:rFonts w:cs="Arial"/>
        </w:rPr>
        <w:t xml:space="preserve">Progress made in the realisation of the plan; and </w:t>
      </w:r>
    </w:p>
    <w:p w14:paraId="29DB254E" w14:textId="3CB0118F" w:rsidR="007D26D2" w:rsidRPr="007D26D2" w:rsidRDefault="007D26D2" w:rsidP="0089123E">
      <w:pPr>
        <w:pStyle w:val="Prrafodelista"/>
        <w:numPr>
          <w:ilvl w:val="1"/>
          <w:numId w:val="42"/>
        </w:numPr>
        <w:jc w:val="both"/>
        <w:rPr>
          <w:rFonts w:cs="Arial"/>
        </w:rPr>
      </w:pPr>
      <w:r w:rsidRPr="007D26D2">
        <w:rPr>
          <w:rFonts w:cs="Arial"/>
        </w:rPr>
        <w:t xml:space="preserve">Where the plan fits within the broader corporate transition strategy. </w:t>
      </w:r>
    </w:p>
    <w:p w14:paraId="5732EB4A" w14:textId="5D668CE6" w:rsidR="007D26D2" w:rsidRPr="007D26D2" w:rsidRDefault="007D26D2" w:rsidP="004508CE">
      <w:pPr>
        <w:pStyle w:val="Prrafodelista"/>
        <w:numPr>
          <w:ilvl w:val="0"/>
          <w:numId w:val="42"/>
        </w:numPr>
        <w:jc w:val="both"/>
        <w:rPr>
          <w:rFonts w:cs="Arial"/>
        </w:rPr>
      </w:pPr>
      <w:r w:rsidRPr="007D26D2">
        <w:rPr>
          <w:rFonts w:cs="Arial"/>
        </w:rPr>
        <w:t xml:space="preserve">Description of the company’s adaptation strategy; whether it has conducted a physical risk assessment and the results; and the extent to which it has an investment plan to address the risks identified in line with the adaptation Taxonomy. </w:t>
      </w:r>
    </w:p>
    <w:p w14:paraId="57795A6F" w14:textId="16E98E66" w:rsidR="007D26D2" w:rsidRPr="007D26D2" w:rsidRDefault="007D26D2" w:rsidP="004508CE">
      <w:pPr>
        <w:pStyle w:val="Prrafodelista"/>
        <w:numPr>
          <w:ilvl w:val="0"/>
          <w:numId w:val="42"/>
        </w:numPr>
        <w:jc w:val="both"/>
        <w:rPr>
          <w:rFonts w:cs="Arial"/>
        </w:rPr>
      </w:pPr>
      <w:r w:rsidRPr="007D26D2">
        <w:rPr>
          <w:rFonts w:cs="Arial"/>
        </w:rPr>
        <w:t xml:space="preserve">Companies might also want to report if they have conducted a social-risk assessment and developed a plan or programme to address social impacts such as re-training and reskilling of staff. </w:t>
      </w:r>
    </w:p>
    <w:p w14:paraId="658F4B62" w14:textId="0C1F397B" w:rsidR="007D26D2" w:rsidRDefault="007D26D2" w:rsidP="004508CE">
      <w:pPr>
        <w:pStyle w:val="Prrafodelista"/>
        <w:numPr>
          <w:ilvl w:val="0"/>
          <w:numId w:val="42"/>
        </w:numPr>
        <w:jc w:val="both"/>
        <w:rPr>
          <w:rFonts w:cs="Arial"/>
        </w:rPr>
      </w:pPr>
      <w:r w:rsidRPr="007D26D2">
        <w:rPr>
          <w:rFonts w:cs="Arial"/>
        </w:rPr>
        <w:t xml:space="preserve">DNSH and minimum safeguards-related disclosures in line with the </w:t>
      </w:r>
      <w:r w:rsidR="00DA1A66">
        <w:rPr>
          <w:rFonts w:cs="Arial"/>
        </w:rPr>
        <w:t>CSRD</w:t>
      </w:r>
      <w:r w:rsidR="004508CE">
        <w:rPr>
          <w:rFonts w:cs="Arial"/>
        </w:rPr>
        <w:t xml:space="preserve"> and Taxonomy Regulation</w:t>
      </w:r>
      <w:r w:rsidRPr="007D26D2">
        <w:rPr>
          <w:rFonts w:cs="Arial"/>
        </w:rPr>
        <w:t xml:space="preserve">.  </w:t>
      </w:r>
    </w:p>
    <w:p w14:paraId="3F140191" w14:textId="49F3CDD9" w:rsidR="007D26D2" w:rsidRDefault="007D26D2" w:rsidP="007D26D2">
      <w:pPr>
        <w:rPr>
          <w:rFonts w:cs="Arial"/>
        </w:rPr>
      </w:pPr>
    </w:p>
    <w:p w14:paraId="292CD80C" w14:textId="77777777" w:rsidR="007D26D2" w:rsidRPr="007D26D2" w:rsidRDefault="007D26D2" w:rsidP="007D26D2">
      <w:pPr>
        <w:rPr>
          <w:rFonts w:cs="Arial"/>
        </w:rPr>
      </w:pPr>
    </w:p>
    <w:permEnd w:id="1713528049"/>
    <w:p w14:paraId="6DB9AF7D" w14:textId="789B574E"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2A90ED5D" w:rsidR="003E573C" w:rsidRDefault="003E573C" w:rsidP="007118EB">
      <w:pPr>
        <w:pStyle w:val="Questionstyle"/>
      </w:pPr>
      <w:r>
        <w:t xml:space="preserve">: </w:t>
      </w:r>
      <w:r w:rsidR="001969F6" w:rsidRPr="001969F6">
        <w:t>Do you have any views on the amended pre-contractual and periodic templates?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0A4368BF" w14:textId="00B864BF" w:rsidR="003E573C" w:rsidRDefault="008768C8" w:rsidP="0089123E">
      <w:pPr>
        <w:jc w:val="both"/>
        <w:rPr>
          <w:rFonts w:cs="Arial"/>
        </w:rPr>
      </w:pPr>
      <w:permStart w:id="221670941" w:edGrp="everyone"/>
      <w:r>
        <w:rPr>
          <w:rFonts w:cs="Arial"/>
        </w:rPr>
        <w:t xml:space="preserve">The Platform </w:t>
      </w:r>
      <w:r w:rsidR="005A26CF">
        <w:rPr>
          <w:rFonts w:cs="Arial"/>
        </w:rPr>
        <w:t xml:space="preserve">does not have a preference with regards the amended pre-contractual and periodic templates. </w:t>
      </w:r>
      <w:r w:rsidR="00C8445F">
        <w:rPr>
          <w:rFonts w:cs="Arial"/>
        </w:rPr>
        <w:t xml:space="preserve">The Platform </w:t>
      </w:r>
      <w:r>
        <w:rPr>
          <w:rFonts w:cs="Arial"/>
        </w:rPr>
        <w:t xml:space="preserve">believes that any calculation of </w:t>
      </w:r>
      <w:r w:rsidR="001520D5">
        <w:rPr>
          <w:rFonts w:cs="Arial"/>
        </w:rPr>
        <w:t>Taxonomy</w:t>
      </w:r>
      <w:r>
        <w:rPr>
          <w:rFonts w:cs="Arial"/>
        </w:rPr>
        <w:t xml:space="preserve"> alignment needs to be clearly calculated, consistently applied between financial products</w:t>
      </w:r>
      <w:r w:rsidR="00BD653F">
        <w:rPr>
          <w:rFonts w:cs="Arial"/>
        </w:rPr>
        <w:t>,</w:t>
      </w:r>
      <w:r>
        <w:rPr>
          <w:rFonts w:cs="Arial"/>
        </w:rPr>
        <w:t xml:space="preserve"> and comparable between similar offerings from different providers. Achieving a clear, consistent and comparable reporting framework will allow the </w:t>
      </w:r>
      <w:r w:rsidR="00E95F91">
        <w:rPr>
          <w:rFonts w:cs="Arial"/>
        </w:rPr>
        <w:t>underlying</w:t>
      </w:r>
      <w:r>
        <w:rPr>
          <w:rFonts w:cs="Arial"/>
        </w:rPr>
        <w:t xml:space="preserve"> asset owners to make informed investment decisions and allow a clear playing field for those offering sustainable investment types.</w:t>
      </w:r>
    </w:p>
    <w:p w14:paraId="3A835A19" w14:textId="0980A8AE" w:rsidR="008768C8" w:rsidRDefault="008768C8" w:rsidP="0089123E">
      <w:pPr>
        <w:jc w:val="both"/>
        <w:rPr>
          <w:rFonts w:cs="Arial"/>
        </w:rPr>
      </w:pPr>
    </w:p>
    <w:p w14:paraId="27D3DD73" w14:textId="438971DD" w:rsidR="008768C8" w:rsidRDefault="008768C8" w:rsidP="0089123E">
      <w:pPr>
        <w:jc w:val="both"/>
        <w:rPr>
          <w:rFonts w:cs="Arial"/>
        </w:rPr>
      </w:pPr>
      <w:r>
        <w:rPr>
          <w:rFonts w:cs="Arial"/>
        </w:rPr>
        <w:t xml:space="preserve">To incentivise the flow of capital towards </w:t>
      </w:r>
      <w:r w:rsidR="001520D5">
        <w:rPr>
          <w:rFonts w:cs="Arial"/>
        </w:rPr>
        <w:t>Taxonomy</w:t>
      </w:r>
      <w:r w:rsidR="00F52550">
        <w:rPr>
          <w:rFonts w:cs="Arial"/>
        </w:rPr>
        <w:t>-aligned</w:t>
      </w:r>
      <w:r>
        <w:rPr>
          <w:rFonts w:cs="Arial"/>
        </w:rPr>
        <w:t xml:space="preserve"> activities, including those that enable the transition and those that are transitional</w:t>
      </w:r>
      <w:r w:rsidR="00BD653F">
        <w:rPr>
          <w:rFonts w:cs="Arial"/>
        </w:rPr>
        <w:t>,</w:t>
      </w:r>
      <w:r>
        <w:rPr>
          <w:rFonts w:cs="Arial"/>
        </w:rPr>
        <w:t xml:space="preserve"> is a key requirement. The Platform believes that a complicated reporting framework will undermine that objective.</w:t>
      </w:r>
    </w:p>
    <w:p w14:paraId="06AD9605" w14:textId="77777777" w:rsidR="00F52550" w:rsidRDefault="00F52550" w:rsidP="0089123E">
      <w:pPr>
        <w:jc w:val="both"/>
        <w:rPr>
          <w:rFonts w:cs="Arial"/>
        </w:rPr>
      </w:pPr>
    </w:p>
    <w:p w14:paraId="4A65EB6F" w14:textId="350A5F56" w:rsidR="008768C8" w:rsidRDefault="008768C8" w:rsidP="0089123E">
      <w:pPr>
        <w:jc w:val="both"/>
        <w:rPr>
          <w:rFonts w:cs="Arial"/>
        </w:rPr>
      </w:pPr>
      <w:r w:rsidRPr="008768C8">
        <w:rPr>
          <w:rFonts w:cs="Arial"/>
        </w:rPr>
        <w:t>Requirements should be focused on the supply of the most relevant information for the purpose of measuring Taxonomy alignment and for the benefit of investors in green and sustainable activities</w:t>
      </w:r>
      <w:r w:rsidR="00F52550">
        <w:rPr>
          <w:rFonts w:cs="Arial"/>
        </w:rPr>
        <w:t>.</w:t>
      </w:r>
      <w:r w:rsidR="00BD653F">
        <w:rPr>
          <w:rFonts w:cs="Arial"/>
        </w:rPr>
        <w:t xml:space="preserve"> Similarly, r</w:t>
      </w:r>
      <w:r w:rsidRPr="008768C8">
        <w:rPr>
          <w:rFonts w:cs="Arial"/>
        </w:rPr>
        <w:t>eporting should be anchored as much as possible in existing practices – accounting and sustainability – rather than requiring new and complex frameworks.  The focus should be on the end goal, thus requiring only information that is necessary and material rather than</w:t>
      </w:r>
      <w:r w:rsidR="008A1CCA">
        <w:rPr>
          <w:rFonts w:cs="Arial"/>
        </w:rPr>
        <w:t xml:space="preserve"> overloading preparers without a clear benefit</w:t>
      </w:r>
      <w:r w:rsidRPr="008768C8">
        <w:rPr>
          <w:rFonts w:cs="Arial"/>
        </w:rPr>
        <w:t>.</w:t>
      </w:r>
    </w:p>
    <w:p w14:paraId="5BC0045A" w14:textId="4860E02B" w:rsidR="008768C8" w:rsidRDefault="008768C8" w:rsidP="003E573C">
      <w:pPr>
        <w:rPr>
          <w:rFonts w:cs="Arial"/>
        </w:rPr>
      </w:pPr>
    </w:p>
    <w:p w14:paraId="2A97C12A" w14:textId="766B9EC8" w:rsidR="007D26D2" w:rsidRPr="007D26D2" w:rsidRDefault="007D26D2" w:rsidP="007F7342">
      <w:pPr>
        <w:jc w:val="both"/>
        <w:rPr>
          <w:rFonts w:cs="Arial"/>
        </w:rPr>
      </w:pPr>
      <w:r>
        <w:rPr>
          <w:rFonts w:cs="Arial"/>
        </w:rPr>
        <w:t>The Platform</w:t>
      </w:r>
      <w:r w:rsidRPr="007D26D2">
        <w:rPr>
          <w:rFonts w:cs="Arial"/>
        </w:rPr>
        <w:t xml:space="preserve"> recommend</w:t>
      </w:r>
      <w:r>
        <w:rPr>
          <w:rFonts w:cs="Arial"/>
        </w:rPr>
        <w:t>s</w:t>
      </w:r>
      <w:r w:rsidRPr="007D26D2">
        <w:rPr>
          <w:rFonts w:cs="Arial"/>
        </w:rPr>
        <w:t xml:space="preserve"> </w:t>
      </w:r>
      <w:r>
        <w:rPr>
          <w:rFonts w:cs="Arial"/>
        </w:rPr>
        <w:t xml:space="preserve">that </w:t>
      </w:r>
      <w:r w:rsidRPr="007D26D2">
        <w:rPr>
          <w:rFonts w:cs="Arial"/>
        </w:rPr>
        <w:t>companies</w:t>
      </w:r>
      <w:r w:rsidR="007F7342">
        <w:rPr>
          <w:rFonts w:cs="Arial"/>
        </w:rPr>
        <w:t>, subject to A</w:t>
      </w:r>
      <w:r w:rsidR="00712766">
        <w:rPr>
          <w:rFonts w:cs="Arial"/>
        </w:rPr>
        <w:t>rticle 8 disclosures,</w:t>
      </w:r>
      <w:r w:rsidRPr="007D26D2">
        <w:rPr>
          <w:rFonts w:cs="Arial"/>
        </w:rPr>
        <w:t xml:space="preserve"> voluntarily set and disclose Taxonomy targets for the short, </w:t>
      </w:r>
      <w:r w:rsidR="007F7342">
        <w:rPr>
          <w:rFonts w:cs="Arial"/>
        </w:rPr>
        <w:t xml:space="preserve">medium and long </w:t>
      </w:r>
      <w:r w:rsidRPr="007D26D2">
        <w:rPr>
          <w:rFonts w:cs="Arial"/>
        </w:rPr>
        <w:t>term.</w:t>
      </w:r>
      <w:r w:rsidR="00712766">
        <w:rPr>
          <w:rFonts w:cs="Arial"/>
        </w:rPr>
        <w:t xml:space="preserve"> </w:t>
      </w:r>
      <w:r w:rsidRPr="007D26D2">
        <w:rPr>
          <w:rFonts w:cs="Arial"/>
        </w:rPr>
        <w:t>The same way that many companies report the emission reduction targets they have set as part of their transition strategies, companies should be invited to establish and publicly share targets to align their activities to the Taxonomy to the extent possible. Where activities fall out of the scope of the Taxonomy, disclosure is welcomed nonetheless, and alternative legitimat</w:t>
      </w:r>
      <w:r w:rsidR="007F7342">
        <w:rPr>
          <w:rFonts w:cs="Arial"/>
        </w:rPr>
        <w:t>e benchmarks for environmental and/or</w:t>
      </w:r>
      <w:r w:rsidRPr="007D26D2">
        <w:rPr>
          <w:rFonts w:cs="Arial"/>
        </w:rPr>
        <w:t xml:space="preserve"> transition pathways may be used by the issuer at its discretion.</w:t>
      </w:r>
    </w:p>
    <w:p w14:paraId="1ADA2554" w14:textId="77777777" w:rsidR="007D26D2" w:rsidRPr="007D26D2" w:rsidRDefault="007D26D2" w:rsidP="007F7342">
      <w:pPr>
        <w:jc w:val="both"/>
        <w:rPr>
          <w:rFonts w:cs="Arial"/>
        </w:rPr>
      </w:pPr>
    </w:p>
    <w:p w14:paraId="4784A5FD" w14:textId="73394596" w:rsidR="008768C8" w:rsidRDefault="007F7342" w:rsidP="007F7342">
      <w:pPr>
        <w:jc w:val="both"/>
        <w:rPr>
          <w:rFonts w:cs="Arial"/>
        </w:rPr>
      </w:pPr>
      <w:r>
        <w:rPr>
          <w:rFonts w:cs="Arial"/>
        </w:rPr>
        <w:t>This will enable i</w:t>
      </w:r>
      <w:r w:rsidR="007D26D2" w:rsidRPr="007D26D2">
        <w:rPr>
          <w:rFonts w:cs="Arial"/>
        </w:rPr>
        <w:t xml:space="preserve">nvestors and lenders </w:t>
      </w:r>
      <w:r>
        <w:rPr>
          <w:rFonts w:cs="Arial"/>
        </w:rPr>
        <w:t>to establish</w:t>
      </w:r>
      <w:r w:rsidR="007D26D2" w:rsidRPr="007D26D2">
        <w:rPr>
          <w:rFonts w:cs="Arial"/>
        </w:rPr>
        <w:t xml:space="preserve"> </w:t>
      </w:r>
      <w:r w:rsidR="008A1CCA">
        <w:rPr>
          <w:rFonts w:cs="Arial"/>
        </w:rPr>
        <w:t>and publicis</w:t>
      </w:r>
      <w:r w:rsidR="00712766">
        <w:rPr>
          <w:rFonts w:cs="Arial"/>
        </w:rPr>
        <w:t xml:space="preserve">e </w:t>
      </w:r>
      <w:r w:rsidR="007D26D2" w:rsidRPr="007D26D2">
        <w:rPr>
          <w:rFonts w:cs="Arial"/>
        </w:rPr>
        <w:t>targets for their capital investments (CapEx alignment), R&amp;D where relevant, and even an approx</w:t>
      </w:r>
      <w:r>
        <w:rPr>
          <w:rFonts w:cs="Arial"/>
        </w:rPr>
        <w:t xml:space="preserve">imation of their future revenue </w:t>
      </w:r>
      <w:r w:rsidR="007D26D2" w:rsidRPr="007D26D2">
        <w:rPr>
          <w:rFonts w:cs="Arial"/>
        </w:rPr>
        <w:t>alignment (even if the latter also depend</w:t>
      </w:r>
      <w:r>
        <w:rPr>
          <w:rFonts w:cs="Arial"/>
        </w:rPr>
        <w:t>s</w:t>
      </w:r>
      <w:r w:rsidR="007D26D2" w:rsidRPr="007D26D2">
        <w:rPr>
          <w:rFonts w:cs="Arial"/>
        </w:rPr>
        <w:t xml:space="preserve"> on exogenous variables and are to be taken as “aspirational”)</w:t>
      </w:r>
      <w:r>
        <w:rPr>
          <w:rFonts w:cs="Arial"/>
        </w:rPr>
        <w:t xml:space="preserve"> for the short, medium and long </w:t>
      </w:r>
      <w:r w:rsidR="007D26D2" w:rsidRPr="007D26D2">
        <w:rPr>
          <w:rFonts w:cs="Arial"/>
        </w:rPr>
        <w:t>term. More importantly, companies are also invited to explain how their targets fit within their overall objectives and transition strategies, whether they have been approved by the Board</w:t>
      </w:r>
      <w:r>
        <w:rPr>
          <w:rFonts w:cs="Arial"/>
        </w:rPr>
        <w:t>,</w:t>
      </w:r>
      <w:r w:rsidR="007D26D2" w:rsidRPr="007D26D2">
        <w:rPr>
          <w:rFonts w:cs="Arial"/>
        </w:rPr>
        <w:t xml:space="preserve"> and to report annually on progress achievement.</w:t>
      </w:r>
    </w:p>
    <w:p w14:paraId="0B2EA288" w14:textId="052D746F" w:rsidR="00712766" w:rsidRDefault="00712766" w:rsidP="007F7342">
      <w:pPr>
        <w:jc w:val="both"/>
        <w:rPr>
          <w:rFonts w:cs="Arial"/>
        </w:rPr>
      </w:pPr>
    </w:p>
    <w:p w14:paraId="3BD87BD3" w14:textId="6EA986B7" w:rsidR="00712766" w:rsidRDefault="00712766" w:rsidP="007F7342">
      <w:pPr>
        <w:jc w:val="both"/>
        <w:rPr>
          <w:rFonts w:cs="Arial"/>
        </w:rPr>
      </w:pPr>
      <w:r w:rsidRPr="00712766">
        <w:rPr>
          <w:rFonts w:cs="Arial"/>
        </w:rPr>
        <w:t xml:space="preserve">Financial actors, like credit institutions as proposed by EBA, could also disclose forward-looking information and targets to increase the alignment of their credit and investment portfolios. They can also use the Taxonomy to inform their capital allocation strategy and report on it.  </w:t>
      </w:r>
      <w:r w:rsidR="007F7342">
        <w:rPr>
          <w:rFonts w:cs="Arial"/>
        </w:rPr>
        <w:t>The Platform</w:t>
      </w:r>
      <w:r w:rsidRPr="00712766">
        <w:rPr>
          <w:rFonts w:cs="Arial"/>
        </w:rPr>
        <w:t xml:space="preserve"> recommend</w:t>
      </w:r>
      <w:r w:rsidR="007F7342">
        <w:rPr>
          <w:rFonts w:cs="Arial"/>
        </w:rPr>
        <w:t>s</w:t>
      </w:r>
      <w:r w:rsidRPr="00712766">
        <w:rPr>
          <w:rFonts w:cs="Arial"/>
        </w:rPr>
        <w:t xml:space="preserve"> to evaluate how to create a safe harbour for forward-looking statements in relation to the Taxonomy, in order to minimise the risk of liability and litigation (</w:t>
      </w:r>
      <w:r w:rsidR="00E95F91" w:rsidRPr="00712766">
        <w:rPr>
          <w:rFonts w:cs="Arial"/>
        </w:rPr>
        <w:t>e.g.,</w:t>
      </w:r>
      <w:r w:rsidRPr="00712766">
        <w:rPr>
          <w:rFonts w:cs="Arial"/>
        </w:rPr>
        <w:t xml:space="preserve"> lawsuits contesting estimates of trajectories that are not attained), which could prove a strong deterrent to report meaningful information.</w:t>
      </w:r>
    </w:p>
    <w:permEnd w:id="221670941"/>
    <w:p w14:paraId="57161E15" w14:textId="0A160962"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212862EF" w:rsidR="003E573C" w:rsidRDefault="003E573C" w:rsidP="007118EB">
      <w:pPr>
        <w:pStyle w:val="Questionstyle"/>
      </w:pPr>
      <w:bookmarkStart w:id="3" w:name="_Hlk18829484"/>
      <w:r>
        <w:t xml:space="preserve">: </w:t>
      </w:r>
      <w:bookmarkEnd w:id="3"/>
      <w:r w:rsidR="001969F6" w:rsidRPr="001969F6">
        <w:t>The draft RTS propose unified pre-contractual and periodic templates applicable to all Article 8 and 9 SFDR products (including Article 5 and 6 TR products which are a sub-set of Article 8 and 9 SFDR products). Do you believe it would be preferable to have separate pre-contractual and periodic templates for Article 5-6 TR products, instead of using the same template for all Article 8-9 SFDR products?</w:t>
      </w:r>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3440037A" w14:textId="718EA6AD" w:rsidR="00170A4D" w:rsidRPr="00C8445F" w:rsidRDefault="00170A4D" w:rsidP="003E573C">
      <w:pPr>
        <w:rPr>
          <w:rFonts w:cs="Arial"/>
        </w:rPr>
      </w:pPr>
      <w:bookmarkStart w:id="4" w:name="_Hlk66781674"/>
      <w:permStart w:id="610013876" w:edGrp="everyone"/>
      <w:r>
        <w:rPr>
          <w:rFonts w:cs="Arial"/>
        </w:rPr>
        <w:t>The Platform believes that the proposed pre-contractual and periodic templates should be appli</w:t>
      </w:r>
      <w:r w:rsidR="00C8445F">
        <w:rPr>
          <w:rFonts w:cs="Arial"/>
        </w:rPr>
        <w:t>c</w:t>
      </w:r>
      <w:r w:rsidR="007F7342">
        <w:rPr>
          <w:rFonts w:cs="Arial"/>
        </w:rPr>
        <w:t>able to all A</w:t>
      </w:r>
      <w:r>
        <w:rPr>
          <w:rFonts w:cs="Arial"/>
        </w:rPr>
        <w:t xml:space="preserve">rticle 8 and 9 SFDR products; there is no percentage value of Taxonomy alignment that such a disclosure </w:t>
      </w:r>
      <w:r w:rsidRPr="00C8445F">
        <w:rPr>
          <w:rFonts w:cs="Arial"/>
        </w:rPr>
        <w:t>nee</w:t>
      </w:r>
      <w:r w:rsidR="007200BD">
        <w:rPr>
          <w:rFonts w:cs="Arial"/>
        </w:rPr>
        <w:t>ds to reach and so the Taxonomy-</w:t>
      </w:r>
      <w:r w:rsidRPr="00C8445F">
        <w:rPr>
          <w:rFonts w:cs="Arial"/>
        </w:rPr>
        <w:t>aligned portion of the report will act to inform the asset owner</w:t>
      </w:r>
      <w:r w:rsidR="00F52550" w:rsidRPr="00C8445F">
        <w:rPr>
          <w:rFonts w:cs="Arial"/>
        </w:rPr>
        <w:t xml:space="preserve"> or end investor</w:t>
      </w:r>
      <w:r w:rsidRPr="00C8445F">
        <w:rPr>
          <w:rFonts w:cs="Arial"/>
        </w:rPr>
        <w:t xml:space="preserve"> on the proportion of their investment that aligns with the EU rules on environmental sustainability.</w:t>
      </w:r>
    </w:p>
    <w:p w14:paraId="798A1EFF" w14:textId="2CAAB2D3" w:rsidR="00170A4D" w:rsidRPr="00C8445F" w:rsidRDefault="00170A4D" w:rsidP="003E573C">
      <w:pPr>
        <w:rPr>
          <w:rFonts w:cs="Arial"/>
        </w:rPr>
      </w:pPr>
    </w:p>
    <w:p w14:paraId="2B9B12AF" w14:textId="574292A7" w:rsidR="00170A4D" w:rsidRPr="00C8445F" w:rsidRDefault="00170A4D" w:rsidP="003E573C">
      <w:pPr>
        <w:rPr>
          <w:rFonts w:cs="Arial"/>
        </w:rPr>
      </w:pPr>
      <w:r w:rsidRPr="00C8445F">
        <w:rPr>
          <w:rFonts w:cs="Arial"/>
        </w:rPr>
        <w:t xml:space="preserve">Any product </w:t>
      </w:r>
      <w:r w:rsidR="007F7342">
        <w:rPr>
          <w:rFonts w:cs="Arial"/>
        </w:rPr>
        <w:t>that</w:t>
      </w:r>
      <w:r w:rsidRPr="00C8445F">
        <w:rPr>
          <w:rFonts w:cs="Arial"/>
        </w:rPr>
        <w:t xml:space="preserve"> promotes or directly pursues an environmental objective</w:t>
      </w:r>
      <w:r w:rsidR="009A11E7" w:rsidRPr="00C8445F">
        <w:rPr>
          <w:rFonts w:cs="Arial"/>
        </w:rPr>
        <w:t xml:space="preserve"> or claims to have environmental characteristics</w:t>
      </w:r>
      <w:r w:rsidRPr="00C8445F">
        <w:rPr>
          <w:rFonts w:cs="Arial"/>
        </w:rPr>
        <w:t>, should be</w:t>
      </w:r>
      <w:r w:rsidR="007200BD">
        <w:rPr>
          <w:rFonts w:cs="Arial"/>
        </w:rPr>
        <w:t xml:space="preserve"> required to provide a Taxonomy-</w:t>
      </w:r>
      <w:r w:rsidRPr="00C8445F">
        <w:rPr>
          <w:rFonts w:cs="Arial"/>
        </w:rPr>
        <w:t xml:space="preserve">aligned disclosure. This will help demonstrate suitability under the newly proposed MiFID II rules but also allow for an informed conversation on </w:t>
      </w:r>
      <w:r w:rsidR="001520D5" w:rsidRPr="00C8445F">
        <w:rPr>
          <w:rFonts w:cs="Arial"/>
        </w:rPr>
        <w:t>Taxonomy</w:t>
      </w:r>
      <w:r w:rsidR="00F52550" w:rsidRPr="00C8445F">
        <w:rPr>
          <w:rFonts w:cs="Arial"/>
        </w:rPr>
        <w:t>-aligned</w:t>
      </w:r>
      <w:r w:rsidRPr="00C8445F">
        <w:rPr>
          <w:rFonts w:cs="Arial"/>
        </w:rPr>
        <w:t xml:space="preserve"> trajectory with the investor.</w:t>
      </w:r>
    </w:p>
    <w:p w14:paraId="5A207F2B" w14:textId="2BBB84DE" w:rsidR="00170A4D" w:rsidRDefault="00170A4D" w:rsidP="003E573C">
      <w:pPr>
        <w:rPr>
          <w:rFonts w:cs="Arial"/>
        </w:rPr>
      </w:pPr>
    </w:p>
    <w:p w14:paraId="53E4EFDF" w14:textId="34F6FD64" w:rsidR="00170A4D" w:rsidRDefault="00170A4D" w:rsidP="003E573C">
      <w:pPr>
        <w:rPr>
          <w:rFonts w:cs="Arial"/>
        </w:rPr>
      </w:pPr>
      <w:r>
        <w:rPr>
          <w:rFonts w:cs="Arial"/>
        </w:rPr>
        <w:t>The Platform agrees that an exemption for social objectives should exist until such time as a detailed Social Taxonomy is in place.</w:t>
      </w:r>
    </w:p>
    <w:p w14:paraId="0D106674" w14:textId="6B5E47D0" w:rsidR="00170A4D" w:rsidRDefault="00170A4D" w:rsidP="003E573C">
      <w:pPr>
        <w:rPr>
          <w:rFonts w:cs="Arial"/>
        </w:rPr>
      </w:pPr>
    </w:p>
    <w:p w14:paraId="1AF5F26C" w14:textId="77777777" w:rsidR="00170A4D" w:rsidRDefault="00170A4D" w:rsidP="003E573C">
      <w:pPr>
        <w:rPr>
          <w:rFonts w:cs="Arial"/>
        </w:rPr>
      </w:pPr>
    </w:p>
    <w:bookmarkEnd w:id="4"/>
    <w:permEnd w:id="610013876"/>
    <w:p w14:paraId="40F05C94" w14:textId="484F0F04"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5386165" w:rsidR="003E573C" w:rsidRDefault="003E573C" w:rsidP="007118EB">
      <w:pPr>
        <w:pStyle w:val="Questionstyle"/>
      </w:pPr>
      <w:r>
        <w:t xml:space="preserve">: </w:t>
      </w:r>
      <w:r w:rsidR="001969F6" w:rsidRPr="001969F6">
        <w:t>The draft RTS propose in the amended templates to identify whether products making sustainable investments do so according to the EU taxonomy. While this is done to clearly indicate whether Article 5 and 6 TR products (that make sustainable investments with environmental objectives) use the taxonomy, arguably this would have the effect of requiring Article 8 and 9 SFDR products making sustainable investments with social objectives to indicate that too. Do you agree with this proposal?</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6A52BA47" w14:textId="02A6ED74" w:rsidR="00F8253C" w:rsidRDefault="002C512F" w:rsidP="003E573C">
      <w:pPr>
        <w:rPr>
          <w:rFonts w:cs="Arial"/>
        </w:rPr>
      </w:pPr>
      <w:permStart w:id="790175202" w:edGrp="everyone"/>
      <w:r>
        <w:rPr>
          <w:rFonts w:cs="Arial"/>
        </w:rPr>
        <w:t>Article 8 and 9 products that pursue a social objective should not be required to provide a Tax</w:t>
      </w:r>
      <w:r w:rsidR="00F8253C">
        <w:rPr>
          <w:rFonts w:cs="Arial"/>
        </w:rPr>
        <w:t>o</w:t>
      </w:r>
      <w:r w:rsidR="007F7342">
        <w:rPr>
          <w:rFonts w:cs="Arial"/>
        </w:rPr>
        <w:t>nomy-</w:t>
      </w:r>
      <w:r>
        <w:rPr>
          <w:rFonts w:cs="Arial"/>
        </w:rPr>
        <w:t xml:space="preserve">aligned disclosure until a detailed social </w:t>
      </w:r>
      <w:r w:rsidR="001520D5">
        <w:rPr>
          <w:rFonts w:cs="Arial"/>
        </w:rPr>
        <w:t>Taxonomy</w:t>
      </w:r>
      <w:r>
        <w:rPr>
          <w:rFonts w:cs="Arial"/>
        </w:rPr>
        <w:t xml:space="preserve"> applies. Such a product should</w:t>
      </w:r>
      <w:r w:rsidR="00F8253C">
        <w:rPr>
          <w:rFonts w:cs="Arial"/>
        </w:rPr>
        <w:t>:</w:t>
      </w:r>
    </w:p>
    <w:p w14:paraId="09B197C1" w14:textId="505730CC" w:rsidR="00F8253C" w:rsidRDefault="002C512F" w:rsidP="00DB1B3A">
      <w:pPr>
        <w:pStyle w:val="Prrafodelista"/>
        <w:numPr>
          <w:ilvl w:val="0"/>
          <w:numId w:val="47"/>
        </w:numPr>
        <w:rPr>
          <w:rFonts w:cs="Arial"/>
        </w:rPr>
      </w:pPr>
      <w:r w:rsidRPr="00F8253C">
        <w:rPr>
          <w:rFonts w:cs="Arial"/>
        </w:rPr>
        <w:t>meet the Minimum Social Safeguards</w:t>
      </w:r>
      <w:r w:rsidR="00780BDB">
        <w:rPr>
          <w:rFonts w:cs="Arial"/>
        </w:rPr>
        <w:t>;</w:t>
      </w:r>
    </w:p>
    <w:p w14:paraId="5C070307" w14:textId="137AB7C7" w:rsidR="003E573C" w:rsidRDefault="00F52550" w:rsidP="00DB1B3A">
      <w:pPr>
        <w:pStyle w:val="Prrafodelista"/>
        <w:numPr>
          <w:ilvl w:val="0"/>
          <w:numId w:val="47"/>
        </w:numPr>
        <w:rPr>
          <w:rFonts w:cs="Arial"/>
        </w:rPr>
      </w:pPr>
      <w:r>
        <w:rPr>
          <w:rFonts w:cs="Arial"/>
        </w:rPr>
        <w:t xml:space="preserve">report against </w:t>
      </w:r>
      <w:r w:rsidR="002C512F" w:rsidRPr="00F8253C">
        <w:rPr>
          <w:rFonts w:cs="Arial"/>
        </w:rPr>
        <w:t>SFDR Principle Adverse Indicators</w:t>
      </w:r>
      <w:r w:rsidR="00780BDB">
        <w:rPr>
          <w:rFonts w:cs="Arial"/>
        </w:rPr>
        <w:t>;</w:t>
      </w:r>
      <w:r w:rsidR="00F8253C">
        <w:rPr>
          <w:rFonts w:cs="Arial"/>
        </w:rPr>
        <w:t xml:space="preserve"> and</w:t>
      </w:r>
    </w:p>
    <w:p w14:paraId="48697651" w14:textId="103219D8" w:rsidR="00F8253C" w:rsidRDefault="00F8253C" w:rsidP="00DB1B3A">
      <w:pPr>
        <w:pStyle w:val="Prrafodelista"/>
        <w:numPr>
          <w:ilvl w:val="0"/>
          <w:numId w:val="47"/>
        </w:numPr>
        <w:rPr>
          <w:rFonts w:cs="Arial"/>
        </w:rPr>
      </w:pPr>
      <w:r>
        <w:rPr>
          <w:rFonts w:cs="Arial"/>
        </w:rPr>
        <w:t>explain the social objectives – methodologies and quantitative indicators where necessary (e.g.</w:t>
      </w:r>
      <w:r w:rsidR="007F7342">
        <w:rPr>
          <w:rFonts w:cs="Arial"/>
        </w:rPr>
        <w:t>,</w:t>
      </w:r>
      <w:r>
        <w:rPr>
          <w:rFonts w:cs="Arial"/>
        </w:rPr>
        <w:t xml:space="preserve"> access to social housing must be &gt;20% revenues)</w:t>
      </w:r>
    </w:p>
    <w:p w14:paraId="3CC70D38" w14:textId="77777777" w:rsidR="00780BDB" w:rsidRDefault="00780BDB" w:rsidP="00F8253C">
      <w:pPr>
        <w:ind w:left="60"/>
        <w:rPr>
          <w:rFonts w:cs="Arial"/>
        </w:rPr>
      </w:pPr>
    </w:p>
    <w:p w14:paraId="73CB7B96" w14:textId="43E17EB7" w:rsidR="00F8253C" w:rsidRPr="00F8253C" w:rsidRDefault="00F8253C" w:rsidP="00F8253C">
      <w:pPr>
        <w:ind w:left="60"/>
        <w:rPr>
          <w:rFonts w:cs="Arial"/>
        </w:rPr>
      </w:pPr>
      <w:r>
        <w:rPr>
          <w:rFonts w:cs="Arial"/>
        </w:rPr>
        <w:t>The Platform recommend</w:t>
      </w:r>
      <w:r w:rsidR="00F52550">
        <w:rPr>
          <w:rFonts w:cs="Arial"/>
        </w:rPr>
        <w:t>s</w:t>
      </w:r>
      <w:r>
        <w:rPr>
          <w:rFonts w:cs="Arial"/>
        </w:rPr>
        <w:t xml:space="preserve"> revisiting this recommendation in a </w:t>
      </w:r>
      <w:r w:rsidR="00780BDB">
        <w:rPr>
          <w:rFonts w:cs="Arial"/>
        </w:rPr>
        <w:t>three</w:t>
      </w:r>
      <w:r w:rsidR="007F7342">
        <w:rPr>
          <w:rFonts w:cs="Arial"/>
        </w:rPr>
        <w:t>-</w:t>
      </w:r>
      <w:r>
        <w:rPr>
          <w:rFonts w:cs="Arial"/>
        </w:rPr>
        <w:t>year time period as the Taxonomy evolves.</w:t>
      </w:r>
    </w:p>
    <w:permEnd w:id="790175202"/>
    <w:p w14:paraId="140C09C0" w14:textId="31257444" w:rsidR="003E573C" w:rsidRDefault="003E573C" w:rsidP="003E573C">
      <w:pPr>
        <w:rPr>
          <w:rFonts w:cs="Arial"/>
        </w:rPr>
      </w:pPr>
      <w:r>
        <w:rPr>
          <w:rFonts w:cs="Arial"/>
        </w:rPr>
        <w:t>&lt;ESA_QUESTION_</w:t>
      </w:r>
      <w:r w:rsidR="00C86E1C">
        <w:rPr>
          <w:rFonts w:cs="Arial"/>
        </w:rPr>
        <w:t>ESG</w:t>
      </w:r>
      <w:r>
        <w:rPr>
          <w:rFonts w:cs="Arial"/>
        </w:rPr>
        <w:t>_11&gt;</w:t>
      </w:r>
    </w:p>
    <w:p w14:paraId="2CDEB4F0" w14:textId="5F67476B" w:rsidR="003E573C" w:rsidRDefault="003E573C" w:rsidP="003E573C">
      <w:pPr>
        <w:rPr>
          <w:rFonts w:cs="Arial"/>
        </w:rPr>
      </w:pPr>
    </w:p>
    <w:p w14:paraId="61320A13" w14:textId="067350C5" w:rsidR="007118EB" w:rsidRDefault="007118EB" w:rsidP="007118EB">
      <w:pPr>
        <w:pStyle w:val="Questionstyle"/>
      </w:pPr>
      <w:r>
        <w:t>:</w:t>
      </w:r>
      <w:r w:rsidR="001969F6" w:rsidRPr="001969F6">
        <w:t xml:space="preserve"> Do you have any views regarding the preliminary impact assessments? Can you provide more granular examples of costs associated with the policy options?</w:t>
      </w:r>
    </w:p>
    <w:p w14:paraId="02035181" w14:textId="6893B5C8" w:rsidR="007118EB" w:rsidRDefault="007118EB" w:rsidP="007118EB">
      <w:pPr>
        <w:rPr>
          <w:lang w:eastAsia="en-US"/>
        </w:rPr>
      </w:pPr>
      <w:r>
        <w:rPr>
          <w:lang w:eastAsia="en-US"/>
        </w:rPr>
        <w:t>&lt;ESA_QUESTION_ESG_12&gt;</w:t>
      </w:r>
    </w:p>
    <w:p w14:paraId="3577FCF9" w14:textId="10AB7555" w:rsidR="007118EB" w:rsidRPr="007118EB" w:rsidRDefault="00F52550" w:rsidP="007118EB">
      <w:pPr>
        <w:rPr>
          <w:lang w:eastAsia="en-US"/>
        </w:rPr>
      </w:pPr>
      <w:permStart w:id="1771197561" w:edGrp="everyone"/>
      <w:r w:rsidRPr="00F52550">
        <w:rPr>
          <w:rFonts w:cs="Arial"/>
          <w:lang w:val="es-ES"/>
        </w:rPr>
        <w:t>N/A</w:t>
      </w:r>
      <w:permEnd w:id="1771197561"/>
      <w:r w:rsidR="007118EB">
        <w:rPr>
          <w:lang w:eastAsia="en-US"/>
        </w:rPr>
        <w:t>&lt;ESA_QUESTION_ESG_12&gt;</w:t>
      </w:r>
    </w:p>
    <w:sectPr w:rsidR="007118EB" w:rsidRPr="007118EB" w:rsidSect="00A8728B">
      <w:headerReference w:type="even" r:id="rId22"/>
      <w:headerReference w:type="first" r:id="rId23"/>
      <w:footerReference w:type="first" r:id="rId24"/>
      <w:pgSz w:w="11906" w:h="16838" w:code="9"/>
      <w:pgMar w:top="2410" w:right="1247" w:bottom="1135" w:left="1247"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D7FA5" w16cex:dateUtc="2021-05-05T19:33:00Z"/>
  <w16cex:commentExtensible w16cex:durableId="243D7FDF" w16cex:dateUtc="2021-05-05T19:34:00Z"/>
  <w16cex:commentExtensible w16cex:durableId="243D7FEE" w16cex:dateUtc="2021-05-05T19:34:00Z"/>
  <w16cex:commentExtensible w16cex:durableId="243D7FFC" w16cex:dateUtc="2021-05-05T19:35:00Z"/>
  <w16cex:commentExtensible w16cex:durableId="243D8035" w16cex:dateUtc="2021-05-05T19:36:00Z"/>
  <w16cex:commentExtensible w16cex:durableId="243D804B" w16cex:dateUtc="2021-05-05T19:36:00Z"/>
  <w16cex:commentExtensible w16cex:durableId="243D8061" w16cex:dateUtc="2021-05-05T19:36:00Z"/>
  <w16cex:commentExtensible w16cex:durableId="243D8089" w16cex:dateUtc="2021-05-05T19:37:00Z"/>
  <w16cex:commentExtensible w16cex:durableId="243D809E" w16cex:dateUtc="2021-05-05T19:37:00Z"/>
  <w16cex:commentExtensible w16cex:durableId="24367DB6" w16cex:dateUtc="2021-04-30T11:59:00Z"/>
  <w16cex:commentExtensible w16cex:durableId="24367E3F" w16cex:dateUtc="2021-04-30T12:01:00Z"/>
  <w16cex:commentExtensible w16cex:durableId="24367E63" w16cex:dateUtc="2021-04-30T12:02:00Z"/>
  <w16cex:commentExtensible w16cex:durableId="24367EB9" w16cex:dateUtc="2021-04-30T12:03:00Z"/>
  <w16cex:commentExtensible w16cex:durableId="243D80F5" w16cex:dateUtc="2021-05-05T19:39:00Z"/>
  <w16cex:commentExtensible w16cex:durableId="24214F4E" w16cex:dateUtc="2021-04-14T10:23:00Z"/>
  <w16cex:commentExtensible w16cex:durableId="243680FF" w16cex:dateUtc="2021-04-30T12:13:00Z"/>
  <w16cex:commentExtensible w16cex:durableId="2436829D" w16cex:dateUtc="2021-04-30T12:20:00Z"/>
  <w16cex:commentExtensible w16cex:durableId="2436889C" w16cex:dateUtc="2021-04-30T12:46:00Z"/>
  <w16cex:commentExtensible w16cex:durableId="2436895C" w16cex:dateUtc="2021-04-30T12:49:00Z"/>
  <w16cex:commentExtensible w16cex:durableId="243D8180" w16cex:dateUtc="2021-05-05T19:41:00Z"/>
  <w16cex:commentExtensible w16cex:durableId="243D8188" w16cex:dateUtc="2021-05-05T19:41:00Z"/>
  <w16cex:commentExtensible w16cex:durableId="243689ED" w16cex:dateUtc="2021-04-30T12:51:00Z"/>
  <w16cex:commentExtensible w16cex:durableId="243D81BB" w16cex:dateUtc="2021-05-05T1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CE3214" w16cid:durableId="243D7FA5"/>
  <w16cid:commentId w16cid:paraId="1D2F9977" w16cid:durableId="243D7FDF"/>
  <w16cid:commentId w16cid:paraId="452ADA15" w16cid:durableId="243D7FEE"/>
  <w16cid:commentId w16cid:paraId="100E011C" w16cid:durableId="243D7FFC"/>
  <w16cid:commentId w16cid:paraId="41BEC639" w16cid:durableId="243D8035"/>
  <w16cid:commentId w16cid:paraId="1617BCF1" w16cid:durableId="243D804B"/>
  <w16cid:commentId w16cid:paraId="204187AC" w16cid:durableId="243D7F72"/>
  <w16cid:commentId w16cid:paraId="4FA00EDD" w16cid:durableId="243D8061"/>
  <w16cid:commentId w16cid:paraId="756A7933" w16cid:durableId="243D7F73"/>
  <w16cid:commentId w16cid:paraId="33D97F54" w16cid:durableId="243D8089"/>
  <w16cid:commentId w16cid:paraId="2A9644A8" w16cid:durableId="243D809E"/>
  <w16cid:commentId w16cid:paraId="296760E1" w16cid:durableId="24367DB6"/>
  <w16cid:commentId w16cid:paraId="008EA4F0" w16cid:durableId="24367E3F"/>
  <w16cid:commentId w16cid:paraId="69AA05C4" w16cid:durableId="24367E63"/>
  <w16cid:commentId w16cid:paraId="4C46F18E" w16cid:durableId="24367EB9"/>
  <w16cid:commentId w16cid:paraId="4004BFF9" w16cid:durableId="243D7F78"/>
  <w16cid:commentId w16cid:paraId="40040B7F" w16cid:durableId="243D7F79"/>
  <w16cid:commentId w16cid:paraId="17911D87" w16cid:durableId="243D80F5"/>
  <w16cid:commentId w16cid:paraId="61BF13DF" w16cid:durableId="243D7F7A"/>
  <w16cid:commentId w16cid:paraId="7A6A4207" w16cid:durableId="243D7F7B"/>
  <w16cid:commentId w16cid:paraId="282B192E" w16cid:durableId="24214F4E"/>
  <w16cid:commentId w16cid:paraId="58DA342C" w16cid:durableId="243D7F7D"/>
  <w16cid:commentId w16cid:paraId="3CDF61F3" w16cid:durableId="243680FF"/>
  <w16cid:commentId w16cid:paraId="066E3063" w16cid:durableId="243D7F7F"/>
  <w16cid:commentId w16cid:paraId="3C8ED70C" w16cid:durableId="2436829D"/>
  <w16cid:commentId w16cid:paraId="2856F83D" w16cid:durableId="2436889C"/>
  <w16cid:commentId w16cid:paraId="2E29214E" w16cid:durableId="2436895C"/>
  <w16cid:commentId w16cid:paraId="0CB51728" w16cid:durableId="243D7F83"/>
  <w16cid:commentId w16cid:paraId="7EECFC4C" w16cid:durableId="243D8180"/>
  <w16cid:commentId w16cid:paraId="77C41658" w16cid:durableId="243D7F84"/>
  <w16cid:commentId w16cid:paraId="4D75BE78" w16cid:durableId="243D8188"/>
  <w16cid:commentId w16cid:paraId="686B8370" w16cid:durableId="243689ED"/>
  <w16cid:commentId w16cid:paraId="5D4F0A9B" w16cid:durableId="243D7F86"/>
  <w16cid:commentId w16cid:paraId="40DFAA55" w16cid:durableId="243D81B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585CB" w14:textId="77777777" w:rsidR="00286DAF" w:rsidRDefault="00286DAF">
      <w:r>
        <w:separator/>
      </w:r>
    </w:p>
    <w:p w14:paraId="443A9B75" w14:textId="77777777" w:rsidR="00286DAF" w:rsidRDefault="00286DAF"/>
  </w:endnote>
  <w:endnote w:type="continuationSeparator" w:id="0">
    <w:p w14:paraId="70CC698A" w14:textId="77777777" w:rsidR="00286DAF" w:rsidRDefault="00286DAF">
      <w:r>
        <w:continuationSeparator/>
      </w:r>
    </w:p>
    <w:p w14:paraId="6CF9B9B5" w14:textId="77777777" w:rsidR="00286DAF" w:rsidRDefault="00286DAF"/>
  </w:endnote>
  <w:endnote w:type="continuationNotice" w:id="1">
    <w:p w14:paraId="601D62BC" w14:textId="77777777" w:rsidR="00286DAF" w:rsidRDefault="00286D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EUAlbertina">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20B0403030403020204"/>
    <w:charset w:val="00"/>
    <w:family w:val="swiss"/>
    <w:notTrueType/>
    <w:pitch w:val="variable"/>
    <w:sig w:usb0="00000001" w:usb1="5000204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E0237" w:rsidRPr="00616B9B" w14:paraId="6A3CB0EF" w14:textId="77777777" w:rsidTr="00315E96">
      <w:trPr>
        <w:trHeight w:val="284"/>
      </w:trPr>
      <w:tc>
        <w:tcPr>
          <w:tcW w:w="8460" w:type="dxa"/>
        </w:tcPr>
        <w:p w14:paraId="6A3CB0ED" w14:textId="77777777" w:rsidR="004E0237" w:rsidRPr="00315E96" w:rsidRDefault="004E0237" w:rsidP="00315E96">
          <w:pPr>
            <w:pStyle w:val="00Footer"/>
            <w:rPr>
              <w:lang w:val="fr-FR"/>
            </w:rPr>
          </w:pPr>
        </w:p>
      </w:tc>
      <w:tc>
        <w:tcPr>
          <w:tcW w:w="952" w:type="dxa"/>
        </w:tcPr>
        <w:p w14:paraId="6A3CB0EE" w14:textId="355FD812" w:rsidR="004E0237" w:rsidRPr="00616B9B" w:rsidRDefault="004E0237"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9F6DFE">
            <w:rPr>
              <w:rFonts w:cs="Arial"/>
              <w:noProof/>
              <w:sz w:val="22"/>
              <w:szCs w:val="22"/>
            </w:rPr>
            <w:t>3</w:t>
          </w:r>
          <w:r w:rsidRPr="00616B9B">
            <w:rPr>
              <w:rFonts w:cs="Arial"/>
              <w:noProof/>
              <w:sz w:val="22"/>
              <w:szCs w:val="22"/>
            </w:rPr>
            <w:fldChar w:fldCharType="end"/>
          </w:r>
        </w:p>
      </w:tc>
    </w:tr>
  </w:tbl>
  <w:p w14:paraId="6A3CB0F0" w14:textId="77777777" w:rsidR="004E0237" w:rsidRDefault="004E023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CB100" w14:textId="77777777" w:rsidR="004E0237" w:rsidRDefault="004E02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8652D" w14:textId="77777777" w:rsidR="00286DAF" w:rsidRDefault="00286DAF">
      <w:r>
        <w:separator/>
      </w:r>
    </w:p>
    <w:p w14:paraId="48FE2E83" w14:textId="77777777" w:rsidR="00286DAF" w:rsidRDefault="00286DAF"/>
  </w:footnote>
  <w:footnote w:type="continuationSeparator" w:id="0">
    <w:p w14:paraId="1269327D" w14:textId="77777777" w:rsidR="00286DAF" w:rsidRDefault="00286DAF">
      <w:r>
        <w:continuationSeparator/>
      </w:r>
    </w:p>
    <w:p w14:paraId="68C2A15A" w14:textId="77777777" w:rsidR="00286DAF" w:rsidRDefault="00286DAF"/>
  </w:footnote>
  <w:footnote w:type="continuationNotice" w:id="1">
    <w:p w14:paraId="6EEFEBBF" w14:textId="77777777" w:rsidR="00286DAF" w:rsidRDefault="00286DAF"/>
  </w:footnote>
  <w:footnote w:id="2">
    <w:p w14:paraId="52F26208" w14:textId="77777777" w:rsidR="004E0237" w:rsidRDefault="004E0237" w:rsidP="00197794">
      <w:pPr>
        <w:pStyle w:val="Textonotapie"/>
      </w:pPr>
      <w:r>
        <w:rPr>
          <w:rStyle w:val="Refdenotaalpi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CB0EC" w14:textId="0B1FCCA2" w:rsidR="004E0237" w:rsidRDefault="004E0237">
    <w:pPr>
      <w:pStyle w:val="Encabezado"/>
    </w:pPr>
    <w:r>
      <w:rPr>
        <w:noProof/>
        <w:lang w:val="es-ES" w:eastAsia="es-ES"/>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1="http://schemas.microsoft.com/office/drawing/2015/9/8/chartex" xmlns:cx="http://schemas.microsoft.com/office/drawing/2014/chartex"/>
                    </a:ext>
                  </a:extLst>
                </pic:spPr>
              </pic:pic>
            </a:graphicData>
          </a:graphic>
        </wp:inline>
      </w:drawing>
    </w:r>
    <w:r>
      <w:rPr>
        <w:noProof/>
        <w:lang w:val="es-ES" w:eastAsia="es-ES"/>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42D08AC"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CB0F1" w14:textId="57FA93C8" w:rsidR="004E0237" w:rsidRDefault="004E0237" w:rsidP="00013CCE">
    <w:pPr>
      <w:pStyle w:val="Encabezado"/>
      <w:jc w:val="right"/>
    </w:pPr>
    <w:r>
      <w:rPr>
        <w:noProof/>
        <w:lang w:val="es-ES" w:eastAsia="es-ES"/>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1="http://schemas.microsoft.com/office/drawing/2015/9/8/chartex" xmlns:cx="http://schemas.microsoft.com/office/drawing/2014/chartex"/>
                    </a:ext>
                  </a:extLst>
                </pic:spPr>
              </pic:pic>
            </a:graphicData>
          </a:graphic>
        </wp:inline>
      </w:drawing>
    </w:r>
    <w:r>
      <w:rPr>
        <w:noProof/>
        <w:lang w:val="es-ES" w:eastAsia="es-ES"/>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CB0F2" w14:textId="77777777" w:rsidR="004E0237" w:rsidRDefault="004E023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E0237" w:rsidRPr="002F4496" w14:paraId="6A3CB0F5" w14:textId="77777777" w:rsidTr="000C06C9">
      <w:trPr>
        <w:trHeight w:val="284"/>
      </w:trPr>
      <w:tc>
        <w:tcPr>
          <w:tcW w:w="8460" w:type="dxa"/>
        </w:tcPr>
        <w:p w14:paraId="6A3CB0F3" w14:textId="77777777" w:rsidR="004E0237" w:rsidRPr="000C3B6D" w:rsidRDefault="004E0237" w:rsidP="000C06C9">
          <w:pPr>
            <w:pStyle w:val="00Footer"/>
            <w:rPr>
              <w:lang w:val="fr-FR"/>
            </w:rPr>
          </w:pPr>
        </w:p>
      </w:tc>
      <w:tc>
        <w:tcPr>
          <w:tcW w:w="952" w:type="dxa"/>
        </w:tcPr>
        <w:p w14:paraId="6A3CB0F4" w14:textId="77777777" w:rsidR="004E0237" w:rsidRPr="00146B34" w:rsidRDefault="004E0237" w:rsidP="000C06C9">
          <w:pPr>
            <w:pStyle w:val="00aPagenumber"/>
            <w:rPr>
              <w:lang w:val="fr-FR"/>
            </w:rPr>
          </w:pPr>
        </w:p>
      </w:tc>
    </w:tr>
  </w:tbl>
  <w:p w14:paraId="6A3CB0F6" w14:textId="77777777" w:rsidR="004E0237" w:rsidRPr="00DB46C3" w:rsidRDefault="004E0237">
    <w:pPr>
      <w:rPr>
        <w:lang w:val="fr-FR"/>
      </w:rPr>
    </w:pPr>
  </w:p>
  <w:p w14:paraId="6A3CB0F7" w14:textId="77777777" w:rsidR="004E0237" w:rsidRPr="002F4496" w:rsidRDefault="004E0237">
    <w:pPr>
      <w:pStyle w:val="Encabezado"/>
      <w:rPr>
        <w:lang w:val="fr-FR"/>
      </w:rPr>
    </w:pPr>
  </w:p>
  <w:p w14:paraId="6A3CB0F8" w14:textId="77777777" w:rsidR="004E0237" w:rsidRPr="002F4496" w:rsidRDefault="004E0237" w:rsidP="000C06C9">
    <w:pPr>
      <w:pStyle w:val="Encabezado"/>
      <w:tabs>
        <w:tab w:val="clear" w:pos="4536"/>
        <w:tab w:val="clear" w:pos="9072"/>
        <w:tab w:val="left" w:pos="8227"/>
      </w:tabs>
      <w:rPr>
        <w:lang w:val="fr-FR"/>
      </w:rPr>
    </w:pPr>
  </w:p>
  <w:p w14:paraId="6A3CB0F9" w14:textId="77777777" w:rsidR="004E0237" w:rsidRPr="002F4496" w:rsidRDefault="004E0237" w:rsidP="000C06C9">
    <w:pPr>
      <w:pStyle w:val="Encabezado"/>
      <w:tabs>
        <w:tab w:val="clear" w:pos="4536"/>
        <w:tab w:val="clear" w:pos="9072"/>
        <w:tab w:val="left" w:pos="8227"/>
      </w:tabs>
      <w:rPr>
        <w:lang w:val="fr-FR"/>
      </w:rPr>
    </w:pPr>
  </w:p>
  <w:p w14:paraId="6A3CB0FA" w14:textId="77777777" w:rsidR="004E0237" w:rsidRPr="002F4496" w:rsidRDefault="004E0237">
    <w:pPr>
      <w:pStyle w:val="Encabezado"/>
      <w:rPr>
        <w:lang w:val="fr-FR"/>
      </w:rPr>
    </w:pPr>
  </w:p>
  <w:p w14:paraId="6A3CB0FB" w14:textId="77777777" w:rsidR="004E0237" w:rsidRPr="002F4496" w:rsidRDefault="004E0237">
    <w:pPr>
      <w:pStyle w:val="Encabezado"/>
      <w:rPr>
        <w:lang w:val="fr-FR"/>
      </w:rPr>
    </w:pPr>
  </w:p>
  <w:p w14:paraId="6A3CB0FC" w14:textId="77777777" w:rsidR="004E0237" w:rsidRPr="002F4496" w:rsidRDefault="004E0237">
    <w:pPr>
      <w:pStyle w:val="Encabezado"/>
      <w:rPr>
        <w:lang w:val="fr-FR"/>
      </w:rPr>
    </w:pPr>
  </w:p>
  <w:p w14:paraId="6A3CB0FD" w14:textId="77777777" w:rsidR="004E0237" w:rsidRPr="002F4496" w:rsidRDefault="004E0237">
    <w:pPr>
      <w:pStyle w:val="Encabezado"/>
      <w:rPr>
        <w:lang w:val="fr-FR"/>
      </w:rPr>
    </w:pPr>
  </w:p>
  <w:p w14:paraId="6A3CB0FE" w14:textId="77777777" w:rsidR="004E0237" w:rsidRPr="002F4496" w:rsidRDefault="004E0237">
    <w:pPr>
      <w:pStyle w:val="Encabezado"/>
      <w:rPr>
        <w:highlight w:val="yellow"/>
        <w:lang w:val="fr-FR"/>
      </w:rPr>
    </w:pPr>
  </w:p>
  <w:p w14:paraId="6A3CB0FF" w14:textId="05D5FF53" w:rsidR="004E0237" w:rsidRDefault="004E0237">
    <w:pPr>
      <w:pStyle w:val="Encabezado"/>
    </w:pPr>
    <w:r>
      <w:rPr>
        <w:noProof/>
        <w:lang w:val="es-ES" w:eastAsia="es-ES"/>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60D3DF1"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s-ES" w:eastAsia="es-ES"/>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1="http://schemas.microsoft.com/office/drawing/2015/9/8/chartex" xmlns:cx="http://schemas.microsoft.com/office/drawing/2014/chartex"/>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aconvieta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921472"/>
    <w:multiLevelType w:val="hybridMultilevel"/>
    <w:tmpl w:val="02AA8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0B6F53"/>
    <w:multiLevelType w:val="hybridMultilevel"/>
    <w:tmpl w:val="0F2A3C7E"/>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nsid w:val="13096CEF"/>
    <w:multiLevelType w:val="hybridMultilevel"/>
    <w:tmpl w:val="A42CAA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Textoindependien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35827F9"/>
    <w:multiLevelType w:val="hybridMultilevel"/>
    <w:tmpl w:val="485A3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25F15623"/>
    <w:multiLevelType w:val="hybridMultilevel"/>
    <w:tmpl w:val="9486644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2B5F0FAE"/>
    <w:multiLevelType w:val="hybridMultilevel"/>
    <w:tmpl w:val="5A165E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nsid w:val="2E982C33"/>
    <w:multiLevelType w:val="hybridMultilevel"/>
    <w:tmpl w:val="F8EE6A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nsid w:val="35541B67"/>
    <w:multiLevelType w:val="hybridMultilevel"/>
    <w:tmpl w:val="065A1512"/>
    <w:lvl w:ilvl="0" w:tplc="0B38E0C4">
      <w:start w:val="5"/>
      <w:numFmt w:val="bullet"/>
      <w:lvlText w:val="•"/>
      <w:lvlJc w:val="left"/>
      <w:pPr>
        <w:ind w:left="1065" w:hanging="705"/>
      </w:pPr>
      <w:rPr>
        <w:rFonts w:ascii="Arial" w:eastAsia="Times New Roman" w:hAnsi="Arial" w:cs="Aria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586123F"/>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38CB1151"/>
    <w:multiLevelType w:val="hybridMultilevel"/>
    <w:tmpl w:val="5E7AC43C"/>
    <w:lvl w:ilvl="0" w:tplc="2DAA237A">
      <w:start w:val="1"/>
      <w:numFmt w:val="decimal"/>
      <w:lvlText w:val="%1."/>
      <w:lvlJc w:val="left"/>
      <w:pPr>
        <w:tabs>
          <w:tab w:val="num" w:pos="720"/>
        </w:tabs>
        <w:ind w:left="720" w:hanging="360"/>
      </w:pPr>
    </w:lvl>
    <w:lvl w:ilvl="1" w:tplc="6F963A52">
      <w:start w:val="1"/>
      <w:numFmt w:val="decimal"/>
      <w:lvlText w:val="%2."/>
      <w:lvlJc w:val="left"/>
      <w:pPr>
        <w:tabs>
          <w:tab w:val="num" w:pos="1440"/>
        </w:tabs>
        <w:ind w:left="1440" w:hanging="360"/>
      </w:pPr>
    </w:lvl>
    <w:lvl w:ilvl="2" w:tplc="AC7A4A66" w:tentative="1">
      <w:start w:val="1"/>
      <w:numFmt w:val="decimal"/>
      <w:lvlText w:val="%3."/>
      <w:lvlJc w:val="left"/>
      <w:pPr>
        <w:tabs>
          <w:tab w:val="num" w:pos="2160"/>
        </w:tabs>
        <w:ind w:left="2160" w:hanging="360"/>
      </w:pPr>
    </w:lvl>
    <w:lvl w:ilvl="3" w:tplc="ADFE7EE8" w:tentative="1">
      <w:start w:val="1"/>
      <w:numFmt w:val="decimal"/>
      <w:lvlText w:val="%4."/>
      <w:lvlJc w:val="left"/>
      <w:pPr>
        <w:tabs>
          <w:tab w:val="num" w:pos="2880"/>
        </w:tabs>
        <w:ind w:left="2880" w:hanging="360"/>
      </w:pPr>
    </w:lvl>
    <w:lvl w:ilvl="4" w:tplc="FDBCDC26" w:tentative="1">
      <w:start w:val="1"/>
      <w:numFmt w:val="decimal"/>
      <w:lvlText w:val="%5."/>
      <w:lvlJc w:val="left"/>
      <w:pPr>
        <w:tabs>
          <w:tab w:val="num" w:pos="3600"/>
        </w:tabs>
        <w:ind w:left="3600" w:hanging="360"/>
      </w:pPr>
    </w:lvl>
    <w:lvl w:ilvl="5" w:tplc="3CA626B6" w:tentative="1">
      <w:start w:val="1"/>
      <w:numFmt w:val="decimal"/>
      <w:lvlText w:val="%6."/>
      <w:lvlJc w:val="left"/>
      <w:pPr>
        <w:tabs>
          <w:tab w:val="num" w:pos="4320"/>
        </w:tabs>
        <w:ind w:left="4320" w:hanging="360"/>
      </w:pPr>
    </w:lvl>
    <w:lvl w:ilvl="6" w:tplc="7CA6508A" w:tentative="1">
      <w:start w:val="1"/>
      <w:numFmt w:val="decimal"/>
      <w:lvlText w:val="%7."/>
      <w:lvlJc w:val="left"/>
      <w:pPr>
        <w:tabs>
          <w:tab w:val="num" w:pos="5040"/>
        </w:tabs>
        <w:ind w:left="5040" w:hanging="360"/>
      </w:pPr>
    </w:lvl>
    <w:lvl w:ilvl="7" w:tplc="12F21108" w:tentative="1">
      <w:start w:val="1"/>
      <w:numFmt w:val="decimal"/>
      <w:lvlText w:val="%8."/>
      <w:lvlJc w:val="left"/>
      <w:pPr>
        <w:tabs>
          <w:tab w:val="num" w:pos="5760"/>
        </w:tabs>
        <w:ind w:left="5760" w:hanging="360"/>
      </w:pPr>
    </w:lvl>
    <w:lvl w:ilvl="8" w:tplc="AD96025C" w:tentative="1">
      <w:start w:val="1"/>
      <w:numFmt w:val="decimal"/>
      <w:lvlText w:val="%9."/>
      <w:lvlJc w:val="left"/>
      <w:pPr>
        <w:tabs>
          <w:tab w:val="num" w:pos="6480"/>
        </w:tabs>
        <w:ind w:left="6480" w:hanging="360"/>
      </w:pPr>
    </w:lvl>
  </w:abstractNum>
  <w:abstractNum w:abstractNumId="22">
    <w:nsid w:val="3A52232B"/>
    <w:multiLevelType w:val="hybridMultilevel"/>
    <w:tmpl w:val="B5CCF242"/>
    <w:lvl w:ilvl="0" w:tplc="5F361060">
      <w:start w:val="1"/>
      <w:numFmt w:val="decimal"/>
      <w:pStyle w:val="Questionstyle"/>
      <w:lvlText w:val="Q%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4">
    <w:nsid w:val="3A841364"/>
    <w:multiLevelType w:val="hybridMultilevel"/>
    <w:tmpl w:val="21CCF614"/>
    <w:lvl w:ilvl="0" w:tplc="08090017">
      <w:start w:val="1"/>
      <w:numFmt w:val="lowerLetter"/>
      <w:pStyle w:val="Listaconvieta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6">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8">
    <w:nsid w:val="3D907E9B"/>
    <w:multiLevelType w:val="hybridMultilevel"/>
    <w:tmpl w:val="8AE84CF4"/>
    <w:lvl w:ilvl="0" w:tplc="0809001B">
      <w:start w:val="1"/>
      <w:numFmt w:val="lowerRoman"/>
      <w:lvlText w:val="%1."/>
      <w:lvlJc w:val="right"/>
      <w:pPr>
        <w:ind w:left="1429" w:hanging="720"/>
      </w:pPr>
      <w:rPr>
        <w:rFonts w:hint="default"/>
      </w:rPr>
    </w:lvl>
    <w:lvl w:ilvl="1" w:tplc="08090019" w:tentative="1">
      <w:start w:val="1"/>
      <w:numFmt w:val="lowerLetter"/>
      <w:lvlText w:val="%2."/>
      <w:lvlJc w:val="left"/>
      <w:pPr>
        <w:ind w:left="1789" w:hanging="360"/>
      </w:pPr>
    </w:lvl>
    <w:lvl w:ilvl="2" w:tplc="0809001B">
      <w:start w:val="1"/>
      <w:numFmt w:val="lowerRoman"/>
      <w:lvlText w:val="%3."/>
      <w:lvlJc w:val="right"/>
      <w:pPr>
        <w:ind w:left="2509" w:hanging="180"/>
      </w:pPr>
      <w:rPr>
        <w:rFonts w:hint="default"/>
      </w:r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9">
    <w:nsid w:val="430134A3"/>
    <w:multiLevelType w:val="hybridMultilevel"/>
    <w:tmpl w:val="01C8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3380449"/>
    <w:multiLevelType w:val="hybridMultilevel"/>
    <w:tmpl w:val="A9524B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32">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3">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6">
    <w:nsid w:val="4C7151D2"/>
    <w:multiLevelType w:val="hybridMultilevel"/>
    <w:tmpl w:val="DE90C632"/>
    <w:lvl w:ilvl="0" w:tplc="08090001">
      <w:start w:val="1"/>
      <w:numFmt w:val="bullet"/>
      <w:pStyle w:val="Listaconvieta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534A7D1A"/>
    <w:multiLevelType w:val="hybridMultilevel"/>
    <w:tmpl w:val="59822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4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1">
    <w:nsid w:val="55DE60E9"/>
    <w:multiLevelType w:val="hybridMultilevel"/>
    <w:tmpl w:val="1084069A"/>
    <w:lvl w:ilvl="0" w:tplc="B532C018">
      <w:start w:val="2"/>
      <w:numFmt w:val="upperRoman"/>
      <w:pStyle w:val="Ttu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43">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4">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5">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6">
    <w:nsid w:val="605735B9"/>
    <w:multiLevelType w:val="hybridMultilevel"/>
    <w:tmpl w:val="AD1C76E8"/>
    <w:lvl w:ilvl="0" w:tplc="6658B948">
      <w:start w:val="1"/>
      <w:numFmt w:val="decimal"/>
      <w:pStyle w:val="Ttu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2970F71"/>
    <w:multiLevelType w:val="singleLevel"/>
    <w:tmpl w:val="A8CADBFA"/>
    <w:name w:val="Bullet 0"/>
    <w:lvl w:ilvl="0">
      <w:start w:val="1"/>
      <w:numFmt w:val="bullet"/>
      <w:pStyle w:val="Listaconnmeros"/>
      <w:lvlText w:val="–"/>
      <w:lvlJc w:val="left"/>
      <w:pPr>
        <w:tabs>
          <w:tab w:val="num" w:pos="1417"/>
        </w:tabs>
        <w:ind w:left="1417" w:hanging="567"/>
      </w:pPr>
    </w:lvl>
  </w:abstractNum>
  <w:abstractNum w:abstractNumId="48">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nsid w:val="6B11325C"/>
    <w:multiLevelType w:val="hybridMultilevel"/>
    <w:tmpl w:val="5D865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C4E37F5"/>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52">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F9D20AA"/>
    <w:multiLevelType w:val="hybridMultilevel"/>
    <w:tmpl w:val="46629F6C"/>
    <w:lvl w:ilvl="0" w:tplc="0B38E0C4">
      <w:start w:val="5"/>
      <w:numFmt w:val="bullet"/>
      <w:lvlText w:val="•"/>
      <w:lvlJc w:val="left"/>
      <w:pPr>
        <w:ind w:left="1065" w:hanging="705"/>
      </w:pPr>
      <w:rPr>
        <w:rFonts w:ascii="Arial" w:eastAsia="Times New Roman" w:hAnsi="Arial" w:cs="Aria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5">
    <w:nsid w:val="760F6D9B"/>
    <w:multiLevelType w:val="hybridMultilevel"/>
    <w:tmpl w:val="3AD44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75F59EE"/>
    <w:multiLevelType w:val="hybridMultilevel"/>
    <w:tmpl w:val="8AC4ECD0"/>
    <w:lvl w:ilvl="0" w:tplc="08090017">
      <w:start w:val="1"/>
      <w:numFmt w:val="lowerLetter"/>
      <w:lvlText w:val="%1)"/>
      <w:lvlJc w:val="left"/>
      <w:pPr>
        <w:ind w:left="720" w:hanging="360"/>
      </w:pPr>
      <w:rPr>
        <w:rFonts w:hint="default"/>
      </w:rPr>
    </w:lvl>
    <w:lvl w:ilvl="1" w:tplc="08090005">
      <w:start w:val="1"/>
      <w:numFmt w:val="bullet"/>
      <w:lvlText w:val=""/>
      <w:lvlJc w:val="left"/>
      <w:pPr>
        <w:ind w:left="1440" w:hanging="360"/>
      </w:pPr>
      <w:rPr>
        <w:rFonts w:ascii="Wingdings" w:hAnsi="Wingdings" w:hint="default"/>
      </w:rPr>
    </w:lvl>
    <w:lvl w:ilvl="2" w:tplc="D3B8FB08">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58">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59">
    <w:nsid w:val="7E387349"/>
    <w:multiLevelType w:val="hybridMultilevel"/>
    <w:tmpl w:val="1A0A73B6"/>
    <w:lvl w:ilvl="0" w:tplc="A9B62E24">
      <w:start w:val="1"/>
      <w:numFmt w:val="bullet"/>
      <w:lvlText w:val=""/>
      <w:lvlJc w:val="left"/>
      <w:pPr>
        <w:tabs>
          <w:tab w:val="num" w:pos="720"/>
        </w:tabs>
        <w:ind w:left="720" w:hanging="360"/>
      </w:pPr>
      <w:rPr>
        <w:rFonts w:ascii="Wingdings" w:hAnsi="Wingdings" w:hint="default"/>
      </w:rPr>
    </w:lvl>
    <w:lvl w:ilvl="1" w:tplc="AB4E6062" w:tentative="1">
      <w:start w:val="1"/>
      <w:numFmt w:val="bullet"/>
      <w:lvlText w:val=""/>
      <w:lvlJc w:val="left"/>
      <w:pPr>
        <w:tabs>
          <w:tab w:val="num" w:pos="1440"/>
        </w:tabs>
        <w:ind w:left="1440" w:hanging="360"/>
      </w:pPr>
      <w:rPr>
        <w:rFonts w:ascii="Wingdings" w:hAnsi="Wingdings" w:hint="default"/>
      </w:rPr>
    </w:lvl>
    <w:lvl w:ilvl="2" w:tplc="07AEECA4" w:tentative="1">
      <w:start w:val="1"/>
      <w:numFmt w:val="bullet"/>
      <w:lvlText w:val=""/>
      <w:lvlJc w:val="left"/>
      <w:pPr>
        <w:tabs>
          <w:tab w:val="num" w:pos="2160"/>
        </w:tabs>
        <w:ind w:left="2160" w:hanging="360"/>
      </w:pPr>
      <w:rPr>
        <w:rFonts w:ascii="Wingdings" w:hAnsi="Wingdings" w:hint="default"/>
      </w:rPr>
    </w:lvl>
    <w:lvl w:ilvl="3" w:tplc="DEACF7D8" w:tentative="1">
      <w:start w:val="1"/>
      <w:numFmt w:val="bullet"/>
      <w:lvlText w:val=""/>
      <w:lvlJc w:val="left"/>
      <w:pPr>
        <w:tabs>
          <w:tab w:val="num" w:pos="2880"/>
        </w:tabs>
        <w:ind w:left="2880" w:hanging="360"/>
      </w:pPr>
      <w:rPr>
        <w:rFonts w:ascii="Wingdings" w:hAnsi="Wingdings" w:hint="default"/>
      </w:rPr>
    </w:lvl>
    <w:lvl w:ilvl="4" w:tplc="D65E93DE" w:tentative="1">
      <w:start w:val="1"/>
      <w:numFmt w:val="bullet"/>
      <w:lvlText w:val=""/>
      <w:lvlJc w:val="left"/>
      <w:pPr>
        <w:tabs>
          <w:tab w:val="num" w:pos="3600"/>
        </w:tabs>
        <w:ind w:left="3600" w:hanging="360"/>
      </w:pPr>
      <w:rPr>
        <w:rFonts w:ascii="Wingdings" w:hAnsi="Wingdings" w:hint="default"/>
      </w:rPr>
    </w:lvl>
    <w:lvl w:ilvl="5" w:tplc="1700DE68" w:tentative="1">
      <w:start w:val="1"/>
      <w:numFmt w:val="bullet"/>
      <w:lvlText w:val=""/>
      <w:lvlJc w:val="left"/>
      <w:pPr>
        <w:tabs>
          <w:tab w:val="num" w:pos="4320"/>
        </w:tabs>
        <w:ind w:left="4320" w:hanging="360"/>
      </w:pPr>
      <w:rPr>
        <w:rFonts w:ascii="Wingdings" w:hAnsi="Wingdings" w:hint="default"/>
      </w:rPr>
    </w:lvl>
    <w:lvl w:ilvl="6" w:tplc="BDCE2226" w:tentative="1">
      <w:start w:val="1"/>
      <w:numFmt w:val="bullet"/>
      <w:lvlText w:val=""/>
      <w:lvlJc w:val="left"/>
      <w:pPr>
        <w:tabs>
          <w:tab w:val="num" w:pos="5040"/>
        </w:tabs>
        <w:ind w:left="5040" w:hanging="360"/>
      </w:pPr>
      <w:rPr>
        <w:rFonts w:ascii="Wingdings" w:hAnsi="Wingdings" w:hint="default"/>
      </w:rPr>
    </w:lvl>
    <w:lvl w:ilvl="7" w:tplc="5F8ACF20" w:tentative="1">
      <w:start w:val="1"/>
      <w:numFmt w:val="bullet"/>
      <w:lvlText w:val=""/>
      <w:lvlJc w:val="left"/>
      <w:pPr>
        <w:tabs>
          <w:tab w:val="num" w:pos="5760"/>
        </w:tabs>
        <w:ind w:left="5760" w:hanging="360"/>
      </w:pPr>
      <w:rPr>
        <w:rFonts w:ascii="Wingdings" w:hAnsi="Wingdings" w:hint="default"/>
      </w:rPr>
    </w:lvl>
    <w:lvl w:ilvl="8" w:tplc="7DA48DBA"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1"/>
  </w:num>
  <w:num w:numId="3">
    <w:abstractNumId w:val="20"/>
  </w:num>
  <w:num w:numId="4">
    <w:abstractNumId w:val="37"/>
  </w:num>
  <w:num w:numId="5">
    <w:abstractNumId w:val="41"/>
  </w:num>
  <w:num w:numId="6">
    <w:abstractNumId w:val="0"/>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num>
  <w:num w:numId="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46"/>
  </w:num>
  <w:num w:numId="14">
    <w:abstractNumId w:val="36"/>
  </w:num>
  <w:num w:numId="15">
    <w:abstractNumId w:val="13"/>
  </w:num>
  <w:num w:numId="16">
    <w:abstractNumId w:val="1"/>
  </w:num>
  <w:num w:numId="17">
    <w:abstractNumId w:val="24"/>
  </w:num>
  <w:num w:numId="18">
    <w:abstractNumId w:val="25"/>
  </w:num>
  <w:num w:numId="19">
    <w:abstractNumId w:val="27"/>
  </w:num>
  <w:num w:numId="20">
    <w:abstractNumId w:val="42"/>
  </w:num>
  <w:num w:numId="21">
    <w:abstractNumId w:val="54"/>
  </w:num>
  <w:num w:numId="22">
    <w:abstractNumId w:val="40"/>
  </w:num>
  <w:num w:numId="23">
    <w:abstractNumId w:val="12"/>
  </w:num>
  <w:num w:numId="24">
    <w:abstractNumId w:val="45"/>
  </w:num>
  <w:num w:numId="25">
    <w:abstractNumId w:val="44"/>
  </w:num>
  <w:num w:numId="26">
    <w:abstractNumId w:val="32"/>
  </w:num>
  <w:num w:numId="27">
    <w:abstractNumId w:val="48"/>
  </w:num>
  <w:num w:numId="28">
    <w:abstractNumId w:val="58"/>
  </w:num>
  <w:num w:numId="29">
    <w:abstractNumId w:val="9"/>
  </w:num>
  <w:num w:numId="30">
    <w:abstractNumId w:val="5"/>
  </w:num>
  <w:num w:numId="31">
    <w:abstractNumId w:val="35"/>
  </w:num>
  <w:num w:numId="32">
    <w:abstractNumId w:val="33"/>
  </w:num>
  <w:num w:numId="33">
    <w:abstractNumId w:val="52"/>
  </w:num>
  <w:num w:numId="34">
    <w:abstractNumId w:val="51"/>
  </w:num>
  <w:num w:numId="35">
    <w:abstractNumId w:val="16"/>
  </w:num>
  <w:num w:numId="36">
    <w:abstractNumId w:val="18"/>
  </w:num>
  <w:num w:numId="37">
    <w:abstractNumId w:val="22"/>
  </w:num>
  <w:num w:numId="38">
    <w:abstractNumId w:val="39"/>
  </w:num>
  <w:num w:numId="39">
    <w:abstractNumId w:val="34"/>
  </w:num>
  <w:num w:numId="40">
    <w:abstractNumId w:val="2"/>
  </w:num>
  <w:num w:numId="41">
    <w:abstractNumId w:val="4"/>
  </w:num>
  <w:num w:numId="42">
    <w:abstractNumId w:val="53"/>
  </w:num>
  <w:num w:numId="43">
    <w:abstractNumId w:val="11"/>
  </w:num>
  <w:num w:numId="44">
    <w:abstractNumId w:val="30"/>
  </w:num>
  <w:num w:numId="45">
    <w:abstractNumId w:val="49"/>
  </w:num>
  <w:num w:numId="46">
    <w:abstractNumId w:val="15"/>
  </w:num>
  <w:num w:numId="47">
    <w:abstractNumId w:val="14"/>
  </w:num>
  <w:num w:numId="48">
    <w:abstractNumId w:val="55"/>
  </w:num>
  <w:num w:numId="49">
    <w:abstractNumId w:val="29"/>
  </w:num>
  <w:num w:numId="50">
    <w:abstractNumId w:val="56"/>
  </w:num>
  <w:num w:numId="51">
    <w:abstractNumId w:val="28"/>
  </w:num>
  <w:num w:numId="52">
    <w:abstractNumId w:val="3"/>
  </w:num>
  <w:num w:numId="53">
    <w:abstractNumId w:val="38"/>
  </w:num>
  <w:num w:numId="54">
    <w:abstractNumId w:val="8"/>
  </w:num>
  <w:num w:numId="55">
    <w:abstractNumId w:val="21"/>
  </w:num>
  <w:num w:numId="56">
    <w:abstractNumId w:val="50"/>
  </w:num>
  <w:num w:numId="57">
    <w:abstractNumId w:val="19"/>
  </w:num>
  <w:num w:numId="58">
    <w:abstractNumId w:val="59"/>
  </w:num>
  <w:num w:numId="59">
    <w:abstractNumId w:val="1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PlCUEaAvJr8Lb5jkry+wZ+XFSdqn0f3IBqahFJAhxoajC/E+IoKSpsKau2RKxbE/TsCjXDm8uSYLCv0ZdRDYw==" w:salt="1tIUBtEByNwPcaf2tV4ZAQ=="/>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90A"/>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08CF"/>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662"/>
    <w:rsid w:val="000649D9"/>
    <w:rsid w:val="000652BE"/>
    <w:rsid w:val="00066479"/>
    <w:rsid w:val="00066F6B"/>
    <w:rsid w:val="0006723C"/>
    <w:rsid w:val="00070376"/>
    <w:rsid w:val="00070974"/>
    <w:rsid w:val="000717F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41E"/>
    <w:rsid w:val="000B55C0"/>
    <w:rsid w:val="000B5DF2"/>
    <w:rsid w:val="000C06C9"/>
    <w:rsid w:val="000C1DCC"/>
    <w:rsid w:val="000C1FBC"/>
    <w:rsid w:val="000C2B6A"/>
    <w:rsid w:val="000C2F88"/>
    <w:rsid w:val="000C55C8"/>
    <w:rsid w:val="000C57C4"/>
    <w:rsid w:val="000C5FD3"/>
    <w:rsid w:val="000C701D"/>
    <w:rsid w:val="000C7C4A"/>
    <w:rsid w:val="000D175B"/>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6EBA"/>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42A"/>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EE4"/>
    <w:rsid w:val="00151907"/>
    <w:rsid w:val="001520D5"/>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A4D"/>
    <w:rsid w:val="00170D44"/>
    <w:rsid w:val="00171183"/>
    <w:rsid w:val="001725A5"/>
    <w:rsid w:val="00172681"/>
    <w:rsid w:val="00173240"/>
    <w:rsid w:val="00173AC7"/>
    <w:rsid w:val="00173B4B"/>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69F6"/>
    <w:rsid w:val="00197794"/>
    <w:rsid w:val="001A1642"/>
    <w:rsid w:val="001A371B"/>
    <w:rsid w:val="001A4766"/>
    <w:rsid w:val="001A5D6A"/>
    <w:rsid w:val="001A5E5C"/>
    <w:rsid w:val="001A6A0D"/>
    <w:rsid w:val="001A6C51"/>
    <w:rsid w:val="001A6FAA"/>
    <w:rsid w:val="001A7D73"/>
    <w:rsid w:val="001B0363"/>
    <w:rsid w:val="001B1355"/>
    <w:rsid w:val="001B3138"/>
    <w:rsid w:val="001B335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319A"/>
    <w:rsid w:val="0024426D"/>
    <w:rsid w:val="00244F1D"/>
    <w:rsid w:val="00245004"/>
    <w:rsid w:val="00245FB4"/>
    <w:rsid w:val="00250898"/>
    <w:rsid w:val="00251EA9"/>
    <w:rsid w:val="00252843"/>
    <w:rsid w:val="00252B2B"/>
    <w:rsid w:val="002543F8"/>
    <w:rsid w:val="002551A4"/>
    <w:rsid w:val="002559F3"/>
    <w:rsid w:val="00256DFE"/>
    <w:rsid w:val="0026185A"/>
    <w:rsid w:val="00261D56"/>
    <w:rsid w:val="00261FD3"/>
    <w:rsid w:val="00264077"/>
    <w:rsid w:val="002657DC"/>
    <w:rsid w:val="00266B9A"/>
    <w:rsid w:val="0027055C"/>
    <w:rsid w:val="00270E54"/>
    <w:rsid w:val="00273681"/>
    <w:rsid w:val="002754B5"/>
    <w:rsid w:val="00275666"/>
    <w:rsid w:val="002764C5"/>
    <w:rsid w:val="002772AE"/>
    <w:rsid w:val="00280613"/>
    <w:rsid w:val="00281E71"/>
    <w:rsid w:val="0028274D"/>
    <w:rsid w:val="00282B96"/>
    <w:rsid w:val="00282DFB"/>
    <w:rsid w:val="002833D6"/>
    <w:rsid w:val="00283F51"/>
    <w:rsid w:val="00286064"/>
    <w:rsid w:val="002867B1"/>
    <w:rsid w:val="00286DAF"/>
    <w:rsid w:val="00287BBB"/>
    <w:rsid w:val="00287E3B"/>
    <w:rsid w:val="00290638"/>
    <w:rsid w:val="00291763"/>
    <w:rsid w:val="00291CED"/>
    <w:rsid w:val="00291D80"/>
    <w:rsid w:val="00293156"/>
    <w:rsid w:val="00293BE7"/>
    <w:rsid w:val="002946DC"/>
    <w:rsid w:val="00294C9A"/>
    <w:rsid w:val="00296005"/>
    <w:rsid w:val="002A0C82"/>
    <w:rsid w:val="002A0CD8"/>
    <w:rsid w:val="002A13EB"/>
    <w:rsid w:val="002A2D72"/>
    <w:rsid w:val="002A35EF"/>
    <w:rsid w:val="002A3DE0"/>
    <w:rsid w:val="002A40EA"/>
    <w:rsid w:val="002A46E8"/>
    <w:rsid w:val="002A491C"/>
    <w:rsid w:val="002A72C3"/>
    <w:rsid w:val="002A73F1"/>
    <w:rsid w:val="002A760B"/>
    <w:rsid w:val="002B1FEF"/>
    <w:rsid w:val="002B2DF8"/>
    <w:rsid w:val="002B354F"/>
    <w:rsid w:val="002B3614"/>
    <w:rsid w:val="002B45D1"/>
    <w:rsid w:val="002B4ED8"/>
    <w:rsid w:val="002B4FAA"/>
    <w:rsid w:val="002B52C2"/>
    <w:rsid w:val="002B7656"/>
    <w:rsid w:val="002C1492"/>
    <w:rsid w:val="002C1E8B"/>
    <w:rsid w:val="002C2EFE"/>
    <w:rsid w:val="002C512F"/>
    <w:rsid w:val="002C53AA"/>
    <w:rsid w:val="002C5B2D"/>
    <w:rsid w:val="002C6AF9"/>
    <w:rsid w:val="002C7DFC"/>
    <w:rsid w:val="002D14F3"/>
    <w:rsid w:val="002D16E4"/>
    <w:rsid w:val="002D2FEF"/>
    <w:rsid w:val="002D36C2"/>
    <w:rsid w:val="002D3D4F"/>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0A15"/>
    <w:rsid w:val="003522B2"/>
    <w:rsid w:val="0035455E"/>
    <w:rsid w:val="00354A6F"/>
    <w:rsid w:val="00354B48"/>
    <w:rsid w:val="00355789"/>
    <w:rsid w:val="003557F4"/>
    <w:rsid w:val="00357C60"/>
    <w:rsid w:val="003609B6"/>
    <w:rsid w:val="00361119"/>
    <w:rsid w:val="0036538D"/>
    <w:rsid w:val="00365D12"/>
    <w:rsid w:val="00365FA3"/>
    <w:rsid w:val="0037018D"/>
    <w:rsid w:val="00372299"/>
    <w:rsid w:val="00372F02"/>
    <w:rsid w:val="00373729"/>
    <w:rsid w:val="00373C91"/>
    <w:rsid w:val="003748F0"/>
    <w:rsid w:val="003755C6"/>
    <w:rsid w:val="00375AEF"/>
    <w:rsid w:val="00376367"/>
    <w:rsid w:val="00376B02"/>
    <w:rsid w:val="0037733A"/>
    <w:rsid w:val="003776DC"/>
    <w:rsid w:val="003779C1"/>
    <w:rsid w:val="003808FB"/>
    <w:rsid w:val="00380FEC"/>
    <w:rsid w:val="00381226"/>
    <w:rsid w:val="00381B1B"/>
    <w:rsid w:val="00381FF6"/>
    <w:rsid w:val="00383D7D"/>
    <w:rsid w:val="00384B3F"/>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6EEE"/>
    <w:rsid w:val="003C74B0"/>
    <w:rsid w:val="003C74DA"/>
    <w:rsid w:val="003D0CBF"/>
    <w:rsid w:val="003D0DD6"/>
    <w:rsid w:val="003D2C26"/>
    <w:rsid w:val="003D4B73"/>
    <w:rsid w:val="003D503B"/>
    <w:rsid w:val="003D605E"/>
    <w:rsid w:val="003D61D1"/>
    <w:rsid w:val="003D6780"/>
    <w:rsid w:val="003D6FCB"/>
    <w:rsid w:val="003E0F84"/>
    <w:rsid w:val="003E1FF3"/>
    <w:rsid w:val="003E3ACA"/>
    <w:rsid w:val="003E50EA"/>
    <w:rsid w:val="003E573C"/>
    <w:rsid w:val="003E5BAD"/>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08C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A4B1D"/>
    <w:rsid w:val="004B0335"/>
    <w:rsid w:val="004B0F1C"/>
    <w:rsid w:val="004B1D0D"/>
    <w:rsid w:val="004B1E61"/>
    <w:rsid w:val="004B21AB"/>
    <w:rsid w:val="004B59E0"/>
    <w:rsid w:val="004B667B"/>
    <w:rsid w:val="004B71C7"/>
    <w:rsid w:val="004C03AA"/>
    <w:rsid w:val="004C0B9A"/>
    <w:rsid w:val="004C14E7"/>
    <w:rsid w:val="004C1D89"/>
    <w:rsid w:val="004C2A94"/>
    <w:rsid w:val="004C3112"/>
    <w:rsid w:val="004C3DAB"/>
    <w:rsid w:val="004C5766"/>
    <w:rsid w:val="004C5F54"/>
    <w:rsid w:val="004C6E76"/>
    <w:rsid w:val="004C77DD"/>
    <w:rsid w:val="004C7826"/>
    <w:rsid w:val="004C7B33"/>
    <w:rsid w:val="004D0830"/>
    <w:rsid w:val="004D1410"/>
    <w:rsid w:val="004D1478"/>
    <w:rsid w:val="004D19EE"/>
    <w:rsid w:val="004D1CF2"/>
    <w:rsid w:val="004D2D3A"/>
    <w:rsid w:val="004D374D"/>
    <w:rsid w:val="004D3DEC"/>
    <w:rsid w:val="004D42C8"/>
    <w:rsid w:val="004D4F57"/>
    <w:rsid w:val="004D50F6"/>
    <w:rsid w:val="004D5A0D"/>
    <w:rsid w:val="004D7910"/>
    <w:rsid w:val="004D7DEA"/>
    <w:rsid w:val="004E0237"/>
    <w:rsid w:val="004E0A28"/>
    <w:rsid w:val="004E1A0F"/>
    <w:rsid w:val="004E2E89"/>
    <w:rsid w:val="004E33C2"/>
    <w:rsid w:val="004E3B9A"/>
    <w:rsid w:val="004E49B0"/>
    <w:rsid w:val="004E5006"/>
    <w:rsid w:val="004E62DE"/>
    <w:rsid w:val="004E6AE4"/>
    <w:rsid w:val="004E6B05"/>
    <w:rsid w:val="004E76A1"/>
    <w:rsid w:val="004F05DE"/>
    <w:rsid w:val="004F2D9A"/>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2EC"/>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2546"/>
    <w:rsid w:val="005648A8"/>
    <w:rsid w:val="00564DE3"/>
    <w:rsid w:val="00564E44"/>
    <w:rsid w:val="00566394"/>
    <w:rsid w:val="00566C6A"/>
    <w:rsid w:val="00566CE5"/>
    <w:rsid w:val="00566D36"/>
    <w:rsid w:val="00573569"/>
    <w:rsid w:val="00573871"/>
    <w:rsid w:val="0057389E"/>
    <w:rsid w:val="005738DE"/>
    <w:rsid w:val="00574D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6CF"/>
    <w:rsid w:val="005A2B3E"/>
    <w:rsid w:val="005A3644"/>
    <w:rsid w:val="005A4087"/>
    <w:rsid w:val="005A4B18"/>
    <w:rsid w:val="005A4DF9"/>
    <w:rsid w:val="005A537E"/>
    <w:rsid w:val="005A6F43"/>
    <w:rsid w:val="005A767D"/>
    <w:rsid w:val="005B00F1"/>
    <w:rsid w:val="005B0CE7"/>
    <w:rsid w:val="005B10E2"/>
    <w:rsid w:val="005B1803"/>
    <w:rsid w:val="005B4079"/>
    <w:rsid w:val="005B428E"/>
    <w:rsid w:val="005B5B3C"/>
    <w:rsid w:val="005B64CB"/>
    <w:rsid w:val="005B65C0"/>
    <w:rsid w:val="005B68FC"/>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3714"/>
    <w:rsid w:val="005D4A86"/>
    <w:rsid w:val="005D5EB1"/>
    <w:rsid w:val="005D6A29"/>
    <w:rsid w:val="005E0481"/>
    <w:rsid w:val="005E10BF"/>
    <w:rsid w:val="005E1834"/>
    <w:rsid w:val="005E49E5"/>
    <w:rsid w:val="005E5481"/>
    <w:rsid w:val="005E55E4"/>
    <w:rsid w:val="005E6C5F"/>
    <w:rsid w:val="005E6F83"/>
    <w:rsid w:val="005E7400"/>
    <w:rsid w:val="005E7636"/>
    <w:rsid w:val="005F028E"/>
    <w:rsid w:val="005F04B4"/>
    <w:rsid w:val="005F11A4"/>
    <w:rsid w:val="005F19F8"/>
    <w:rsid w:val="005F3A40"/>
    <w:rsid w:val="005F3FB1"/>
    <w:rsid w:val="005F5ACF"/>
    <w:rsid w:val="005F60DC"/>
    <w:rsid w:val="005F6BE3"/>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5B90"/>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A17"/>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0031"/>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C795E"/>
    <w:rsid w:val="006D1079"/>
    <w:rsid w:val="006D399F"/>
    <w:rsid w:val="006D4F0C"/>
    <w:rsid w:val="006D5645"/>
    <w:rsid w:val="006E0A4F"/>
    <w:rsid w:val="006E0C8A"/>
    <w:rsid w:val="006E1D8E"/>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6F6A7B"/>
    <w:rsid w:val="00700247"/>
    <w:rsid w:val="00700BD7"/>
    <w:rsid w:val="00701051"/>
    <w:rsid w:val="007021C2"/>
    <w:rsid w:val="00702502"/>
    <w:rsid w:val="007033A8"/>
    <w:rsid w:val="00703E9A"/>
    <w:rsid w:val="0070421B"/>
    <w:rsid w:val="007043F0"/>
    <w:rsid w:val="0070482E"/>
    <w:rsid w:val="00704D25"/>
    <w:rsid w:val="00704EED"/>
    <w:rsid w:val="00710519"/>
    <w:rsid w:val="00710D85"/>
    <w:rsid w:val="00710F6E"/>
    <w:rsid w:val="00711663"/>
    <w:rsid w:val="007116B4"/>
    <w:rsid w:val="007118EB"/>
    <w:rsid w:val="00712580"/>
    <w:rsid w:val="00712766"/>
    <w:rsid w:val="007133E4"/>
    <w:rsid w:val="00713788"/>
    <w:rsid w:val="00713940"/>
    <w:rsid w:val="007151A2"/>
    <w:rsid w:val="00716774"/>
    <w:rsid w:val="007200BD"/>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1B88"/>
    <w:rsid w:val="00743DE7"/>
    <w:rsid w:val="0074509E"/>
    <w:rsid w:val="00745B9F"/>
    <w:rsid w:val="00747145"/>
    <w:rsid w:val="0074726F"/>
    <w:rsid w:val="0075015C"/>
    <w:rsid w:val="00751470"/>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B57"/>
    <w:rsid w:val="00760EDA"/>
    <w:rsid w:val="00761F4E"/>
    <w:rsid w:val="00762150"/>
    <w:rsid w:val="00762621"/>
    <w:rsid w:val="00763945"/>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BDB"/>
    <w:rsid w:val="00780C3A"/>
    <w:rsid w:val="007834A1"/>
    <w:rsid w:val="00784383"/>
    <w:rsid w:val="00787DD8"/>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378A"/>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B777F"/>
    <w:rsid w:val="007C02B0"/>
    <w:rsid w:val="007C063E"/>
    <w:rsid w:val="007C1901"/>
    <w:rsid w:val="007C49C0"/>
    <w:rsid w:val="007C55C1"/>
    <w:rsid w:val="007C5738"/>
    <w:rsid w:val="007C5772"/>
    <w:rsid w:val="007C5AC3"/>
    <w:rsid w:val="007C7233"/>
    <w:rsid w:val="007D10EE"/>
    <w:rsid w:val="007D1193"/>
    <w:rsid w:val="007D21D5"/>
    <w:rsid w:val="007D26D2"/>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70C"/>
    <w:rsid w:val="007F1939"/>
    <w:rsid w:val="007F365C"/>
    <w:rsid w:val="007F4A2A"/>
    <w:rsid w:val="007F5066"/>
    <w:rsid w:val="007F621C"/>
    <w:rsid w:val="007F7155"/>
    <w:rsid w:val="007F7342"/>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65A4"/>
    <w:rsid w:val="008575EB"/>
    <w:rsid w:val="00862DDD"/>
    <w:rsid w:val="0086326D"/>
    <w:rsid w:val="00863CC1"/>
    <w:rsid w:val="00865B01"/>
    <w:rsid w:val="00866D7A"/>
    <w:rsid w:val="00866EE3"/>
    <w:rsid w:val="008701E5"/>
    <w:rsid w:val="008706C5"/>
    <w:rsid w:val="00871F04"/>
    <w:rsid w:val="008746C1"/>
    <w:rsid w:val="008768C8"/>
    <w:rsid w:val="0087699D"/>
    <w:rsid w:val="00880224"/>
    <w:rsid w:val="00880CF2"/>
    <w:rsid w:val="0088244C"/>
    <w:rsid w:val="00882AC3"/>
    <w:rsid w:val="00883367"/>
    <w:rsid w:val="00884C47"/>
    <w:rsid w:val="00884E92"/>
    <w:rsid w:val="00885E6F"/>
    <w:rsid w:val="008861AC"/>
    <w:rsid w:val="008868E4"/>
    <w:rsid w:val="00886A60"/>
    <w:rsid w:val="0088759B"/>
    <w:rsid w:val="008909B4"/>
    <w:rsid w:val="0089123E"/>
    <w:rsid w:val="008922E8"/>
    <w:rsid w:val="00893916"/>
    <w:rsid w:val="008941B9"/>
    <w:rsid w:val="0089442C"/>
    <w:rsid w:val="00895818"/>
    <w:rsid w:val="008A1CCA"/>
    <w:rsid w:val="008A2585"/>
    <w:rsid w:val="008A2718"/>
    <w:rsid w:val="008A4CF6"/>
    <w:rsid w:val="008A4E42"/>
    <w:rsid w:val="008A51AA"/>
    <w:rsid w:val="008A5725"/>
    <w:rsid w:val="008A6A12"/>
    <w:rsid w:val="008B0DC6"/>
    <w:rsid w:val="008B13BE"/>
    <w:rsid w:val="008B2B9E"/>
    <w:rsid w:val="008B31F5"/>
    <w:rsid w:val="008B4C79"/>
    <w:rsid w:val="008B5C90"/>
    <w:rsid w:val="008B5D2D"/>
    <w:rsid w:val="008B6361"/>
    <w:rsid w:val="008C0320"/>
    <w:rsid w:val="008C2A81"/>
    <w:rsid w:val="008C3863"/>
    <w:rsid w:val="008C4BDC"/>
    <w:rsid w:val="008C50FF"/>
    <w:rsid w:val="008C5435"/>
    <w:rsid w:val="008C6BD1"/>
    <w:rsid w:val="008D2DB5"/>
    <w:rsid w:val="008D3F10"/>
    <w:rsid w:val="008D51CC"/>
    <w:rsid w:val="008D611D"/>
    <w:rsid w:val="008E1B6A"/>
    <w:rsid w:val="008E3054"/>
    <w:rsid w:val="008E32FF"/>
    <w:rsid w:val="008E4C5F"/>
    <w:rsid w:val="008E5625"/>
    <w:rsid w:val="008E5C5B"/>
    <w:rsid w:val="008E6A37"/>
    <w:rsid w:val="008F0354"/>
    <w:rsid w:val="008F085A"/>
    <w:rsid w:val="008F1462"/>
    <w:rsid w:val="008F2413"/>
    <w:rsid w:val="008F248D"/>
    <w:rsid w:val="008F4B2C"/>
    <w:rsid w:val="008F4C08"/>
    <w:rsid w:val="008F54F9"/>
    <w:rsid w:val="008F65D5"/>
    <w:rsid w:val="008F6851"/>
    <w:rsid w:val="008F7BC4"/>
    <w:rsid w:val="008F7FE7"/>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3CD"/>
    <w:rsid w:val="00923BCF"/>
    <w:rsid w:val="009252EC"/>
    <w:rsid w:val="00925AEC"/>
    <w:rsid w:val="0092751A"/>
    <w:rsid w:val="009305C4"/>
    <w:rsid w:val="00931FAF"/>
    <w:rsid w:val="009349AD"/>
    <w:rsid w:val="009360F6"/>
    <w:rsid w:val="009371DC"/>
    <w:rsid w:val="0093759D"/>
    <w:rsid w:val="00940239"/>
    <w:rsid w:val="00942BD6"/>
    <w:rsid w:val="00942DED"/>
    <w:rsid w:val="00944404"/>
    <w:rsid w:val="0094492A"/>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E5D"/>
    <w:rsid w:val="00963FDF"/>
    <w:rsid w:val="00964780"/>
    <w:rsid w:val="00964C32"/>
    <w:rsid w:val="0096528F"/>
    <w:rsid w:val="009653F2"/>
    <w:rsid w:val="009661DF"/>
    <w:rsid w:val="009667BD"/>
    <w:rsid w:val="00967674"/>
    <w:rsid w:val="00967CE2"/>
    <w:rsid w:val="00971DA3"/>
    <w:rsid w:val="00972161"/>
    <w:rsid w:val="0097261B"/>
    <w:rsid w:val="00973791"/>
    <w:rsid w:val="00974881"/>
    <w:rsid w:val="0097606C"/>
    <w:rsid w:val="009771D1"/>
    <w:rsid w:val="009774C3"/>
    <w:rsid w:val="0098012D"/>
    <w:rsid w:val="00980845"/>
    <w:rsid w:val="00981BD9"/>
    <w:rsid w:val="0098225F"/>
    <w:rsid w:val="00983A3C"/>
    <w:rsid w:val="00983EFA"/>
    <w:rsid w:val="00984C15"/>
    <w:rsid w:val="00987829"/>
    <w:rsid w:val="0099123C"/>
    <w:rsid w:val="00991276"/>
    <w:rsid w:val="009923E7"/>
    <w:rsid w:val="00992697"/>
    <w:rsid w:val="00992D4E"/>
    <w:rsid w:val="00993D1B"/>
    <w:rsid w:val="00994621"/>
    <w:rsid w:val="009947FF"/>
    <w:rsid w:val="0099544B"/>
    <w:rsid w:val="00996770"/>
    <w:rsid w:val="009A053D"/>
    <w:rsid w:val="009A07A6"/>
    <w:rsid w:val="009A0D56"/>
    <w:rsid w:val="009A11E7"/>
    <w:rsid w:val="009A3017"/>
    <w:rsid w:val="009A31B9"/>
    <w:rsid w:val="009A4D4F"/>
    <w:rsid w:val="009A51AB"/>
    <w:rsid w:val="009A53D8"/>
    <w:rsid w:val="009A597F"/>
    <w:rsid w:val="009A7B72"/>
    <w:rsid w:val="009A7F49"/>
    <w:rsid w:val="009B03C4"/>
    <w:rsid w:val="009B0AA2"/>
    <w:rsid w:val="009B1D02"/>
    <w:rsid w:val="009B7133"/>
    <w:rsid w:val="009B7658"/>
    <w:rsid w:val="009B7CD1"/>
    <w:rsid w:val="009B7E22"/>
    <w:rsid w:val="009B7E78"/>
    <w:rsid w:val="009C02BB"/>
    <w:rsid w:val="009C10FE"/>
    <w:rsid w:val="009C13BC"/>
    <w:rsid w:val="009C1CA4"/>
    <w:rsid w:val="009C2532"/>
    <w:rsid w:val="009C25F3"/>
    <w:rsid w:val="009C2BA4"/>
    <w:rsid w:val="009C6091"/>
    <w:rsid w:val="009C60F6"/>
    <w:rsid w:val="009C634F"/>
    <w:rsid w:val="009C6C20"/>
    <w:rsid w:val="009D0219"/>
    <w:rsid w:val="009D0D55"/>
    <w:rsid w:val="009D177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081"/>
    <w:rsid w:val="009F6321"/>
    <w:rsid w:val="009F6378"/>
    <w:rsid w:val="009F6DFE"/>
    <w:rsid w:val="009F7669"/>
    <w:rsid w:val="009F7CF0"/>
    <w:rsid w:val="009F7F45"/>
    <w:rsid w:val="009F7FD5"/>
    <w:rsid w:val="00A005D4"/>
    <w:rsid w:val="00A0083C"/>
    <w:rsid w:val="00A00B28"/>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4FA"/>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1A5"/>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B9D"/>
    <w:rsid w:val="00AA1C09"/>
    <w:rsid w:val="00AA2F67"/>
    <w:rsid w:val="00AA3569"/>
    <w:rsid w:val="00AA3C63"/>
    <w:rsid w:val="00AA5F4C"/>
    <w:rsid w:val="00AA615C"/>
    <w:rsid w:val="00AA6711"/>
    <w:rsid w:val="00AB2AEC"/>
    <w:rsid w:val="00AB2DC1"/>
    <w:rsid w:val="00AB3102"/>
    <w:rsid w:val="00AB3D9A"/>
    <w:rsid w:val="00AB4B1D"/>
    <w:rsid w:val="00AB532F"/>
    <w:rsid w:val="00AB6B5E"/>
    <w:rsid w:val="00AB7D66"/>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0192"/>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131C"/>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50E"/>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1C00"/>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1D60"/>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713"/>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3F"/>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A5C"/>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BE2"/>
    <w:rsid w:val="00C13ED7"/>
    <w:rsid w:val="00C1424E"/>
    <w:rsid w:val="00C14615"/>
    <w:rsid w:val="00C14F48"/>
    <w:rsid w:val="00C15296"/>
    <w:rsid w:val="00C16118"/>
    <w:rsid w:val="00C17750"/>
    <w:rsid w:val="00C2094B"/>
    <w:rsid w:val="00C20DC5"/>
    <w:rsid w:val="00C2235C"/>
    <w:rsid w:val="00C2294E"/>
    <w:rsid w:val="00C22A5B"/>
    <w:rsid w:val="00C23412"/>
    <w:rsid w:val="00C264C7"/>
    <w:rsid w:val="00C271C4"/>
    <w:rsid w:val="00C274F3"/>
    <w:rsid w:val="00C30A54"/>
    <w:rsid w:val="00C316F7"/>
    <w:rsid w:val="00C31DF0"/>
    <w:rsid w:val="00C32578"/>
    <w:rsid w:val="00C33916"/>
    <w:rsid w:val="00C33BCF"/>
    <w:rsid w:val="00C340E0"/>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445F"/>
    <w:rsid w:val="00C85387"/>
    <w:rsid w:val="00C8563A"/>
    <w:rsid w:val="00C85E52"/>
    <w:rsid w:val="00C86471"/>
    <w:rsid w:val="00C8677B"/>
    <w:rsid w:val="00C86E1C"/>
    <w:rsid w:val="00C86F96"/>
    <w:rsid w:val="00C909C6"/>
    <w:rsid w:val="00C923B7"/>
    <w:rsid w:val="00C92589"/>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3A59"/>
    <w:rsid w:val="00CB56B4"/>
    <w:rsid w:val="00CB6A46"/>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CEC"/>
    <w:rsid w:val="00D00B0F"/>
    <w:rsid w:val="00D00DB8"/>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B94"/>
    <w:rsid w:val="00D54050"/>
    <w:rsid w:val="00D5594A"/>
    <w:rsid w:val="00D56321"/>
    <w:rsid w:val="00D56AC0"/>
    <w:rsid w:val="00D6081B"/>
    <w:rsid w:val="00D61A37"/>
    <w:rsid w:val="00D6240A"/>
    <w:rsid w:val="00D63093"/>
    <w:rsid w:val="00D63599"/>
    <w:rsid w:val="00D63EBD"/>
    <w:rsid w:val="00D64B69"/>
    <w:rsid w:val="00D66A61"/>
    <w:rsid w:val="00D67101"/>
    <w:rsid w:val="00D7106D"/>
    <w:rsid w:val="00D71B45"/>
    <w:rsid w:val="00D71F8A"/>
    <w:rsid w:val="00D75603"/>
    <w:rsid w:val="00D75FEE"/>
    <w:rsid w:val="00D76933"/>
    <w:rsid w:val="00D76D88"/>
    <w:rsid w:val="00D77CC9"/>
    <w:rsid w:val="00D83D4B"/>
    <w:rsid w:val="00D871C6"/>
    <w:rsid w:val="00D91010"/>
    <w:rsid w:val="00D9120E"/>
    <w:rsid w:val="00D939A6"/>
    <w:rsid w:val="00D93C90"/>
    <w:rsid w:val="00D94EB7"/>
    <w:rsid w:val="00DA0FA7"/>
    <w:rsid w:val="00DA12B0"/>
    <w:rsid w:val="00DA1A66"/>
    <w:rsid w:val="00DA2BA0"/>
    <w:rsid w:val="00DA39AD"/>
    <w:rsid w:val="00DA5B13"/>
    <w:rsid w:val="00DA6917"/>
    <w:rsid w:val="00DA6926"/>
    <w:rsid w:val="00DB0965"/>
    <w:rsid w:val="00DB0E47"/>
    <w:rsid w:val="00DB1B3A"/>
    <w:rsid w:val="00DB2BDD"/>
    <w:rsid w:val="00DB4121"/>
    <w:rsid w:val="00DB46C3"/>
    <w:rsid w:val="00DB5742"/>
    <w:rsid w:val="00DB5EDF"/>
    <w:rsid w:val="00DB6C46"/>
    <w:rsid w:val="00DB72B8"/>
    <w:rsid w:val="00DC16AF"/>
    <w:rsid w:val="00DC2A9A"/>
    <w:rsid w:val="00DC2E2E"/>
    <w:rsid w:val="00DC4D68"/>
    <w:rsid w:val="00DC51DD"/>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2DF"/>
    <w:rsid w:val="00DF595C"/>
    <w:rsid w:val="00DF7EA7"/>
    <w:rsid w:val="00E001F4"/>
    <w:rsid w:val="00E0216A"/>
    <w:rsid w:val="00E04111"/>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048"/>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5BDE"/>
    <w:rsid w:val="00E77A1B"/>
    <w:rsid w:val="00E808BE"/>
    <w:rsid w:val="00E81E36"/>
    <w:rsid w:val="00E81E40"/>
    <w:rsid w:val="00E82ECE"/>
    <w:rsid w:val="00E8713B"/>
    <w:rsid w:val="00E90C61"/>
    <w:rsid w:val="00E92A28"/>
    <w:rsid w:val="00E92A82"/>
    <w:rsid w:val="00E92AA8"/>
    <w:rsid w:val="00E9344E"/>
    <w:rsid w:val="00E93E39"/>
    <w:rsid w:val="00E94391"/>
    <w:rsid w:val="00E95F91"/>
    <w:rsid w:val="00E97E2B"/>
    <w:rsid w:val="00EA08CA"/>
    <w:rsid w:val="00EA0C0C"/>
    <w:rsid w:val="00EA2AEA"/>
    <w:rsid w:val="00EA332B"/>
    <w:rsid w:val="00EA3D36"/>
    <w:rsid w:val="00EA40AA"/>
    <w:rsid w:val="00EA57E2"/>
    <w:rsid w:val="00EA7186"/>
    <w:rsid w:val="00EA791F"/>
    <w:rsid w:val="00EB018B"/>
    <w:rsid w:val="00EB1003"/>
    <w:rsid w:val="00EB1132"/>
    <w:rsid w:val="00EB167E"/>
    <w:rsid w:val="00EB24ED"/>
    <w:rsid w:val="00EB2A00"/>
    <w:rsid w:val="00EB2A3F"/>
    <w:rsid w:val="00EB309B"/>
    <w:rsid w:val="00EB36C8"/>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2A3"/>
    <w:rsid w:val="00EC7B97"/>
    <w:rsid w:val="00ED049C"/>
    <w:rsid w:val="00ED07B7"/>
    <w:rsid w:val="00ED19D7"/>
    <w:rsid w:val="00ED2167"/>
    <w:rsid w:val="00ED351E"/>
    <w:rsid w:val="00ED4063"/>
    <w:rsid w:val="00ED4B27"/>
    <w:rsid w:val="00ED543C"/>
    <w:rsid w:val="00ED6BA4"/>
    <w:rsid w:val="00ED7DA7"/>
    <w:rsid w:val="00EE0598"/>
    <w:rsid w:val="00EE099A"/>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54B2"/>
    <w:rsid w:val="00F26069"/>
    <w:rsid w:val="00F26B7E"/>
    <w:rsid w:val="00F27D7D"/>
    <w:rsid w:val="00F3002B"/>
    <w:rsid w:val="00F30BC9"/>
    <w:rsid w:val="00F31E57"/>
    <w:rsid w:val="00F32462"/>
    <w:rsid w:val="00F32FF7"/>
    <w:rsid w:val="00F33791"/>
    <w:rsid w:val="00F33EDE"/>
    <w:rsid w:val="00F34497"/>
    <w:rsid w:val="00F3568B"/>
    <w:rsid w:val="00F377CD"/>
    <w:rsid w:val="00F40C3B"/>
    <w:rsid w:val="00F40CE0"/>
    <w:rsid w:val="00F41BDD"/>
    <w:rsid w:val="00F42C41"/>
    <w:rsid w:val="00F42DBC"/>
    <w:rsid w:val="00F4308D"/>
    <w:rsid w:val="00F44012"/>
    <w:rsid w:val="00F44947"/>
    <w:rsid w:val="00F458EF"/>
    <w:rsid w:val="00F47121"/>
    <w:rsid w:val="00F4775D"/>
    <w:rsid w:val="00F504DD"/>
    <w:rsid w:val="00F50874"/>
    <w:rsid w:val="00F516C6"/>
    <w:rsid w:val="00F51ABC"/>
    <w:rsid w:val="00F52221"/>
    <w:rsid w:val="00F52550"/>
    <w:rsid w:val="00F52B28"/>
    <w:rsid w:val="00F536BB"/>
    <w:rsid w:val="00F53755"/>
    <w:rsid w:val="00F53E59"/>
    <w:rsid w:val="00F5475B"/>
    <w:rsid w:val="00F551CC"/>
    <w:rsid w:val="00F574D0"/>
    <w:rsid w:val="00F6031F"/>
    <w:rsid w:val="00F60763"/>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53C"/>
    <w:rsid w:val="00F82FF3"/>
    <w:rsid w:val="00F8453C"/>
    <w:rsid w:val="00F84D4C"/>
    <w:rsid w:val="00F8657D"/>
    <w:rsid w:val="00F8730F"/>
    <w:rsid w:val="00F87DA3"/>
    <w:rsid w:val="00F90004"/>
    <w:rsid w:val="00F90EF4"/>
    <w:rsid w:val="00F917BF"/>
    <w:rsid w:val="00F920B4"/>
    <w:rsid w:val="00F9260D"/>
    <w:rsid w:val="00F92727"/>
    <w:rsid w:val="00F939CB"/>
    <w:rsid w:val="00F93CCF"/>
    <w:rsid w:val="00F94307"/>
    <w:rsid w:val="00F9580B"/>
    <w:rsid w:val="00F95F15"/>
    <w:rsid w:val="00F975CA"/>
    <w:rsid w:val="00FA0B60"/>
    <w:rsid w:val="00FA2528"/>
    <w:rsid w:val="00FA5535"/>
    <w:rsid w:val="00FA625B"/>
    <w:rsid w:val="00FA6C1E"/>
    <w:rsid w:val="00FA7206"/>
    <w:rsid w:val="00FA7EFB"/>
    <w:rsid w:val="00FB0816"/>
    <w:rsid w:val="00FB08C2"/>
    <w:rsid w:val="00FB3DD1"/>
    <w:rsid w:val="00FB51FD"/>
    <w:rsid w:val="00FB5667"/>
    <w:rsid w:val="00FB5EAE"/>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E5546"/>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6A3C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B9D"/>
    <w:rPr>
      <w:rFonts w:ascii="Arial" w:hAnsi="Arial"/>
      <w:szCs w:val="24"/>
      <w:lang w:eastAsia="de-DE"/>
    </w:rPr>
  </w:style>
  <w:style w:type="paragraph" w:styleId="Ttulo1">
    <w:name w:val="heading 1"/>
    <w:basedOn w:val="Normal"/>
    <w:next w:val="Normal"/>
    <w:link w:val="Ttulo1Car"/>
    <w:qFormat/>
    <w:rsid w:val="009E7724"/>
    <w:pPr>
      <w:keepNext/>
      <w:numPr>
        <w:numId w:val="5"/>
      </w:numPr>
      <w:spacing w:before="240" w:after="60"/>
      <w:outlineLvl w:val="0"/>
    </w:pPr>
    <w:rPr>
      <w:rFonts w:cs="Arial"/>
      <w:b/>
      <w:bCs/>
      <w:kern w:val="32"/>
      <w:sz w:val="24"/>
      <w:szCs w:val="32"/>
    </w:rPr>
  </w:style>
  <w:style w:type="paragraph" w:styleId="Ttulo2">
    <w:name w:val="heading 2"/>
    <w:basedOn w:val="Normal"/>
    <w:next w:val="Normal"/>
    <w:link w:val="Ttulo2Car"/>
    <w:qFormat/>
    <w:rsid w:val="00886A60"/>
    <w:pPr>
      <w:keepNext/>
      <w:keepLines/>
      <w:spacing w:before="200" w:after="120"/>
      <w:outlineLvl w:val="1"/>
    </w:pPr>
    <w:rPr>
      <w:b/>
      <w:bCs/>
      <w:szCs w:val="26"/>
    </w:rPr>
  </w:style>
  <w:style w:type="paragraph" w:styleId="Ttulo3">
    <w:name w:val="heading 3"/>
    <w:basedOn w:val="Normal"/>
    <w:next w:val="Normal"/>
    <w:link w:val="Ttulo3Car"/>
    <w:qFormat/>
    <w:rsid w:val="003865E5"/>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tulo5">
    <w:name w:val="heading 5"/>
    <w:aliases w:val="Questions"/>
    <w:basedOn w:val="Normal"/>
    <w:next w:val="Normal"/>
    <w:link w:val="Ttulo5Car"/>
    <w:qFormat/>
    <w:rsid w:val="00E9344E"/>
    <w:pPr>
      <w:keepNext/>
      <w:keepLines/>
      <w:numPr>
        <w:numId w:val="13"/>
      </w:numPr>
      <w:spacing w:before="200"/>
      <w:jc w:val="both"/>
      <w:outlineLvl w:val="4"/>
    </w:pPr>
    <w:rPr>
      <w:b/>
    </w:rPr>
  </w:style>
  <w:style w:type="paragraph" w:styleId="Ttulo6">
    <w:name w:val="heading 6"/>
    <w:basedOn w:val="Normal"/>
    <w:next w:val="Normal"/>
    <w:link w:val="Ttulo6Car"/>
    <w:qFormat/>
    <w:rsid w:val="003609B6"/>
    <w:pPr>
      <w:numPr>
        <w:ilvl w:val="5"/>
        <w:numId w:val="4"/>
      </w:numPr>
      <w:spacing w:before="240" w:after="60"/>
      <w:outlineLvl w:val="5"/>
    </w:pPr>
    <w:rPr>
      <w:rFonts w:ascii="Times New Roman" w:hAnsi="Times New Roman"/>
      <w:b/>
      <w:bCs/>
      <w:szCs w:val="22"/>
    </w:rPr>
  </w:style>
  <w:style w:type="paragraph" w:styleId="Ttulo7">
    <w:name w:val="heading 7"/>
    <w:basedOn w:val="Normal"/>
    <w:next w:val="Normal"/>
    <w:link w:val="Ttulo7Car"/>
    <w:unhideWhenUsed/>
    <w:qFormat/>
    <w:rsid w:val="002D6E1A"/>
    <w:pPr>
      <w:spacing w:before="240" w:after="60"/>
      <w:ind w:left="1296" w:hanging="1296"/>
      <w:outlineLvl w:val="6"/>
    </w:pPr>
    <w:rPr>
      <w:rFonts w:ascii="Times New Roman" w:hAnsi="Times New Roman"/>
    </w:rPr>
  </w:style>
  <w:style w:type="paragraph" w:styleId="Ttulo8">
    <w:name w:val="heading 8"/>
    <w:basedOn w:val="Normal"/>
    <w:next w:val="Normal"/>
    <w:link w:val="Ttulo8Car"/>
    <w:qFormat/>
    <w:rsid w:val="003609B6"/>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qFormat/>
    <w:rsid w:val="00A06867"/>
    <w:pPr>
      <w:tabs>
        <w:tab w:val="num" w:pos="1584"/>
      </w:tabs>
      <w:spacing w:before="240" w:after="60"/>
      <w:ind w:left="1584" w:hanging="1584"/>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B64CB"/>
    <w:pPr>
      <w:tabs>
        <w:tab w:val="center" w:pos="4536"/>
        <w:tab w:val="right" w:pos="9072"/>
      </w:tabs>
    </w:pPr>
  </w:style>
  <w:style w:type="paragraph" w:styleId="Piedepgina">
    <w:name w:val="footer"/>
    <w:basedOn w:val="Normal"/>
    <w:link w:val="PiedepginaCar"/>
    <w:uiPriority w:val="99"/>
    <w:rsid w:val="005B64CB"/>
    <w:pPr>
      <w:tabs>
        <w:tab w:val="center" w:pos="4536"/>
        <w:tab w:val="right" w:pos="9072"/>
      </w:tabs>
    </w:pPr>
  </w:style>
  <w:style w:type="table" w:styleId="Tablaconcuadrcula">
    <w:name w:val="Table Grid"/>
    <w:basedOn w:val="Tabla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merodepgina">
    <w:name w:val="page number"/>
    <w:basedOn w:val="Fuentedeprrafopredeter"/>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D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vnculo">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xtonotapie">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TextonotapieCar"/>
    <w:uiPriority w:val="99"/>
    <w:qFormat/>
    <w:rsid w:val="001725A5"/>
    <w:pPr>
      <w:spacing w:line="200" w:lineRule="exact"/>
    </w:pPr>
    <w:rPr>
      <w:sz w:val="16"/>
      <w:szCs w:val="20"/>
    </w:rPr>
  </w:style>
  <w:style w:type="character" w:styleId="Refdenotaalpie">
    <w:name w:val="footnote reference"/>
    <w:aliases w:val="SUPERS,Footnote reference number,Footnote symbol,note TESI,-E Fußnotenzeichen,number,BVI fnr,Footnote,Footnote Reference Superscript,(Footnote Reference),EN Footnote Reference,Voetnootverwijzing,Times 10 Point,Exposant 3 Poi"/>
    <w:link w:val="1"/>
    <w:uiPriority w:val="99"/>
    <w:qFormat/>
    <w:rsid w:val="00C274F3"/>
    <w:rPr>
      <w:vertAlign w:val="superscript"/>
    </w:rPr>
  </w:style>
  <w:style w:type="paragraph" w:styleId="TD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efdecomentario">
    <w:name w:val="annotation reference"/>
    <w:rsid w:val="004B1E61"/>
    <w:rPr>
      <w:sz w:val="16"/>
      <w:szCs w:val="16"/>
    </w:rPr>
  </w:style>
  <w:style w:type="paragraph" w:styleId="Textocomentario">
    <w:name w:val="annotation text"/>
    <w:basedOn w:val="Normal"/>
    <w:link w:val="TextocomentarioCar"/>
    <w:uiPriority w:val="99"/>
    <w:rsid w:val="004B1E61"/>
    <w:rPr>
      <w:szCs w:val="20"/>
    </w:rPr>
  </w:style>
  <w:style w:type="character" w:customStyle="1" w:styleId="TextocomentarioCar">
    <w:name w:val="Texto comentario Car"/>
    <w:link w:val="Textocomentario"/>
    <w:uiPriority w:val="99"/>
    <w:rsid w:val="004B1E61"/>
    <w:rPr>
      <w:rFonts w:ascii="Georgia" w:hAnsi="Georgia"/>
      <w:lang w:eastAsia="de-DE"/>
    </w:rPr>
  </w:style>
  <w:style w:type="paragraph" w:styleId="Asuntodelcomentario">
    <w:name w:val="annotation subject"/>
    <w:basedOn w:val="Textocomentario"/>
    <w:next w:val="Textocomentario"/>
    <w:link w:val="AsuntodelcomentarioCar"/>
    <w:rsid w:val="004B1E61"/>
    <w:rPr>
      <w:b/>
      <w:bCs/>
    </w:rPr>
  </w:style>
  <w:style w:type="character" w:customStyle="1" w:styleId="AsuntodelcomentarioCar">
    <w:name w:val="Asunto del comentario Car"/>
    <w:link w:val="Asuntodelcomentario"/>
    <w:rsid w:val="004B1E61"/>
    <w:rPr>
      <w:rFonts w:ascii="Georgia" w:hAnsi="Georgia"/>
      <w:b/>
      <w:bCs/>
      <w:lang w:eastAsia="de-DE"/>
    </w:rPr>
  </w:style>
  <w:style w:type="paragraph" w:styleId="Textodeglobo">
    <w:name w:val="Balloon Text"/>
    <w:basedOn w:val="Normal"/>
    <w:link w:val="TextodegloboCar"/>
    <w:rsid w:val="004B1E61"/>
    <w:rPr>
      <w:rFonts w:ascii="Tahoma" w:hAnsi="Tahoma" w:cs="Tahoma"/>
      <w:sz w:val="16"/>
      <w:szCs w:val="16"/>
    </w:rPr>
  </w:style>
  <w:style w:type="character" w:customStyle="1" w:styleId="TextodegloboCar">
    <w:name w:val="Texto de globo Car"/>
    <w:link w:val="Textodeglobo"/>
    <w:rsid w:val="004B1E61"/>
    <w:rPr>
      <w:rFonts w:ascii="Tahoma" w:hAnsi="Tahoma" w:cs="Tahoma"/>
      <w:sz w:val="16"/>
      <w:szCs w:val="16"/>
      <w:lang w:eastAsia="de-DE"/>
    </w:rPr>
  </w:style>
  <w:style w:type="paragraph" w:styleId="Prrafodelista">
    <w:name w:val="List Paragraph"/>
    <w:aliases w:val="Paragraphe EI,Paragraphe de liste1,EC,Bullet Points,Numbered Para 1,Dot pt,List Paragraph Char Char Char,Indicator Text,MAIN CONTENT,List Paragraph12,F5 List Paragraph,Heading 2_sj,Colorful List - Accent 11,Body Texte,Yellow Bullet"/>
    <w:basedOn w:val="Normal"/>
    <w:link w:val="PrrafodelistaCar"/>
    <w:uiPriority w:val="34"/>
    <w:qFormat/>
    <w:rsid w:val="002A0C82"/>
    <w:pPr>
      <w:ind w:left="720"/>
      <w:contextualSpacing/>
    </w:pPr>
  </w:style>
  <w:style w:type="paragraph" w:styleId="TtulodeTDC">
    <w:name w:val="TOC Heading"/>
    <w:basedOn w:val="Ttulo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onotapieCar">
    <w:name w:val="Texto nota pie Car"/>
    <w:aliases w:val="Char3 Car, Char3 Car,Fußnotentextf Car,Fußnotentextr Car,stile 1 Car,Footnote1 Car,Footnote2 Car,Footnote3 Car,Footnote4 Car,Footnote5 Car,Footnote6 Car,Footnote7 Car,Footnote8 Car,Footnote9 Car,Footnote10 Car,Footnote11 Car, Cha Car"/>
    <w:link w:val="Textonotapi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Fuentedeprrafopredeter"/>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tulo1Car">
    <w:name w:val="Título 1 Car"/>
    <w:link w:val="Ttulo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nfasis">
    <w:name w:val="Emphasis"/>
    <w:uiPriority w:val="20"/>
    <w:qFormat/>
    <w:rsid w:val="005F028E"/>
    <w:rPr>
      <w:i/>
      <w:iCs/>
    </w:rPr>
  </w:style>
  <w:style w:type="paragraph" w:styleId="Revisin">
    <w:name w:val="Revision"/>
    <w:link w:val="RevisinCar"/>
    <w:hidden/>
    <w:uiPriority w:val="99"/>
    <w:semiHidden/>
    <w:rsid w:val="008E6A37"/>
    <w:rPr>
      <w:rFonts w:ascii="Georgia" w:hAnsi="Georgia"/>
      <w:sz w:val="22"/>
      <w:szCs w:val="24"/>
      <w:lang w:eastAsia="de-DE"/>
    </w:rPr>
  </w:style>
  <w:style w:type="paragraph" w:styleId="TD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D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D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D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D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D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D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Epgraf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eldocumento">
    <w:name w:val="Document Map"/>
    <w:basedOn w:val="Normal"/>
    <w:link w:val="MapadeldocumentoCar"/>
    <w:rsid w:val="00AA016B"/>
    <w:rPr>
      <w:rFonts w:ascii="Tahoma" w:hAnsi="Tahoma" w:cs="Tahoma"/>
      <w:sz w:val="16"/>
      <w:szCs w:val="16"/>
    </w:rPr>
  </w:style>
  <w:style w:type="character" w:customStyle="1" w:styleId="MapadeldocumentoCar">
    <w:name w:val="Mapa del documento Car"/>
    <w:link w:val="Mapadeldocumento"/>
    <w:rsid w:val="00AA016B"/>
    <w:rPr>
      <w:rFonts w:ascii="Tahoma" w:hAnsi="Tahoma" w:cs="Tahoma"/>
      <w:sz w:val="16"/>
      <w:szCs w:val="16"/>
      <w:lang w:eastAsia="de-DE"/>
    </w:rPr>
  </w:style>
  <w:style w:type="paragraph" w:styleId="Textosinformato">
    <w:name w:val="Plain Text"/>
    <w:basedOn w:val="Normal"/>
    <w:link w:val="TextosinformatoCar"/>
    <w:unhideWhenUsed/>
    <w:rsid w:val="00AA016B"/>
    <w:rPr>
      <w:rFonts w:ascii="Consolas" w:hAnsi="Consolas"/>
      <w:sz w:val="21"/>
      <w:szCs w:val="21"/>
      <w:lang w:val="de-DE"/>
    </w:rPr>
  </w:style>
  <w:style w:type="character" w:customStyle="1" w:styleId="TextosinformatoCar">
    <w:name w:val="Texto sin formato Car"/>
    <w:link w:val="Textosinformato"/>
    <w:rsid w:val="00AA016B"/>
    <w:rPr>
      <w:rFonts w:ascii="Consolas" w:hAnsi="Consolas"/>
      <w:sz w:val="21"/>
      <w:szCs w:val="21"/>
      <w:lang w:val="de-DE" w:eastAsia="de-DE"/>
    </w:rPr>
  </w:style>
  <w:style w:type="paragraph" w:styleId="Textoindependiente">
    <w:name w:val="Body Text"/>
    <w:basedOn w:val="Normal"/>
    <w:link w:val="TextoindependienteCar"/>
    <w:unhideWhenUsed/>
    <w:rsid w:val="00AA016B"/>
    <w:pPr>
      <w:numPr>
        <w:numId w:val="8"/>
      </w:numPr>
      <w:spacing w:after="240"/>
      <w:jc w:val="both"/>
    </w:pPr>
    <w:rPr>
      <w:rFonts w:ascii="Times New Roman" w:hAnsi="Times New Roman"/>
      <w:sz w:val="24"/>
      <w:szCs w:val="20"/>
      <w:lang w:eastAsia="en-GB"/>
    </w:rPr>
  </w:style>
  <w:style w:type="character" w:customStyle="1" w:styleId="TextoindependienteCar">
    <w:name w:val="Texto independiente Car"/>
    <w:link w:val="Textoindependien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Textoennegrita">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tulo2Car">
    <w:name w:val="Título 2 Car"/>
    <w:link w:val="Ttu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tulo9Car">
    <w:name w:val="Título 9 Car"/>
    <w:link w:val="Ttu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tulo7Car">
    <w:name w:val="Título 7 Car"/>
    <w:link w:val="Ttulo7"/>
    <w:rsid w:val="002D6E1A"/>
    <w:rPr>
      <w:sz w:val="22"/>
      <w:szCs w:val="24"/>
      <w:lang w:eastAsia="de-DE"/>
    </w:rPr>
  </w:style>
  <w:style w:type="character" w:customStyle="1" w:styleId="Ttulo6Car">
    <w:name w:val="Título 6 Car"/>
    <w:link w:val="Ttulo6"/>
    <w:rsid w:val="002D6E1A"/>
    <w:rPr>
      <w:b/>
      <w:bCs/>
      <w:szCs w:val="22"/>
      <w:lang w:eastAsia="de-DE"/>
    </w:rPr>
  </w:style>
  <w:style w:type="character" w:customStyle="1" w:styleId="Ttulo8Car">
    <w:name w:val="Título 8 Car"/>
    <w:link w:val="Ttulo8"/>
    <w:rsid w:val="002D6E1A"/>
    <w:rPr>
      <w:i/>
      <w:iCs/>
      <w:szCs w:val="24"/>
      <w:lang w:eastAsia="de-DE"/>
    </w:rPr>
  </w:style>
  <w:style w:type="numbering" w:customStyle="1" w:styleId="NoList1">
    <w:name w:val="No List1"/>
    <w:next w:val="Sinlista"/>
    <w:uiPriority w:val="99"/>
    <w:semiHidden/>
    <w:unhideWhenUsed/>
    <w:rsid w:val="002D6E1A"/>
  </w:style>
  <w:style w:type="character" w:styleId="Hipervnculovisitado">
    <w:name w:val="FollowedHyperlink"/>
    <w:unhideWhenUsed/>
    <w:rsid w:val="002D6E1A"/>
    <w:rPr>
      <w:color w:val="800080"/>
      <w:u w:val="single"/>
    </w:rPr>
  </w:style>
  <w:style w:type="character" w:customStyle="1" w:styleId="EncabezadoCar">
    <w:name w:val="Encabezado Car"/>
    <w:link w:val="Encabezado"/>
    <w:uiPriority w:val="99"/>
    <w:rsid w:val="002D6E1A"/>
    <w:rPr>
      <w:rFonts w:ascii="Georgia" w:hAnsi="Georgia"/>
      <w:sz w:val="22"/>
      <w:szCs w:val="24"/>
      <w:lang w:eastAsia="de-DE"/>
    </w:rPr>
  </w:style>
  <w:style w:type="character" w:customStyle="1" w:styleId="PiedepginaCar">
    <w:name w:val="Pie de página Car"/>
    <w:link w:val="Piedepgina"/>
    <w:uiPriority w:val="99"/>
    <w:rsid w:val="002D6E1A"/>
    <w:rPr>
      <w:rFonts w:ascii="Georgia" w:hAnsi="Georgia"/>
      <w:sz w:val="22"/>
      <w:szCs w:val="24"/>
      <w:lang w:eastAsia="de-DE"/>
    </w:rPr>
  </w:style>
  <w:style w:type="paragraph" w:styleId="Textonotaalfinal">
    <w:name w:val="endnote text"/>
    <w:basedOn w:val="Normal"/>
    <w:link w:val="TextonotaalfinalCar"/>
    <w:unhideWhenUsed/>
    <w:rsid w:val="002D6E1A"/>
    <w:rPr>
      <w:szCs w:val="20"/>
    </w:rPr>
  </w:style>
  <w:style w:type="character" w:customStyle="1" w:styleId="TextonotaalfinalCar">
    <w:name w:val="Texto nota al final Car"/>
    <w:link w:val="Textonotaalfinal"/>
    <w:rsid w:val="002D6E1A"/>
    <w:rPr>
      <w:rFonts w:ascii="Georgia" w:hAnsi="Georgia"/>
      <w:lang w:eastAsia="de-DE"/>
    </w:rPr>
  </w:style>
  <w:style w:type="paragraph" w:styleId="Listaconnme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rrafodelistaCar">
    <w:name w:val="Párrafo de lista Car"/>
    <w:aliases w:val="Paragraphe EI Car,Paragraphe de liste1 Car,EC Car,Bullet Points Car,Numbered Para 1 Car,Dot pt Car,List Paragraph Char Char Char Car,Indicator Text Car,MAIN CONTENT Car,List Paragraph12 Car,F5 List Paragraph Car,Heading 2_sj Car"/>
    <w:link w:val="Prrafodelista"/>
    <w:uiPriority w:val="34"/>
    <w:qFormat/>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rrafodelista"/>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Refdenotaalfinal">
    <w:name w:val="endnote reference"/>
    <w:unhideWhenUsed/>
    <w:rsid w:val="002D6E1A"/>
    <w:rPr>
      <w:vertAlign w:val="superscript"/>
    </w:rPr>
  </w:style>
  <w:style w:type="character" w:styleId="Textodelmarcadordeposicin">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a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Si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merodelnea">
    <w:name w:val="line number"/>
    <w:basedOn w:val="Fuentedeprrafopredeter"/>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Epgraf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tulo5Car">
    <w:name w:val="Título 5 Car"/>
    <w:aliases w:val="Questions Car"/>
    <w:link w:val="Ttulo5"/>
    <w:rsid w:val="00E9344E"/>
    <w:rPr>
      <w:rFonts w:ascii="Arial" w:hAnsi="Arial"/>
      <w:b/>
      <w:szCs w:val="24"/>
      <w:lang w:eastAsia="de-DE"/>
    </w:rPr>
  </w:style>
  <w:style w:type="character" w:customStyle="1" w:styleId="Ttulo3Car">
    <w:name w:val="Título 3 Car"/>
    <w:link w:val="Ttulo3"/>
    <w:rsid w:val="003865E5"/>
    <w:rPr>
      <w:rFonts w:ascii="Cambria" w:eastAsia="Times New Roman" w:hAnsi="Cambria" w:cs="Times New Roman"/>
      <w:b/>
      <w:bCs/>
      <w:color w:val="4F81BD"/>
      <w:sz w:val="22"/>
      <w:szCs w:val="24"/>
      <w:lang w:eastAsia="de-DE"/>
    </w:rPr>
  </w:style>
  <w:style w:type="character" w:customStyle="1" w:styleId="Ttulo4Car">
    <w:name w:val="Título 4 Car"/>
    <w:link w:val="Ttulo4"/>
    <w:rsid w:val="00CB7286"/>
    <w:rPr>
      <w:b/>
      <w:bCs/>
      <w:sz w:val="28"/>
      <w:szCs w:val="28"/>
      <w:lang w:eastAsia="de-DE"/>
    </w:rPr>
  </w:style>
  <w:style w:type="table" w:styleId="Listaclara-nfasis3">
    <w:name w:val="Light List Accent 3"/>
    <w:basedOn w:val="Tabla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a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tu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tulo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tu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aconnme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aconnme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aconnme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convieta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convieta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convieta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convieta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adeilustracion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tulo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tulo">
    <w:name w:val="Title"/>
    <w:basedOn w:val="Normal"/>
    <w:next w:val="Normal"/>
    <w:link w:val="Ttulo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tuloCar">
    <w:name w:val="Título Car"/>
    <w:link w:val="Ttu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nCar">
    <w:name w:val="Revisión Car"/>
    <w:link w:val="Revisin"/>
    <w:uiPriority w:val="99"/>
    <w:semiHidden/>
    <w:locked/>
    <w:rsid w:val="000D2D0B"/>
    <w:rPr>
      <w:rFonts w:ascii="Georgia" w:hAnsi="Georgia"/>
      <w:sz w:val="22"/>
      <w:szCs w:val="24"/>
      <w:lang w:eastAsia="de-DE"/>
    </w:rPr>
  </w:style>
  <w:style w:type="table" w:customStyle="1" w:styleId="TableGrid2">
    <w:name w:val="Table Grid2"/>
    <w:basedOn w:val="Tablanormal"/>
    <w:next w:val="Tablaconcuadrcu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aliases w:val="Question,Text,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Fuentedeprrafopredeter"/>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nfasisintenso">
    <w:name w:val="Intense Emphasis"/>
    <w:basedOn w:val="Fuentedeprrafopredeter"/>
    <w:uiPriority w:val="21"/>
    <w:qFormat/>
    <w:rsid w:val="00D34282"/>
    <w:rPr>
      <w:b/>
      <w:bCs/>
      <w:i/>
      <w:iCs/>
    </w:rPr>
  </w:style>
  <w:style w:type="character" w:customStyle="1" w:styleId="CPTitle1Char">
    <w:name w:val="CP_Title1 Char"/>
    <w:basedOn w:val="Fuentedeprrafopredeter"/>
    <w:link w:val="CPTitle1"/>
    <w:locked/>
    <w:rsid w:val="00D34282"/>
    <w:rPr>
      <w:rFonts w:asciiTheme="majorHAnsi" w:eastAsiaTheme="majorEastAsia" w:hAnsiTheme="majorHAnsi" w:cstheme="majorHAnsi"/>
      <w:b/>
      <w:sz w:val="32"/>
      <w:szCs w:val="32"/>
    </w:rPr>
  </w:style>
  <w:style w:type="paragraph" w:customStyle="1" w:styleId="CPTitle1">
    <w:name w:val="CP_Title1"/>
    <w:basedOn w:val="Ttulo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tulo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Fuentedeprrafopredeter"/>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7118EB"/>
    <w:pPr>
      <w:numPr>
        <w:numId w:val="37"/>
      </w:numPr>
      <w:spacing w:after="250" w:line="276" w:lineRule="auto"/>
      <w:ind w:left="720" w:hanging="294"/>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Fuentedeprrafopredeter"/>
    <w:link w:val="Questionstyle"/>
    <w:rsid w:val="007118EB"/>
    <w:rPr>
      <w:rFonts w:asciiTheme="minorHAnsi" w:eastAsiaTheme="minorEastAsia" w:hAnsiTheme="minorHAnsi" w:cstheme="minorBidi"/>
      <w:b/>
      <w:sz w:val="22"/>
      <w:lang w:eastAsia="en-US"/>
    </w:rPr>
  </w:style>
  <w:style w:type="paragraph" w:styleId="Subttulo">
    <w:name w:val="Subtitle"/>
    <w:basedOn w:val="Normal"/>
    <w:next w:val="Normal"/>
    <w:link w:val="Subttulo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tuloCar">
    <w:name w:val="Subtítulo Car"/>
    <w:basedOn w:val="Fuentedeprrafopredeter"/>
    <w:link w:val="Subttulo"/>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Prrafodelista"/>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Fuentedeprrafopredeter"/>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Fuentedeprrafopredeter"/>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Prrafodelista"/>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Refdenotaalpi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B9D"/>
    <w:rPr>
      <w:rFonts w:ascii="Arial" w:hAnsi="Arial"/>
      <w:szCs w:val="24"/>
      <w:lang w:eastAsia="de-DE"/>
    </w:rPr>
  </w:style>
  <w:style w:type="paragraph" w:styleId="Ttulo1">
    <w:name w:val="heading 1"/>
    <w:basedOn w:val="Normal"/>
    <w:next w:val="Normal"/>
    <w:link w:val="Ttulo1Car"/>
    <w:qFormat/>
    <w:rsid w:val="009E7724"/>
    <w:pPr>
      <w:keepNext/>
      <w:numPr>
        <w:numId w:val="5"/>
      </w:numPr>
      <w:spacing w:before="240" w:after="60"/>
      <w:outlineLvl w:val="0"/>
    </w:pPr>
    <w:rPr>
      <w:rFonts w:cs="Arial"/>
      <w:b/>
      <w:bCs/>
      <w:kern w:val="32"/>
      <w:sz w:val="24"/>
      <w:szCs w:val="32"/>
    </w:rPr>
  </w:style>
  <w:style w:type="paragraph" w:styleId="Ttulo2">
    <w:name w:val="heading 2"/>
    <w:basedOn w:val="Normal"/>
    <w:next w:val="Normal"/>
    <w:link w:val="Ttulo2Car"/>
    <w:qFormat/>
    <w:rsid w:val="00886A60"/>
    <w:pPr>
      <w:keepNext/>
      <w:keepLines/>
      <w:spacing w:before="200" w:after="120"/>
      <w:outlineLvl w:val="1"/>
    </w:pPr>
    <w:rPr>
      <w:b/>
      <w:bCs/>
      <w:szCs w:val="26"/>
    </w:rPr>
  </w:style>
  <w:style w:type="paragraph" w:styleId="Ttulo3">
    <w:name w:val="heading 3"/>
    <w:basedOn w:val="Normal"/>
    <w:next w:val="Normal"/>
    <w:link w:val="Ttulo3Car"/>
    <w:qFormat/>
    <w:rsid w:val="003865E5"/>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tulo5">
    <w:name w:val="heading 5"/>
    <w:aliases w:val="Questions"/>
    <w:basedOn w:val="Normal"/>
    <w:next w:val="Normal"/>
    <w:link w:val="Ttulo5Car"/>
    <w:qFormat/>
    <w:rsid w:val="00E9344E"/>
    <w:pPr>
      <w:keepNext/>
      <w:keepLines/>
      <w:numPr>
        <w:numId w:val="13"/>
      </w:numPr>
      <w:spacing w:before="200"/>
      <w:jc w:val="both"/>
      <w:outlineLvl w:val="4"/>
    </w:pPr>
    <w:rPr>
      <w:b/>
    </w:rPr>
  </w:style>
  <w:style w:type="paragraph" w:styleId="Ttulo6">
    <w:name w:val="heading 6"/>
    <w:basedOn w:val="Normal"/>
    <w:next w:val="Normal"/>
    <w:link w:val="Ttulo6Car"/>
    <w:qFormat/>
    <w:rsid w:val="003609B6"/>
    <w:pPr>
      <w:numPr>
        <w:ilvl w:val="5"/>
        <w:numId w:val="4"/>
      </w:numPr>
      <w:spacing w:before="240" w:after="60"/>
      <w:outlineLvl w:val="5"/>
    </w:pPr>
    <w:rPr>
      <w:rFonts w:ascii="Times New Roman" w:hAnsi="Times New Roman"/>
      <w:b/>
      <w:bCs/>
      <w:szCs w:val="22"/>
    </w:rPr>
  </w:style>
  <w:style w:type="paragraph" w:styleId="Ttulo7">
    <w:name w:val="heading 7"/>
    <w:basedOn w:val="Normal"/>
    <w:next w:val="Normal"/>
    <w:link w:val="Ttulo7Car"/>
    <w:unhideWhenUsed/>
    <w:qFormat/>
    <w:rsid w:val="002D6E1A"/>
    <w:pPr>
      <w:spacing w:before="240" w:after="60"/>
      <w:ind w:left="1296" w:hanging="1296"/>
      <w:outlineLvl w:val="6"/>
    </w:pPr>
    <w:rPr>
      <w:rFonts w:ascii="Times New Roman" w:hAnsi="Times New Roman"/>
    </w:rPr>
  </w:style>
  <w:style w:type="paragraph" w:styleId="Ttulo8">
    <w:name w:val="heading 8"/>
    <w:basedOn w:val="Normal"/>
    <w:next w:val="Normal"/>
    <w:link w:val="Ttulo8Car"/>
    <w:qFormat/>
    <w:rsid w:val="003609B6"/>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qFormat/>
    <w:rsid w:val="00A06867"/>
    <w:pPr>
      <w:tabs>
        <w:tab w:val="num" w:pos="1584"/>
      </w:tabs>
      <w:spacing w:before="240" w:after="60"/>
      <w:ind w:left="1584" w:hanging="1584"/>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B64CB"/>
    <w:pPr>
      <w:tabs>
        <w:tab w:val="center" w:pos="4536"/>
        <w:tab w:val="right" w:pos="9072"/>
      </w:tabs>
    </w:pPr>
  </w:style>
  <w:style w:type="paragraph" w:styleId="Piedepgina">
    <w:name w:val="footer"/>
    <w:basedOn w:val="Normal"/>
    <w:link w:val="PiedepginaCar"/>
    <w:uiPriority w:val="99"/>
    <w:rsid w:val="005B64CB"/>
    <w:pPr>
      <w:tabs>
        <w:tab w:val="center" w:pos="4536"/>
        <w:tab w:val="right" w:pos="9072"/>
      </w:tabs>
    </w:pPr>
  </w:style>
  <w:style w:type="table" w:styleId="Tablaconcuadrcula">
    <w:name w:val="Table Grid"/>
    <w:basedOn w:val="Tabla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merodepgina">
    <w:name w:val="page number"/>
    <w:basedOn w:val="Fuentedeprrafopredeter"/>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D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vnculo">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xtonotapie">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TextonotapieCar"/>
    <w:uiPriority w:val="99"/>
    <w:qFormat/>
    <w:rsid w:val="001725A5"/>
    <w:pPr>
      <w:spacing w:line="200" w:lineRule="exact"/>
    </w:pPr>
    <w:rPr>
      <w:sz w:val="16"/>
      <w:szCs w:val="20"/>
    </w:rPr>
  </w:style>
  <w:style w:type="character" w:styleId="Refdenotaalpie">
    <w:name w:val="footnote reference"/>
    <w:aliases w:val="SUPERS,Footnote reference number,Footnote symbol,note TESI,-E Fußnotenzeichen,number,BVI fnr,Footnote,Footnote Reference Superscript,(Footnote Reference),EN Footnote Reference,Voetnootverwijzing,Times 10 Point,Exposant 3 Poi"/>
    <w:link w:val="1"/>
    <w:uiPriority w:val="99"/>
    <w:qFormat/>
    <w:rsid w:val="00C274F3"/>
    <w:rPr>
      <w:vertAlign w:val="superscript"/>
    </w:rPr>
  </w:style>
  <w:style w:type="paragraph" w:styleId="TD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efdecomentario">
    <w:name w:val="annotation reference"/>
    <w:rsid w:val="004B1E61"/>
    <w:rPr>
      <w:sz w:val="16"/>
      <w:szCs w:val="16"/>
    </w:rPr>
  </w:style>
  <w:style w:type="paragraph" w:styleId="Textocomentario">
    <w:name w:val="annotation text"/>
    <w:basedOn w:val="Normal"/>
    <w:link w:val="TextocomentarioCar"/>
    <w:uiPriority w:val="99"/>
    <w:rsid w:val="004B1E61"/>
    <w:rPr>
      <w:szCs w:val="20"/>
    </w:rPr>
  </w:style>
  <w:style w:type="character" w:customStyle="1" w:styleId="TextocomentarioCar">
    <w:name w:val="Texto comentario Car"/>
    <w:link w:val="Textocomentario"/>
    <w:uiPriority w:val="99"/>
    <w:rsid w:val="004B1E61"/>
    <w:rPr>
      <w:rFonts w:ascii="Georgia" w:hAnsi="Georgia"/>
      <w:lang w:eastAsia="de-DE"/>
    </w:rPr>
  </w:style>
  <w:style w:type="paragraph" w:styleId="Asuntodelcomentario">
    <w:name w:val="annotation subject"/>
    <w:basedOn w:val="Textocomentario"/>
    <w:next w:val="Textocomentario"/>
    <w:link w:val="AsuntodelcomentarioCar"/>
    <w:rsid w:val="004B1E61"/>
    <w:rPr>
      <w:b/>
      <w:bCs/>
    </w:rPr>
  </w:style>
  <w:style w:type="character" w:customStyle="1" w:styleId="AsuntodelcomentarioCar">
    <w:name w:val="Asunto del comentario Car"/>
    <w:link w:val="Asuntodelcomentario"/>
    <w:rsid w:val="004B1E61"/>
    <w:rPr>
      <w:rFonts w:ascii="Georgia" w:hAnsi="Georgia"/>
      <w:b/>
      <w:bCs/>
      <w:lang w:eastAsia="de-DE"/>
    </w:rPr>
  </w:style>
  <w:style w:type="paragraph" w:styleId="Textodeglobo">
    <w:name w:val="Balloon Text"/>
    <w:basedOn w:val="Normal"/>
    <w:link w:val="TextodegloboCar"/>
    <w:rsid w:val="004B1E61"/>
    <w:rPr>
      <w:rFonts w:ascii="Tahoma" w:hAnsi="Tahoma" w:cs="Tahoma"/>
      <w:sz w:val="16"/>
      <w:szCs w:val="16"/>
    </w:rPr>
  </w:style>
  <w:style w:type="character" w:customStyle="1" w:styleId="TextodegloboCar">
    <w:name w:val="Texto de globo Car"/>
    <w:link w:val="Textodeglobo"/>
    <w:rsid w:val="004B1E61"/>
    <w:rPr>
      <w:rFonts w:ascii="Tahoma" w:hAnsi="Tahoma" w:cs="Tahoma"/>
      <w:sz w:val="16"/>
      <w:szCs w:val="16"/>
      <w:lang w:eastAsia="de-DE"/>
    </w:rPr>
  </w:style>
  <w:style w:type="paragraph" w:styleId="Prrafodelista">
    <w:name w:val="List Paragraph"/>
    <w:aliases w:val="Paragraphe EI,Paragraphe de liste1,EC,Bullet Points,Numbered Para 1,Dot pt,List Paragraph Char Char Char,Indicator Text,MAIN CONTENT,List Paragraph12,F5 List Paragraph,Heading 2_sj,Colorful List - Accent 11,Body Texte,Yellow Bullet"/>
    <w:basedOn w:val="Normal"/>
    <w:link w:val="PrrafodelistaCar"/>
    <w:uiPriority w:val="34"/>
    <w:qFormat/>
    <w:rsid w:val="002A0C82"/>
    <w:pPr>
      <w:ind w:left="720"/>
      <w:contextualSpacing/>
    </w:pPr>
  </w:style>
  <w:style w:type="paragraph" w:styleId="TtulodeTDC">
    <w:name w:val="TOC Heading"/>
    <w:basedOn w:val="Ttulo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onotapieCar">
    <w:name w:val="Texto nota pie Car"/>
    <w:aliases w:val="Char3 Car, Char3 Car,Fußnotentextf Car,Fußnotentextr Car,stile 1 Car,Footnote1 Car,Footnote2 Car,Footnote3 Car,Footnote4 Car,Footnote5 Car,Footnote6 Car,Footnote7 Car,Footnote8 Car,Footnote9 Car,Footnote10 Car,Footnote11 Car, Cha Car"/>
    <w:link w:val="Textonotapi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Fuentedeprrafopredeter"/>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tulo1Car">
    <w:name w:val="Título 1 Car"/>
    <w:link w:val="Ttulo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nfasis">
    <w:name w:val="Emphasis"/>
    <w:uiPriority w:val="20"/>
    <w:qFormat/>
    <w:rsid w:val="005F028E"/>
    <w:rPr>
      <w:i/>
      <w:iCs/>
    </w:rPr>
  </w:style>
  <w:style w:type="paragraph" w:styleId="Revisin">
    <w:name w:val="Revision"/>
    <w:link w:val="RevisinCar"/>
    <w:hidden/>
    <w:uiPriority w:val="99"/>
    <w:semiHidden/>
    <w:rsid w:val="008E6A37"/>
    <w:rPr>
      <w:rFonts w:ascii="Georgia" w:hAnsi="Georgia"/>
      <w:sz w:val="22"/>
      <w:szCs w:val="24"/>
      <w:lang w:eastAsia="de-DE"/>
    </w:rPr>
  </w:style>
  <w:style w:type="paragraph" w:styleId="TD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D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D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D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D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D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D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Epgraf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eldocumento">
    <w:name w:val="Document Map"/>
    <w:basedOn w:val="Normal"/>
    <w:link w:val="MapadeldocumentoCar"/>
    <w:rsid w:val="00AA016B"/>
    <w:rPr>
      <w:rFonts w:ascii="Tahoma" w:hAnsi="Tahoma" w:cs="Tahoma"/>
      <w:sz w:val="16"/>
      <w:szCs w:val="16"/>
    </w:rPr>
  </w:style>
  <w:style w:type="character" w:customStyle="1" w:styleId="MapadeldocumentoCar">
    <w:name w:val="Mapa del documento Car"/>
    <w:link w:val="Mapadeldocumento"/>
    <w:rsid w:val="00AA016B"/>
    <w:rPr>
      <w:rFonts w:ascii="Tahoma" w:hAnsi="Tahoma" w:cs="Tahoma"/>
      <w:sz w:val="16"/>
      <w:szCs w:val="16"/>
      <w:lang w:eastAsia="de-DE"/>
    </w:rPr>
  </w:style>
  <w:style w:type="paragraph" w:styleId="Textosinformato">
    <w:name w:val="Plain Text"/>
    <w:basedOn w:val="Normal"/>
    <w:link w:val="TextosinformatoCar"/>
    <w:unhideWhenUsed/>
    <w:rsid w:val="00AA016B"/>
    <w:rPr>
      <w:rFonts w:ascii="Consolas" w:hAnsi="Consolas"/>
      <w:sz w:val="21"/>
      <w:szCs w:val="21"/>
      <w:lang w:val="de-DE"/>
    </w:rPr>
  </w:style>
  <w:style w:type="character" w:customStyle="1" w:styleId="TextosinformatoCar">
    <w:name w:val="Texto sin formato Car"/>
    <w:link w:val="Textosinformato"/>
    <w:rsid w:val="00AA016B"/>
    <w:rPr>
      <w:rFonts w:ascii="Consolas" w:hAnsi="Consolas"/>
      <w:sz w:val="21"/>
      <w:szCs w:val="21"/>
      <w:lang w:val="de-DE" w:eastAsia="de-DE"/>
    </w:rPr>
  </w:style>
  <w:style w:type="paragraph" w:styleId="Textoindependiente">
    <w:name w:val="Body Text"/>
    <w:basedOn w:val="Normal"/>
    <w:link w:val="TextoindependienteCar"/>
    <w:unhideWhenUsed/>
    <w:rsid w:val="00AA016B"/>
    <w:pPr>
      <w:numPr>
        <w:numId w:val="8"/>
      </w:numPr>
      <w:spacing w:after="240"/>
      <w:jc w:val="both"/>
    </w:pPr>
    <w:rPr>
      <w:rFonts w:ascii="Times New Roman" w:hAnsi="Times New Roman"/>
      <w:sz w:val="24"/>
      <w:szCs w:val="20"/>
      <w:lang w:eastAsia="en-GB"/>
    </w:rPr>
  </w:style>
  <w:style w:type="character" w:customStyle="1" w:styleId="TextoindependienteCar">
    <w:name w:val="Texto independiente Car"/>
    <w:link w:val="Textoindependien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Textoennegrita">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tulo2Car">
    <w:name w:val="Título 2 Car"/>
    <w:link w:val="Ttu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tulo9Car">
    <w:name w:val="Título 9 Car"/>
    <w:link w:val="Ttu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tulo7Car">
    <w:name w:val="Título 7 Car"/>
    <w:link w:val="Ttulo7"/>
    <w:rsid w:val="002D6E1A"/>
    <w:rPr>
      <w:sz w:val="22"/>
      <w:szCs w:val="24"/>
      <w:lang w:eastAsia="de-DE"/>
    </w:rPr>
  </w:style>
  <w:style w:type="character" w:customStyle="1" w:styleId="Ttulo6Car">
    <w:name w:val="Título 6 Car"/>
    <w:link w:val="Ttulo6"/>
    <w:rsid w:val="002D6E1A"/>
    <w:rPr>
      <w:b/>
      <w:bCs/>
      <w:szCs w:val="22"/>
      <w:lang w:eastAsia="de-DE"/>
    </w:rPr>
  </w:style>
  <w:style w:type="character" w:customStyle="1" w:styleId="Ttulo8Car">
    <w:name w:val="Título 8 Car"/>
    <w:link w:val="Ttulo8"/>
    <w:rsid w:val="002D6E1A"/>
    <w:rPr>
      <w:i/>
      <w:iCs/>
      <w:szCs w:val="24"/>
      <w:lang w:eastAsia="de-DE"/>
    </w:rPr>
  </w:style>
  <w:style w:type="numbering" w:customStyle="1" w:styleId="NoList1">
    <w:name w:val="No List1"/>
    <w:next w:val="Sinlista"/>
    <w:uiPriority w:val="99"/>
    <w:semiHidden/>
    <w:unhideWhenUsed/>
    <w:rsid w:val="002D6E1A"/>
  </w:style>
  <w:style w:type="character" w:styleId="Hipervnculovisitado">
    <w:name w:val="FollowedHyperlink"/>
    <w:unhideWhenUsed/>
    <w:rsid w:val="002D6E1A"/>
    <w:rPr>
      <w:color w:val="800080"/>
      <w:u w:val="single"/>
    </w:rPr>
  </w:style>
  <w:style w:type="character" w:customStyle="1" w:styleId="EncabezadoCar">
    <w:name w:val="Encabezado Car"/>
    <w:link w:val="Encabezado"/>
    <w:uiPriority w:val="99"/>
    <w:rsid w:val="002D6E1A"/>
    <w:rPr>
      <w:rFonts w:ascii="Georgia" w:hAnsi="Georgia"/>
      <w:sz w:val="22"/>
      <w:szCs w:val="24"/>
      <w:lang w:eastAsia="de-DE"/>
    </w:rPr>
  </w:style>
  <w:style w:type="character" w:customStyle="1" w:styleId="PiedepginaCar">
    <w:name w:val="Pie de página Car"/>
    <w:link w:val="Piedepgina"/>
    <w:uiPriority w:val="99"/>
    <w:rsid w:val="002D6E1A"/>
    <w:rPr>
      <w:rFonts w:ascii="Georgia" w:hAnsi="Georgia"/>
      <w:sz w:val="22"/>
      <w:szCs w:val="24"/>
      <w:lang w:eastAsia="de-DE"/>
    </w:rPr>
  </w:style>
  <w:style w:type="paragraph" w:styleId="Textonotaalfinal">
    <w:name w:val="endnote text"/>
    <w:basedOn w:val="Normal"/>
    <w:link w:val="TextonotaalfinalCar"/>
    <w:unhideWhenUsed/>
    <w:rsid w:val="002D6E1A"/>
    <w:rPr>
      <w:szCs w:val="20"/>
    </w:rPr>
  </w:style>
  <w:style w:type="character" w:customStyle="1" w:styleId="TextonotaalfinalCar">
    <w:name w:val="Texto nota al final Car"/>
    <w:link w:val="Textonotaalfinal"/>
    <w:rsid w:val="002D6E1A"/>
    <w:rPr>
      <w:rFonts w:ascii="Georgia" w:hAnsi="Georgia"/>
      <w:lang w:eastAsia="de-DE"/>
    </w:rPr>
  </w:style>
  <w:style w:type="paragraph" w:styleId="Listaconnme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rrafodelistaCar">
    <w:name w:val="Párrafo de lista Car"/>
    <w:aliases w:val="Paragraphe EI Car,Paragraphe de liste1 Car,EC Car,Bullet Points Car,Numbered Para 1 Car,Dot pt Car,List Paragraph Char Char Char Car,Indicator Text Car,MAIN CONTENT Car,List Paragraph12 Car,F5 List Paragraph Car,Heading 2_sj Car"/>
    <w:link w:val="Prrafodelista"/>
    <w:uiPriority w:val="34"/>
    <w:qFormat/>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rrafodelista"/>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Refdenotaalfinal">
    <w:name w:val="endnote reference"/>
    <w:unhideWhenUsed/>
    <w:rsid w:val="002D6E1A"/>
    <w:rPr>
      <w:vertAlign w:val="superscript"/>
    </w:rPr>
  </w:style>
  <w:style w:type="character" w:styleId="Textodelmarcadordeposicin">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a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Si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merodelnea">
    <w:name w:val="line number"/>
    <w:basedOn w:val="Fuentedeprrafopredeter"/>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Epgraf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tulo5Car">
    <w:name w:val="Título 5 Car"/>
    <w:aliases w:val="Questions Car"/>
    <w:link w:val="Ttulo5"/>
    <w:rsid w:val="00E9344E"/>
    <w:rPr>
      <w:rFonts w:ascii="Arial" w:hAnsi="Arial"/>
      <w:b/>
      <w:szCs w:val="24"/>
      <w:lang w:eastAsia="de-DE"/>
    </w:rPr>
  </w:style>
  <w:style w:type="character" w:customStyle="1" w:styleId="Ttulo3Car">
    <w:name w:val="Título 3 Car"/>
    <w:link w:val="Ttulo3"/>
    <w:rsid w:val="003865E5"/>
    <w:rPr>
      <w:rFonts w:ascii="Cambria" w:eastAsia="Times New Roman" w:hAnsi="Cambria" w:cs="Times New Roman"/>
      <w:b/>
      <w:bCs/>
      <w:color w:val="4F81BD"/>
      <w:sz w:val="22"/>
      <w:szCs w:val="24"/>
      <w:lang w:eastAsia="de-DE"/>
    </w:rPr>
  </w:style>
  <w:style w:type="character" w:customStyle="1" w:styleId="Ttulo4Car">
    <w:name w:val="Título 4 Car"/>
    <w:link w:val="Ttulo4"/>
    <w:rsid w:val="00CB7286"/>
    <w:rPr>
      <w:b/>
      <w:bCs/>
      <w:sz w:val="28"/>
      <w:szCs w:val="28"/>
      <w:lang w:eastAsia="de-DE"/>
    </w:rPr>
  </w:style>
  <w:style w:type="table" w:styleId="Listaclara-nfasis3">
    <w:name w:val="Light List Accent 3"/>
    <w:basedOn w:val="Tabla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a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tu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tulo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tu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aconnme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aconnme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aconnme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convieta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convieta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convieta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convieta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adeilustracion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tulo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tulo">
    <w:name w:val="Title"/>
    <w:basedOn w:val="Normal"/>
    <w:next w:val="Normal"/>
    <w:link w:val="Ttulo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tuloCar">
    <w:name w:val="Título Car"/>
    <w:link w:val="Ttu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nCar">
    <w:name w:val="Revisión Car"/>
    <w:link w:val="Revisin"/>
    <w:uiPriority w:val="99"/>
    <w:semiHidden/>
    <w:locked/>
    <w:rsid w:val="000D2D0B"/>
    <w:rPr>
      <w:rFonts w:ascii="Georgia" w:hAnsi="Georgia"/>
      <w:sz w:val="22"/>
      <w:szCs w:val="24"/>
      <w:lang w:eastAsia="de-DE"/>
    </w:rPr>
  </w:style>
  <w:style w:type="table" w:customStyle="1" w:styleId="TableGrid2">
    <w:name w:val="Table Grid2"/>
    <w:basedOn w:val="Tablanormal"/>
    <w:next w:val="Tablaconcuadrcu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aliases w:val="Question,Text,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Fuentedeprrafopredeter"/>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nfasisintenso">
    <w:name w:val="Intense Emphasis"/>
    <w:basedOn w:val="Fuentedeprrafopredeter"/>
    <w:uiPriority w:val="21"/>
    <w:qFormat/>
    <w:rsid w:val="00D34282"/>
    <w:rPr>
      <w:b/>
      <w:bCs/>
      <w:i/>
      <w:iCs/>
    </w:rPr>
  </w:style>
  <w:style w:type="character" w:customStyle="1" w:styleId="CPTitle1Char">
    <w:name w:val="CP_Title1 Char"/>
    <w:basedOn w:val="Fuentedeprrafopredeter"/>
    <w:link w:val="CPTitle1"/>
    <w:locked/>
    <w:rsid w:val="00D34282"/>
    <w:rPr>
      <w:rFonts w:asciiTheme="majorHAnsi" w:eastAsiaTheme="majorEastAsia" w:hAnsiTheme="majorHAnsi" w:cstheme="majorHAnsi"/>
      <w:b/>
      <w:sz w:val="32"/>
      <w:szCs w:val="32"/>
    </w:rPr>
  </w:style>
  <w:style w:type="paragraph" w:customStyle="1" w:styleId="CPTitle1">
    <w:name w:val="CP_Title1"/>
    <w:basedOn w:val="Ttulo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tulo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Fuentedeprrafopredeter"/>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7118EB"/>
    <w:pPr>
      <w:numPr>
        <w:numId w:val="37"/>
      </w:numPr>
      <w:spacing w:after="250" w:line="276" w:lineRule="auto"/>
      <w:ind w:left="720" w:hanging="294"/>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Fuentedeprrafopredeter"/>
    <w:link w:val="Questionstyle"/>
    <w:rsid w:val="007118EB"/>
    <w:rPr>
      <w:rFonts w:asciiTheme="minorHAnsi" w:eastAsiaTheme="minorEastAsia" w:hAnsiTheme="minorHAnsi" w:cstheme="minorBidi"/>
      <w:b/>
      <w:sz w:val="22"/>
      <w:lang w:eastAsia="en-US"/>
    </w:rPr>
  </w:style>
  <w:style w:type="paragraph" w:styleId="Subttulo">
    <w:name w:val="Subtitle"/>
    <w:basedOn w:val="Normal"/>
    <w:next w:val="Normal"/>
    <w:link w:val="Subttulo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tuloCar">
    <w:name w:val="Subtítulo Car"/>
    <w:basedOn w:val="Fuentedeprrafopredeter"/>
    <w:link w:val="Subttulo"/>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Prrafodelista"/>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Fuentedeprrafopredeter"/>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Fuentedeprrafopredeter"/>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Prrafodelista"/>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Refdenotaalpi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29058621">
      <w:bodyDiv w:val="1"/>
      <w:marLeft w:val="0"/>
      <w:marRight w:val="0"/>
      <w:marTop w:val="0"/>
      <w:marBottom w:val="0"/>
      <w:divBdr>
        <w:top w:val="none" w:sz="0" w:space="0" w:color="auto"/>
        <w:left w:val="none" w:sz="0" w:space="0" w:color="auto"/>
        <w:bottom w:val="none" w:sz="0" w:space="0" w:color="auto"/>
        <w:right w:val="none" w:sz="0" w:space="0" w:color="auto"/>
      </w:divBdr>
      <w:divsChild>
        <w:div w:id="1514489274">
          <w:marLeft w:val="403"/>
          <w:marRight w:val="0"/>
          <w:marTop w:val="0"/>
          <w:marBottom w:val="0"/>
          <w:divBdr>
            <w:top w:val="none" w:sz="0" w:space="0" w:color="auto"/>
            <w:left w:val="none" w:sz="0" w:space="0" w:color="auto"/>
            <w:bottom w:val="none" w:sz="0" w:space="0" w:color="auto"/>
            <w:right w:val="none" w:sz="0" w:space="0" w:color="auto"/>
          </w:divBdr>
        </w:div>
      </w:divsChild>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15687239">
      <w:bodyDiv w:val="1"/>
      <w:marLeft w:val="0"/>
      <w:marRight w:val="0"/>
      <w:marTop w:val="0"/>
      <w:marBottom w:val="0"/>
      <w:divBdr>
        <w:top w:val="none" w:sz="0" w:space="0" w:color="auto"/>
        <w:left w:val="none" w:sz="0" w:space="0" w:color="auto"/>
        <w:bottom w:val="none" w:sz="0" w:space="0" w:color="auto"/>
        <w:right w:val="none" w:sz="0" w:space="0" w:color="auto"/>
      </w:divBdr>
      <w:divsChild>
        <w:div w:id="891231982">
          <w:marLeft w:val="403"/>
          <w:marRight w:val="0"/>
          <w:marTop w:val="0"/>
          <w:marBottom w:val="0"/>
          <w:divBdr>
            <w:top w:val="none" w:sz="0" w:space="0" w:color="auto"/>
            <w:left w:val="none" w:sz="0" w:space="0" w:color="auto"/>
            <w:bottom w:val="none" w:sz="0" w:space="0" w:color="auto"/>
            <w:right w:val="none" w:sz="0" w:space="0" w:color="auto"/>
          </w:divBdr>
        </w:div>
        <w:div w:id="1311058869">
          <w:marLeft w:val="403"/>
          <w:marRight w:val="0"/>
          <w:marTop w:val="0"/>
          <w:marBottom w:val="0"/>
          <w:divBdr>
            <w:top w:val="none" w:sz="0" w:space="0" w:color="auto"/>
            <w:left w:val="none" w:sz="0" w:space="0" w:color="auto"/>
            <w:bottom w:val="none" w:sz="0" w:space="0" w:color="auto"/>
            <w:right w:val="none" w:sz="0" w:space="0" w:color="auto"/>
          </w:divBdr>
        </w:div>
        <w:div w:id="899681389">
          <w:marLeft w:val="403"/>
          <w:marRight w:val="0"/>
          <w:marTop w:val="0"/>
          <w:marBottom w:val="0"/>
          <w:divBdr>
            <w:top w:val="none" w:sz="0" w:space="0" w:color="auto"/>
            <w:left w:val="none" w:sz="0" w:space="0" w:color="auto"/>
            <w:bottom w:val="none" w:sz="0" w:space="0" w:color="auto"/>
            <w:right w:val="none" w:sz="0" w:space="0" w:color="auto"/>
          </w:divBdr>
        </w:div>
        <w:div w:id="1153445705">
          <w:marLeft w:val="403"/>
          <w:marRight w:val="0"/>
          <w:marTop w:val="0"/>
          <w:marBottom w:val="0"/>
          <w:divBdr>
            <w:top w:val="none" w:sz="0" w:space="0" w:color="auto"/>
            <w:left w:val="none" w:sz="0" w:space="0" w:color="auto"/>
            <w:bottom w:val="none" w:sz="0" w:space="0" w:color="auto"/>
            <w:right w:val="none" w:sz="0" w:space="0" w:color="auto"/>
          </w:divBdr>
        </w:div>
      </w:divsChild>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39375375">
      <w:bodyDiv w:val="1"/>
      <w:marLeft w:val="0"/>
      <w:marRight w:val="0"/>
      <w:marTop w:val="0"/>
      <w:marBottom w:val="0"/>
      <w:divBdr>
        <w:top w:val="none" w:sz="0" w:space="0" w:color="auto"/>
        <w:left w:val="none" w:sz="0" w:space="0" w:color="auto"/>
        <w:bottom w:val="none" w:sz="0" w:space="0" w:color="auto"/>
        <w:right w:val="none" w:sz="0" w:space="0" w:color="auto"/>
      </w:divBdr>
      <w:divsChild>
        <w:div w:id="1704592325">
          <w:marLeft w:val="331"/>
          <w:marRight w:val="0"/>
          <w:marTop w:val="0"/>
          <w:marBottom w:val="0"/>
          <w:divBdr>
            <w:top w:val="none" w:sz="0" w:space="0" w:color="auto"/>
            <w:left w:val="none" w:sz="0" w:space="0" w:color="auto"/>
            <w:bottom w:val="none" w:sz="0" w:space="0" w:color="auto"/>
            <w:right w:val="none" w:sz="0" w:space="0" w:color="auto"/>
          </w:divBdr>
        </w:div>
        <w:div w:id="146560099">
          <w:marLeft w:val="331"/>
          <w:marRight w:val="0"/>
          <w:marTop w:val="0"/>
          <w:marBottom w:val="0"/>
          <w:divBdr>
            <w:top w:val="none" w:sz="0" w:space="0" w:color="auto"/>
            <w:left w:val="none" w:sz="0" w:space="0" w:color="auto"/>
            <w:bottom w:val="none" w:sz="0" w:space="0" w:color="auto"/>
            <w:right w:val="none" w:sz="0" w:space="0" w:color="auto"/>
          </w:divBdr>
        </w:div>
        <w:div w:id="1620137124">
          <w:marLeft w:val="331"/>
          <w:marRight w:val="0"/>
          <w:marTop w:val="0"/>
          <w:marBottom w:val="0"/>
          <w:divBdr>
            <w:top w:val="none" w:sz="0" w:space="0" w:color="auto"/>
            <w:left w:val="none" w:sz="0" w:space="0" w:color="auto"/>
            <w:bottom w:val="none" w:sz="0" w:space="0" w:color="auto"/>
            <w:right w:val="none" w:sz="0" w:space="0" w:color="auto"/>
          </w:divBdr>
        </w:div>
        <w:div w:id="1087851042">
          <w:marLeft w:val="331"/>
          <w:marRight w:val="0"/>
          <w:marTop w:val="0"/>
          <w:marBottom w:val="0"/>
          <w:divBdr>
            <w:top w:val="none" w:sz="0" w:space="0" w:color="auto"/>
            <w:left w:val="none" w:sz="0" w:space="0" w:color="auto"/>
            <w:bottom w:val="none" w:sz="0" w:space="0" w:color="auto"/>
            <w:right w:val="none" w:sz="0" w:space="0" w:color="auto"/>
          </w:divBdr>
        </w:div>
      </w:divsChild>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07728781">
      <w:bodyDiv w:val="1"/>
      <w:marLeft w:val="0"/>
      <w:marRight w:val="0"/>
      <w:marTop w:val="0"/>
      <w:marBottom w:val="0"/>
      <w:divBdr>
        <w:top w:val="none" w:sz="0" w:space="0" w:color="auto"/>
        <w:left w:val="none" w:sz="0" w:space="0" w:color="auto"/>
        <w:bottom w:val="none" w:sz="0" w:space="0" w:color="auto"/>
        <w:right w:val="none" w:sz="0" w:space="0" w:color="auto"/>
      </w:divBdr>
      <w:divsChild>
        <w:div w:id="1717462411">
          <w:marLeft w:val="547"/>
          <w:marRight w:val="0"/>
          <w:marTop w:val="0"/>
          <w:marBottom w:val="0"/>
          <w:divBdr>
            <w:top w:val="none" w:sz="0" w:space="0" w:color="auto"/>
            <w:left w:val="none" w:sz="0" w:space="0" w:color="auto"/>
            <w:bottom w:val="none" w:sz="0" w:space="0" w:color="auto"/>
            <w:right w:val="none" w:sz="0" w:space="0" w:color="auto"/>
          </w:divBdr>
        </w:div>
      </w:divsChild>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765275925">
      <w:bodyDiv w:val="1"/>
      <w:marLeft w:val="0"/>
      <w:marRight w:val="0"/>
      <w:marTop w:val="0"/>
      <w:marBottom w:val="0"/>
      <w:divBdr>
        <w:top w:val="none" w:sz="0" w:space="0" w:color="auto"/>
        <w:left w:val="none" w:sz="0" w:space="0" w:color="auto"/>
        <w:bottom w:val="none" w:sz="0" w:space="0" w:color="auto"/>
        <w:right w:val="none" w:sz="0" w:space="0" w:color="auto"/>
      </w:divBdr>
      <w:divsChild>
        <w:div w:id="574512159">
          <w:marLeft w:val="403"/>
          <w:marRight w:val="0"/>
          <w:marTop w:val="0"/>
          <w:marBottom w:val="0"/>
          <w:divBdr>
            <w:top w:val="none" w:sz="0" w:space="0" w:color="auto"/>
            <w:left w:val="none" w:sz="0" w:space="0" w:color="auto"/>
            <w:bottom w:val="none" w:sz="0" w:space="0" w:color="auto"/>
            <w:right w:val="none" w:sz="0" w:space="0" w:color="auto"/>
          </w:divBdr>
        </w:div>
      </w:divsChild>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29100285">
      <w:bodyDiv w:val="1"/>
      <w:marLeft w:val="0"/>
      <w:marRight w:val="0"/>
      <w:marTop w:val="0"/>
      <w:marBottom w:val="0"/>
      <w:divBdr>
        <w:top w:val="none" w:sz="0" w:space="0" w:color="auto"/>
        <w:left w:val="none" w:sz="0" w:space="0" w:color="auto"/>
        <w:bottom w:val="none" w:sz="0" w:space="0" w:color="auto"/>
        <w:right w:val="none" w:sz="0" w:space="0" w:color="auto"/>
      </w:divBdr>
      <w:divsChild>
        <w:div w:id="1599942372">
          <w:marLeft w:val="446"/>
          <w:marRight w:val="0"/>
          <w:marTop w:val="0"/>
          <w:marBottom w:val="0"/>
          <w:divBdr>
            <w:top w:val="none" w:sz="0" w:space="0" w:color="auto"/>
            <w:left w:val="none" w:sz="0" w:space="0" w:color="auto"/>
            <w:bottom w:val="none" w:sz="0" w:space="0" w:color="auto"/>
            <w:right w:val="none" w:sz="0" w:space="0" w:color="auto"/>
          </w:divBdr>
        </w:div>
        <w:div w:id="1508402154">
          <w:marLeft w:val="446"/>
          <w:marRight w:val="0"/>
          <w:marTop w:val="0"/>
          <w:marBottom w:val="0"/>
          <w:divBdr>
            <w:top w:val="none" w:sz="0" w:space="0" w:color="auto"/>
            <w:left w:val="none" w:sz="0" w:space="0" w:color="auto"/>
            <w:bottom w:val="none" w:sz="0" w:space="0" w:color="auto"/>
            <w:right w:val="none" w:sz="0" w:space="0" w:color="auto"/>
          </w:divBdr>
        </w:div>
        <w:div w:id="2116092119">
          <w:marLeft w:val="446"/>
          <w:marRight w:val="0"/>
          <w:marTop w:val="0"/>
          <w:marBottom w:val="0"/>
          <w:divBdr>
            <w:top w:val="none" w:sz="0" w:space="0" w:color="auto"/>
            <w:left w:val="none" w:sz="0" w:space="0" w:color="auto"/>
            <w:bottom w:val="none" w:sz="0" w:space="0" w:color="auto"/>
            <w:right w:val="none" w:sz="0" w:space="0" w:color="auto"/>
          </w:divBdr>
        </w:div>
      </w:divsChild>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20157891">
      <w:bodyDiv w:val="1"/>
      <w:marLeft w:val="0"/>
      <w:marRight w:val="0"/>
      <w:marTop w:val="0"/>
      <w:marBottom w:val="0"/>
      <w:divBdr>
        <w:top w:val="none" w:sz="0" w:space="0" w:color="auto"/>
        <w:left w:val="none" w:sz="0" w:space="0" w:color="auto"/>
        <w:bottom w:val="none" w:sz="0" w:space="0" w:color="auto"/>
        <w:right w:val="none" w:sz="0" w:space="0" w:color="auto"/>
      </w:divBdr>
      <w:divsChild>
        <w:div w:id="1968078478">
          <w:marLeft w:val="547"/>
          <w:marRight w:val="0"/>
          <w:marTop w:val="0"/>
          <w:marBottom w:val="240"/>
          <w:divBdr>
            <w:top w:val="none" w:sz="0" w:space="0" w:color="auto"/>
            <w:left w:val="none" w:sz="0" w:space="0" w:color="auto"/>
            <w:bottom w:val="none" w:sz="0" w:space="0" w:color="auto"/>
            <w:right w:val="none" w:sz="0" w:space="0" w:color="auto"/>
          </w:divBdr>
        </w:div>
        <w:div w:id="807825084">
          <w:marLeft w:val="547"/>
          <w:marRight w:val="0"/>
          <w:marTop w:val="0"/>
          <w:marBottom w:val="240"/>
          <w:divBdr>
            <w:top w:val="none" w:sz="0" w:space="0" w:color="auto"/>
            <w:left w:val="none" w:sz="0" w:space="0" w:color="auto"/>
            <w:bottom w:val="none" w:sz="0" w:space="0" w:color="auto"/>
            <w:right w:val="none" w:sz="0" w:space="0" w:color="auto"/>
          </w:divBdr>
        </w:div>
        <w:div w:id="710959962">
          <w:marLeft w:val="547"/>
          <w:marRight w:val="0"/>
          <w:marTop w:val="0"/>
          <w:marBottom w:val="240"/>
          <w:divBdr>
            <w:top w:val="none" w:sz="0" w:space="0" w:color="auto"/>
            <w:left w:val="none" w:sz="0" w:space="0" w:color="auto"/>
            <w:bottom w:val="none" w:sz="0" w:space="0" w:color="auto"/>
            <w:right w:val="none" w:sz="0" w:space="0" w:color="auto"/>
          </w:divBdr>
        </w:div>
        <w:div w:id="679158981">
          <w:marLeft w:val="547"/>
          <w:marRight w:val="0"/>
          <w:marTop w:val="0"/>
          <w:marBottom w:val="240"/>
          <w:divBdr>
            <w:top w:val="none" w:sz="0" w:space="0" w:color="auto"/>
            <w:left w:val="none" w:sz="0" w:space="0" w:color="auto"/>
            <w:bottom w:val="none" w:sz="0" w:space="0" w:color="auto"/>
            <w:right w:val="none" w:sz="0" w:space="0" w:color="auto"/>
          </w:divBdr>
        </w:div>
        <w:div w:id="1461074751">
          <w:marLeft w:val="547"/>
          <w:marRight w:val="0"/>
          <w:marTop w:val="0"/>
          <w:marBottom w:val="240"/>
          <w:divBdr>
            <w:top w:val="none" w:sz="0" w:space="0" w:color="auto"/>
            <w:left w:val="none" w:sz="0" w:space="0" w:color="auto"/>
            <w:bottom w:val="none" w:sz="0" w:space="0" w:color="auto"/>
            <w:right w:val="none" w:sz="0" w:space="0" w:color="auto"/>
          </w:divBdr>
        </w:div>
        <w:div w:id="892346035">
          <w:marLeft w:val="547"/>
          <w:marRight w:val="0"/>
          <w:marTop w:val="0"/>
          <w:marBottom w:val="240"/>
          <w:divBdr>
            <w:top w:val="none" w:sz="0" w:space="0" w:color="auto"/>
            <w:left w:val="none" w:sz="0" w:space="0" w:color="auto"/>
            <w:bottom w:val="none" w:sz="0" w:space="0" w:color="auto"/>
            <w:right w:val="none" w:sz="0" w:space="0" w:color="auto"/>
          </w:divBdr>
        </w:div>
      </w:divsChild>
    </w:div>
    <w:div w:id="1064258928">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09027115">
      <w:bodyDiv w:val="1"/>
      <w:marLeft w:val="0"/>
      <w:marRight w:val="0"/>
      <w:marTop w:val="0"/>
      <w:marBottom w:val="0"/>
      <w:divBdr>
        <w:top w:val="none" w:sz="0" w:space="0" w:color="auto"/>
        <w:left w:val="none" w:sz="0" w:space="0" w:color="auto"/>
        <w:bottom w:val="none" w:sz="0" w:space="0" w:color="auto"/>
        <w:right w:val="none" w:sz="0" w:space="0" w:color="auto"/>
      </w:divBdr>
      <w:divsChild>
        <w:div w:id="1005784469">
          <w:marLeft w:val="403"/>
          <w:marRight w:val="0"/>
          <w:marTop w:val="0"/>
          <w:marBottom w:val="0"/>
          <w:divBdr>
            <w:top w:val="none" w:sz="0" w:space="0" w:color="auto"/>
            <w:left w:val="none" w:sz="0" w:space="0" w:color="auto"/>
            <w:bottom w:val="none" w:sz="0" w:space="0" w:color="auto"/>
            <w:right w:val="none" w:sz="0" w:space="0" w:color="auto"/>
          </w:divBdr>
        </w:div>
        <w:div w:id="1990985086">
          <w:marLeft w:val="403"/>
          <w:marRight w:val="0"/>
          <w:marTop w:val="0"/>
          <w:marBottom w:val="0"/>
          <w:divBdr>
            <w:top w:val="none" w:sz="0" w:space="0" w:color="auto"/>
            <w:left w:val="none" w:sz="0" w:space="0" w:color="auto"/>
            <w:bottom w:val="none" w:sz="0" w:space="0" w:color="auto"/>
            <w:right w:val="none" w:sz="0" w:space="0" w:color="auto"/>
          </w:divBdr>
        </w:div>
        <w:div w:id="2010205407">
          <w:marLeft w:val="403"/>
          <w:marRight w:val="0"/>
          <w:marTop w:val="0"/>
          <w:marBottom w:val="0"/>
          <w:divBdr>
            <w:top w:val="none" w:sz="0" w:space="0" w:color="auto"/>
            <w:left w:val="none" w:sz="0" w:space="0" w:color="auto"/>
            <w:bottom w:val="none" w:sz="0" w:space="0" w:color="auto"/>
            <w:right w:val="none" w:sz="0" w:space="0" w:color="auto"/>
          </w:divBdr>
        </w:div>
        <w:div w:id="2096169750">
          <w:marLeft w:val="403"/>
          <w:marRight w:val="0"/>
          <w:marTop w:val="0"/>
          <w:marBottom w:val="0"/>
          <w:divBdr>
            <w:top w:val="none" w:sz="0" w:space="0" w:color="auto"/>
            <w:left w:val="none" w:sz="0" w:space="0" w:color="auto"/>
            <w:bottom w:val="none" w:sz="0" w:space="0" w:color="auto"/>
            <w:right w:val="none" w:sz="0" w:space="0" w:color="auto"/>
          </w:divBdr>
        </w:div>
        <w:div w:id="1201481313">
          <w:marLeft w:val="403"/>
          <w:marRight w:val="0"/>
          <w:marTop w:val="0"/>
          <w:marBottom w:val="0"/>
          <w:divBdr>
            <w:top w:val="none" w:sz="0" w:space="0" w:color="auto"/>
            <w:left w:val="none" w:sz="0" w:space="0" w:color="auto"/>
            <w:bottom w:val="none" w:sz="0" w:space="0" w:color="auto"/>
            <w:right w:val="none" w:sz="0" w:space="0" w:color="auto"/>
          </w:divBdr>
        </w:div>
        <w:div w:id="2130321562">
          <w:marLeft w:val="403"/>
          <w:marRight w:val="0"/>
          <w:marTop w:val="0"/>
          <w:marBottom w:val="0"/>
          <w:divBdr>
            <w:top w:val="none" w:sz="0" w:space="0" w:color="auto"/>
            <w:left w:val="none" w:sz="0" w:space="0" w:color="auto"/>
            <w:bottom w:val="none" w:sz="0" w:space="0" w:color="auto"/>
            <w:right w:val="none" w:sz="0" w:space="0" w:color="auto"/>
          </w:divBdr>
        </w:div>
      </w:divsChild>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 w:id="2125885360">
      <w:bodyDiv w:val="1"/>
      <w:marLeft w:val="0"/>
      <w:marRight w:val="0"/>
      <w:marTop w:val="0"/>
      <w:marBottom w:val="0"/>
      <w:divBdr>
        <w:top w:val="none" w:sz="0" w:space="0" w:color="auto"/>
        <w:left w:val="none" w:sz="0" w:space="0" w:color="auto"/>
        <w:bottom w:val="none" w:sz="0" w:space="0" w:color="auto"/>
        <w:right w:val="none" w:sz="0" w:space="0" w:color="auto"/>
      </w:divBdr>
    </w:div>
    <w:div w:id="212700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ba.europa.eu/legal-noti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ur-lex.europa.eu/legal-content/EN/TXT/?uri=uriserv%3AOJ.L_.2020.406.01.0017.01.ENG&amp;toc=OJ%3AL%3A2020%3A406%3ATOC"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esma.europa.eu/press-news/consultatio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esm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hyperlink" Target="https://eiopa.europa.eu/Pages/Links/Legal-notice.aspx" TargetMode="External"/><Relationship Id="rId31" Type="http://schemas.microsoft.com/office/2016/09/relationships/commentsIds" Target="commentsId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eader" Target="header3.xm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ESMA34-45-1218</_dlc_DocId>
    <_dlc_DocIdUrl xmlns="35c8e399-07b8-49e4-91bf-01a20105d4df">
      <Url>https://sherpa.esma.europa.eu/sites/INIIVM/_layouts/15/DocIdRedir.aspx?ID=ESMA34-45-1218</Url>
      <Description>ESMA34-45-1218</Description>
    </_dlc_DocIdUrl>
    <MeetingDate xmlns="35c8e399-07b8-49e4-91bf-01a20105d4df" xsi:nil="true"/>
    <TaxCatchAll xmlns="35c8e399-07b8-49e4-91bf-01a20105d4df">
      <Value>257</Value>
      <Value>66</Value>
      <Value>87</Value>
      <Value>72</Value>
      <Value>38</Value>
    </TaxCatchAll>
    <Year xmlns="35c8e399-07b8-49e4-91bf-01a20105d4df">2021</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f1a52b52-917d-42ef-9667-945839604bb2</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3f3f5c47-29f7-449c-ab20-04ae7736b23b</TermId>
        </TermInfo>
      </Term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5c8e399-07b8-49e4-91bf-01a20105d4df"/>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DB4E809B-A662-453A-8CC5-AA8493EAA94C}">
  <ds:schemaRefs>
    <ds:schemaRef ds:uri="http://schemas.openxmlformats.org/officeDocument/2006/bibliography"/>
  </ds:schemaRefs>
</ds:datastoreItem>
</file>

<file path=customXml/itemProps6.xml><?xml version="1.0" encoding="utf-8"?>
<ds:datastoreItem xmlns:ds="http://schemas.openxmlformats.org/officeDocument/2006/customXml" ds:itemID="{B4E3CB81-61E8-442B-8D1D-60E2BEA7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8103</Words>
  <Characters>44567</Characters>
  <Application>Microsoft Office Word</Application>
  <DocSecurity>8</DocSecurity>
  <Lines>371</Lines>
  <Paragraphs>105</Paragraphs>
  <ScaleCrop>false</ScaleCrop>
  <HeadingPairs>
    <vt:vector size="10" baseType="variant">
      <vt:variant>
        <vt:lpstr>Título</vt:lpstr>
      </vt:variant>
      <vt:variant>
        <vt:i4>1</vt:i4>
      </vt:variant>
      <vt:variant>
        <vt:lpstr>Title</vt:lpstr>
      </vt:variant>
      <vt:variant>
        <vt:i4>1</vt:i4>
      </vt:variant>
      <vt:variant>
        <vt:lpstr>Titre</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Reply form for the TR portability CP under EMIR</vt:lpstr>
      <vt:lpstr>20110000</vt:lpstr>
      <vt:lpstr>20110000</vt:lpstr>
    </vt:vector>
  </TitlesOfParts>
  <Company>ESMA</Company>
  <LinksUpToDate>false</LinksUpToDate>
  <CharactersWithSpaces>52565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keywords>Classification=Select Classification Level, Classification=Public</cp:keywords>
  <cp:lastModifiedBy>Helena Viñes Fiestas</cp:lastModifiedBy>
  <cp:revision>2</cp:revision>
  <cp:lastPrinted>2015-02-18T11:01:00Z</cp:lastPrinted>
  <dcterms:created xsi:type="dcterms:W3CDTF">2021-05-11T12:21:00Z</dcterms:created>
  <dcterms:modified xsi:type="dcterms:W3CDTF">2021-05-11T12:21:00Z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257;#Sustainable Finance|3f3f5c47-29f7-449c-ab20-04ae7736b23b</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71cff28a-b92d-4336-b344-c47118f9edc5</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87;#Other Work|f1a52b52-917d-42ef-9667-945839604bb2</vt:lpwstr>
  </property>
  <property fmtid="{D5CDD505-2E9C-101B-9397-08002B2CF9AE}" pid="17" name="Project">
    <vt:lpwstr>103;#PRIIPs|a491fde9-7cc6-4ddd-9670-fcf5e94cd88f</vt:lpwstr>
  </property>
  <property fmtid="{D5CDD505-2E9C-101B-9397-08002B2CF9AE}" pid="18" name="TitusGUID">
    <vt:lpwstr>d5c5e767-b625-411c-9e0b-a01a4bd88099</vt:lpwstr>
  </property>
  <property fmtid="{D5CDD505-2E9C-101B-9397-08002B2CF9AE}" pid="19" name="Classification">
    <vt:lpwstr>Public</vt:lpwstr>
  </property>
  <property fmtid="{D5CDD505-2E9C-101B-9397-08002B2CF9AE}" pid="20" name="PIIGDPR">
    <vt:lpwstr>NotSpecified</vt:lpwstr>
  </property>
  <property fmtid="{D5CDD505-2E9C-101B-9397-08002B2CF9AE}" pid="21" name="ApplyVisualMarking">
    <vt:lpwstr>None</vt:lpwstr>
  </property>
</Properties>
</file>