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8B4F" w14:textId="77777777" w:rsidR="00C05BB3" w:rsidRDefault="00C05BB3"/>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05BB3" w14:paraId="6F478866" w14:textId="77777777">
        <w:trPr>
          <w:trHeight w:val="485"/>
        </w:trPr>
        <w:tc>
          <w:tcPr>
            <w:tcW w:w="9025" w:type="dxa"/>
            <w:tcBorders>
              <w:top w:val="nil"/>
              <w:left w:val="nil"/>
              <w:bottom w:val="nil"/>
              <w:right w:val="nil"/>
            </w:tcBorders>
            <w:tcMar>
              <w:top w:w="100" w:type="dxa"/>
              <w:left w:w="100" w:type="dxa"/>
              <w:bottom w:w="100" w:type="dxa"/>
              <w:right w:w="100" w:type="dxa"/>
            </w:tcMar>
          </w:tcPr>
          <w:p w14:paraId="45372306" w14:textId="77777777" w:rsidR="00C05BB3" w:rsidRDefault="00691590">
            <w:pPr>
              <w:spacing w:before="240" w:after="240"/>
              <w:ind w:left="100" w:right="100"/>
            </w:pPr>
            <w:r>
              <w:t>26 February 2021</w:t>
            </w:r>
          </w:p>
        </w:tc>
      </w:tr>
    </w:tbl>
    <w:p w14:paraId="2648AE7D" w14:textId="77777777" w:rsidR="00C05BB3" w:rsidRDefault="00691590">
      <w:pPr>
        <w:spacing w:before="240" w:after="240"/>
      </w:pPr>
      <w:r>
        <w:t xml:space="preserve"> </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C05BB3" w14:paraId="73FF7E2A" w14:textId="77777777">
        <w:trPr>
          <w:trHeight w:val="2330"/>
        </w:trPr>
        <w:tc>
          <w:tcPr>
            <w:tcW w:w="9025" w:type="dxa"/>
            <w:tcBorders>
              <w:top w:val="nil"/>
              <w:left w:val="nil"/>
              <w:bottom w:val="nil"/>
              <w:right w:val="nil"/>
            </w:tcBorders>
            <w:tcMar>
              <w:top w:w="100" w:type="dxa"/>
              <w:left w:w="100" w:type="dxa"/>
              <w:bottom w:w="100" w:type="dxa"/>
              <w:right w:w="100" w:type="dxa"/>
            </w:tcMar>
            <w:vAlign w:val="bottom"/>
          </w:tcPr>
          <w:p w14:paraId="4D5AA795" w14:textId="77777777" w:rsidR="00C05BB3" w:rsidRDefault="00691590">
            <w:pPr>
              <w:spacing w:before="240" w:after="240"/>
              <w:ind w:left="141" w:right="-40"/>
            </w:pPr>
            <w:r>
              <w:t>Response form for the Consultation Paper on draft technical standards under the ECSP Regulation</w:t>
            </w:r>
          </w:p>
          <w:p w14:paraId="29DBE57C" w14:textId="77777777" w:rsidR="00C05BB3" w:rsidRDefault="00691590">
            <w:pPr>
              <w:spacing w:before="240" w:after="240"/>
              <w:ind w:left="8460" w:right="-40"/>
              <w:rPr>
                <w:sz w:val="32"/>
                <w:szCs w:val="32"/>
              </w:rPr>
            </w:pPr>
            <w:r>
              <w:rPr>
                <w:sz w:val="32"/>
                <w:szCs w:val="32"/>
              </w:rPr>
              <w:t xml:space="preserve"> </w:t>
            </w:r>
          </w:p>
        </w:tc>
      </w:tr>
      <w:tr w:rsidR="00C05BB3" w14:paraId="05F61256" w14:textId="77777777">
        <w:trPr>
          <w:trHeight w:val="2170"/>
        </w:trPr>
        <w:tc>
          <w:tcPr>
            <w:tcW w:w="9025" w:type="dxa"/>
            <w:tcBorders>
              <w:top w:val="nil"/>
              <w:left w:val="nil"/>
              <w:bottom w:val="nil"/>
              <w:right w:val="nil"/>
            </w:tcBorders>
            <w:tcMar>
              <w:top w:w="140" w:type="dxa"/>
              <w:left w:w="100" w:type="dxa"/>
              <w:bottom w:w="100" w:type="dxa"/>
              <w:right w:w="100" w:type="dxa"/>
            </w:tcMar>
          </w:tcPr>
          <w:p w14:paraId="2B981356" w14:textId="77777777" w:rsidR="00C05BB3" w:rsidRDefault="00691590">
            <w:pPr>
              <w:spacing w:before="240" w:after="240"/>
              <w:ind w:left="8460" w:right="-40"/>
              <w:rPr>
                <w:sz w:val="32"/>
                <w:szCs w:val="32"/>
              </w:rPr>
            </w:pPr>
            <w:r>
              <w:rPr>
                <w:sz w:val="32"/>
                <w:szCs w:val="32"/>
              </w:rPr>
              <w:t xml:space="preserve"> </w:t>
            </w:r>
          </w:p>
          <w:p w14:paraId="042A8A4F" w14:textId="77777777" w:rsidR="00C05BB3" w:rsidRDefault="00691590">
            <w:pPr>
              <w:spacing w:before="240" w:after="240"/>
              <w:ind w:left="8460" w:right="-40"/>
            </w:pPr>
            <w:r>
              <w:t xml:space="preserve"> </w:t>
            </w:r>
          </w:p>
          <w:p w14:paraId="6F08B7C9" w14:textId="77777777" w:rsidR="00C05BB3" w:rsidRDefault="00691590">
            <w:pPr>
              <w:spacing w:before="240" w:after="240"/>
              <w:ind w:left="8460" w:right="-40"/>
              <w:jc w:val="center"/>
            </w:pPr>
            <w:r>
              <w:t xml:space="preserve"> </w:t>
            </w:r>
          </w:p>
          <w:p w14:paraId="3C7F97F9" w14:textId="77777777" w:rsidR="00C05BB3" w:rsidRDefault="00691590">
            <w:pPr>
              <w:spacing w:before="240" w:after="240"/>
              <w:ind w:left="8460" w:right="-40"/>
              <w:jc w:val="right"/>
            </w:pPr>
            <w:r>
              <w:t xml:space="preserve"> </w:t>
            </w:r>
          </w:p>
        </w:tc>
      </w:tr>
    </w:tbl>
    <w:p w14:paraId="4C2A2FC7" w14:textId="77777777" w:rsidR="00C05BB3" w:rsidRDefault="00C05BB3">
      <w:pPr>
        <w:rPr>
          <w:b/>
          <w:sz w:val="24"/>
          <w:szCs w:val="24"/>
        </w:rPr>
      </w:pPr>
    </w:p>
    <w:tbl>
      <w:tblPr>
        <w:tblStyle w:val="a1"/>
        <w:tblW w:w="1070" w:type="dxa"/>
        <w:tblBorders>
          <w:top w:val="nil"/>
          <w:left w:val="nil"/>
          <w:bottom w:val="nil"/>
          <w:right w:val="nil"/>
          <w:insideH w:val="nil"/>
          <w:insideV w:val="nil"/>
        </w:tblBorders>
        <w:tblLayout w:type="fixed"/>
        <w:tblLook w:val="0600" w:firstRow="0" w:lastRow="0" w:firstColumn="0" w:lastColumn="0" w:noHBand="1" w:noVBand="1"/>
      </w:tblPr>
      <w:tblGrid>
        <w:gridCol w:w="1070"/>
      </w:tblGrid>
      <w:tr w:rsidR="00C05BB3" w14:paraId="53A1395D" w14:textId="77777777">
        <w:trPr>
          <w:trHeight w:val="1160"/>
        </w:trPr>
        <w:tc>
          <w:tcPr>
            <w:tcW w:w="1070" w:type="dxa"/>
            <w:tcBorders>
              <w:top w:val="nil"/>
              <w:left w:val="nil"/>
              <w:bottom w:val="nil"/>
              <w:right w:val="nil"/>
            </w:tcBorders>
            <w:tcMar>
              <w:top w:w="100" w:type="dxa"/>
              <w:left w:w="100" w:type="dxa"/>
              <w:bottom w:w="100" w:type="dxa"/>
              <w:right w:w="100" w:type="dxa"/>
            </w:tcMar>
          </w:tcPr>
          <w:p w14:paraId="0977CA86" w14:textId="77777777" w:rsidR="00C05BB3" w:rsidRDefault="00691590">
            <w:pPr>
              <w:spacing w:before="240" w:after="1320"/>
              <w:ind w:left="8460" w:right="-40"/>
              <w:jc w:val="right"/>
            </w:pPr>
            <w:r>
              <w:t>Date: 26 February 20</w:t>
            </w:r>
            <w:r>
              <w:lastRenderedPageBreak/>
              <w:t>21</w:t>
            </w:r>
          </w:p>
        </w:tc>
      </w:tr>
    </w:tbl>
    <w:p w14:paraId="6B2297F3" w14:textId="77777777" w:rsidR="00C05BB3" w:rsidRDefault="00691590">
      <w:pPr>
        <w:spacing w:before="240" w:after="240"/>
        <w:jc w:val="both"/>
        <w:rPr>
          <w:b/>
          <w:sz w:val="28"/>
          <w:szCs w:val="28"/>
        </w:rPr>
      </w:pPr>
      <w:r>
        <w:rPr>
          <w:b/>
          <w:sz w:val="28"/>
          <w:szCs w:val="28"/>
        </w:rPr>
        <w:lastRenderedPageBreak/>
        <w:t>Responding to this paper</w:t>
      </w:r>
    </w:p>
    <w:p w14:paraId="292C2616" w14:textId="77777777" w:rsidR="00C05BB3" w:rsidRDefault="00691590">
      <w:pPr>
        <w:spacing w:before="240" w:after="240"/>
        <w:jc w:val="both"/>
      </w:pPr>
      <w:r>
        <w:t>ESMA invites responses to the questions set out throughout this Consultation Paper and summarised in Annex II. Responses are most helpful if they:</w:t>
      </w:r>
    </w:p>
    <w:p w14:paraId="1DBDE78C" w14:textId="77777777" w:rsidR="00C05BB3" w:rsidRDefault="00691590">
      <w:pPr>
        <w:spacing w:after="240"/>
        <w:ind w:left="1080" w:hanging="360"/>
        <w:jc w:val="both"/>
      </w:pPr>
      <w:r>
        <w:t>-</w:t>
      </w:r>
      <w:r>
        <w:rPr>
          <w:sz w:val="14"/>
          <w:szCs w:val="14"/>
        </w:rPr>
        <w:t xml:space="preserve">        </w:t>
      </w:r>
      <w:r>
        <w:t xml:space="preserve">respond to the question stated and indicate the specific question to which they </w:t>
      </w:r>
      <w:proofErr w:type="gramStart"/>
      <w:r>
        <w:t>relate;</w:t>
      </w:r>
      <w:proofErr w:type="gramEnd"/>
    </w:p>
    <w:p w14:paraId="19689943" w14:textId="77777777" w:rsidR="00C05BB3" w:rsidRDefault="00691590">
      <w:pPr>
        <w:spacing w:after="240"/>
        <w:ind w:left="1080" w:hanging="360"/>
        <w:jc w:val="both"/>
      </w:pPr>
      <w:r>
        <w:t>-</w:t>
      </w:r>
      <w:r>
        <w:rPr>
          <w:sz w:val="14"/>
          <w:szCs w:val="14"/>
        </w:rPr>
        <w:t xml:space="preserve">        </w:t>
      </w:r>
      <w:r>
        <w:t>contain a clear rationale; and</w:t>
      </w:r>
    </w:p>
    <w:p w14:paraId="5CCC6A0B" w14:textId="77777777" w:rsidR="00C05BB3" w:rsidRDefault="00691590">
      <w:pPr>
        <w:spacing w:after="240"/>
        <w:ind w:left="1080" w:hanging="360"/>
        <w:jc w:val="both"/>
      </w:pPr>
      <w:r>
        <w:t>-</w:t>
      </w:r>
      <w:r>
        <w:rPr>
          <w:sz w:val="14"/>
          <w:szCs w:val="14"/>
        </w:rPr>
        <w:t xml:space="preserve">        </w:t>
      </w:r>
      <w:r>
        <w:t>describe any alternatives ESMA should consider.</w:t>
      </w:r>
    </w:p>
    <w:p w14:paraId="290D0582" w14:textId="77777777" w:rsidR="00C05BB3" w:rsidRDefault="00691590">
      <w:pPr>
        <w:spacing w:before="240" w:after="240"/>
        <w:jc w:val="both"/>
        <w:rPr>
          <w:b/>
        </w:rPr>
      </w:pPr>
      <w:r>
        <w:t xml:space="preserve">ESMA will consider all comments received by </w:t>
      </w:r>
      <w:r>
        <w:rPr>
          <w:b/>
        </w:rPr>
        <w:t>Friday 28</w:t>
      </w:r>
      <w:r>
        <w:rPr>
          <w:b/>
          <w:vertAlign w:val="superscript"/>
        </w:rPr>
        <w:t>th</w:t>
      </w:r>
      <w:r>
        <w:rPr>
          <w:b/>
        </w:rPr>
        <w:t xml:space="preserve"> May 2021.</w:t>
      </w:r>
    </w:p>
    <w:p w14:paraId="73991A13" w14:textId="77777777" w:rsidR="00C05BB3" w:rsidRDefault="00691590">
      <w:pPr>
        <w:spacing w:before="240" w:after="240"/>
        <w:jc w:val="both"/>
      </w:pPr>
      <w:r>
        <w:t>All c</w:t>
      </w:r>
      <w:r>
        <w:t>ontributions should be submitted online at</w:t>
      </w:r>
      <w:hyperlink r:id="rId7">
        <w:r>
          <w:t xml:space="preserve"> </w:t>
        </w:r>
      </w:hyperlink>
      <w:hyperlink r:id="rId8">
        <w:r>
          <w:rPr>
            <w:color w:val="0563C1"/>
            <w:u w:val="single"/>
          </w:rPr>
          <w:t>www.esma.europa.eu</w:t>
        </w:r>
      </w:hyperlink>
      <w:r>
        <w:t xml:space="preserve"> under the heading ‘Your input - Consultations’.</w:t>
      </w:r>
    </w:p>
    <w:p w14:paraId="538A408A" w14:textId="77777777" w:rsidR="00C05BB3" w:rsidRDefault="00691590">
      <w:pPr>
        <w:spacing w:before="240" w:after="120"/>
        <w:jc w:val="both"/>
        <w:rPr>
          <w:b/>
        </w:rPr>
      </w:pPr>
      <w:r>
        <w:rPr>
          <w:b/>
        </w:rPr>
        <w:t>Instructions</w:t>
      </w:r>
    </w:p>
    <w:p w14:paraId="79DACEDD" w14:textId="77777777" w:rsidR="00C05BB3" w:rsidRDefault="00691590">
      <w:pPr>
        <w:spacing w:before="240" w:after="240"/>
        <w:jc w:val="both"/>
      </w:pPr>
      <w:proofErr w:type="gramStart"/>
      <w:r>
        <w:t>In order to</w:t>
      </w:r>
      <w:proofErr w:type="gramEnd"/>
      <w:r>
        <w:t xml:space="preserve"> facilitate analysis of respon</w:t>
      </w:r>
      <w:r>
        <w:t>ses to the Consultation Paper, respondents are requested to follow the steps below when preparing and submitting their response:</w:t>
      </w:r>
    </w:p>
    <w:p w14:paraId="5A3EE13B" w14:textId="77777777" w:rsidR="00C05BB3" w:rsidRDefault="00691590">
      <w:pPr>
        <w:spacing w:after="240"/>
        <w:ind w:left="1080" w:hanging="360"/>
        <w:jc w:val="both"/>
      </w:pPr>
      <w:r>
        <w:t>-</w:t>
      </w:r>
      <w:r>
        <w:rPr>
          <w:sz w:val="14"/>
          <w:szCs w:val="14"/>
        </w:rPr>
        <w:t xml:space="preserve">        </w:t>
      </w:r>
      <w:r>
        <w:t>Insert your responses to the consultation questions in this form.</w:t>
      </w:r>
    </w:p>
    <w:p w14:paraId="39537278" w14:textId="77777777" w:rsidR="00C05BB3" w:rsidRDefault="00691590">
      <w:pPr>
        <w:spacing w:after="240"/>
        <w:ind w:left="1080" w:hanging="360"/>
        <w:jc w:val="both"/>
      </w:pPr>
      <w:r>
        <w:t>-</w:t>
      </w:r>
      <w:r>
        <w:rPr>
          <w:sz w:val="14"/>
          <w:szCs w:val="14"/>
        </w:rPr>
        <w:t xml:space="preserve">        </w:t>
      </w:r>
      <w:r>
        <w:t>Please do not remove tags of the type &lt;ESMA</w:t>
      </w:r>
      <w:r>
        <w:t xml:space="preserve">_QUESTION_ECSP_1&gt;. Your response to each question </w:t>
      </w:r>
      <w:proofErr w:type="gramStart"/>
      <w:r>
        <w:t>has to</w:t>
      </w:r>
      <w:proofErr w:type="gramEnd"/>
      <w:r>
        <w:t xml:space="preserve"> be framed by the two tags corresponding to the question.</w:t>
      </w:r>
    </w:p>
    <w:p w14:paraId="515B3DDC" w14:textId="77777777" w:rsidR="00C05BB3" w:rsidRDefault="00691590">
      <w:pPr>
        <w:spacing w:after="240"/>
        <w:ind w:left="1080" w:hanging="360"/>
        <w:jc w:val="both"/>
      </w:pPr>
      <w:r>
        <w:t>-</w:t>
      </w:r>
      <w:r>
        <w:rPr>
          <w:sz w:val="14"/>
          <w:szCs w:val="14"/>
        </w:rPr>
        <w:t xml:space="preserve">        </w:t>
      </w:r>
      <w:r>
        <w:t>If you do not wish to respond to a given question, please do not delete it but simply leave the text “TYPE YOUR TEXT HERE” between th</w:t>
      </w:r>
      <w:r>
        <w:t>e tags.</w:t>
      </w:r>
    </w:p>
    <w:p w14:paraId="3460F9B7" w14:textId="77777777" w:rsidR="00C05BB3" w:rsidRDefault="00691590">
      <w:pPr>
        <w:spacing w:after="240"/>
        <w:ind w:left="1080" w:hanging="360"/>
        <w:jc w:val="both"/>
      </w:pPr>
      <w:r>
        <w:t>-</w:t>
      </w:r>
      <w:r>
        <w:rPr>
          <w:sz w:val="14"/>
          <w:szCs w:val="14"/>
        </w:rPr>
        <w:t xml:space="preserve">        </w:t>
      </w:r>
      <w:r>
        <w:t xml:space="preserve">When you have drafted your response, name your response form according to the following convention: </w:t>
      </w:r>
      <w:proofErr w:type="spellStart"/>
      <w:r>
        <w:t>ESMA_ECSP_nameofrespondent_RESPONSEFORM</w:t>
      </w:r>
      <w:proofErr w:type="spellEnd"/>
      <w:r>
        <w:t>. For example, for a respondent named ABCD, the response form would be entitled ESMA_ECSP_ABCD_RESPONSEFORM.</w:t>
      </w:r>
    </w:p>
    <w:p w14:paraId="07589E53" w14:textId="77777777" w:rsidR="00C05BB3" w:rsidRDefault="00691590">
      <w:pPr>
        <w:spacing w:after="240"/>
        <w:ind w:left="1080" w:hanging="360"/>
        <w:jc w:val="both"/>
      </w:pPr>
      <w:r>
        <w:t>-</w:t>
      </w:r>
      <w:r>
        <w:rPr>
          <w:sz w:val="14"/>
          <w:szCs w:val="14"/>
        </w:rPr>
        <w:t xml:space="preserve">       </w:t>
      </w:r>
      <w:r>
        <w:rPr>
          <w:sz w:val="14"/>
          <w:szCs w:val="14"/>
        </w:rPr>
        <w:t xml:space="preserve"> </w:t>
      </w:r>
      <w:r>
        <w:t>Upload the form containing your responses, in Word format, to ESMA’s website (</w:t>
      </w:r>
      <w:hyperlink r:id="rId9">
        <w:r>
          <w:rPr>
            <w:color w:val="0563C1"/>
            <w:u w:val="single"/>
          </w:rPr>
          <w:t>www.esma.europa.eu</w:t>
        </w:r>
      </w:hyperlink>
      <w:r>
        <w:rPr>
          <w:rFonts w:ascii="Arial Unicode MS" w:eastAsia="Arial Unicode MS" w:hAnsi="Arial Unicode MS" w:cs="Arial Unicode MS"/>
        </w:rPr>
        <w:t xml:space="preserve"> under the heading ‘Your input – Open consultations’ → ‘Consultation on draft technical standards under the ECSP </w:t>
      </w:r>
      <w:r>
        <w:rPr>
          <w:rFonts w:ascii="Arial Unicode MS" w:eastAsia="Arial Unicode MS" w:hAnsi="Arial Unicode MS" w:cs="Arial Unicode MS"/>
        </w:rPr>
        <w:t>Regulation’).</w:t>
      </w:r>
    </w:p>
    <w:p w14:paraId="6DBE9C82" w14:textId="77777777" w:rsidR="00C05BB3" w:rsidRDefault="00C05BB3">
      <w:pPr>
        <w:spacing w:line="264" w:lineRule="auto"/>
        <w:rPr>
          <w:b/>
        </w:rPr>
      </w:pPr>
    </w:p>
    <w:p w14:paraId="44871692" w14:textId="77777777" w:rsidR="00C05BB3" w:rsidRDefault="00691590">
      <w:pPr>
        <w:spacing w:before="240" w:after="120" w:line="264" w:lineRule="auto"/>
        <w:rPr>
          <w:b/>
        </w:rPr>
      </w:pPr>
      <w:r>
        <w:rPr>
          <w:b/>
        </w:rPr>
        <w:lastRenderedPageBreak/>
        <w:t xml:space="preserve"> </w:t>
      </w:r>
    </w:p>
    <w:p w14:paraId="0D79B5E2" w14:textId="77777777" w:rsidR="00C05BB3" w:rsidRDefault="00691590">
      <w:pPr>
        <w:spacing w:before="240" w:after="120"/>
        <w:jc w:val="both"/>
        <w:rPr>
          <w:b/>
        </w:rPr>
      </w:pPr>
      <w:r>
        <w:rPr>
          <w:b/>
        </w:rPr>
        <w:t>Publication of responses</w:t>
      </w:r>
    </w:p>
    <w:p w14:paraId="11436696" w14:textId="77777777" w:rsidR="00C05BB3" w:rsidRDefault="00691590">
      <w:pPr>
        <w:spacing w:before="240" w:after="240"/>
        <w:jc w:val="both"/>
      </w:pPr>
      <w:r>
        <w:t xml:space="preserve">All contributions received will be published following the close of the </w:t>
      </w:r>
      <w:proofErr w:type="gramStart"/>
      <w:r>
        <w:t>consultation, unless</w:t>
      </w:r>
      <w:proofErr w:type="gramEnd"/>
      <w:r>
        <w:t xml:space="preserve"> you request otherwise. </w:t>
      </w:r>
      <w:r>
        <w:rPr>
          <w:u w:val="single"/>
        </w:rPr>
        <w:t>If you do not wish for your response to be publicly disclosed, please clearly indicate this by tic</w:t>
      </w:r>
      <w:r>
        <w:rPr>
          <w:u w:val="single"/>
        </w:rPr>
        <w:t>king the appropriate box on the website submission page</w:t>
      </w:r>
      <w:r>
        <w:t>. A standard confidentiality statement in an email message will not be treated as a request for non-disclosure. A confidential response may be requested from us in accordance with ESMA’s rules on acces</w:t>
      </w:r>
      <w:r>
        <w:t>s to documents. We may consult you if we receive such a request. Any decision we make not to disclose the response is reviewable by ESMA’s Board of Appeal and the European Ombudsman.</w:t>
      </w:r>
    </w:p>
    <w:p w14:paraId="61C346E8" w14:textId="77777777" w:rsidR="00C05BB3" w:rsidRDefault="00691590">
      <w:pPr>
        <w:spacing w:before="240" w:after="120"/>
        <w:jc w:val="both"/>
        <w:rPr>
          <w:b/>
        </w:rPr>
      </w:pPr>
      <w:r>
        <w:rPr>
          <w:b/>
        </w:rPr>
        <w:t>Data protection</w:t>
      </w:r>
    </w:p>
    <w:p w14:paraId="1B8417E3" w14:textId="77777777" w:rsidR="00C05BB3" w:rsidRDefault="00691590">
      <w:pPr>
        <w:spacing w:before="240" w:after="240"/>
        <w:jc w:val="both"/>
      </w:pPr>
      <w:r>
        <w:t>Information on data protection can be found at</w:t>
      </w:r>
      <w:hyperlink r:id="rId10">
        <w:r>
          <w:t xml:space="preserve"> </w:t>
        </w:r>
      </w:hyperlink>
      <w:hyperlink r:id="rId11">
        <w:r>
          <w:rPr>
            <w:color w:val="0563C1"/>
            <w:u w:val="single"/>
          </w:rPr>
          <w:t>www.esma.europa.eu</w:t>
        </w:r>
      </w:hyperlink>
      <w:r>
        <w:t xml:space="preserve"> under the heading </w:t>
      </w:r>
      <w:r>
        <w:rPr>
          <w:color w:val="0563C1"/>
          <w:u w:val="single"/>
        </w:rPr>
        <w:t>‘</w:t>
      </w:r>
      <w:hyperlink r:id="rId12">
        <w:r>
          <w:rPr>
            <w:color w:val="0563C1"/>
            <w:u w:val="single"/>
          </w:rPr>
          <w:t>Data protection</w:t>
        </w:r>
      </w:hyperlink>
      <w:r>
        <w:rPr>
          <w:color w:val="0563C1"/>
          <w:u w:val="single"/>
        </w:rPr>
        <w:t>’</w:t>
      </w:r>
      <w:r>
        <w:t>.</w:t>
      </w:r>
    </w:p>
    <w:p w14:paraId="35951EA1" w14:textId="77777777" w:rsidR="00C05BB3" w:rsidRDefault="00691590">
      <w:pPr>
        <w:spacing w:before="240" w:after="120"/>
        <w:jc w:val="both"/>
        <w:rPr>
          <w:b/>
        </w:rPr>
      </w:pPr>
      <w:r>
        <w:rPr>
          <w:b/>
        </w:rPr>
        <w:t>Who should read this paper?</w:t>
      </w:r>
    </w:p>
    <w:p w14:paraId="34C4E50C" w14:textId="77777777" w:rsidR="00C05BB3" w:rsidRDefault="00691590">
      <w:pPr>
        <w:spacing w:before="240" w:after="240"/>
        <w:jc w:val="both"/>
      </w:pPr>
      <w:r>
        <w:t>This Consultation</w:t>
      </w:r>
      <w:r>
        <w:t xml:space="preserve"> Paper primarily of interest to crowdfunding service providers within the meaning of point (e) of Article 2(1) of the ECSP Regulation, competent authorities and other entities that are subject to the </w:t>
      </w:r>
      <w:proofErr w:type="gramStart"/>
      <w:r>
        <w:t>ECSP</w:t>
      </w:r>
      <w:proofErr w:type="gramEnd"/>
      <w:r>
        <w:t xml:space="preserve"> but it is also important for trade associations and</w:t>
      </w:r>
      <w:r>
        <w:t xml:space="preserve"> industry bodies, sophisticated and non-sophisticated investors, consumer associations, as well as any market participant engaged in the provision of crowdfunding services</w:t>
      </w:r>
    </w:p>
    <w:p w14:paraId="0093E00B" w14:textId="77777777" w:rsidR="00C05BB3" w:rsidRDefault="00691590">
      <w:pPr>
        <w:pStyle w:val="Heading1"/>
        <w:keepNext w:val="0"/>
        <w:keepLines w:val="0"/>
        <w:spacing w:before="480"/>
        <w:rPr>
          <w:b/>
          <w:sz w:val="46"/>
          <w:szCs w:val="46"/>
        </w:rPr>
      </w:pPr>
      <w:bookmarkStart w:id="0" w:name="_b0ojxi8ag456" w:colFirst="0" w:colLast="0"/>
      <w:bookmarkEnd w:id="0"/>
      <w:r>
        <w:rPr>
          <w:b/>
          <w:sz w:val="46"/>
          <w:szCs w:val="46"/>
        </w:rPr>
        <w:t>General information about respondent</w:t>
      </w:r>
    </w:p>
    <w:p w14:paraId="4406C1F0" w14:textId="77777777" w:rsidR="00C05BB3" w:rsidRDefault="00691590">
      <w:pPr>
        <w:spacing w:before="240" w:after="120" w:line="264" w:lineRule="auto"/>
      </w:pPr>
      <w:r>
        <w:t xml:space="preserve"> </w:t>
      </w:r>
    </w:p>
    <w:tbl>
      <w:tblPr>
        <w:tblStyle w:val="a2"/>
        <w:tblW w:w="9025" w:type="dxa"/>
        <w:tblBorders>
          <w:top w:val="nil"/>
          <w:left w:val="nil"/>
          <w:bottom w:val="nil"/>
          <w:right w:val="nil"/>
          <w:insideH w:val="nil"/>
          <w:insideV w:val="nil"/>
        </w:tblBorders>
        <w:tblLayout w:type="fixed"/>
        <w:tblLook w:val="0600" w:firstRow="0" w:lastRow="0" w:firstColumn="0" w:lastColumn="0" w:noHBand="1" w:noVBand="1"/>
      </w:tblPr>
      <w:tblGrid>
        <w:gridCol w:w="3786"/>
        <w:gridCol w:w="5239"/>
      </w:tblGrid>
      <w:tr w:rsidR="00C05BB3" w14:paraId="6C579616" w14:textId="77777777">
        <w:trPr>
          <w:trHeight w:val="50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AFA04" w14:textId="77777777" w:rsidR="00C05BB3" w:rsidRDefault="00691590">
            <w:pPr>
              <w:spacing w:before="240" w:after="240"/>
            </w:pPr>
            <w:r>
              <w:t>Name of the company / organisation</w:t>
            </w:r>
          </w:p>
        </w:tc>
        <w:tc>
          <w:tcPr>
            <w:tcW w:w="52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664AFD" w14:textId="2539587E" w:rsidR="00C05BB3" w:rsidRDefault="007D4F67">
            <w:pPr>
              <w:spacing w:before="240" w:after="240"/>
            </w:pPr>
            <w:r>
              <w:t>Max Crowdfund B.V.</w:t>
            </w:r>
          </w:p>
        </w:tc>
      </w:tr>
      <w:tr w:rsidR="00C05BB3" w14:paraId="5956DDEB" w14:textId="77777777">
        <w:trPr>
          <w:trHeight w:val="500"/>
        </w:trPr>
        <w:tc>
          <w:tcPr>
            <w:tcW w:w="3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5C373" w14:textId="77777777" w:rsidR="00C05BB3" w:rsidRDefault="00691590">
            <w:pPr>
              <w:spacing w:before="240" w:after="240"/>
            </w:pPr>
            <w:r>
              <w:t>Activity</w:t>
            </w:r>
          </w:p>
        </w:tc>
        <w:tc>
          <w:tcPr>
            <w:tcW w:w="5238" w:type="dxa"/>
            <w:tcBorders>
              <w:top w:val="nil"/>
              <w:left w:val="nil"/>
              <w:bottom w:val="single" w:sz="8" w:space="0" w:color="000000"/>
              <w:right w:val="single" w:sz="8" w:space="0" w:color="000000"/>
            </w:tcBorders>
            <w:tcMar>
              <w:top w:w="100" w:type="dxa"/>
              <w:left w:w="100" w:type="dxa"/>
              <w:bottom w:w="100" w:type="dxa"/>
              <w:right w:w="100" w:type="dxa"/>
            </w:tcMar>
          </w:tcPr>
          <w:p w14:paraId="7EC7FD8C" w14:textId="4CDB48A1" w:rsidR="00C05BB3" w:rsidRDefault="007D4F67">
            <w:pPr>
              <w:spacing w:before="240" w:after="240"/>
            </w:pPr>
            <w:r>
              <w:t>CSP (real estate</w:t>
            </w:r>
            <w:r w:rsidR="00C6101B">
              <w:t xml:space="preserve"> crowdfunding platform)</w:t>
            </w:r>
          </w:p>
        </w:tc>
      </w:tr>
      <w:tr w:rsidR="00C05BB3" w14:paraId="1010E92E" w14:textId="77777777">
        <w:trPr>
          <w:trHeight w:val="470"/>
        </w:trPr>
        <w:tc>
          <w:tcPr>
            <w:tcW w:w="3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8C5629" w14:textId="77777777" w:rsidR="00C05BB3" w:rsidRDefault="00691590">
            <w:pPr>
              <w:spacing w:before="240" w:after="240"/>
            </w:pPr>
            <w:r>
              <w:t>Are you representing an association?</w:t>
            </w:r>
          </w:p>
        </w:tc>
        <w:tc>
          <w:tcPr>
            <w:tcW w:w="5238" w:type="dxa"/>
            <w:tcBorders>
              <w:top w:val="nil"/>
              <w:left w:val="nil"/>
              <w:bottom w:val="single" w:sz="8" w:space="0" w:color="000000"/>
              <w:right w:val="single" w:sz="8" w:space="0" w:color="000000"/>
            </w:tcBorders>
            <w:tcMar>
              <w:top w:w="100" w:type="dxa"/>
              <w:left w:w="100" w:type="dxa"/>
              <w:bottom w:w="100" w:type="dxa"/>
              <w:right w:w="100" w:type="dxa"/>
            </w:tcMar>
          </w:tcPr>
          <w:p w14:paraId="46D26246" w14:textId="77777777" w:rsidR="00C05BB3" w:rsidRDefault="00691590">
            <w:pPr>
              <w:spacing w:before="240" w:after="240"/>
              <w:rPr>
                <w:rFonts w:ascii="MS Gothic" w:eastAsia="MS Gothic" w:hAnsi="MS Gothic" w:cs="MS Gothic"/>
              </w:rPr>
            </w:pPr>
            <w:r>
              <w:rPr>
                <w:rFonts w:ascii="MS Gothic" w:eastAsia="MS Gothic" w:hAnsi="MS Gothic" w:cs="MS Gothic"/>
              </w:rPr>
              <w:t>☐</w:t>
            </w:r>
          </w:p>
        </w:tc>
      </w:tr>
      <w:tr w:rsidR="00C05BB3" w14:paraId="16AD0420" w14:textId="77777777">
        <w:trPr>
          <w:trHeight w:val="500"/>
        </w:trPr>
        <w:tc>
          <w:tcPr>
            <w:tcW w:w="37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E43B4" w14:textId="77777777" w:rsidR="00C05BB3" w:rsidRDefault="00691590">
            <w:pPr>
              <w:spacing w:before="240" w:after="240"/>
            </w:pPr>
            <w:r>
              <w:t>Country/Region</w:t>
            </w:r>
          </w:p>
        </w:tc>
        <w:tc>
          <w:tcPr>
            <w:tcW w:w="5238" w:type="dxa"/>
            <w:tcBorders>
              <w:top w:val="nil"/>
              <w:left w:val="nil"/>
              <w:bottom w:val="single" w:sz="8" w:space="0" w:color="000000"/>
              <w:right w:val="single" w:sz="8" w:space="0" w:color="000000"/>
            </w:tcBorders>
            <w:tcMar>
              <w:top w:w="100" w:type="dxa"/>
              <w:left w:w="100" w:type="dxa"/>
              <w:bottom w:w="100" w:type="dxa"/>
              <w:right w:w="100" w:type="dxa"/>
            </w:tcMar>
          </w:tcPr>
          <w:p w14:paraId="4B0840DC" w14:textId="3F45D79D" w:rsidR="00C05BB3" w:rsidRDefault="00C6101B">
            <w:pPr>
              <w:spacing w:before="240" w:after="240"/>
            </w:pPr>
            <w:r>
              <w:t>Netherlands</w:t>
            </w:r>
          </w:p>
        </w:tc>
      </w:tr>
    </w:tbl>
    <w:p w14:paraId="06840F0E" w14:textId="77777777" w:rsidR="00C05BB3" w:rsidRDefault="00691590">
      <w:pPr>
        <w:spacing w:before="240" w:after="120" w:line="264" w:lineRule="auto"/>
      </w:pPr>
      <w:r>
        <w:t xml:space="preserve"> </w:t>
      </w:r>
    </w:p>
    <w:p w14:paraId="13422DE2" w14:textId="77777777" w:rsidR="00C05BB3" w:rsidRDefault="00691590">
      <w:pPr>
        <w:pStyle w:val="Heading1"/>
        <w:keepNext w:val="0"/>
        <w:keepLines w:val="0"/>
        <w:spacing w:before="480"/>
        <w:ind w:left="880" w:hanging="440"/>
        <w:rPr>
          <w:b/>
          <w:sz w:val="46"/>
          <w:szCs w:val="46"/>
        </w:rPr>
      </w:pPr>
      <w:bookmarkStart w:id="1" w:name="_3m1wjk7zi6ze" w:colFirst="0" w:colLast="0"/>
      <w:bookmarkEnd w:id="1"/>
      <w:r>
        <w:rPr>
          <w:b/>
          <w:sz w:val="46"/>
          <w:szCs w:val="46"/>
        </w:rPr>
        <w:lastRenderedPageBreak/>
        <w:t>Introduction</w:t>
      </w:r>
    </w:p>
    <w:p w14:paraId="6CE6E781" w14:textId="77777777" w:rsidR="00C05BB3" w:rsidRDefault="00691590">
      <w:pPr>
        <w:spacing w:before="240" w:after="240"/>
      </w:pPr>
      <w:r>
        <w:t>Please make your introductory comments below, if any:</w:t>
      </w:r>
    </w:p>
    <w:p w14:paraId="714C26BD" w14:textId="77777777" w:rsidR="00C05BB3" w:rsidRDefault="00691590">
      <w:pPr>
        <w:spacing w:before="240" w:after="240"/>
      </w:pPr>
      <w:r>
        <w:t xml:space="preserve"> </w:t>
      </w:r>
    </w:p>
    <w:p w14:paraId="117709A3" w14:textId="77777777" w:rsidR="00C05BB3" w:rsidRDefault="00691590">
      <w:pPr>
        <w:spacing w:before="240" w:after="240"/>
      </w:pPr>
      <w:r>
        <w:t>&lt;ESMA_COMMENT_ECSP_1&gt;</w:t>
      </w:r>
    </w:p>
    <w:p w14:paraId="1EB97820" w14:textId="183255DD" w:rsidR="00C05BB3" w:rsidRDefault="00C6101B">
      <w:pPr>
        <w:spacing w:before="240" w:after="240"/>
      </w:pPr>
      <w:r>
        <w:t>n/a</w:t>
      </w:r>
    </w:p>
    <w:p w14:paraId="4C422928" w14:textId="77777777" w:rsidR="00C05BB3" w:rsidRDefault="00691590">
      <w:pPr>
        <w:spacing w:before="240" w:after="240"/>
      </w:pPr>
      <w:r>
        <w:t>&lt;ESMA_COMMENT_ECSP_1&gt;</w:t>
      </w:r>
    </w:p>
    <w:p w14:paraId="2131D2F4" w14:textId="77777777" w:rsidR="00C05BB3" w:rsidRDefault="00C05BB3">
      <w:pPr>
        <w:pStyle w:val="Heading1"/>
        <w:keepNext w:val="0"/>
        <w:keepLines w:val="0"/>
        <w:spacing w:before="480"/>
      </w:pPr>
      <w:bookmarkStart w:id="2" w:name="_9h6ih5z2rrr6" w:colFirst="0" w:colLast="0"/>
      <w:bookmarkEnd w:id="2"/>
    </w:p>
    <w:p w14:paraId="0F7691F1" w14:textId="77777777" w:rsidR="00C05BB3" w:rsidRDefault="00C05BB3">
      <w:pPr>
        <w:rPr>
          <w:b/>
        </w:rPr>
      </w:pPr>
    </w:p>
    <w:p w14:paraId="52C97FF9" w14:textId="77777777" w:rsidR="00C05BB3" w:rsidRDefault="00691590">
      <w:pPr>
        <w:spacing w:before="240" w:after="240"/>
      </w:pPr>
      <w:r>
        <w:t>Q1</w:t>
      </w:r>
      <w:r>
        <w:rPr>
          <w:sz w:val="14"/>
          <w:szCs w:val="14"/>
        </w:rPr>
        <w:t xml:space="preserve">    </w:t>
      </w:r>
      <w:r>
        <w:t xml:space="preserve"> </w:t>
      </w:r>
    </w:p>
    <w:p w14:paraId="173F60DB" w14:textId="77777777" w:rsidR="00C05BB3" w:rsidRDefault="00691590">
      <w:pPr>
        <w:spacing w:before="240" w:after="240"/>
      </w:pPr>
      <w:r>
        <w:t>Q</w:t>
      </w:r>
      <w:proofErr w:type="gramStart"/>
      <w:r>
        <w:t>1</w:t>
      </w:r>
      <w:r>
        <w:rPr>
          <w:rFonts w:ascii="Times New Roman" w:eastAsia="Times New Roman" w:hAnsi="Times New Roman" w:cs="Times New Roman"/>
          <w:sz w:val="14"/>
          <w:szCs w:val="14"/>
        </w:rPr>
        <w:t xml:space="preserve">  </w:t>
      </w:r>
      <w:r>
        <w:t>Do</w:t>
      </w:r>
      <w:proofErr w:type="gramEnd"/>
      <w:r>
        <w:t xml:space="preserve"> you consider that the requirements should be made more granular, notably to set a fixed deadline for CSP to handle a co</w:t>
      </w:r>
      <w:r>
        <w:t>mplaint and reply to complainants, in order to ensure a better and more harmonised investor protection?</w:t>
      </w:r>
    </w:p>
    <w:p w14:paraId="75736C86" w14:textId="77777777" w:rsidR="00C05BB3" w:rsidRDefault="00691590">
      <w:pPr>
        <w:spacing w:before="240" w:after="240"/>
      </w:pPr>
      <w:r>
        <w:t>&lt;ESMA_QUESTION_ECSP_1&gt;</w:t>
      </w:r>
    </w:p>
    <w:p w14:paraId="68174F02" w14:textId="5CE4CD6B" w:rsidR="00C05BB3" w:rsidRPr="004117F3" w:rsidRDefault="00691590">
      <w:pPr>
        <w:spacing w:before="240" w:after="240"/>
      </w:pPr>
      <w:r w:rsidRPr="004117F3">
        <w:t>We believe that th</w:t>
      </w:r>
      <w:r w:rsidRPr="004117F3">
        <w:rPr>
          <w:rFonts w:ascii="Roboto" w:eastAsia="Roboto" w:hAnsi="Roboto" w:cs="Roboto"/>
        </w:rPr>
        <w:t>ere should not be a fixed date to handle a complaint. The nature of some complaints may require more detailed i</w:t>
      </w:r>
      <w:r w:rsidRPr="004117F3">
        <w:rPr>
          <w:rFonts w:ascii="Roboto" w:eastAsia="Roboto" w:hAnsi="Roboto" w:cs="Roboto"/>
        </w:rPr>
        <w:t>nvestigations than other complaints</w:t>
      </w:r>
      <w:r w:rsidR="004117F3" w:rsidRPr="004117F3">
        <w:rPr>
          <w:rFonts w:ascii="Roboto" w:eastAsia="Roboto" w:hAnsi="Roboto" w:cs="Roboto"/>
        </w:rPr>
        <w:t xml:space="preserve"> and CSP may very well depend on third parties to conclude a complaint</w:t>
      </w:r>
      <w:r w:rsidRPr="004117F3">
        <w:rPr>
          <w:rFonts w:ascii="Roboto" w:eastAsia="Roboto" w:hAnsi="Roboto" w:cs="Roboto"/>
        </w:rPr>
        <w:t xml:space="preserve">. </w:t>
      </w:r>
      <w:r w:rsidR="004117F3" w:rsidRPr="004117F3">
        <w:rPr>
          <w:rFonts w:ascii="Roboto" w:eastAsia="Roboto" w:hAnsi="Roboto" w:cs="Roboto"/>
        </w:rPr>
        <w:t>We propose to make this a target date instead. It must be possible to extend this period with substantiation.</w:t>
      </w:r>
    </w:p>
    <w:p w14:paraId="613EE328" w14:textId="77777777" w:rsidR="00C05BB3" w:rsidRDefault="00691590">
      <w:pPr>
        <w:spacing w:before="240" w:after="240"/>
      </w:pPr>
      <w:r>
        <w:t>&lt;ESMA_QUESTION_ECSP_1&gt;</w:t>
      </w:r>
    </w:p>
    <w:p w14:paraId="449D50CB" w14:textId="77777777" w:rsidR="00C05BB3" w:rsidRDefault="00691590">
      <w:pPr>
        <w:spacing w:before="240" w:after="240"/>
      </w:pPr>
      <w:r>
        <w:t xml:space="preserve"> </w:t>
      </w:r>
    </w:p>
    <w:p w14:paraId="62315EB9" w14:textId="77777777" w:rsidR="00C05BB3" w:rsidRDefault="00691590">
      <w:pPr>
        <w:spacing w:before="240" w:after="240"/>
      </w:pPr>
      <w:proofErr w:type="gramStart"/>
      <w:r>
        <w:t>Q2</w:t>
      </w:r>
      <w:proofErr w:type="gramEnd"/>
      <w:r>
        <w:rPr>
          <w:sz w:val="14"/>
          <w:szCs w:val="14"/>
        </w:rPr>
        <w:t xml:space="preserve">    </w:t>
      </w:r>
      <w:r>
        <w:t>Do you agree that the list set out in Article 1(5) of the draft RTS sets out a sufficiently harmonised minimal level of requirements for the internal rules to prevent conflicts of interest?</w:t>
      </w:r>
    </w:p>
    <w:p w14:paraId="1B0BDD64" w14:textId="77777777" w:rsidR="00C05BB3" w:rsidRDefault="00691590">
      <w:pPr>
        <w:spacing w:before="240" w:after="240"/>
      </w:pPr>
      <w:r>
        <w:t>&lt;ESMA_QUESTION_ECSP_2&gt;</w:t>
      </w:r>
    </w:p>
    <w:p w14:paraId="5B6E10C3" w14:textId="329B274A" w:rsidR="00C6101B" w:rsidRDefault="00691590">
      <w:pPr>
        <w:spacing w:before="240" w:after="240"/>
        <w:rPr>
          <w:rFonts w:ascii="Roboto" w:eastAsia="Roboto" w:hAnsi="Roboto" w:cs="Roboto"/>
        </w:rPr>
      </w:pPr>
      <w:r w:rsidRPr="00D46A05">
        <w:rPr>
          <w:rFonts w:ascii="Roboto" w:eastAsia="Roboto" w:hAnsi="Roboto" w:cs="Roboto"/>
        </w:rPr>
        <w:t>In general, we believe the provided list is</w:t>
      </w:r>
      <w:r w:rsidRPr="00D46A05">
        <w:rPr>
          <w:rFonts w:ascii="Roboto" w:eastAsia="Roboto" w:hAnsi="Roboto" w:cs="Roboto"/>
        </w:rPr>
        <w:t xml:space="preserve"> appropriate, although it is </w:t>
      </w:r>
      <w:r w:rsidR="00B744E6" w:rsidRPr="00D46A05">
        <w:rPr>
          <w:rFonts w:ascii="Roboto" w:eastAsia="Roboto" w:hAnsi="Roboto" w:cs="Roboto"/>
        </w:rPr>
        <w:t xml:space="preserve">not </w:t>
      </w:r>
      <w:r w:rsidRPr="00D46A05">
        <w:rPr>
          <w:rFonts w:ascii="Roboto" w:eastAsia="Roboto" w:hAnsi="Roboto" w:cs="Roboto"/>
        </w:rPr>
        <w:t>a</w:t>
      </w:r>
      <w:r w:rsidR="00B744E6" w:rsidRPr="00D46A05">
        <w:rPr>
          <w:rFonts w:ascii="Roboto" w:eastAsia="Roboto" w:hAnsi="Roboto" w:cs="Roboto"/>
        </w:rPr>
        <w:t>n</w:t>
      </w:r>
      <w:r w:rsidRPr="00D46A05">
        <w:rPr>
          <w:rFonts w:ascii="Roboto" w:eastAsia="Roboto" w:hAnsi="Roboto" w:cs="Roboto"/>
        </w:rPr>
        <w:t xml:space="preserve"> </w:t>
      </w:r>
      <w:r w:rsidRPr="00D46A05">
        <w:rPr>
          <w:rFonts w:ascii="Roboto" w:eastAsia="Roboto" w:hAnsi="Roboto" w:cs="Roboto"/>
        </w:rPr>
        <w:t xml:space="preserve">exhaustive list. </w:t>
      </w:r>
      <w:r w:rsidR="004117F3" w:rsidRPr="00D46A05">
        <w:rPr>
          <w:rFonts w:ascii="Roboto" w:eastAsia="Roboto" w:hAnsi="Roboto" w:cs="Roboto"/>
        </w:rPr>
        <w:t xml:space="preserve">It seems based on </w:t>
      </w:r>
      <w:r w:rsidRPr="00D46A05">
        <w:rPr>
          <w:rFonts w:ascii="Roboto" w:eastAsia="Roboto" w:hAnsi="Roboto" w:cs="Roboto"/>
        </w:rPr>
        <w:t>existing rules of conflict of interest in regulation for other financial services sectors</w:t>
      </w:r>
      <w:r w:rsidR="004117F3" w:rsidRPr="00D46A05">
        <w:rPr>
          <w:rFonts w:ascii="Roboto" w:eastAsia="Roboto" w:hAnsi="Roboto" w:cs="Roboto"/>
        </w:rPr>
        <w:t xml:space="preserve">. </w:t>
      </w:r>
      <w:r w:rsidRPr="00D46A05">
        <w:rPr>
          <w:rFonts w:ascii="Roboto" w:eastAsia="Roboto" w:hAnsi="Roboto" w:cs="Roboto"/>
        </w:rPr>
        <w:t xml:space="preserve">The enumeration of </w:t>
      </w:r>
      <w:r w:rsidR="00C6101B" w:rsidRPr="00D46A05">
        <w:rPr>
          <w:rFonts w:ascii="Roboto" w:eastAsia="Roboto" w:hAnsi="Roboto" w:cs="Roboto"/>
        </w:rPr>
        <w:t>conflict-of-interest</w:t>
      </w:r>
      <w:r w:rsidRPr="00D46A05">
        <w:rPr>
          <w:rFonts w:ascii="Roboto" w:eastAsia="Roboto" w:hAnsi="Roboto" w:cs="Roboto"/>
        </w:rPr>
        <w:t xml:space="preserve"> situations makes sense in a case where the nature of services may become highly subjective, especially investment firms. </w:t>
      </w:r>
    </w:p>
    <w:p w14:paraId="02E741D5" w14:textId="19E54C58" w:rsidR="00D46A05" w:rsidRDefault="00691590">
      <w:pPr>
        <w:spacing w:before="240" w:after="240"/>
        <w:rPr>
          <w:rFonts w:ascii="Roboto" w:eastAsia="Roboto" w:hAnsi="Roboto" w:cs="Roboto"/>
        </w:rPr>
      </w:pPr>
      <w:r w:rsidRPr="00D46A05">
        <w:rPr>
          <w:rFonts w:ascii="Roboto" w:eastAsia="Roboto" w:hAnsi="Roboto" w:cs="Roboto"/>
        </w:rPr>
        <w:t xml:space="preserve">As CSPs do not provide investment advice we believe that the risk of one person </w:t>
      </w:r>
      <w:r w:rsidRPr="00D46A05">
        <w:rPr>
          <w:rFonts w:ascii="Roboto" w:eastAsia="Roboto" w:hAnsi="Roboto" w:cs="Roboto"/>
        </w:rPr>
        <w:t xml:space="preserve">being involved in two activities where a real conflict of interest would arise is rather low. Hence, the need for extensive so-called Chinese walls between provision of services is </w:t>
      </w:r>
      <w:r w:rsidR="00B744E6" w:rsidRPr="00D46A05">
        <w:rPr>
          <w:rFonts w:ascii="Roboto" w:eastAsia="Roboto" w:hAnsi="Roboto" w:cs="Roboto"/>
        </w:rPr>
        <w:t xml:space="preserve">clearly </w:t>
      </w:r>
      <w:r w:rsidRPr="00D46A05">
        <w:rPr>
          <w:rFonts w:ascii="Roboto" w:eastAsia="Roboto" w:hAnsi="Roboto" w:cs="Roboto"/>
        </w:rPr>
        <w:t xml:space="preserve">not as high as in the </w:t>
      </w:r>
      <w:proofErr w:type="gramStart"/>
      <w:r w:rsidRPr="00D46A05">
        <w:rPr>
          <w:rFonts w:ascii="Roboto" w:eastAsia="Roboto" w:hAnsi="Roboto" w:cs="Roboto"/>
        </w:rPr>
        <w:t>aforementioned entities</w:t>
      </w:r>
      <w:proofErr w:type="gramEnd"/>
      <w:r w:rsidRPr="00D46A05">
        <w:rPr>
          <w:rFonts w:ascii="Roboto" w:eastAsia="Roboto" w:hAnsi="Roboto" w:cs="Roboto"/>
        </w:rPr>
        <w:t xml:space="preserve">. </w:t>
      </w:r>
      <w:r w:rsidR="00B744E6" w:rsidRPr="00D46A05">
        <w:rPr>
          <w:rFonts w:ascii="Roboto" w:eastAsia="Roboto" w:hAnsi="Roboto" w:cs="Roboto"/>
        </w:rPr>
        <w:t xml:space="preserve">We feel that the provided list should be more in line </w:t>
      </w:r>
      <w:r w:rsidR="00B744E6" w:rsidRPr="00D46A05">
        <w:rPr>
          <w:rFonts w:ascii="Roboto" w:eastAsia="Roboto" w:hAnsi="Roboto" w:cs="Roboto"/>
        </w:rPr>
        <w:lastRenderedPageBreak/>
        <w:t>with the nature of the business of the CSP</w:t>
      </w:r>
      <w:r w:rsidR="00C6101B">
        <w:rPr>
          <w:rFonts w:ascii="Roboto" w:eastAsia="Roboto" w:hAnsi="Roboto" w:cs="Roboto"/>
        </w:rPr>
        <w:t xml:space="preserve"> and </w:t>
      </w:r>
      <w:r w:rsidR="004117F3" w:rsidRPr="00D46A05">
        <w:rPr>
          <w:rFonts w:ascii="Roboto" w:eastAsia="Roboto" w:hAnsi="Roboto" w:cs="Roboto"/>
        </w:rPr>
        <w:t xml:space="preserve">should focus on avoiding </w:t>
      </w:r>
      <w:r w:rsidR="00B744E6" w:rsidRPr="00D46A05">
        <w:rPr>
          <w:rFonts w:ascii="Roboto" w:eastAsia="Roboto" w:hAnsi="Roboto" w:cs="Roboto"/>
        </w:rPr>
        <w:t xml:space="preserve">conflicts of interest by involvement of </w:t>
      </w:r>
      <w:r w:rsidR="004117F3" w:rsidRPr="00D46A05">
        <w:rPr>
          <w:rFonts w:ascii="Roboto" w:eastAsia="Roboto" w:hAnsi="Roboto" w:cs="Roboto"/>
        </w:rPr>
        <w:t>CSP</w:t>
      </w:r>
      <w:r w:rsidR="00B744E6" w:rsidRPr="00D46A05">
        <w:rPr>
          <w:rFonts w:ascii="Roboto" w:eastAsia="Roboto" w:hAnsi="Roboto" w:cs="Roboto"/>
        </w:rPr>
        <w:t>s in campaigns allowed to raise funds</w:t>
      </w:r>
      <w:r w:rsidR="00C6101B">
        <w:rPr>
          <w:rFonts w:ascii="Roboto" w:eastAsia="Roboto" w:hAnsi="Roboto" w:cs="Roboto"/>
        </w:rPr>
        <w:t xml:space="preserve"> and transparent information to investors on </w:t>
      </w:r>
      <w:r w:rsidR="00C6101B" w:rsidRPr="00D46A05">
        <w:rPr>
          <w:rFonts w:ascii="Roboto" w:eastAsia="Roboto" w:hAnsi="Roboto" w:cs="Roboto"/>
        </w:rPr>
        <w:t>conflict of interest</w:t>
      </w:r>
      <w:r w:rsidR="00C6101B">
        <w:rPr>
          <w:rFonts w:ascii="Roboto" w:eastAsia="Roboto" w:hAnsi="Roboto" w:cs="Roboto"/>
        </w:rPr>
        <w:t xml:space="preserve"> that exists</w:t>
      </w:r>
      <w:r w:rsidR="00D46A05" w:rsidRPr="00D46A05">
        <w:rPr>
          <w:rFonts w:ascii="Roboto" w:eastAsia="Roboto" w:hAnsi="Roboto" w:cs="Roboto"/>
        </w:rPr>
        <w:t>.</w:t>
      </w:r>
      <w:r w:rsidR="00B744E6" w:rsidRPr="00D46A05">
        <w:rPr>
          <w:rFonts w:ascii="Roboto" w:eastAsia="Roboto" w:hAnsi="Roboto" w:cs="Roboto"/>
        </w:rPr>
        <w:t xml:space="preserve"> </w:t>
      </w:r>
    </w:p>
    <w:p w14:paraId="3138F44F" w14:textId="1461B19B" w:rsidR="00C05BB3" w:rsidRDefault="00691590">
      <w:pPr>
        <w:spacing w:before="240" w:after="240"/>
      </w:pPr>
      <w:r>
        <w:t>&lt;ESMA_QUESTION_ECSP_2&gt;</w:t>
      </w:r>
    </w:p>
    <w:p w14:paraId="71015044" w14:textId="77777777" w:rsidR="00C05BB3" w:rsidRDefault="00691590">
      <w:pPr>
        <w:spacing w:before="240" w:after="240"/>
      </w:pPr>
      <w:r>
        <w:t xml:space="preserve"> </w:t>
      </w:r>
    </w:p>
    <w:p w14:paraId="5A712B2D" w14:textId="77777777" w:rsidR="00C05BB3" w:rsidRDefault="00691590">
      <w:pPr>
        <w:spacing w:before="240" w:after="240"/>
      </w:pPr>
      <w:proofErr w:type="gramStart"/>
      <w:r>
        <w:t>Q3</w:t>
      </w:r>
      <w:proofErr w:type="gramEnd"/>
      <w:r>
        <w:rPr>
          <w:sz w:val="14"/>
          <w:szCs w:val="14"/>
        </w:rPr>
        <w:t xml:space="preserve">    </w:t>
      </w:r>
      <w:r>
        <w:t>Do you agree that the requirements set out in Article 3 of the draft RTS provide for arrangements that balance</w:t>
      </w:r>
      <w:r>
        <w:t xml:space="preserve"> adequately the need to protect investors with the objective to limit unnecessary burden for CSP?</w:t>
      </w:r>
    </w:p>
    <w:p w14:paraId="42923B88" w14:textId="77777777" w:rsidR="00C05BB3" w:rsidRDefault="00691590">
      <w:pPr>
        <w:spacing w:before="240" w:after="240"/>
      </w:pPr>
      <w:r>
        <w:t>&lt;ESMA_QUESTION_ECSP_3&gt;</w:t>
      </w:r>
    </w:p>
    <w:p w14:paraId="7F02B69B" w14:textId="76F0F130" w:rsidR="00C05BB3" w:rsidRPr="00D46A05" w:rsidRDefault="00D46A05">
      <w:pPr>
        <w:spacing w:before="240" w:after="240"/>
      </w:pPr>
      <w:r w:rsidRPr="00D46A05">
        <w:t>Yes</w:t>
      </w:r>
    </w:p>
    <w:p w14:paraId="26244F39" w14:textId="77777777" w:rsidR="00C05BB3" w:rsidRDefault="00691590">
      <w:pPr>
        <w:spacing w:before="240" w:after="240"/>
      </w:pPr>
      <w:r>
        <w:t>&lt;ESMA_QUESTION_ECSP_3&gt;</w:t>
      </w:r>
    </w:p>
    <w:p w14:paraId="59FFFB5F" w14:textId="77777777" w:rsidR="00C05BB3" w:rsidRDefault="00691590">
      <w:pPr>
        <w:spacing w:before="240" w:after="240"/>
      </w:pPr>
      <w:r>
        <w:t xml:space="preserve"> </w:t>
      </w:r>
    </w:p>
    <w:p w14:paraId="4C5B5828" w14:textId="77777777" w:rsidR="00C05BB3" w:rsidRDefault="00691590">
      <w:pPr>
        <w:spacing w:before="240" w:after="240"/>
      </w:pPr>
      <w:proofErr w:type="gramStart"/>
      <w:r>
        <w:t>Q4</w:t>
      </w:r>
      <w:proofErr w:type="gramEnd"/>
      <w:r>
        <w:rPr>
          <w:sz w:val="14"/>
          <w:szCs w:val="14"/>
        </w:rPr>
        <w:t xml:space="preserve">    </w:t>
      </w:r>
      <w:r>
        <w:t>Do you agree with the details of the business continuity plan suggested in the draft RTS?</w:t>
      </w:r>
    </w:p>
    <w:p w14:paraId="6751DEE7" w14:textId="77777777" w:rsidR="00C05BB3" w:rsidRDefault="00691590">
      <w:pPr>
        <w:spacing w:before="240" w:after="240"/>
      </w:pPr>
      <w:r>
        <w:t>&lt;ESMA_QUES</w:t>
      </w:r>
      <w:r>
        <w:t>TION_ECSP_4&gt;</w:t>
      </w:r>
    </w:p>
    <w:p w14:paraId="1A99FB6B" w14:textId="7F0D3816" w:rsidR="00D46A05" w:rsidRDefault="00691590">
      <w:pPr>
        <w:spacing w:before="240" w:after="240"/>
      </w:pPr>
      <w:r w:rsidRPr="00D46A05">
        <w:rPr>
          <w:rFonts w:ascii="Roboto" w:eastAsia="Roboto" w:hAnsi="Roboto" w:cs="Roboto"/>
        </w:rPr>
        <w:t>In general</w:t>
      </w:r>
      <w:r w:rsidR="00F40E5B">
        <w:rPr>
          <w:rFonts w:ascii="Roboto" w:eastAsia="Roboto" w:hAnsi="Roboto" w:cs="Roboto"/>
        </w:rPr>
        <w:t>,</w:t>
      </w:r>
      <w:r w:rsidRPr="00D46A05">
        <w:rPr>
          <w:rFonts w:ascii="Roboto" w:eastAsia="Roboto" w:hAnsi="Roboto" w:cs="Roboto"/>
        </w:rPr>
        <w:t xml:space="preserve"> we see the requirements suggested in the draft RTS as reasonable. ESMA should provide clarifications to Member States as to what “exceptional circumstances causing significant business interruptions or incidents" is intended to capt</w:t>
      </w:r>
      <w:r w:rsidRPr="00D46A05">
        <w:rPr>
          <w:rFonts w:ascii="Roboto" w:eastAsia="Roboto" w:hAnsi="Roboto" w:cs="Roboto"/>
        </w:rPr>
        <w:t>ure and what approaches by CSPs would be deemed acceptable in the context of the business continuation plan.</w:t>
      </w:r>
      <w:r>
        <w:t xml:space="preserve"> </w:t>
      </w:r>
    </w:p>
    <w:p w14:paraId="4AE14518" w14:textId="7CD53688" w:rsidR="00C05BB3" w:rsidRDefault="00691590">
      <w:pPr>
        <w:spacing w:before="240" w:after="240"/>
      </w:pPr>
      <w:r>
        <w:t>&lt;ESMA_QUESTION_ECSP_4&gt;</w:t>
      </w:r>
    </w:p>
    <w:p w14:paraId="3F248941" w14:textId="77777777" w:rsidR="00C05BB3" w:rsidRDefault="00691590">
      <w:pPr>
        <w:spacing w:before="240" w:after="240"/>
      </w:pPr>
      <w:r>
        <w:t xml:space="preserve"> </w:t>
      </w:r>
    </w:p>
    <w:p w14:paraId="77B24CCA" w14:textId="77777777" w:rsidR="00C05BB3" w:rsidRDefault="00691590">
      <w:pPr>
        <w:spacing w:before="240" w:after="240"/>
      </w:pPr>
      <w:proofErr w:type="gramStart"/>
      <w:r>
        <w:t>Q5</w:t>
      </w:r>
      <w:proofErr w:type="gramEnd"/>
      <w:r>
        <w:rPr>
          <w:sz w:val="14"/>
          <w:szCs w:val="14"/>
        </w:rPr>
        <w:t xml:space="preserve">    </w:t>
      </w:r>
      <w:r>
        <w:t>Do you have any comment on the authorisation procedure proposed in the draft RTS?</w:t>
      </w:r>
    </w:p>
    <w:p w14:paraId="0E38DAD8" w14:textId="77777777" w:rsidR="00C05BB3" w:rsidRDefault="00691590">
      <w:pPr>
        <w:spacing w:before="240" w:after="240"/>
      </w:pPr>
      <w:r>
        <w:t>&lt;ESMA_QUESTION_ECSP_5&gt;</w:t>
      </w:r>
    </w:p>
    <w:p w14:paraId="5BC891AA" w14:textId="279B6097" w:rsidR="006C2ECC" w:rsidRDefault="00691590">
      <w:pPr>
        <w:spacing w:before="240" w:after="240"/>
      </w:pPr>
      <w:r w:rsidRPr="006C2ECC">
        <w:t xml:space="preserve">We believe </w:t>
      </w:r>
      <w:r w:rsidRPr="006C2ECC">
        <w:t xml:space="preserve">that the RTS is relevant and detailed. </w:t>
      </w:r>
      <w:r w:rsidRPr="006C2ECC">
        <w:rPr>
          <w:rFonts w:ascii="Roboto" w:eastAsia="Roboto" w:hAnsi="Roboto" w:cs="Roboto"/>
        </w:rPr>
        <w:t>We also would welcome it if ESMA could provide more guidance to Member States regarding th</w:t>
      </w:r>
      <w:r w:rsidRPr="006C2ECC">
        <w:rPr>
          <w:rFonts w:ascii="Roboto" w:eastAsia="Roboto" w:hAnsi="Roboto" w:cs="Roboto"/>
        </w:rPr>
        <w:t>e treatment of prudential safeguards, for instance the minimum capital requirement or the procedure to ensure correctness and completeness of the KIIS</w:t>
      </w:r>
      <w:r w:rsidRPr="006C2ECC">
        <w:t>.</w:t>
      </w:r>
    </w:p>
    <w:p w14:paraId="363054E1" w14:textId="38421FBE" w:rsidR="00C05BB3" w:rsidRDefault="00691590">
      <w:pPr>
        <w:spacing w:before="240" w:after="240"/>
      </w:pPr>
      <w:r>
        <w:t>&lt;ESMA_QUESTION_ECSP_5&gt;</w:t>
      </w:r>
    </w:p>
    <w:p w14:paraId="77350F5B" w14:textId="77777777" w:rsidR="00C05BB3" w:rsidRDefault="00691590">
      <w:pPr>
        <w:spacing w:before="240" w:after="240"/>
      </w:pPr>
      <w:r>
        <w:t xml:space="preserve"> </w:t>
      </w:r>
    </w:p>
    <w:p w14:paraId="499B0B2C" w14:textId="77777777" w:rsidR="00C05BB3" w:rsidRDefault="00691590">
      <w:pPr>
        <w:spacing w:before="240" w:after="240"/>
      </w:pPr>
      <w:proofErr w:type="gramStart"/>
      <w:r>
        <w:t>Q6</w:t>
      </w:r>
      <w:proofErr w:type="gramEnd"/>
      <w:r>
        <w:rPr>
          <w:sz w:val="14"/>
          <w:szCs w:val="14"/>
        </w:rPr>
        <w:t xml:space="preserve">    </w:t>
      </w:r>
      <w:r>
        <w:t>Do you agree with the list of information set out in draft RTS to be prov</w:t>
      </w:r>
      <w:r>
        <w:t>ided to the Competent Authority of the Member State where the applicant is established? If not, what other information should ESMA further specify?</w:t>
      </w:r>
    </w:p>
    <w:p w14:paraId="5C086D3A" w14:textId="77777777" w:rsidR="00C05BB3" w:rsidRDefault="00691590">
      <w:pPr>
        <w:spacing w:before="240" w:after="240"/>
      </w:pPr>
      <w:r>
        <w:lastRenderedPageBreak/>
        <w:t>&lt;ESMA_QUESTION_ECSP_6&gt;</w:t>
      </w:r>
    </w:p>
    <w:p w14:paraId="05C6127B" w14:textId="23D195E0" w:rsidR="00F40E5B" w:rsidRDefault="00F40E5B">
      <w:pPr>
        <w:rPr>
          <w:rFonts w:ascii="Roboto" w:eastAsia="Roboto" w:hAnsi="Roboto" w:cs="Roboto"/>
        </w:rPr>
      </w:pPr>
      <w:r w:rsidRPr="00F40E5B">
        <w:rPr>
          <w:rFonts w:ascii="Roboto" w:eastAsia="Roboto" w:hAnsi="Roboto" w:cs="Roboto"/>
        </w:rPr>
        <w:t>We feel</w:t>
      </w:r>
      <w:r w:rsidR="00691590" w:rsidRPr="00F40E5B">
        <w:t>, the d</w:t>
      </w:r>
      <w:r w:rsidR="00691590" w:rsidRPr="00F40E5B">
        <w:rPr>
          <w:rFonts w:ascii="Roboto" w:eastAsia="Roboto" w:hAnsi="Roboto" w:cs="Roboto"/>
        </w:rPr>
        <w:t xml:space="preserve">escription of the marketing strategy that the prospective CSP plans to use in the Union, including languages </w:t>
      </w:r>
      <w:r w:rsidR="00691590" w:rsidRPr="00F40E5B">
        <w:rPr>
          <w:rFonts w:ascii="Roboto" w:eastAsia="Roboto" w:hAnsi="Roboto" w:cs="Roboto"/>
        </w:rPr>
        <w:t>of the marketing communications; identification of the Member States where advertisements will be most visible in media and expected frequency</w:t>
      </w:r>
      <w:r w:rsidR="00691590" w:rsidRPr="00F40E5B">
        <w:t xml:space="preserve"> is in our view </w:t>
      </w:r>
      <w:r>
        <w:t xml:space="preserve">far </w:t>
      </w:r>
      <w:r w:rsidR="00691590" w:rsidRPr="00F40E5B">
        <w:t xml:space="preserve">too concrete and unnecessary </w:t>
      </w:r>
      <w:r w:rsidRPr="00F40E5B">
        <w:t xml:space="preserve">detailed </w:t>
      </w:r>
      <w:r w:rsidR="00691590" w:rsidRPr="00F40E5B">
        <w:t xml:space="preserve">for the purposes of the application. Furthermore, due to passporting </w:t>
      </w:r>
      <w:r w:rsidR="00691590" w:rsidRPr="00F40E5B">
        <w:t>option, the member states</w:t>
      </w:r>
      <w:r w:rsidRPr="00F40E5B">
        <w:t xml:space="preserve"> </w:t>
      </w:r>
      <w:r w:rsidR="00691590" w:rsidRPr="00F40E5B">
        <w:t>where the offers are marketed as well as the languages may change, therefore we see no reason why this should be included already in the initial application.</w:t>
      </w:r>
      <w:r w:rsidR="00691590" w:rsidRPr="00F40E5B">
        <w:t xml:space="preserve"> </w:t>
      </w:r>
      <w:r w:rsidR="000E343C">
        <w:t>Clearly, CSPs will need to comply with marketing restrictions of the Member States they are operating or intending to operate in.</w:t>
      </w:r>
    </w:p>
    <w:p w14:paraId="460E74A3" w14:textId="77777777" w:rsidR="00F40E5B" w:rsidRDefault="00F40E5B">
      <w:pPr>
        <w:rPr>
          <w:rFonts w:ascii="Roboto" w:eastAsia="Roboto" w:hAnsi="Roboto" w:cs="Roboto"/>
        </w:rPr>
      </w:pPr>
    </w:p>
    <w:p w14:paraId="72FA0ECA" w14:textId="1ABFAAF7" w:rsidR="00C05BB3" w:rsidRDefault="00691590">
      <w:r>
        <w:t>&lt;ESMA_QUESTION_ECSP_6&gt;</w:t>
      </w:r>
    </w:p>
    <w:p w14:paraId="7E163DFC" w14:textId="77777777" w:rsidR="00C05BB3" w:rsidRDefault="00691590">
      <w:pPr>
        <w:spacing w:before="240" w:after="240"/>
      </w:pPr>
      <w:r>
        <w:t xml:space="preserve"> </w:t>
      </w:r>
    </w:p>
    <w:p w14:paraId="3654EE40" w14:textId="77777777" w:rsidR="00C05BB3" w:rsidRDefault="00691590">
      <w:pPr>
        <w:spacing w:before="240" w:after="240"/>
      </w:pPr>
      <w:proofErr w:type="gramStart"/>
      <w:r>
        <w:t>Q7</w:t>
      </w:r>
      <w:proofErr w:type="gramEnd"/>
      <w:r>
        <w:rPr>
          <w:sz w:val="14"/>
          <w:szCs w:val="14"/>
        </w:rPr>
        <w:t xml:space="preserve">    </w:t>
      </w:r>
      <w:r>
        <w:t>Do you think that the methodologies provi</w:t>
      </w:r>
      <w:r>
        <w:t>ded in the draft RTS are sufficiently clear?</w:t>
      </w:r>
    </w:p>
    <w:p w14:paraId="7344D0E8" w14:textId="77777777" w:rsidR="00C05BB3" w:rsidRDefault="00691590">
      <w:pPr>
        <w:spacing w:before="240" w:after="240"/>
      </w:pPr>
      <w:r>
        <w:t>&lt;ESMA_QUESTION_ECSP_7&gt;</w:t>
      </w:r>
    </w:p>
    <w:p w14:paraId="079D5AC1" w14:textId="3619EBE1" w:rsidR="00FE5F3A" w:rsidRPr="001421B4" w:rsidRDefault="00691590">
      <w:pPr>
        <w:spacing w:before="240" w:after="240"/>
      </w:pPr>
      <w:r w:rsidRPr="001421B4">
        <w:t>We do not think that the methodology is entirely clear</w:t>
      </w:r>
      <w:r w:rsidR="001421B4">
        <w:t xml:space="preserve"> and more important: could do better serving its purpose to inform </w:t>
      </w:r>
      <w:r w:rsidR="000E343C">
        <w:t xml:space="preserve">(potential) </w:t>
      </w:r>
      <w:r w:rsidR="001421B4">
        <w:t>investors</w:t>
      </w:r>
      <w:r w:rsidRPr="001421B4">
        <w:t xml:space="preserve">. </w:t>
      </w:r>
      <w:r w:rsidR="0041120B" w:rsidRPr="001421B4">
        <w:t>Regarding</w:t>
      </w:r>
      <w:r w:rsidRPr="001421B4">
        <w:t xml:space="preserve"> the calculation</w:t>
      </w:r>
      <w:r w:rsidRPr="001421B4">
        <w:t xml:space="preserve"> of the default rate, in Article 2 paragraph 2 of the RTS, the denominator consists of the number of non-default loans and the numerator consists of all loans with at least one default. This calculation does not reflect that some loans amount to EUR 100k w</w:t>
      </w:r>
      <w:r w:rsidRPr="001421B4">
        <w:t xml:space="preserve">hereas others could be up to EUR 5m. </w:t>
      </w:r>
      <w:r w:rsidR="00084507" w:rsidRPr="001421B4">
        <w:t xml:space="preserve">We strongly encourage investors to reduce risk by spreading their investments. We feel a weighted calculation </w:t>
      </w:r>
      <w:r w:rsidR="0041120B" w:rsidRPr="001421B4">
        <w:t xml:space="preserve">method for default rates would best serve the purpose to </w:t>
      </w:r>
      <w:r w:rsidR="00AB7696">
        <w:t xml:space="preserve">properly </w:t>
      </w:r>
      <w:r w:rsidR="0041120B" w:rsidRPr="001421B4">
        <w:t xml:space="preserve">inform investors. At least, ESMA should allow </w:t>
      </w:r>
      <w:r w:rsidRPr="001421B4">
        <w:t xml:space="preserve">for </w:t>
      </w:r>
      <w:r w:rsidR="00D75403" w:rsidRPr="001421B4">
        <w:t xml:space="preserve">both </w:t>
      </w:r>
      <w:r w:rsidRPr="001421B4">
        <w:t xml:space="preserve">methods to be presented together. </w:t>
      </w:r>
    </w:p>
    <w:p w14:paraId="6FE6C74C" w14:textId="537A89AF" w:rsidR="0041120B" w:rsidRPr="001421B4" w:rsidRDefault="00FE5F3A" w:rsidP="009C5EE3">
      <w:pPr>
        <w:spacing w:before="240" w:after="240"/>
      </w:pPr>
      <w:r w:rsidRPr="001421B4">
        <w:t xml:space="preserve">The calculation method </w:t>
      </w:r>
      <w:r w:rsidR="00AB7696">
        <w:t xml:space="preserve">in the RTS </w:t>
      </w:r>
      <w:r w:rsidRPr="001421B4">
        <w:t xml:space="preserve">does not </w:t>
      </w:r>
      <w:r w:rsidR="00AB7696">
        <w:t xml:space="preserve">take the actual risks from </w:t>
      </w:r>
      <w:r w:rsidRPr="001421B4">
        <w:t>a default situation</w:t>
      </w:r>
      <w:r w:rsidR="00AB7696">
        <w:t xml:space="preserve"> into account</w:t>
      </w:r>
      <w:r w:rsidRPr="001421B4">
        <w:t xml:space="preserve">. A default situation indicates a risk of loosing money. The longer </w:t>
      </w:r>
      <w:r w:rsidR="009C5EE3" w:rsidRPr="001421B4">
        <w:t xml:space="preserve">a </w:t>
      </w:r>
      <w:r w:rsidRPr="001421B4">
        <w:t>default situation last</w:t>
      </w:r>
      <w:r w:rsidR="009C5EE3" w:rsidRPr="001421B4">
        <w:t>s</w:t>
      </w:r>
      <w:r w:rsidRPr="001421B4">
        <w:t xml:space="preserve">, the higher the risk of losing money will be. </w:t>
      </w:r>
    </w:p>
    <w:p w14:paraId="19C58EEC" w14:textId="5EAC9CAC" w:rsidR="009C5EE3" w:rsidRPr="001421B4" w:rsidRDefault="009C5EE3" w:rsidP="009C5EE3">
      <w:pPr>
        <w:spacing w:before="240" w:after="240"/>
      </w:pPr>
      <w:r w:rsidRPr="001421B4">
        <w:t>Also, the loan may be partially or even almost repaid. Only the actual outstanding amount is at risk of being fully repaid to investors.</w:t>
      </w:r>
      <w:r w:rsidR="00084507" w:rsidRPr="001421B4">
        <w:t xml:space="preserve"> A loan may be fully recovered from </w:t>
      </w:r>
      <w:r w:rsidR="00AB7696">
        <w:t xml:space="preserve">the </w:t>
      </w:r>
      <w:r w:rsidR="00084507" w:rsidRPr="001421B4">
        <w:t xml:space="preserve">securities provided on </w:t>
      </w:r>
      <w:r w:rsidR="00AB7696">
        <w:t xml:space="preserve">that </w:t>
      </w:r>
      <w:r w:rsidR="00084507" w:rsidRPr="001421B4">
        <w:t xml:space="preserve">loan. Hence, the actual effect from the default situation to investors would be zero, which is not reflected in current model. </w:t>
      </w:r>
    </w:p>
    <w:p w14:paraId="477F30DA" w14:textId="5DB350E4" w:rsidR="009C5EE3" w:rsidRPr="001421B4" w:rsidRDefault="009C5EE3" w:rsidP="00FE5F3A">
      <w:pPr>
        <w:spacing w:before="240" w:after="240"/>
      </w:pPr>
      <w:r w:rsidRPr="001421B4">
        <w:t xml:space="preserve">We suggest </w:t>
      </w:r>
      <w:r w:rsidR="001421B4" w:rsidRPr="001421B4">
        <w:t>considering</w:t>
      </w:r>
      <w:r w:rsidR="001421B4">
        <w:t xml:space="preserve"> an alternative</w:t>
      </w:r>
      <w:r w:rsidR="00AB7696">
        <w:t>,</w:t>
      </w:r>
      <w:r w:rsidR="001421B4">
        <w:t xml:space="preserve"> </w:t>
      </w:r>
      <w:r w:rsidRPr="001421B4">
        <w:t>weight</w:t>
      </w:r>
      <w:r w:rsidR="001421B4">
        <w:t>ed model</w:t>
      </w:r>
      <w:r w:rsidRPr="001421B4">
        <w:t>:</w:t>
      </w:r>
    </w:p>
    <w:p w14:paraId="6A51A97D" w14:textId="19AB36A0" w:rsidR="009C5EE3" w:rsidRPr="001421B4" w:rsidRDefault="009C5EE3" w:rsidP="00AB7696">
      <w:pPr>
        <w:pStyle w:val="ListParagraph"/>
        <w:numPr>
          <w:ilvl w:val="0"/>
          <w:numId w:val="3"/>
        </w:numPr>
        <w:spacing w:before="240" w:after="240"/>
      </w:pPr>
      <w:r w:rsidRPr="001421B4">
        <w:t>Default 90</w:t>
      </w:r>
      <w:r w:rsidR="00084507" w:rsidRPr="001421B4">
        <w:t xml:space="preserve"> </w:t>
      </w:r>
      <w:r w:rsidRPr="001421B4">
        <w:t>-</w:t>
      </w:r>
      <w:r w:rsidR="00084507" w:rsidRPr="001421B4">
        <w:t xml:space="preserve"> </w:t>
      </w:r>
      <w:r w:rsidRPr="001421B4">
        <w:t>179 days: 25% of outstanding amount added to numerator</w:t>
      </w:r>
    </w:p>
    <w:p w14:paraId="0560E63C" w14:textId="4272D8FA" w:rsidR="009C5EE3" w:rsidRPr="001421B4" w:rsidRDefault="009C5EE3" w:rsidP="00AB7696">
      <w:pPr>
        <w:pStyle w:val="ListParagraph"/>
        <w:numPr>
          <w:ilvl w:val="0"/>
          <w:numId w:val="3"/>
        </w:numPr>
        <w:spacing w:before="240" w:after="240"/>
      </w:pPr>
      <w:r w:rsidRPr="001421B4">
        <w:t xml:space="preserve">Default </w:t>
      </w:r>
      <w:r w:rsidRPr="001421B4">
        <w:t>18</w:t>
      </w:r>
      <w:r w:rsidRPr="001421B4">
        <w:t>0</w:t>
      </w:r>
      <w:r w:rsidR="00084507" w:rsidRPr="001421B4">
        <w:t xml:space="preserve"> </w:t>
      </w:r>
      <w:r w:rsidRPr="001421B4">
        <w:t>-</w:t>
      </w:r>
      <w:r w:rsidR="00084507" w:rsidRPr="001421B4">
        <w:t xml:space="preserve"> </w:t>
      </w:r>
      <w:r w:rsidRPr="001421B4">
        <w:t>26</w:t>
      </w:r>
      <w:r w:rsidRPr="001421B4">
        <w:t xml:space="preserve">9 days: </w:t>
      </w:r>
      <w:r w:rsidRPr="001421B4">
        <w:t>50</w:t>
      </w:r>
      <w:r w:rsidRPr="001421B4">
        <w:t xml:space="preserve">% of outstanding </w:t>
      </w:r>
      <w:r w:rsidRPr="001421B4">
        <w:t xml:space="preserve">amount added </w:t>
      </w:r>
      <w:r w:rsidRPr="001421B4">
        <w:t>to numerator</w:t>
      </w:r>
    </w:p>
    <w:p w14:paraId="2289F6D7" w14:textId="13C837DC" w:rsidR="009C5EE3" w:rsidRPr="001421B4" w:rsidRDefault="009C5EE3" w:rsidP="00AB7696">
      <w:pPr>
        <w:pStyle w:val="ListParagraph"/>
        <w:numPr>
          <w:ilvl w:val="0"/>
          <w:numId w:val="3"/>
        </w:numPr>
        <w:spacing w:before="240" w:after="240"/>
      </w:pPr>
      <w:r w:rsidRPr="001421B4">
        <w:t xml:space="preserve">Default </w:t>
      </w:r>
      <w:r w:rsidR="00084507" w:rsidRPr="001421B4">
        <w:t xml:space="preserve">270 </w:t>
      </w:r>
      <w:r w:rsidRPr="001421B4">
        <w:t>-</w:t>
      </w:r>
      <w:r w:rsidR="00084507" w:rsidRPr="001421B4">
        <w:t xml:space="preserve"> 35</w:t>
      </w:r>
      <w:r w:rsidRPr="001421B4">
        <w:t xml:space="preserve">9 days: </w:t>
      </w:r>
      <w:r w:rsidR="00084507" w:rsidRPr="001421B4">
        <w:t>7</w:t>
      </w:r>
      <w:r w:rsidRPr="001421B4">
        <w:t>5% of outstanding amount added to numerator</w:t>
      </w:r>
    </w:p>
    <w:p w14:paraId="339B412C" w14:textId="7C39F74A" w:rsidR="00084507" w:rsidRPr="001421B4" w:rsidRDefault="00084507" w:rsidP="00AB7696">
      <w:pPr>
        <w:pStyle w:val="ListParagraph"/>
        <w:numPr>
          <w:ilvl w:val="0"/>
          <w:numId w:val="3"/>
        </w:numPr>
        <w:spacing w:before="240" w:after="240"/>
      </w:pPr>
      <w:r w:rsidRPr="001421B4">
        <w:t>Default 3</w:t>
      </w:r>
      <w:r w:rsidRPr="001421B4">
        <w:t>60</w:t>
      </w:r>
      <w:r w:rsidRPr="001421B4">
        <w:t xml:space="preserve"> days</w:t>
      </w:r>
      <w:r w:rsidRPr="001421B4">
        <w:t xml:space="preserve"> or more</w:t>
      </w:r>
      <w:r w:rsidRPr="001421B4">
        <w:t xml:space="preserve">: </w:t>
      </w:r>
      <w:r w:rsidRPr="001421B4">
        <w:t>100</w:t>
      </w:r>
      <w:r w:rsidRPr="001421B4">
        <w:t>% of outstanding amount added to numerator</w:t>
      </w:r>
    </w:p>
    <w:p w14:paraId="3D746B4A" w14:textId="195BA368" w:rsidR="009C5EE3" w:rsidRPr="001421B4" w:rsidRDefault="00084507" w:rsidP="00FE5F3A">
      <w:pPr>
        <w:spacing w:before="240" w:after="240"/>
      </w:pPr>
      <w:r w:rsidRPr="001421B4">
        <w:t>D</w:t>
      </w:r>
      <w:r w:rsidRPr="001421B4">
        <w:t>enominator</w:t>
      </w:r>
      <w:r w:rsidRPr="001421B4">
        <w:t xml:space="preserve"> </w:t>
      </w:r>
      <w:r w:rsidR="00A10B57" w:rsidRPr="001421B4">
        <w:t xml:space="preserve">being </w:t>
      </w:r>
      <w:r w:rsidRPr="001421B4">
        <w:t>the total outstanding amount from all loans.</w:t>
      </w:r>
    </w:p>
    <w:p w14:paraId="0921B14A" w14:textId="2645817A" w:rsidR="00B76622" w:rsidRPr="001421B4" w:rsidRDefault="00B76622" w:rsidP="00FE5F3A">
      <w:pPr>
        <w:spacing w:before="240" w:after="240"/>
      </w:pPr>
      <w:r w:rsidRPr="001421B4">
        <w:t>Default % = (numerator / denominator) x 100%</w:t>
      </w:r>
    </w:p>
    <w:p w14:paraId="79EB24AE" w14:textId="596403C5" w:rsidR="001421B4" w:rsidRPr="001421B4" w:rsidRDefault="00FE5F3A" w:rsidP="00FE5F3A">
      <w:pPr>
        <w:spacing w:before="240" w:after="240"/>
      </w:pPr>
      <w:r w:rsidRPr="001421B4">
        <w:lastRenderedPageBreak/>
        <w:t>In the event, an alternative repayment schedule has been agreed with all investors, a default status of a loan is lifted</w:t>
      </w:r>
      <w:r w:rsidR="001421B4">
        <w:t xml:space="preserve"> and therefore not (no longer) included</w:t>
      </w:r>
      <w:r w:rsidRPr="001421B4">
        <w:t xml:space="preserve">. </w:t>
      </w:r>
      <w:r w:rsidR="001421B4">
        <w:t>Also, f</w:t>
      </w:r>
      <w:r w:rsidR="0041120B" w:rsidRPr="001421B4">
        <w:t xml:space="preserve">ull recovery of a loan is reflected in this model </w:t>
      </w:r>
      <w:r w:rsidR="00A10B57" w:rsidRPr="001421B4">
        <w:t xml:space="preserve">since the </w:t>
      </w:r>
      <w:r w:rsidR="0041120B" w:rsidRPr="001421B4">
        <w:t>default situation</w:t>
      </w:r>
      <w:r w:rsidR="00A10B57" w:rsidRPr="001421B4">
        <w:t xml:space="preserve"> would no longer exist</w:t>
      </w:r>
      <w:r w:rsidR="0041120B" w:rsidRPr="001421B4">
        <w:t xml:space="preserve">. </w:t>
      </w:r>
    </w:p>
    <w:p w14:paraId="3384451E" w14:textId="5B32D638" w:rsidR="0041120B" w:rsidRPr="001421B4" w:rsidRDefault="00B76622" w:rsidP="00FE5F3A">
      <w:pPr>
        <w:spacing w:before="240" w:after="240"/>
      </w:pPr>
      <w:r w:rsidRPr="001421B4">
        <w:t>We recommend th</w:t>
      </w:r>
      <w:r w:rsidR="00A10B57" w:rsidRPr="001421B4">
        <w:t xml:space="preserve">at </w:t>
      </w:r>
      <w:r w:rsidR="00AB7696">
        <w:t xml:space="preserve">CPS updates </w:t>
      </w:r>
      <w:r w:rsidR="00AB7696" w:rsidRPr="001421B4">
        <w:t xml:space="preserve">(at least) monthly </w:t>
      </w:r>
      <w:r w:rsidR="00AB7696">
        <w:t xml:space="preserve">and presents its </w:t>
      </w:r>
      <w:r w:rsidR="001421B4" w:rsidRPr="001421B4">
        <w:t>D</w:t>
      </w:r>
      <w:r w:rsidR="00A10B57" w:rsidRPr="001421B4">
        <w:t xml:space="preserve">efault % </w:t>
      </w:r>
      <w:r w:rsidRPr="001421B4">
        <w:t>on the</w:t>
      </w:r>
      <w:r w:rsidR="00AB7696">
        <w:t>ir</w:t>
      </w:r>
      <w:r w:rsidRPr="001421B4">
        <w:t xml:space="preserve"> platform.</w:t>
      </w:r>
    </w:p>
    <w:p w14:paraId="6C71AE98" w14:textId="4C8BC61A" w:rsidR="00FE5F3A" w:rsidRPr="001421B4" w:rsidRDefault="0041120B" w:rsidP="00FE5F3A">
      <w:pPr>
        <w:spacing w:before="240" w:after="240"/>
      </w:pPr>
      <w:r w:rsidRPr="001421B4">
        <w:t xml:space="preserve">The RTS as well as </w:t>
      </w:r>
      <w:r w:rsidR="001421B4">
        <w:t>abovementioned</w:t>
      </w:r>
      <w:r w:rsidRPr="001421B4">
        <w:t xml:space="preserve"> alternative do not cover insight in actual loss</w:t>
      </w:r>
      <w:r w:rsidR="001421B4">
        <w:t xml:space="preserve"> that has occurred</w:t>
      </w:r>
      <w:r w:rsidRPr="001421B4">
        <w:t xml:space="preserve">. A default situation </w:t>
      </w:r>
      <w:r w:rsidR="001421B4">
        <w:t xml:space="preserve">always </w:t>
      </w:r>
      <w:r w:rsidRPr="001421B4">
        <w:t>result</w:t>
      </w:r>
      <w:r w:rsidR="001421B4">
        <w:t>s</w:t>
      </w:r>
      <w:r w:rsidRPr="001421B4">
        <w:t xml:space="preserve"> </w:t>
      </w:r>
      <w:r w:rsidR="001421B4">
        <w:t xml:space="preserve">in </w:t>
      </w:r>
      <w:r w:rsidRPr="001421B4">
        <w:t xml:space="preserve">either a full recovery </w:t>
      </w:r>
      <w:r w:rsidR="00B76622" w:rsidRPr="001421B4">
        <w:t xml:space="preserve">of a loan </w:t>
      </w:r>
      <w:r w:rsidRPr="001421B4">
        <w:t xml:space="preserve">or a </w:t>
      </w:r>
      <w:r w:rsidR="00B76622" w:rsidRPr="001421B4">
        <w:t xml:space="preserve">(partial) </w:t>
      </w:r>
      <w:r w:rsidRPr="001421B4">
        <w:t xml:space="preserve">loss of </w:t>
      </w:r>
      <w:r w:rsidR="00B76622" w:rsidRPr="001421B4">
        <w:t xml:space="preserve">the </w:t>
      </w:r>
      <w:r w:rsidRPr="001421B4">
        <w:t xml:space="preserve">money invested. We suggest CSPs should </w:t>
      </w:r>
      <w:r w:rsidR="00B76622" w:rsidRPr="001421B4">
        <w:t xml:space="preserve">report </w:t>
      </w:r>
      <w:r w:rsidRPr="001421B4">
        <w:t>on</w:t>
      </w:r>
      <w:r w:rsidR="00B76622" w:rsidRPr="001421B4">
        <w:t xml:space="preserve"> actual losses as well</w:t>
      </w:r>
      <w:r w:rsidR="001421B4">
        <w:t>. We propose</w:t>
      </w:r>
      <w:r w:rsidR="00B76622" w:rsidRPr="001421B4">
        <w:t xml:space="preserve">: </w:t>
      </w:r>
    </w:p>
    <w:p w14:paraId="43E43AAF" w14:textId="003FEBA3" w:rsidR="00B76622" w:rsidRPr="001421B4" w:rsidRDefault="00B76622" w:rsidP="00FE5F3A">
      <w:pPr>
        <w:spacing w:before="240" w:after="240"/>
      </w:pPr>
      <w:r w:rsidRPr="001421B4">
        <w:t xml:space="preserve">Numerator being the </w:t>
      </w:r>
      <w:r w:rsidR="00A10B57" w:rsidRPr="001421B4">
        <w:t xml:space="preserve">total </w:t>
      </w:r>
      <w:r w:rsidRPr="001421B4">
        <w:t xml:space="preserve">amount </w:t>
      </w:r>
      <w:r w:rsidR="00A10B57" w:rsidRPr="001421B4">
        <w:t xml:space="preserve">over time that is </w:t>
      </w:r>
      <w:r w:rsidRPr="001421B4">
        <w:t>written-off (no further option</w:t>
      </w:r>
      <w:r w:rsidR="00A10B57" w:rsidRPr="001421B4">
        <w:t>s</w:t>
      </w:r>
      <w:r w:rsidRPr="001421B4">
        <w:t xml:space="preserve"> for recovery exist, hence lost).</w:t>
      </w:r>
    </w:p>
    <w:p w14:paraId="69E6AB1F" w14:textId="13707161" w:rsidR="00B76622" w:rsidRPr="001421B4" w:rsidRDefault="00B76622" w:rsidP="00FE5F3A">
      <w:pPr>
        <w:spacing w:before="240" w:after="240"/>
      </w:pPr>
      <w:r w:rsidRPr="001421B4">
        <w:t>Denominator</w:t>
      </w:r>
      <w:r w:rsidRPr="001421B4">
        <w:t xml:space="preserve"> being the total amount raised</w:t>
      </w:r>
      <w:r w:rsidR="00A10B57" w:rsidRPr="001421B4">
        <w:t xml:space="preserve"> on CSP platform.</w:t>
      </w:r>
    </w:p>
    <w:p w14:paraId="653CAE00" w14:textId="2451E459" w:rsidR="00B76622" w:rsidRPr="001421B4" w:rsidRDefault="00B76622" w:rsidP="00FE5F3A">
      <w:pPr>
        <w:spacing w:before="240" w:after="240"/>
      </w:pPr>
      <w:r w:rsidRPr="001421B4">
        <w:t xml:space="preserve">Written-off % = </w:t>
      </w:r>
      <w:r w:rsidRPr="001421B4">
        <w:t>(numerator / denominator) x 100%</w:t>
      </w:r>
    </w:p>
    <w:p w14:paraId="1F00DA97" w14:textId="73F4BA78" w:rsidR="00AB7696" w:rsidRPr="001421B4" w:rsidRDefault="00AB7696" w:rsidP="00AB7696">
      <w:pPr>
        <w:spacing w:before="240" w:after="240"/>
      </w:pPr>
      <w:r w:rsidRPr="001421B4">
        <w:t xml:space="preserve">We recommend that </w:t>
      </w:r>
      <w:r>
        <w:t xml:space="preserve">CPS updates </w:t>
      </w:r>
      <w:r w:rsidRPr="001421B4">
        <w:t xml:space="preserve">(at least) monthly </w:t>
      </w:r>
      <w:r>
        <w:t xml:space="preserve">and presents its </w:t>
      </w:r>
      <w:r>
        <w:t>Written-off</w:t>
      </w:r>
      <w:r w:rsidRPr="001421B4">
        <w:t xml:space="preserve"> % on the</w:t>
      </w:r>
      <w:r>
        <w:t>ir</w:t>
      </w:r>
      <w:r w:rsidRPr="001421B4">
        <w:t xml:space="preserve"> platform.</w:t>
      </w:r>
    </w:p>
    <w:p w14:paraId="3D830809" w14:textId="709FD44C" w:rsidR="00C05BB3" w:rsidRDefault="00691590">
      <w:pPr>
        <w:spacing w:before="240" w:after="240"/>
      </w:pPr>
      <w:r>
        <w:t>&lt;ESMA_QUESTION_ECSP_7&gt;</w:t>
      </w:r>
    </w:p>
    <w:p w14:paraId="3EA05B86" w14:textId="77777777" w:rsidR="00AC0392" w:rsidRDefault="00AC0392">
      <w:pPr>
        <w:spacing w:before="240" w:after="240"/>
      </w:pPr>
    </w:p>
    <w:p w14:paraId="66D80D65" w14:textId="77777777" w:rsidR="00C05BB3" w:rsidRDefault="00691590">
      <w:pPr>
        <w:spacing w:before="240" w:after="240"/>
      </w:pPr>
      <w:proofErr w:type="gramStart"/>
      <w:r>
        <w:t>Q8</w:t>
      </w:r>
      <w:proofErr w:type="gramEnd"/>
      <w:r>
        <w:rPr>
          <w:sz w:val="14"/>
          <w:szCs w:val="14"/>
        </w:rPr>
        <w:t xml:space="preserve">    </w:t>
      </w:r>
      <w:r>
        <w:t>Do you agree with the list of information set out in Article 4(1) of the draft RTS?</w:t>
      </w:r>
    </w:p>
    <w:p w14:paraId="0986CA84" w14:textId="77777777" w:rsidR="00C05BB3" w:rsidRDefault="00691590">
      <w:pPr>
        <w:spacing w:before="240" w:after="240"/>
      </w:pPr>
      <w:r>
        <w:t>&lt;ESMA_QUESTION_ECSP_8&gt;</w:t>
      </w:r>
    </w:p>
    <w:p w14:paraId="109CDE6E" w14:textId="436CEF08" w:rsidR="001421B4" w:rsidRDefault="009A7F8D">
      <w:pPr>
        <w:spacing w:before="240" w:after="240"/>
      </w:pPr>
      <w:r>
        <w:t>Yes</w:t>
      </w:r>
      <w:r w:rsidR="00D277DE">
        <w:t>,</w:t>
      </w:r>
      <w:r>
        <w:t xml:space="preserve"> but i</w:t>
      </w:r>
      <w:r w:rsidR="00691590" w:rsidRPr="00AC0392">
        <w:t>f the information is requested via open ques</w:t>
      </w:r>
      <w:r w:rsidR="00691590" w:rsidRPr="00AC0392">
        <w:t xml:space="preserve">tions, it will be too burdensome for the CSP to assess the responses. </w:t>
      </w:r>
      <w:r w:rsidR="00AC0392" w:rsidRPr="00AC0392">
        <w:t>W</w:t>
      </w:r>
      <w:r w:rsidR="00691590" w:rsidRPr="00AC0392">
        <w:t xml:space="preserve">e suggest </w:t>
      </w:r>
      <w:r w:rsidR="00AC0392" w:rsidRPr="00AC0392">
        <w:t>providing</w:t>
      </w:r>
      <w:r w:rsidR="00691590" w:rsidRPr="00AC0392">
        <w:t xml:space="preserve"> guidance to Member States that the information can b</w:t>
      </w:r>
      <w:r w:rsidR="00691590" w:rsidRPr="00AC0392">
        <w:t xml:space="preserve">e requested through multiple choice questions by the CSP. </w:t>
      </w:r>
    </w:p>
    <w:p w14:paraId="5F104188" w14:textId="1B62D28D" w:rsidR="00AC0392" w:rsidRDefault="009A7F8D">
      <w:pPr>
        <w:spacing w:before="240" w:after="240"/>
      </w:pPr>
      <w:r>
        <w:t xml:space="preserve">Under current </w:t>
      </w:r>
      <w:r w:rsidR="00AC0392" w:rsidRPr="00727D46">
        <w:t xml:space="preserve">definition </w:t>
      </w:r>
      <w:r>
        <w:t xml:space="preserve">the test is repeated </w:t>
      </w:r>
      <w:r w:rsidR="00AC0392" w:rsidRPr="00727D46">
        <w:t xml:space="preserve">each time a </w:t>
      </w:r>
      <w:r w:rsidRPr="009A7F8D">
        <w:t>non-sophisticated investor</w:t>
      </w:r>
      <w:r>
        <w:t xml:space="preserve"> </w:t>
      </w:r>
      <w:r w:rsidR="00AC0392" w:rsidRPr="00727D46">
        <w:t xml:space="preserve">invests </w:t>
      </w:r>
      <w:r>
        <w:t xml:space="preserve">the highest of </w:t>
      </w:r>
      <w:r w:rsidR="00AC0392" w:rsidRPr="00727D46">
        <w:t>EUR 1000 or 5% of its net worth</w:t>
      </w:r>
      <w:r w:rsidR="00AC0392" w:rsidRPr="00727D46">
        <w:t xml:space="preserve">. </w:t>
      </w:r>
      <w:r w:rsidR="00D277DE">
        <w:t xml:space="preserve">We presume this refers to the total invested or outstanding amount </w:t>
      </w:r>
      <w:r w:rsidR="008E5C9A">
        <w:t xml:space="preserve">other than a </w:t>
      </w:r>
      <w:r w:rsidR="00D277DE">
        <w:t xml:space="preserve">single investment. We suggest defining this more clearly. </w:t>
      </w:r>
      <w:r>
        <w:t>W</w:t>
      </w:r>
      <w:r w:rsidR="00AC0392" w:rsidRPr="00727D46">
        <w:t xml:space="preserve">e </w:t>
      </w:r>
      <w:r w:rsidR="00D277DE">
        <w:t xml:space="preserve">also propose a subset of the </w:t>
      </w:r>
      <w:r w:rsidR="00AB7696">
        <w:t xml:space="preserve">comprehensive </w:t>
      </w:r>
      <w:r w:rsidR="00D277DE">
        <w:t xml:space="preserve">initial </w:t>
      </w:r>
      <w:r w:rsidR="00AC0392" w:rsidRPr="00727D46">
        <w:t xml:space="preserve">test </w:t>
      </w:r>
      <w:r w:rsidR="00D277DE">
        <w:t xml:space="preserve">can be applied when the test is repeated. </w:t>
      </w:r>
    </w:p>
    <w:p w14:paraId="1313CFDF" w14:textId="723FB202" w:rsidR="00C05BB3" w:rsidRDefault="00691590">
      <w:pPr>
        <w:spacing w:before="240" w:after="240"/>
      </w:pPr>
      <w:r>
        <w:t>&lt;</w:t>
      </w:r>
      <w:r>
        <w:t>ESMA_QUESTION_ECSP_8&gt;</w:t>
      </w:r>
    </w:p>
    <w:p w14:paraId="7A1A4E0A" w14:textId="77777777" w:rsidR="00C05BB3" w:rsidRDefault="00691590">
      <w:pPr>
        <w:spacing w:before="240" w:after="240"/>
      </w:pPr>
      <w:r>
        <w:t xml:space="preserve"> </w:t>
      </w:r>
    </w:p>
    <w:p w14:paraId="5E30C008" w14:textId="77777777" w:rsidR="00C05BB3" w:rsidRDefault="00691590">
      <w:pPr>
        <w:spacing w:before="240" w:after="240"/>
      </w:pPr>
      <w:proofErr w:type="gramStart"/>
      <w:r>
        <w:t>Q9</w:t>
      </w:r>
      <w:proofErr w:type="gramEnd"/>
      <w:r>
        <w:rPr>
          <w:sz w:val="14"/>
          <w:szCs w:val="14"/>
        </w:rPr>
        <w:t xml:space="preserve">    </w:t>
      </w:r>
      <w:r>
        <w:t>Do you agree that requiring CSPs to make available to prospective non-sophisticated investors an online calculation tool will improve investor protection by simplifying the process of simulation of the ability to bear losses?</w:t>
      </w:r>
    </w:p>
    <w:p w14:paraId="0F43CA0D" w14:textId="77777777" w:rsidR="00C05BB3" w:rsidRDefault="00691590">
      <w:pPr>
        <w:spacing w:before="240" w:after="240"/>
      </w:pPr>
      <w:r>
        <w:t>&lt;ESMA_QUESTION_ECSP_9&gt;</w:t>
      </w:r>
    </w:p>
    <w:p w14:paraId="53E6331C" w14:textId="77777777" w:rsidR="003C6636" w:rsidRDefault="00691590">
      <w:pPr>
        <w:spacing w:before="240" w:after="240"/>
      </w:pPr>
      <w:r w:rsidRPr="003C6636">
        <w:lastRenderedPageBreak/>
        <w:t xml:space="preserve">We agree that CSPs should make available, either on their own website or via a link to a third party, an online calculation tool as suggested for the benefit of the prospective investor. </w:t>
      </w:r>
      <w:r w:rsidRPr="003C6636">
        <w:t xml:space="preserve">However, we do not believe that the use of such a calculation tool should be a mandatory requirement to accept investments from prospective non-sophisticated investors. </w:t>
      </w:r>
    </w:p>
    <w:p w14:paraId="36AB11B7" w14:textId="0B764949" w:rsidR="00C05BB3" w:rsidRDefault="00691590">
      <w:pPr>
        <w:spacing w:before="240" w:after="240"/>
      </w:pPr>
      <w:r>
        <w:t>&lt;ESMA_QUESTION_ECSP_9&gt;</w:t>
      </w:r>
    </w:p>
    <w:p w14:paraId="5BD36DC6" w14:textId="77777777" w:rsidR="00C05BB3" w:rsidRDefault="00691590">
      <w:pPr>
        <w:spacing w:before="240" w:after="240"/>
      </w:pPr>
      <w:r>
        <w:t xml:space="preserve"> </w:t>
      </w:r>
    </w:p>
    <w:p w14:paraId="59272C08" w14:textId="77777777" w:rsidR="00C05BB3" w:rsidRDefault="00691590">
      <w:pPr>
        <w:spacing w:before="240" w:after="240"/>
      </w:pPr>
      <w:proofErr w:type="gramStart"/>
      <w:r>
        <w:t>Q10</w:t>
      </w:r>
      <w:proofErr w:type="gramEnd"/>
      <w:r>
        <w:rPr>
          <w:sz w:val="14"/>
          <w:szCs w:val="14"/>
        </w:rPr>
        <w:t xml:space="preserve">                        </w:t>
      </w:r>
      <w:r>
        <w:t>Do you agree with the suggested method to calculate th</w:t>
      </w:r>
      <w:r>
        <w:t>e non-sophisticated investor’s net worth?</w:t>
      </w:r>
    </w:p>
    <w:p w14:paraId="4ED10659" w14:textId="77777777" w:rsidR="00C05BB3" w:rsidRDefault="00691590">
      <w:pPr>
        <w:spacing w:before="240" w:after="240"/>
      </w:pPr>
      <w:r>
        <w:t>&lt;ESMA_QUESTION_ECSP_10&gt;</w:t>
      </w:r>
    </w:p>
    <w:p w14:paraId="43ED5D32" w14:textId="38EDA357" w:rsidR="00C05BB3" w:rsidRPr="00453620" w:rsidRDefault="00453620">
      <w:pPr>
        <w:spacing w:before="240" w:after="240"/>
      </w:pPr>
      <w:r w:rsidRPr="00453620">
        <w:t xml:space="preserve">Yes. </w:t>
      </w:r>
      <w:r w:rsidR="003C6636" w:rsidRPr="00453620">
        <w:t xml:space="preserve">We suggest </w:t>
      </w:r>
      <w:proofErr w:type="gramStart"/>
      <w:r w:rsidR="003C6636" w:rsidRPr="00453620">
        <w:t>to add</w:t>
      </w:r>
      <w:proofErr w:type="gramEnd"/>
      <w:r w:rsidR="003C6636" w:rsidRPr="00453620">
        <w:t xml:space="preserve"> </w:t>
      </w:r>
      <w:r w:rsidRPr="00453620">
        <w:t xml:space="preserve">Business income </w:t>
      </w:r>
      <w:r w:rsidR="003C6636" w:rsidRPr="00453620">
        <w:t>to article 8 (2)</w:t>
      </w:r>
      <w:r w:rsidRPr="00453620">
        <w:t>. Question</w:t>
      </w:r>
      <w:r w:rsidR="003C6636" w:rsidRPr="00453620">
        <w:t>:</w:t>
      </w:r>
      <w:r w:rsidRPr="00453620">
        <w:t xml:space="preserve"> should the value of crypto currencies held be considered as liquid assets?</w:t>
      </w:r>
    </w:p>
    <w:p w14:paraId="041D3157" w14:textId="77777777" w:rsidR="00C05BB3" w:rsidRDefault="00691590">
      <w:pPr>
        <w:spacing w:before="240" w:after="240"/>
      </w:pPr>
      <w:r>
        <w:t>&lt;</w:t>
      </w:r>
      <w:r>
        <w:t>ESMA_QUESTION_ECSP_10&gt;</w:t>
      </w:r>
    </w:p>
    <w:p w14:paraId="6EFA98D7" w14:textId="77777777" w:rsidR="00C05BB3" w:rsidRDefault="00691590">
      <w:pPr>
        <w:spacing w:before="240" w:after="240"/>
      </w:pPr>
      <w:r>
        <w:t xml:space="preserve"> </w:t>
      </w:r>
    </w:p>
    <w:p w14:paraId="1EC65FD3" w14:textId="77777777" w:rsidR="00C05BB3" w:rsidRDefault="00691590">
      <w:pPr>
        <w:spacing w:before="240" w:after="240"/>
      </w:pPr>
      <w:proofErr w:type="gramStart"/>
      <w:r>
        <w:t>Q11</w:t>
      </w:r>
      <w:proofErr w:type="gramEnd"/>
      <w:r>
        <w:rPr>
          <w:sz w:val="14"/>
          <w:szCs w:val="14"/>
        </w:rPr>
        <w:t xml:space="preserve">                        </w:t>
      </w:r>
      <w:r>
        <w:t>Do you agree with the extent of the provisions that ESMA proposes to specify the ECSPR’s requirements for the KIIS model? Please als</w:t>
      </w:r>
      <w:r>
        <w:t>o state the reasons for your answer.</w:t>
      </w:r>
    </w:p>
    <w:p w14:paraId="3B56F4E6" w14:textId="77777777" w:rsidR="00C05BB3" w:rsidRDefault="00691590">
      <w:pPr>
        <w:spacing w:before="240" w:after="240"/>
      </w:pPr>
      <w:r>
        <w:t>&lt;ESMA_QUESTION_ECSP_11&gt;</w:t>
      </w:r>
    </w:p>
    <w:p w14:paraId="11FDEDD4" w14:textId="77777777" w:rsidR="00C05BB3" w:rsidRPr="00453620" w:rsidRDefault="00691590">
      <w:pPr>
        <w:spacing w:before="240" w:after="240"/>
      </w:pPr>
      <w:r w:rsidRPr="00453620">
        <w:t>We fully support this proposal.</w:t>
      </w:r>
    </w:p>
    <w:p w14:paraId="5599A26D" w14:textId="77777777" w:rsidR="00C05BB3" w:rsidRDefault="00691590">
      <w:pPr>
        <w:spacing w:before="240" w:after="240"/>
      </w:pPr>
      <w:r>
        <w:t>&lt;ESMA_QUESTION_ECSP_11&gt;</w:t>
      </w:r>
    </w:p>
    <w:p w14:paraId="01F90339" w14:textId="77777777" w:rsidR="00C05BB3" w:rsidRDefault="00691590">
      <w:pPr>
        <w:spacing w:before="240" w:after="240"/>
      </w:pPr>
      <w:r>
        <w:t xml:space="preserve"> </w:t>
      </w:r>
    </w:p>
    <w:p w14:paraId="48FD4A18" w14:textId="77777777" w:rsidR="00C05BB3" w:rsidRDefault="00691590">
      <w:pPr>
        <w:spacing w:before="240" w:after="240"/>
      </w:pPr>
      <w:r>
        <w:t>Q12</w:t>
      </w:r>
      <w:r>
        <w:rPr>
          <w:sz w:val="14"/>
          <w:szCs w:val="14"/>
        </w:rPr>
        <w:t xml:space="preserve">                        </w:t>
      </w:r>
      <w:r>
        <w:t>How could the KIIS be alternatively structured to foster its provision by project owners, while ensuring inves</w:t>
      </w:r>
      <w:r>
        <w:t>tor protection? Please provide specific examples, if possible.</w:t>
      </w:r>
    </w:p>
    <w:p w14:paraId="381050E4" w14:textId="77777777" w:rsidR="00C05BB3" w:rsidRDefault="00691590">
      <w:pPr>
        <w:spacing w:before="240" w:after="240"/>
      </w:pPr>
      <w:r>
        <w:t>&lt;ESMA_QUESTION_ECSP_12&gt;</w:t>
      </w:r>
    </w:p>
    <w:p w14:paraId="64FC00F6" w14:textId="1F67B41F" w:rsidR="00C05BB3" w:rsidRPr="000469DB" w:rsidRDefault="00691590">
      <w:pPr>
        <w:spacing w:before="240" w:after="240"/>
      </w:pPr>
      <w:r w:rsidRPr="000469DB">
        <w:t>We believe that the KIIS is well structured and captures all relevant data</w:t>
      </w:r>
      <w:r w:rsidR="006A49B1" w:rsidRPr="000469DB">
        <w:t xml:space="preserve"> and </w:t>
      </w:r>
      <w:r w:rsidRPr="000469DB">
        <w:t xml:space="preserve">should be made available to all prospective investors and </w:t>
      </w:r>
      <w:r w:rsidR="006A49B1" w:rsidRPr="000469DB">
        <w:t xml:space="preserve">remain available </w:t>
      </w:r>
      <w:r w:rsidRPr="000469DB">
        <w:t>after the investment.</w:t>
      </w:r>
    </w:p>
    <w:p w14:paraId="68C9D59C" w14:textId="77777777" w:rsidR="00C05BB3" w:rsidRPr="000469DB" w:rsidRDefault="00691590">
      <w:pPr>
        <w:spacing w:before="240" w:after="240"/>
      </w:pPr>
      <w:r w:rsidRPr="000469DB">
        <w:t>We would suggest a few clarifications within Annex IX:</w:t>
      </w:r>
    </w:p>
    <w:p w14:paraId="2214B942" w14:textId="788806BA" w:rsidR="00C05BB3" w:rsidRPr="000469DB" w:rsidRDefault="00691590">
      <w:pPr>
        <w:spacing w:before="240" w:after="240"/>
      </w:pPr>
      <w:r w:rsidRPr="000469DB">
        <w:t xml:space="preserve">With regard to Ownership (Annex IX Part A(a)) we suggest </w:t>
      </w:r>
      <w:proofErr w:type="gramStart"/>
      <w:r w:rsidR="006A49B1" w:rsidRPr="000469DB">
        <w:t>to limit</w:t>
      </w:r>
      <w:proofErr w:type="gramEnd"/>
      <w:r w:rsidR="006A49B1" w:rsidRPr="000469DB">
        <w:t xml:space="preserve"> listing to the Beneficial Owners (25% ownership/control or more). </w:t>
      </w:r>
    </w:p>
    <w:p w14:paraId="1013EEEC" w14:textId="17B9CCB4" w:rsidR="00C05BB3" w:rsidRPr="000469DB" w:rsidRDefault="00691590">
      <w:pPr>
        <w:spacing w:before="240" w:after="240"/>
      </w:pPr>
      <w:r w:rsidRPr="000469DB">
        <w:t>With regard to the “Deadline” as stated in the Overview of th</w:t>
      </w:r>
      <w:r w:rsidRPr="000469DB">
        <w:t xml:space="preserve">e Offer in Annex IX we suggest </w:t>
      </w:r>
      <w:proofErr w:type="gramStart"/>
      <w:r w:rsidRPr="000469DB">
        <w:t>to clarify</w:t>
      </w:r>
      <w:proofErr w:type="gramEnd"/>
      <w:r w:rsidRPr="000469DB">
        <w:t xml:space="preserve"> that this deadline describes the date at which the offer will be closed the latest</w:t>
      </w:r>
      <w:r w:rsidR="000469DB" w:rsidRPr="000469DB">
        <w:t xml:space="preserve"> but may be </w:t>
      </w:r>
      <w:r w:rsidRPr="000469DB">
        <w:t>clos</w:t>
      </w:r>
      <w:r w:rsidR="006A49B1" w:rsidRPr="000469DB">
        <w:t>e</w:t>
      </w:r>
      <w:r w:rsidR="000469DB" w:rsidRPr="000469DB">
        <w:t>d</w:t>
      </w:r>
      <w:r w:rsidR="006A49B1" w:rsidRPr="000469DB">
        <w:t xml:space="preserve"> </w:t>
      </w:r>
      <w:r w:rsidRPr="000469DB">
        <w:t>prior to the subscription de</w:t>
      </w:r>
      <w:r w:rsidRPr="000469DB">
        <w:t xml:space="preserve">adline </w:t>
      </w:r>
      <w:r w:rsidRPr="000469DB">
        <w:t xml:space="preserve">in case of being fully subscribed </w:t>
      </w:r>
      <w:r w:rsidRPr="000469DB">
        <w:t xml:space="preserve">at an earlier point in time. </w:t>
      </w:r>
      <w:r w:rsidR="000469DB" w:rsidRPr="000469DB">
        <w:t xml:space="preserve">Also, it </w:t>
      </w:r>
      <w:r w:rsidR="006A49B1" w:rsidRPr="000469DB">
        <w:t xml:space="preserve">should be </w:t>
      </w:r>
      <w:r w:rsidR="000469DB" w:rsidRPr="000469DB">
        <w:t xml:space="preserve">possible </w:t>
      </w:r>
      <w:r w:rsidR="006A49B1" w:rsidRPr="000469DB">
        <w:t>to extend the Deadline.</w:t>
      </w:r>
    </w:p>
    <w:p w14:paraId="67C19452" w14:textId="77777777" w:rsidR="00C05BB3" w:rsidRPr="000469DB" w:rsidRDefault="00691590">
      <w:pPr>
        <w:spacing w:before="240" w:after="240"/>
      </w:pPr>
      <w:r w:rsidRPr="000469DB">
        <w:lastRenderedPageBreak/>
        <w:t xml:space="preserve">With regard to the delivery date of the financial instruments (as per Annex IX Part D(e)) we suggest </w:t>
      </w:r>
      <w:proofErr w:type="gramStart"/>
      <w:r w:rsidRPr="000469DB">
        <w:t>to clarify</w:t>
      </w:r>
      <w:proofErr w:type="gramEnd"/>
      <w:r w:rsidRPr="000469DB">
        <w:t xml:space="preserve"> that the </w:t>
      </w:r>
      <w:proofErr w:type="spellStart"/>
      <w:r w:rsidRPr="000469DB">
        <w:t>the</w:t>
      </w:r>
      <w:proofErr w:type="spellEnd"/>
      <w:r w:rsidRPr="000469DB">
        <w:t xml:space="preserve"> delivery date under certain circumstances might be subject to conditions outside the s</w:t>
      </w:r>
      <w:r w:rsidRPr="000469DB">
        <w:t xml:space="preserve">cope of the CSP or issuer, for example when the delivery of the financial instrument is subject to conditions related to the investment, such as securities against assets, i.e. mortgages or liens) or the need for notarisation. </w:t>
      </w:r>
    </w:p>
    <w:p w14:paraId="7F06F723" w14:textId="783E0A32" w:rsidR="00C05BB3" w:rsidRPr="000469DB" w:rsidRDefault="00691590">
      <w:pPr>
        <w:spacing w:before="240" w:after="240"/>
      </w:pPr>
      <w:r w:rsidRPr="000469DB">
        <w:t xml:space="preserve">With regard to the calculation of the Nominal Interest Rate (Annex IX Part D(h) and Part G(b) we suggest </w:t>
      </w:r>
      <w:proofErr w:type="gramStart"/>
      <w:r w:rsidRPr="000469DB">
        <w:t>to allow</w:t>
      </w:r>
      <w:proofErr w:type="gramEnd"/>
      <w:r w:rsidRPr="000469DB">
        <w:t xml:space="preserve"> for all commonly in financial services used calculation methods (30/360, 30/365, 365/365 and 365/360) of Nominal Interest Rates in order to al</w:t>
      </w:r>
      <w:r w:rsidRPr="000469DB">
        <w:t xml:space="preserve">low for adequate assessment of different assets and business models. However, we would suggest that the CSP must clearly communicate the applied calculation method to potential investors on their website and within the KIIS. </w:t>
      </w:r>
    </w:p>
    <w:p w14:paraId="4943E324" w14:textId="77777777" w:rsidR="00C05BB3" w:rsidRDefault="00691590">
      <w:pPr>
        <w:spacing w:before="240" w:after="240"/>
      </w:pPr>
      <w:r>
        <w:t>&lt;ESMA_QUESTION_ECSP_12&gt;</w:t>
      </w:r>
    </w:p>
    <w:p w14:paraId="4C6DA56F" w14:textId="77777777" w:rsidR="00C05BB3" w:rsidRDefault="00691590">
      <w:pPr>
        <w:spacing w:before="240" w:after="240"/>
      </w:pPr>
      <w:r>
        <w:t xml:space="preserve"> </w:t>
      </w:r>
    </w:p>
    <w:p w14:paraId="2570667F" w14:textId="77777777" w:rsidR="00C05BB3" w:rsidRDefault="00691590">
      <w:pPr>
        <w:spacing w:before="240" w:after="240"/>
      </w:pPr>
      <w:r>
        <w:t>Q13</w:t>
      </w:r>
      <w:r>
        <w:rPr>
          <w:sz w:val="14"/>
          <w:szCs w:val="14"/>
        </w:rPr>
        <w:t xml:space="preserve">                        </w:t>
      </w:r>
      <w:r>
        <w:t xml:space="preserve">Based on your experience with investor information documents required under your national regulatory framework on crowdfunding: Have you seen good practices </w:t>
      </w:r>
      <w:r>
        <w:t>of information disclosure which could help investors to better understand risks, benefits and other key features related to crowdfunding offers under the ECSPR? Please provide specific examples, if possible.</w:t>
      </w:r>
    </w:p>
    <w:p w14:paraId="6418E170" w14:textId="77777777" w:rsidR="00C05BB3" w:rsidRDefault="00691590">
      <w:pPr>
        <w:spacing w:before="240" w:after="240"/>
      </w:pPr>
      <w:r>
        <w:t>&lt;ESMA_QUESTION_ECSP_13&gt;</w:t>
      </w:r>
    </w:p>
    <w:p w14:paraId="298D7495" w14:textId="77777777" w:rsidR="00C05BB3" w:rsidRPr="000469DB" w:rsidRDefault="00691590">
      <w:pPr>
        <w:spacing w:before="240" w:after="240"/>
      </w:pPr>
      <w:r w:rsidRPr="000469DB">
        <w:t>n/a</w:t>
      </w:r>
    </w:p>
    <w:p w14:paraId="32BE4B60" w14:textId="77777777" w:rsidR="00C05BB3" w:rsidRDefault="00691590">
      <w:pPr>
        <w:spacing w:before="240" w:after="240"/>
      </w:pPr>
      <w:r>
        <w:t>&lt;ESMA_QUESTION_ECSP_</w:t>
      </w:r>
      <w:r>
        <w:t>13&gt;</w:t>
      </w:r>
    </w:p>
    <w:p w14:paraId="495E7425" w14:textId="77777777" w:rsidR="00C05BB3" w:rsidRDefault="00691590">
      <w:pPr>
        <w:spacing w:before="240" w:after="240"/>
      </w:pPr>
      <w:r>
        <w:t xml:space="preserve"> </w:t>
      </w:r>
    </w:p>
    <w:p w14:paraId="479A9A37" w14:textId="77777777" w:rsidR="00C05BB3" w:rsidRDefault="00691590">
      <w:pPr>
        <w:spacing w:before="240" w:after="240"/>
      </w:pPr>
      <w:r>
        <w:t>Q14</w:t>
      </w:r>
      <w:r>
        <w:rPr>
          <w:sz w:val="14"/>
          <w:szCs w:val="14"/>
        </w:rPr>
        <w:t xml:space="preserve">                        </w:t>
      </w:r>
      <w:r>
        <w:t>What, if any, additional costs and/or benefits do you envisage arising from the proposed approach taken for the KIIS? Please quantify and provide details.</w:t>
      </w:r>
    </w:p>
    <w:p w14:paraId="111B039B" w14:textId="77777777" w:rsidR="00C05BB3" w:rsidRDefault="00691590">
      <w:pPr>
        <w:spacing w:before="240" w:after="240"/>
      </w:pPr>
      <w:r>
        <w:t>&lt;ESMA_QUESTION_ECSP_14&gt;</w:t>
      </w:r>
    </w:p>
    <w:p w14:paraId="5465F9B2" w14:textId="3F5FEF56" w:rsidR="00C05BB3" w:rsidRPr="000469DB" w:rsidRDefault="00691590">
      <w:pPr>
        <w:spacing w:before="240" w:after="240"/>
      </w:pPr>
      <w:r w:rsidRPr="000469DB">
        <w:t xml:space="preserve">We believe </w:t>
      </w:r>
      <w:r w:rsidR="000469DB" w:rsidRPr="000469DB">
        <w:t xml:space="preserve">a </w:t>
      </w:r>
      <w:r w:rsidRPr="000469DB">
        <w:t xml:space="preserve">CSP would collect to some degree the same information as requested within the KIIS </w:t>
      </w:r>
      <w:r w:rsidR="000469DB" w:rsidRPr="000469DB">
        <w:t>as part of</w:t>
      </w:r>
      <w:r w:rsidRPr="000469DB">
        <w:t xml:space="preserve"> their usual due diligence.</w:t>
      </w:r>
      <w:r w:rsidR="000469DB" w:rsidRPr="000469DB">
        <w:t xml:space="preserve"> </w:t>
      </w:r>
    </w:p>
    <w:p w14:paraId="6728F7D4" w14:textId="77777777" w:rsidR="00C05BB3" w:rsidRDefault="00691590">
      <w:pPr>
        <w:spacing w:before="240" w:after="240"/>
      </w:pPr>
      <w:r>
        <w:t>&lt;ESMA_QUESTION_ECSP_14&gt;</w:t>
      </w:r>
    </w:p>
    <w:p w14:paraId="29B87BE0" w14:textId="77777777" w:rsidR="00C05BB3" w:rsidRDefault="00691590">
      <w:pPr>
        <w:spacing w:before="240" w:after="240"/>
      </w:pPr>
      <w:r>
        <w:t xml:space="preserve"> </w:t>
      </w:r>
    </w:p>
    <w:p w14:paraId="2574FD85" w14:textId="77777777" w:rsidR="00C05BB3" w:rsidRDefault="00691590">
      <w:pPr>
        <w:spacing w:before="240" w:after="240"/>
      </w:pPr>
      <w:proofErr w:type="gramStart"/>
      <w:r>
        <w:t>Q15</w:t>
      </w:r>
      <w:proofErr w:type="gramEnd"/>
      <w:r>
        <w:rPr>
          <w:sz w:val="14"/>
          <w:szCs w:val="14"/>
        </w:rPr>
        <w:t xml:space="preserve">                        </w:t>
      </w:r>
      <w:r>
        <w:t xml:space="preserve">Do you </w:t>
      </w:r>
      <w:r>
        <w:t>agree with the proposals with respect to standards, formats, templates and procedures for the provision of data by crowdfunding service providers to competent authorities?</w:t>
      </w:r>
    </w:p>
    <w:p w14:paraId="142E9330" w14:textId="77777777" w:rsidR="00C05BB3" w:rsidRDefault="00691590">
      <w:pPr>
        <w:spacing w:before="240" w:after="240"/>
      </w:pPr>
      <w:r>
        <w:t>&lt;ESMA_QUESTION_ECSP_15&gt;</w:t>
      </w:r>
    </w:p>
    <w:p w14:paraId="4E1AB904" w14:textId="03A1E868" w:rsidR="00C05BB3" w:rsidRPr="00026398" w:rsidRDefault="00691590">
      <w:pPr>
        <w:spacing w:before="240" w:after="240"/>
      </w:pPr>
      <w:r w:rsidRPr="00026398">
        <w:lastRenderedPageBreak/>
        <w:t xml:space="preserve">The recitals of the RTF should </w:t>
      </w:r>
      <w:r w:rsidRPr="00026398">
        <w:t xml:space="preserve">clarify to what extent and how the </w:t>
      </w:r>
      <w:r w:rsidRPr="00026398">
        <w:t xml:space="preserve">data </w:t>
      </w:r>
      <w:r w:rsidR="00026398" w:rsidRPr="00026398">
        <w:t xml:space="preserve">is provided? Will this be by submitting KIIS or otherwise and when? </w:t>
      </w:r>
    </w:p>
    <w:p w14:paraId="7238A046" w14:textId="6DCBB285" w:rsidR="00C05BB3" w:rsidRPr="00026398" w:rsidRDefault="00691590">
      <w:pPr>
        <w:spacing w:before="240" w:after="240"/>
      </w:pPr>
      <w:r w:rsidRPr="00026398">
        <w:t xml:space="preserve">The provided data </w:t>
      </w:r>
      <w:r w:rsidR="00026398" w:rsidRPr="00026398">
        <w:t xml:space="preserve">contains </w:t>
      </w:r>
      <w:r w:rsidRPr="00026398">
        <w:t xml:space="preserve">sensitive business information, which </w:t>
      </w:r>
      <w:r w:rsidRPr="00026398">
        <w:t>do not become publicly available. Therefore</w:t>
      </w:r>
      <w:r w:rsidR="00026398" w:rsidRPr="00026398">
        <w:t>,</w:t>
      </w:r>
      <w:r w:rsidRPr="00026398">
        <w:t xml:space="preserve"> it is of utmost importance to provide assurances that the data will be received and stored in a safe manner and in accordance with</w:t>
      </w:r>
      <w:r w:rsidRPr="00026398">
        <w:t xml:space="preserve"> applicable </w:t>
      </w:r>
      <w:r w:rsidR="00026398" w:rsidRPr="00026398">
        <w:t xml:space="preserve">privacy </w:t>
      </w:r>
      <w:r w:rsidRPr="00026398">
        <w:t>laws at all times.</w:t>
      </w:r>
    </w:p>
    <w:p w14:paraId="016984C3" w14:textId="77777777" w:rsidR="00C05BB3" w:rsidRDefault="00691590">
      <w:pPr>
        <w:spacing w:before="240" w:after="240"/>
      </w:pPr>
      <w:r>
        <w:t>&lt;ESMA_QUESTION_ECSP_15&gt;</w:t>
      </w:r>
    </w:p>
    <w:p w14:paraId="4816CC89" w14:textId="77777777" w:rsidR="00C05BB3" w:rsidRDefault="00691590">
      <w:pPr>
        <w:spacing w:before="240" w:after="240"/>
      </w:pPr>
      <w:r>
        <w:t xml:space="preserve"> </w:t>
      </w:r>
    </w:p>
    <w:p w14:paraId="2DB1773E" w14:textId="77777777" w:rsidR="00C05BB3" w:rsidRDefault="00691590">
      <w:pPr>
        <w:spacing w:before="240" w:after="240"/>
      </w:pPr>
      <w:proofErr w:type="gramStart"/>
      <w:r>
        <w:t>Q16</w:t>
      </w:r>
      <w:proofErr w:type="gramEnd"/>
      <w:r>
        <w:rPr>
          <w:sz w:val="14"/>
          <w:szCs w:val="14"/>
        </w:rPr>
        <w:t xml:space="preserve">                        </w:t>
      </w:r>
      <w:r>
        <w:t>Do you consider that the format for the submission of the information to competent authorities should be further specified in the final draft ITS? Which technical format (</w:t>
      </w:r>
      <w:proofErr w:type="gramStart"/>
      <w:r>
        <w:t>e</w:t>
      </w:r>
      <w:r>
        <w:t>.g.</w:t>
      </w:r>
      <w:proofErr w:type="gramEnd"/>
      <w:r>
        <w:t xml:space="preserve"> CSV, others) should be considered by ESMA?</w:t>
      </w:r>
    </w:p>
    <w:p w14:paraId="0C3851CE" w14:textId="77777777" w:rsidR="00C05BB3" w:rsidRDefault="00691590">
      <w:pPr>
        <w:spacing w:before="240" w:after="240"/>
      </w:pPr>
      <w:r>
        <w:t>&lt;ESMA_QUESTION_ECSP_16&gt;</w:t>
      </w:r>
    </w:p>
    <w:p w14:paraId="4EB359B1" w14:textId="77777777" w:rsidR="008A1E99" w:rsidRPr="008A1E99" w:rsidRDefault="00691590">
      <w:pPr>
        <w:spacing w:before="240" w:after="240"/>
      </w:pPr>
      <w:r w:rsidRPr="008A1E99">
        <w:t xml:space="preserve">We generally agree that the format, in which the data shall be submitted should be a relevant, </w:t>
      </w:r>
      <w:proofErr w:type="gramStart"/>
      <w:r w:rsidRPr="008A1E99">
        <w:t>secure</w:t>
      </w:r>
      <w:proofErr w:type="gramEnd"/>
      <w:r w:rsidRPr="008A1E99">
        <w:t xml:space="preserve"> and accessible format. We suggest a Comma Separated Values (CSV) or similar widely </w:t>
      </w:r>
      <w:r w:rsidRPr="008A1E99">
        <w:t>used format</w:t>
      </w:r>
      <w:r w:rsidR="008A1E99" w:rsidRPr="008A1E99">
        <w:t xml:space="preserve">. </w:t>
      </w:r>
    </w:p>
    <w:p w14:paraId="0C1937B0" w14:textId="3B671284" w:rsidR="00C05BB3" w:rsidRPr="008A1E99" w:rsidRDefault="00691590">
      <w:pPr>
        <w:spacing w:before="240" w:after="240"/>
      </w:pPr>
      <w:proofErr w:type="gramStart"/>
      <w:r w:rsidRPr="008A1E99">
        <w:t>In order to</w:t>
      </w:r>
      <w:proofErr w:type="gramEnd"/>
      <w:r w:rsidRPr="008A1E99">
        <w:t xml:space="preserve"> limit future reporting burdens to issuers and CSPs, especially also with regard to the potential impact of the European Single Access Point (ESAP) to information published by</w:t>
      </w:r>
      <w:r w:rsidRPr="008A1E99">
        <w:t xml:space="preserve"> companies in the area of financial services, we would ask ESMA to provide </w:t>
      </w:r>
      <w:r w:rsidR="008A1E99" w:rsidRPr="008A1E99">
        <w:t xml:space="preserve">further </w:t>
      </w:r>
      <w:r w:rsidRPr="008A1E99">
        <w:t>guidance to Member States allowing for long term harmonisation of secure data collection and storage</w:t>
      </w:r>
      <w:r w:rsidR="008A1E99" w:rsidRPr="008A1E99">
        <w:t xml:space="preserve"> and consistent reporting format to various CAs</w:t>
      </w:r>
      <w:r w:rsidRPr="008A1E99">
        <w:t xml:space="preserve">. </w:t>
      </w:r>
    </w:p>
    <w:p w14:paraId="3E7A0BB7" w14:textId="7C3E1A68" w:rsidR="00C05BB3" w:rsidRPr="008A1E99" w:rsidRDefault="00691590">
      <w:pPr>
        <w:spacing w:before="240" w:after="240"/>
      </w:pPr>
      <w:r w:rsidRPr="008A1E99">
        <w:t xml:space="preserve">We suggest ESMA make relevant recommendations to Member States </w:t>
      </w:r>
      <w:proofErr w:type="gramStart"/>
      <w:r w:rsidRPr="008A1E99">
        <w:t>in order to</w:t>
      </w:r>
      <w:proofErr w:type="gramEnd"/>
      <w:r w:rsidRPr="008A1E99">
        <w:t xml:space="preserve"> ens</w:t>
      </w:r>
      <w:r w:rsidRPr="008A1E99">
        <w:t xml:space="preserve">ure appropriate standardised data security and/or encryption during the data transfer from the CSP to the </w:t>
      </w:r>
      <w:r w:rsidRPr="008A1E99">
        <w:t>CA in order to safeguard private and confidential business information.</w:t>
      </w:r>
    </w:p>
    <w:p w14:paraId="6B204ED5" w14:textId="77777777" w:rsidR="00C05BB3" w:rsidRDefault="00691590">
      <w:pPr>
        <w:spacing w:before="240" w:after="240"/>
      </w:pPr>
      <w:r>
        <w:t>&lt;ESMA_QUESTION_ECSP_16&gt;</w:t>
      </w:r>
    </w:p>
    <w:p w14:paraId="517D3C09" w14:textId="77777777" w:rsidR="00C05BB3" w:rsidRDefault="00691590">
      <w:pPr>
        <w:spacing w:before="240" w:after="240"/>
      </w:pPr>
      <w:r>
        <w:t xml:space="preserve"> </w:t>
      </w:r>
    </w:p>
    <w:p w14:paraId="4C750C72" w14:textId="77777777" w:rsidR="00C05BB3" w:rsidRDefault="00691590">
      <w:pPr>
        <w:spacing w:before="240" w:after="240"/>
      </w:pPr>
      <w:proofErr w:type="gramStart"/>
      <w:r>
        <w:t>Q17</w:t>
      </w:r>
      <w:proofErr w:type="gramEnd"/>
      <w:r>
        <w:rPr>
          <w:sz w:val="14"/>
          <w:szCs w:val="14"/>
        </w:rPr>
        <w:t xml:space="preserve">                        </w:t>
      </w:r>
      <w:r>
        <w:t>Do you envisage any impa</w:t>
      </w:r>
      <w:r>
        <w:t>cts of the proposals with respect to provision of data by competent authorities to ESMA, and in particular on the anonymisation methods that should be used when transmitting information by competent authorities to ESMA? Which specific anonymisation methods</w:t>
      </w:r>
      <w:r>
        <w:t xml:space="preserve"> would be appropriate to fulfil the reporting requirements?</w:t>
      </w:r>
    </w:p>
    <w:p w14:paraId="416B4FD3" w14:textId="77777777" w:rsidR="00C05BB3" w:rsidRDefault="00691590">
      <w:pPr>
        <w:spacing w:before="240" w:after="240"/>
      </w:pPr>
      <w:r>
        <w:t>&lt;ESMA_QUESTION_ECSP_17&gt;</w:t>
      </w:r>
    </w:p>
    <w:p w14:paraId="7733D092" w14:textId="7587FA6B" w:rsidR="008A1E99" w:rsidRDefault="00691590">
      <w:pPr>
        <w:spacing w:before="240" w:after="240"/>
      </w:pPr>
      <w:r w:rsidRPr="007D4F67">
        <w:t xml:space="preserve">We believe that the data provided to ESMA, as suggested, should be in a more generic and anonymised aggregate format than the one provided to </w:t>
      </w:r>
      <w:r w:rsidRPr="007D4F67">
        <w:t xml:space="preserve">CA. </w:t>
      </w:r>
      <w:r w:rsidR="007D4F67">
        <w:t>A</w:t>
      </w:r>
      <w:r w:rsidRPr="007D4F67">
        <w:t>ll</w:t>
      </w:r>
      <w:r w:rsidRPr="007D4F67">
        <w:t xml:space="preserve"> identifiers that would allow identifying individual SME should be removed from the data and all legal safeguards regarding data protection and privacy laws should be respected. </w:t>
      </w:r>
      <w:r>
        <w:t xml:space="preserve"> </w:t>
      </w:r>
    </w:p>
    <w:p w14:paraId="4CE22665" w14:textId="2967339D" w:rsidR="00C05BB3" w:rsidRDefault="00691590">
      <w:pPr>
        <w:spacing w:before="240" w:after="240"/>
      </w:pPr>
      <w:r>
        <w:t>&lt;ESMA_QUESTION_ECSP_17&gt;</w:t>
      </w:r>
    </w:p>
    <w:p w14:paraId="1AE7DB3E" w14:textId="77777777" w:rsidR="00C05BB3" w:rsidRDefault="00691590">
      <w:pPr>
        <w:spacing w:before="240" w:after="240"/>
      </w:pPr>
      <w:r>
        <w:lastRenderedPageBreak/>
        <w:t xml:space="preserve"> </w:t>
      </w:r>
    </w:p>
    <w:p w14:paraId="4BD2983D" w14:textId="77777777" w:rsidR="00C05BB3" w:rsidRDefault="00691590">
      <w:pPr>
        <w:spacing w:before="240" w:after="240"/>
      </w:pPr>
      <w:proofErr w:type="gramStart"/>
      <w:r>
        <w:t>Q18</w:t>
      </w:r>
      <w:proofErr w:type="gramEnd"/>
      <w:r>
        <w:rPr>
          <w:sz w:val="14"/>
          <w:szCs w:val="14"/>
        </w:rPr>
        <w:t xml:space="preserve">                        </w:t>
      </w:r>
      <w:r>
        <w:t>Do you agree with the information on the national laws, regulations and administrative provisions applicable to marketing communications of CSPs that is being requested from CAs in the two templates? If not, which items should be added or deleted and for w</w:t>
      </w:r>
      <w:r>
        <w:t>hich reasons? Please provide a detailed answer.</w:t>
      </w:r>
    </w:p>
    <w:p w14:paraId="69273745" w14:textId="77777777" w:rsidR="00C05BB3" w:rsidRDefault="00691590">
      <w:pPr>
        <w:spacing w:before="240" w:after="240"/>
      </w:pPr>
      <w:r>
        <w:t>&lt;ESMA_QUESTION_ECSP_18&gt;</w:t>
      </w:r>
    </w:p>
    <w:p w14:paraId="74C8BF56" w14:textId="49FA63F0" w:rsidR="007D4F67" w:rsidRDefault="00691590">
      <w:pPr>
        <w:spacing w:before="240" w:after="240"/>
      </w:pPr>
      <w:r w:rsidRPr="007D4F67">
        <w:t xml:space="preserve">No </w:t>
      </w:r>
      <w:r w:rsidRPr="007D4F67">
        <w:t xml:space="preserve">comments, the RTS as drafted seems </w:t>
      </w:r>
      <w:r w:rsidRPr="007D4F67">
        <w:t>adequate to achieve an easy access of CSP to information about national rules related to marketing communications.</w:t>
      </w:r>
    </w:p>
    <w:p w14:paraId="20804D7A" w14:textId="7C9ED7C6" w:rsidR="00C05BB3" w:rsidRDefault="00691590">
      <w:pPr>
        <w:spacing w:before="240" w:after="240"/>
      </w:pPr>
      <w:r>
        <w:t>&lt;ESMA_QUESTION_</w:t>
      </w:r>
      <w:r>
        <w:t>ECSP_18&gt;</w:t>
      </w:r>
    </w:p>
    <w:p w14:paraId="7528FB03" w14:textId="77777777" w:rsidR="00C05BB3" w:rsidRDefault="00691590">
      <w:pPr>
        <w:spacing w:before="240" w:after="240"/>
      </w:pPr>
      <w:r>
        <w:t xml:space="preserve"> </w:t>
      </w:r>
    </w:p>
    <w:p w14:paraId="40329D0C" w14:textId="77777777" w:rsidR="00C05BB3" w:rsidRDefault="00691590">
      <w:pPr>
        <w:spacing w:before="240" w:after="240"/>
      </w:pPr>
      <w:proofErr w:type="gramStart"/>
      <w:r>
        <w:t>Q19</w:t>
      </w:r>
      <w:proofErr w:type="gramEnd"/>
      <w:r>
        <w:rPr>
          <w:sz w:val="14"/>
          <w:szCs w:val="14"/>
        </w:rPr>
        <w:t xml:space="preserve">                        </w:t>
      </w:r>
      <w:r>
        <w:t>Do you agree with the cost benefit analysis as it has been described in Annex II?</w:t>
      </w:r>
    </w:p>
    <w:p w14:paraId="70BFB20B" w14:textId="77777777" w:rsidR="00C05BB3" w:rsidRDefault="00691590">
      <w:pPr>
        <w:spacing w:before="240" w:after="240"/>
      </w:pPr>
      <w:r>
        <w:t>&lt;ESMA_QUESTION_ECSP_19&gt;</w:t>
      </w:r>
    </w:p>
    <w:p w14:paraId="051E444A" w14:textId="77777777" w:rsidR="00C05BB3" w:rsidRPr="007D4F67" w:rsidRDefault="00691590">
      <w:pPr>
        <w:spacing w:before="240" w:after="240"/>
      </w:pPr>
      <w:r w:rsidRPr="007D4F67">
        <w:t>n/a</w:t>
      </w:r>
    </w:p>
    <w:p w14:paraId="752E7AC2" w14:textId="77777777" w:rsidR="00C05BB3" w:rsidRDefault="00691590">
      <w:pPr>
        <w:spacing w:before="240" w:after="240"/>
      </w:pPr>
      <w:r>
        <w:t>&lt;ESMA_QUESTION_ECSP_19&gt;</w:t>
      </w:r>
    </w:p>
    <w:p w14:paraId="1328674E" w14:textId="77777777" w:rsidR="00C05BB3" w:rsidRDefault="00691590">
      <w:pPr>
        <w:spacing w:before="240" w:after="240"/>
      </w:pPr>
      <w:r>
        <w:t xml:space="preserve"> </w:t>
      </w:r>
    </w:p>
    <w:p w14:paraId="100FD482" w14:textId="77777777" w:rsidR="00C05BB3" w:rsidRDefault="00691590">
      <w:pPr>
        <w:spacing w:before="240" w:after="240"/>
      </w:pPr>
      <w:r>
        <w:t>Q20</w:t>
      </w:r>
      <w:r>
        <w:rPr>
          <w:sz w:val="14"/>
          <w:szCs w:val="14"/>
        </w:rPr>
        <w:t xml:space="preserve">                        </w:t>
      </w:r>
      <w:r>
        <w:t>Are there any additional comments that you would like t</w:t>
      </w:r>
      <w:r>
        <w:t>o raise and/or information that you would like to provide?</w:t>
      </w:r>
    </w:p>
    <w:p w14:paraId="4A584968" w14:textId="77777777" w:rsidR="00C05BB3" w:rsidRDefault="00691590">
      <w:pPr>
        <w:spacing w:before="240" w:after="240"/>
      </w:pPr>
      <w:r>
        <w:t>&lt;ESMA_QUESTION_ECSP_20&gt;</w:t>
      </w:r>
    </w:p>
    <w:p w14:paraId="3804EDE1" w14:textId="77777777" w:rsidR="00C05BB3" w:rsidRPr="007D4F67" w:rsidRDefault="00691590">
      <w:pPr>
        <w:spacing w:before="240" w:after="240"/>
      </w:pPr>
      <w:r w:rsidRPr="007D4F67">
        <w:t>n/a</w:t>
      </w:r>
    </w:p>
    <w:p w14:paraId="30269513" w14:textId="77777777" w:rsidR="00C05BB3" w:rsidRDefault="00691590">
      <w:pPr>
        <w:spacing w:before="240" w:after="240"/>
      </w:pPr>
      <w:r>
        <w:t>&lt;ESMA_QUESTION_ECSP_20&gt;</w:t>
      </w:r>
    </w:p>
    <w:p w14:paraId="5331C68E" w14:textId="77777777" w:rsidR="00C05BB3" w:rsidRDefault="00691590">
      <w:pPr>
        <w:spacing w:before="240" w:after="240"/>
      </w:pPr>
      <w:r>
        <w:t xml:space="preserve"> </w:t>
      </w:r>
    </w:p>
    <w:p w14:paraId="379B0875" w14:textId="77777777" w:rsidR="00C05BB3" w:rsidRDefault="00691590">
      <w:pPr>
        <w:spacing w:before="240" w:after="240"/>
      </w:pPr>
      <w:r>
        <w:t xml:space="preserve"> </w:t>
      </w:r>
    </w:p>
    <w:p w14:paraId="51A0464C" w14:textId="77777777" w:rsidR="00C05BB3" w:rsidRDefault="00C05BB3"/>
    <w:sectPr w:rsidR="00C05BB3">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497D" w14:textId="77777777" w:rsidR="00691590" w:rsidRDefault="00691590">
      <w:pPr>
        <w:spacing w:line="240" w:lineRule="auto"/>
      </w:pPr>
      <w:r>
        <w:separator/>
      </w:r>
    </w:p>
  </w:endnote>
  <w:endnote w:type="continuationSeparator" w:id="0">
    <w:p w14:paraId="5B002289" w14:textId="77777777" w:rsidR="00691590" w:rsidRDefault="00691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C00C" w14:textId="77777777" w:rsidR="00C05BB3" w:rsidRDefault="00691590">
    <w:pPr>
      <w:jc w:val="right"/>
    </w:pPr>
    <w:r>
      <w:fldChar w:fldCharType="begin"/>
    </w:r>
    <w:r>
      <w:instrText>PAGE</w:instrText>
    </w:r>
    <w:r>
      <w:fldChar w:fldCharType="separate"/>
    </w:r>
    <w:r w:rsidR="003630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DFDC" w14:textId="77777777" w:rsidR="00691590" w:rsidRDefault="00691590">
      <w:pPr>
        <w:spacing w:line="240" w:lineRule="auto"/>
      </w:pPr>
      <w:r>
        <w:separator/>
      </w:r>
    </w:p>
  </w:footnote>
  <w:footnote w:type="continuationSeparator" w:id="0">
    <w:p w14:paraId="31AA5B3E" w14:textId="77777777" w:rsidR="00691590" w:rsidRDefault="006915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E99"/>
    <w:multiLevelType w:val="hybridMultilevel"/>
    <w:tmpl w:val="FAEE038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1B5EE7"/>
    <w:multiLevelType w:val="hybridMultilevel"/>
    <w:tmpl w:val="42E480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3321B16"/>
    <w:multiLevelType w:val="hybridMultilevel"/>
    <w:tmpl w:val="B0DC75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B3"/>
    <w:rsid w:val="00026398"/>
    <w:rsid w:val="000469DB"/>
    <w:rsid w:val="00084507"/>
    <w:rsid w:val="000E343C"/>
    <w:rsid w:val="001421B4"/>
    <w:rsid w:val="0036305E"/>
    <w:rsid w:val="003C6636"/>
    <w:rsid w:val="0041120B"/>
    <w:rsid w:val="004117F3"/>
    <w:rsid w:val="00453620"/>
    <w:rsid w:val="00691590"/>
    <w:rsid w:val="006A49B1"/>
    <w:rsid w:val="006C2ECC"/>
    <w:rsid w:val="00727D46"/>
    <w:rsid w:val="007D4F67"/>
    <w:rsid w:val="008A1E99"/>
    <w:rsid w:val="008E5C9A"/>
    <w:rsid w:val="009A7F8D"/>
    <w:rsid w:val="009C3A5D"/>
    <w:rsid w:val="009C5EE3"/>
    <w:rsid w:val="00A10B57"/>
    <w:rsid w:val="00AB7696"/>
    <w:rsid w:val="00AC0392"/>
    <w:rsid w:val="00B744E6"/>
    <w:rsid w:val="00B76622"/>
    <w:rsid w:val="00C05BB3"/>
    <w:rsid w:val="00C6101B"/>
    <w:rsid w:val="00CA0995"/>
    <w:rsid w:val="00D07FC7"/>
    <w:rsid w:val="00D277DE"/>
    <w:rsid w:val="00D46A05"/>
    <w:rsid w:val="00D75403"/>
    <w:rsid w:val="00F40E5B"/>
    <w:rsid w:val="00FE5F3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EE28"/>
  <w15:docId w15:val="{94DA8C5F-43AC-485C-9A23-E6E9842B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E5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ma.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ma.europa.eu/" TargetMode="External"/><Relationship Id="rId12" Type="http://schemas.openxmlformats.org/officeDocument/2006/relationships/hyperlink" Target="https://www.esma.europa.eu/about-esma/data-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ma.europa.eu/" TargetMode="External"/><Relationship Id="rId4" Type="http://schemas.openxmlformats.org/officeDocument/2006/relationships/webSettings" Target="webSettings.xml"/><Relationship Id="rId9" Type="http://schemas.openxmlformats.org/officeDocument/2006/relationships/hyperlink" Target="http://www.esma.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1341</TotalTime>
  <Pages>11</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Erwin van Kekem</cp:lastModifiedBy>
  <cp:revision>2</cp:revision>
  <dcterms:created xsi:type="dcterms:W3CDTF">2021-05-26T15:00:00Z</dcterms:created>
  <dcterms:modified xsi:type="dcterms:W3CDTF">2021-05-27T16:51:00Z</dcterms:modified>
</cp:coreProperties>
</file>