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41F00B15" w:rsidR="00C2094B" w:rsidRPr="00F10D35" w:rsidRDefault="00F87631" w:rsidP="00AF38AF">
            <w:pPr>
              <w:pStyle w:val="00bDBInfo"/>
              <w:rPr>
                <w:rFonts w:cs="Arial"/>
              </w:rPr>
            </w:pPr>
            <w:r>
              <w:rPr>
                <w:rFonts w:cs="Arial"/>
              </w:rPr>
              <w:t>26</w:t>
            </w:r>
            <w:r w:rsidR="00FE40D3" w:rsidRPr="00FE40D3">
              <w:rPr>
                <w:rFonts w:cs="Arial"/>
              </w:rPr>
              <w:t xml:space="preserve"> </w:t>
            </w:r>
            <w:r>
              <w:rPr>
                <w:rFonts w:cs="Arial"/>
              </w:rPr>
              <w:t>February</w:t>
            </w:r>
            <w:r w:rsidR="002C27F9" w:rsidRPr="00FE40D3">
              <w:rPr>
                <w:rFonts w:cs="Arial"/>
              </w:rPr>
              <w:t xml:space="preserve"> 202</w:t>
            </w:r>
            <w:r>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918EE33"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F87631" w:rsidRPr="00201005">
              <w:rPr>
                <w:szCs w:val="40"/>
              </w:rPr>
              <w:t>draft technical standards under the ECSP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6578C83A" w:rsidR="00620D7C" w:rsidRPr="004E49B0" w:rsidRDefault="00620D7C" w:rsidP="00FE40D3">
            <w:pPr>
              <w:pStyle w:val="02Date"/>
              <w:jc w:val="right"/>
              <w:rPr>
                <w:rFonts w:cs="Arial"/>
              </w:rPr>
            </w:pPr>
            <w:r w:rsidRPr="00F10D35">
              <w:rPr>
                <w:rFonts w:cs="Arial"/>
              </w:rPr>
              <w:lastRenderedPageBreak/>
              <w:t xml:space="preserve">Date: </w:t>
            </w:r>
            <w:r w:rsidR="00F87631">
              <w:rPr>
                <w:rFonts w:cs="Arial"/>
              </w:rPr>
              <w:t>26</w:t>
            </w:r>
            <w:r w:rsidR="00FE40D3" w:rsidRPr="00FE40D3">
              <w:rPr>
                <w:rFonts w:cs="Arial"/>
              </w:rPr>
              <w:t xml:space="preserve"> </w:t>
            </w:r>
            <w:r w:rsidR="00F87631">
              <w:rPr>
                <w:rFonts w:cs="Arial"/>
              </w:rPr>
              <w:t xml:space="preserve">February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1"/>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439A2E64"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F87631" w:rsidRPr="002A7128">
        <w:rPr>
          <w:b/>
        </w:rPr>
        <w:t>Friday 28</w:t>
      </w:r>
      <w:r w:rsidR="00F87631" w:rsidRPr="002A7128">
        <w:rPr>
          <w:b/>
          <w:vertAlign w:val="superscript"/>
        </w:rPr>
        <w:t>th</w:t>
      </w:r>
      <w:r w:rsidR="00F87631" w:rsidRPr="002A7128">
        <w:rPr>
          <w:b/>
        </w:rPr>
        <w:t xml:space="preserve"> May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5"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1"/>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6FCE07C7" w:rsidR="00FE40D3" w:rsidRPr="00241178" w:rsidRDefault="00FE40D3" w:rsidP="00FE40D3">
      <w:pPr>
        <w:numPr>
          <w:ilvl w:val="0"/>
          <w:numId w:val="41"/>
        </w:numPr>
        <w:spacing w:after="240" w:line="276" w:lineRule="auto"/>
        <w:jc w:val="both"/>
        <w:rPr>
          <w:sz w:val="22"/>
          <w:szCs w:val="22"/>
          <w:lang w:eastAsia="en-GB"/>
        </w:rPr>
      </w:pPr>
      <w:r w:rsidRPr="00241178">
        <w:rPr>
          <w:sz w:val="22"/>
          <w:szCs w:val="22"/>
          <w:lang w:eastAsia="en-GB"/>
        </w:rPr>
        <w:t>Please do not remove tags of the type &lt;ESMA_QUESTION_</w:t>
      </w:r>
      <w:r w:rsidR="00075503" w:rsidRPr="00241178">
        <w:rPr>
          <w:sz w:val="22"/>
          <w:szCs w:val="22"/>
          <w:lang w:eastAsia="en-GB"/>
        </w:rPr>
        <w:t>ECSP</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1"/>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6F44B1DB" w:rsidR="00FE40D3" w:rsidRPr="00241178" w:rsidRDefault="00FE40D3" w:rsidP="00FE40D3">
      <w:pPr>
        <w:numPr>
          <w:ilvl w:val="0"/>
          <w:numId w:val="41"/>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075503" w:rsidRPr="00241178">
        <w:rPr>
          <w:sz w:val="22"/>
          <w:szCs w:val="22"/>
          <w:lang w:eastAsia="en-GB"/>
        </w:rPr>
        <w:t>ECSP</w:t>
      </w:r>
      <w:r w:rsidRPr="00241178">
        <w:rPr>
          <w:sz w:val="22"/>
          <w:szCs w:val="22"/>
          <w:lang w:eastAsia="en-GB"/>
        </w:rPr>
        <w:t>_nameofrespondent_RESPONSEFORM. For example, for a respondent named ABCD, the response form would be entitled ESMA_</w:t>
      </w:r>
      <w:r w:rsidR="00075503" w:rsidRPr="00241178">
        <w:rPr>
          <w:sz w:val="22"/>
          <w:szCs w:val="22"/>
          <w:lang w:eastAsia="en-GB"/>
        </w:rPr>
        <w:t>ECSP</w:t>
      </w:r>
      <w:r w:rsidRPr="00241178">
        <w:rPr>
          <w:sz w:val="22"/>
          <w:szCs w:val="22"/>
          <w:lang w:eastAsia="en-GB"/>
        </w:rPr>
        <w:t>_ABCD_RESPONSEFORM.</w:t>
      </w:r>
    </w:p>
    <w:p w14:paraId="033FC000" w14:textId="5E5B972F" w:rsidR="00FE40D3" w:rsidRPr="00241178" w:rsidRDefault="00FE40D3" w:rsidP="00FE40D3">
      <w:pPr>
        <w:numPr>
          <w:ilvl w:val="0"/>
          <w:numId w:val="41"/>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6"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 draft technical standards under the ECSP Regulation</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7"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8"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E9C54D9" w:rsidR="00332304" w:rsidRPr="001021EF" w:rsidRDefault="00FE40D3" w:rsidP="00FE40D3">
      <w:pPr>
        <w:spacing w:after="240"/>
        <w:jc w:val="both"/>
        <w:rPr>
          <w:b/>
          <w:bCs/>
        </w:rPr>
      </w:pPr>
      <w:r w:rsidRPr="00FE40D3">
        <w:rPr>
          <w:sz w:val="22"/>
          <w:szCs w:val="20"/>
          <w:lang w:eastAsia="en-US"/>
        </w:rPr>
        <w:t xml:space="preserve">This Consultation Paper </w:t>
      </w:r>
      <w:r w:rsidR="00F87631" w:rsidRPr="00F87631">
        <w:rPr>
          <w:sz w:val="22"/>
          <w:szCs w:val="20"/>
          <w:lang w:eastAsia="en-US"/>
        </w:rPr>
        <w:t>primarily of interest to crowdfunding service providers within the meaning of point (e) of Article 2(1) of the ECSP Regulation, competent authorities and other entities that are subject to the ECSP but it is also important for trade associations and industry bodies, sophisticated and non-sophisticated investors, consumer associations, as well as any market participant engaged in the provision of crowdfunding services</w:t>
      </w:r>
      <w:r w:rsidR="00332304" w:rsidRPr="001021EF">
        <w:rPr>
          <w:b/>
          <w:bCs/>
        </w:rPr>
        <w:br w:type="page"/>
      </w:r>
    </w:p>
    <w:p w14:paraId="07F9766A" w14:textId="77777777" w:rsidR="00B327E9" w:rsidRPr="00AB6D88" w:rsidRDefault="00B327E9" w:rsidP="00B327E9">
      <w:pPr>
        <w:pStyle w:val="Kop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kstvantijdelijkeaanduiding"/>
              <w:rFonts w:cs="Arial"/>
            </w:rPr>
            <w:id w:val="-1905066999"/>
            <w:text/>
          </w:sdtPr>
          <w:sdtEndPr>
            <w:rPr>
              <w:rStyle w:val="Tekstvantijdelijkeaanduiding"/>
            </w:rPr>
          </w:sdtEndPr>
          <w:sdtContent>
            <w:permStart w:id="1493633476" w:edGrp="everyone" w:displacedByCustomXml="prev"/>
            <w:tc>
              <w:tcPr>
                <w:tcW w:w="5595" w:type="dxa"/>
                <w:shd w:val="clear" w:color="auto" w:fill="auto"/>
              </w:tcPr>
              <w:p w14:paraId="23C2C921" w14:textId="186EDA98" w:rsidR="00B327E9" w:rsidRPr="00AB6D88" w:rsidRDefault="00975111" w:rsidP="00F136AD">
                <w:pPr>
                  <w:rPr>
                    <w:rStyle w:val="Tekstvantijdelijkeaanduiding"/>
                    <w:rFonts w:cs="Arial"/>
                  </w:rPr>
                </w:pPr>
                <w:r>
                  <w:rPr>
                    <w:rStyle w:val="Tekstvantijdelijkeaanduiding"/>
                    <w:rFonts w:cs="Arial"/>
                  </w:rPr>
                  <w:t>Collin Crowdfund</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52AA5CC0" w:rsidR="00B327E9" w:rsidRPr="00AB6D88" w:rsidRDefault="003F0615"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1725A8">
                  <w:rPr>
                    <w:rFonts w:cs="Arial"/>
                  </w:rPr>
                  <w:t>Other/</w:t>
                </w:r>
                <w:r w:rsidR="00A86E29">
                  <w:rPr>
                    <w:rFonts w:cs="Arial"/>
                  </w:rPr>
                  <w:t>crowdfunding</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92A64F5" w:rsidR="00B327E9" w:rsidRPr="00AB6D88" w:rsidRDefault="001725A8"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5A8D20E0" w:rsidR="00B327E9" w:rsidRPr="00AB6D88" w:rsidRDefault="00E66BCE" w:rsidP="00F136AD">
                <w:pPr>
                  <w:rPr>
                    <w:rFonts w:cs="Arial"/>
                  </w:rPr>
                </w:pPr>
                <w:r>
                  <w:rPr>
                    <w:rFonts w:cs="Arial"/>
                  </w:rPr>
                  <w:t>Netherlands</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Kop1"/>
        <w:numPr>
          <w:ilvl w:val="0"/>
          <w:numId w:val="0"/>
        </w:numPr>
        <w:ind w:left="431" w:hanging="431"/>
      </w:pPr>
      <w:r>
        <w:t>Introduction</w:t>
      </w:r>
    </w:p>
    <w:p w14:paraId="3C83C634" w14:textId="77777777" w:rsidR="00B327E9" w:rsidRPr="00E40A5C" w:rsidRDefault="00B327E9" w:rsidP="00FE6577">
      <w:pPr>
        <w:rPr>
          <w:rStyle w:val="Intensievebenadrukking"/>
          <w:sz w:val="22"/>
        </w:rPr>
      </w:pPr>
      <w:r w:rsidRPr="00E40A5C">
        <w:rPr>
          <w:rStyle w:val="Intensievebenadrukking"/>
          <w:sz w:val="22"/>
        </w:rPr>
        <w:t>Please make your introductory comments below, if any:</w:t>
      </w:r>
    </w:p>
    <w:p w14:paraId="26578279" w14:textId="77777777" w:rsidR="00B327E9" w:rsidRPr="00BF28DA" w:rsidRDefault="00B327E9" w:rsidP="00FE6577"/>
    <w:p w14:paraId="06351DAC" w14:textId="754D2D51" w:rsidR="00B327E9" w:rsidRPr="006F4535" w:rsidRDefault="00B327E9" w:rsidP="00FE6577">
      <w:r w:rsidRPr="006F4535">
        <w:t>&lt;ESMA_COMMENT_</w:t>
      </w:r>
      <w:r w:rsidR="00A014B6">
        <w:t>ECSP</w:t>
      </w:r>
      <w:r w:rsidRPr="006F4535">
        <w:t>_1&gt;</w:t>
      </w:r>
    </w:p>
    <w:p w14:paraId="3EC00E6D" w14:textId="1A2AB8E6" w:rsidR="00B327E9" w:rsidRDefault="00360CB8" w:rsidP="00FE6577">
      <w:permStart w:id="44765448" w:edGrp="everyone"/>
      <w:r>
        <w:t>This consultation is</w:t>
      </w:r>
      <w:r w:rsidR="000C712D">
        <w:t xml:space="preserve"> partly</w:t>
      </w:r>
      <w:r>
        <w:t xml:space="preserve"> based on the</w:t>
      </w:r>
      <w:r w:rsidR="000C712D">
        <w:t xml:space="preserve"> consultation of the Dutch crowdfund</w:t>
      </w:r>
      <w:r w:rsidR="00D918E6">
        <w:t>ing industry association &amp; the Dutch foundation SME finance</w:t>
      </w:r>
    </w:p>
    <w:permEnd w:id="44765448"/>
    <w:p w14:paraId="68F63540" w14:textId="54194BF1" w:rsidR="00B327E9" w:rsidRPr="00BF28DA" w:rsidRDefault="00B327E9" w:rsidP="00FE6577">
      <w:r w:rsidRPr="00BF28DA">
        <w:t>&lt;ESMA_COMMENT_</w:t>
      </w:r>
      <w:r w:rsidR="00A014B6">
        <w:t>ECSP</w:t>
      </w:r>
      <w:r w:rsidR="000A58BE">
        <w:t>_</w:t>
      </w:r>
      <w:r w:rsidRPr="00BF28DA">
        <w:t>1&gt;</w:t>
      </w:r>
    </w:p>
    <w:p w14:paraId="4865C74B" w14:textId="77777777" w:rsidR="002E7113" w:rsidRDefault="002E7113" w:rsidP="002E7113">
      <w:pPr>
        <w:pStyle w:val="Kop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3730066" w:rsidR="00492B3A" w:rsidRPr="00492B3A" w:rsidRDefault="00A014B6" w:rsidP="00492B3A">
      <w:pPr>
        <w:pStyle w:val="Questionstyle"/>
        <w:numPr>
          <w:ilvl w:val="0"/>
          <w:numId w:val="42"/>
        </w:numPr>
        <w:rPr>
          <w:rFonts w:ascii="Arial" w:hAnsi="Arial"/>
          <w:szCs w:val="22"/>
        </w:rPr>
      </w:pPr>
      <w:r w:rsidRPr="00A014B6">
        <w:lastRenderedPageBreak/>
        <w:t>Do you consider that the requirements should be made more granular, notably to set a fixed deadline for CSP to handle a complaint and reply to complainants, in order to ensure a better and more harmonised investor protection?</w:t>
      </w:r>
    </w:p>
    <w:p w14:paraId="7EE00B55" w14:textId="6CFDA724" w:rsidR="00492B3A" w:rsidRDefault="00492B3A" w:rsidP="00492B3A">
      <w:r>
        <w:t>&lt;ESMA_QUESTION_</w:t>
      </w:r>
      <w:r w:rsidR="00A014B6">
        <w:t>ECSP</w:t>
      </w:r>
      <w:r>
        <w:t>_1&gt;</w:t>
      </w:r>
    </w:p>
    <w:p w14:paraId="741FADC4" w14:textId="7F663AEC" w:rsidR="00492B3A" w:rsidRDefault="00E35215" w:rsidP="00492B3A">
      <w:permStart w:id="1576605906" w:edGrp="everyone"/>
      <w:r>
        <w:t>No. We are of the opinion that a fixed deadline for CSP’s to handle a complaint and reply to complainants</w:t>
      </w:r>
      <w:r w:rsidR="00B31BE1">
        <w:t xml:space="preserve"> is not appropriate, because </w:t>
      </w:r>
      <w:r w:rsidR="008A3A52">
        <w:t>this deadline depends on the</w:t>
      </w:r>
      <w:r w:rsidR="0046480A">
        <w:t xml:space="preserve"> </w:t>
      </w:r>
      <w:r w:rsidR="00F362BB">
        <w:t xml:space="preserve">variety of the </w:t>
      </w:r>
      <w:r w:rsidR="0046480A">
        <w:t>specific facts and circumstances.</w:t>
      </w:r>
      <w:r w:rsidR="00F362BB">
        <w:t xml:space="preserve"> Some complain</w:t>
      </w:r>
      <w:r w:rsidR="00FC4DCE">
        <w:t>ts can be handled and replied pretty easily</w:t>
      </w:r>
      <w:r w:rsidR="00F62B4D">
        <w:t xml:space="preserve"> in a short time frame</w:t>
      </w:r>
      <w:r w:rsidR="00FC4DCE">
        <w:t>, while others require more</w:t>
      </w:r>
      <w:r w:rsidR="00F62B4D">
        <w:t xml:space="preserve"> time and</w:t>
      </w:r>
      <w:r w:rsidR="00FC4DCE">
        <w:t xml:space="preserve"> </w:t>
      </w:r>
      <w:r w:rsidR="001B4923">
        <w:t xml:space="preserve">research to </w:t>
      </w:r>
      <w:r w:rsidR="00E11985">
        <w:t>collect all information. In our opinion a</w:t>
      </w:r>
      <w:r w:rsidR="00C53E53">
        <w:t xml:space="preserve"> ‘reasonable period’</w:t>
      </w:r>
      <w:r w:rsidR="00C92122">
        <w:t xml:space="preserve"> suffices.</w:t>
      </w:r>
      <w:r w:rsidR="0087501A">
        <w:t xml:space="preserve"> </w:t>
      </w:r>
      <w:r w:rsidR="00CB6FE3">
        <w:t>So s</w:t>
      </w:r>
      <w:r w:rsidR="0087501A">
        <w:t>ticking with</w:t>
      </w:r>
      <w:r w:rsidR="00CB6FE3">
        <w:t xml:space="preserve"> an ‘indicative timeframe’ to communicate to the complainant, as</w:t>
      </w:r>
      <w:r w:rsidR="00496EBA">
        <w:t xml:space="preserve"> ESMA proposes in </w:t>
      </w:r>
      <w:r w:rsidR="00A70F82" w:rsidRPr="00A70F82">
        <w:rPr>
          <w:rFonts w:ascii="Calibri" w:eastAsia="Calibri" w:hAnsi="Calibri" w:cs="Calibri"/>
          <w:sz w:val="22"/>
          <w:szCs w:val="22"/>
          <w:lang w:eastAsia="en-GB"/>
        </w:rPr>
        <w:t>§ 2.</w:t>
      </w:r>
      <w:r w:rsidR="00A70F82">
        <w:rPr>
          <w:rFonts w:ascii="Calibri" w:eastAsia="Calibri" w:hAnsi="Calibri" w:cs="Calibri"/>
          <w:sz w:val="22"/>
          <w:szCs w:val="22"/>
          <w:lang w:eastAsia="en-GB"/>
        </w:rPr>
        <w:t>1 under 16,</w:t>
      </w:r>
      <w:r w:rsidR="004E7A98">
        <w:rPr>
          <w:rFonts w:ascii="Calibri" w:eastAsia="Calibri" w:hAnsi="Calibri" w:cs="Calibri"/>
          <w:sz w:val="22"/>
          <w:szCs w:val="22"/>
          <w:lang w:eastAsia="en-GB"/>
        </w:rPr>
        <w:t xml:space="preserve"> is preferred.</w:t>
      </w:r>
      <w:r w:rsidR="00CB6FE3">
        <w:t xml:space="preserve"> </w:t>
      </w:r>
      <w:r w:rsidR="00E11985">
        <w:t xml:space="preserve"> </w:t>
      </w:r>
      <w:permEnd w:id="1576605906"/>
    </w:p>
    <w:p w14:paraId="7E5A3C00" w14:textId="189CB57F" w:rsidR="00492B3A" w:rsidRDefault="00492B3A" w:rsidP="00492B3A">
      <w:r>
        <w:t>&lt;ESMA_QUESTION_</w:t>
      </w:r>
      <w:r w:rsidR="00A014B6">
        <w:t>ECSP</w:t>
      </w:r>
      <w:r>
        <w:t>_1&gt;</w:t>
      </w:r>
    </w:p>
    <w:p w14:paraId="66BCB951" w14:textId="77777777" w:rsidR="00492B3A" w:rsidRDefault="00492B3A" w:rsidP="00492B3A"/>
    <w:p w14:paraId="711E593A" w14:textId="768F4F05" w:rsidR="00492B3A" w:rsidRDefault="00A014B6" w:rsidP="00492B3A">
      <w:pPr>
        <w:pStyle w:val="Questionstyle"/>
      </w:pPr>
      <w:r w:rsidRPr="00A014B6">
        <w:t>Do you agree that the list set out in Article 1(5) of the draft RTS set</w:t>
      </w:r>
      <w:r w:rsidR="00871D24">
        <w:t>s</w:t>
      </w:r>
      <w:r w:rsidRPr="00A014B6">
        <w:t xml:space="preserve"> out a sufficient</w:t>
      </w:r>
      <w:r w:rsidR="00871D24">
        <w:t>ly</w:t>
      </w:r>
      <w:r w:rsidRPr="00A014B6">
        <w:t xml:space="preserve"> harmonised minimal level of requirements for the internal rules to prevent conflicts of interest?</w:t>
      </w:r>
    </w:p>
    <w:p w14:paraId="3451E920" w14:textId="3A240FB3" w:rsidR="00492B3A" w:rsidRDefault="00492B3A" w:rsidP="00492B3A">
      <w:r>
        <w:t>&lt;ESMA_QUESTION_</w:t>
      </w:r>
      <w:r w:rsidR="00A014B6">
        <w:t>ECSP</w:t>
      </w:r>
      <w:r>
        <w:t>_2&gt;</w:t>
      </w:r>
    </w:p>
    <w:p w14:paraId="45694F8F" w14:textId="77777777" w:rsidR="00492B3A" w:rsidRDefault="00492B3A" w:rsidP="00492B3A">
      <w:permStart w:id="1123047147" w:edGrp="everyone"/>
      <w:r>
        <w:t>TYPE YOUR TEXT HERE</w:t>
      </w:r>
    </w:p>
    <w:permEnd w:id="1123047147"/>
    <w:p w14:paraId="741E001B" w14:textId="5331B16E" w:rsidR="00492B3A" w:rsidRDefault="00492B3A" w:rsidP="00492B3A">
      <w:r>
        <w:t>&lt;ESMA_QUESTION_</w:t>
      </w:r>
      <w:r w:rsidR="00A014B6">
        <w:t>ECSP</w:t>
      </w:r>
      <w:r>
        <w:t>_2&gt;</w:t>
      </w:r>
    </w:p>
    <w:p w14:paraId="3DF6FFDF" w14:textId="77777777" w:rsidR="00492B3A" w:rsidRDefault="00492B3A" w:rsidP="00492B3A"/>
    <w:p w14:paraId="47C2F5CA" w14:textId="17E806DA" w:rsidR="00492B3A" w:rsidRDefault="00A014B6" w:rsidP="00492B3A">
      <w:pPr>
        <w:pStyle w:val="Questionstyle"/>
      </w:pPr>
      <w:r w:rsidRPr="00A014B6">
        <w:t xml:space="preserve">Do you agree that the requirements set out in Article </w:t>
      </w:r>
      <w:r w:rsidR="00AF201E">
        <w:t>3</w:t>
      </w:r>
      <w:r w:rsidRPr="00A014B6">
        <w:t xml:space="preserve"> of the draft RTS provide for arrangements that balance adequately the need to protect investors with the objective to limit unnecessary burden for CSP?</w:t>
      </w:r>
    </w:p>
    <w:p w14:paraId="1D5C0FD1" w14:textId="62A3674E" w:rsidR="00492B3A" w:rsidRDefault="00492B3A" w:rsidP="00492B3A">
      <w:r>
        <w:t>&lt;ESMA_QUESTION_</w:t>
      </w:r>
      <w:r w:rsidR="00A014B6">
        <w:t>ECSP</w:t>
      </w:r>
      <w:r>
        <w:t>_3&gt;</w:t>
      </w:r>
    </w:p>
    <w:p w14:paraId="6FD778B3" w14:textId="3824FC90" w:rsidR="00492B3A" w:rsidRDefault="00492B3A" w:rsidP="00492B3A">
      <w:permStart w:id="1823616926" w:edGrp="everyone"/>
      <w:r>
        <w:t>TYPE YOUR TEXT HERE</w:t>
      </w:r>
    </w:p>
    <w:permEnd w:id="1823616926"/>
    <w:p w14:paraId="383E5893" w14:textId="06016ED3" w:rsidR="00492B3A" w:rsidRDefault="00492B3A" w:rsidP="00492B3A">
      <w:r>
        <w:t>&lt;ESMA_QUESTION_</w:t>
      </w:r>
      <w:r w:rsidR="00A014B6">
        <w:t>ECSP</w:t>
      </w:r>
      <w:r>
        <w:t>_3&gt;</w:t>
      </w:r>
    </w:p>
    <w:p w14:paraId="4AD8C875" w14:textId="77777777" w:rsidR="00492B3A" w:rsidRDefault="00492B3A" w:rsidP="00492B3A"/>
    <w:p w14:paraId="798F0E29" w14:textId="5AEED299" w:rsidR="00492B3A" w:rsidRDefault="00A014B6" w:rsidP="00492B3A">
      <w:pPr>
        <w:pStyle w:val="Questionstyle"/>
      </w:pPr>
      <w:r>
        <w:t>D</w:t>
      </w:r>
      <w:r w:rsidRPr="00A014B6">
        <w:t>o you agree with the details of the business continuity plan suggested in the draft RTS?</w:t>
      </w:r>
    </w:p>
    <w:p w14:paraId="001F3D0D" w14:textId="669B80ED" w:rsidR="00492B3A" w:rsidRDefault="00492B3A" w:rsidP="00492B3A">
      <w:r>
        <w:t>&lt;ESMA_QUESTION_</w:t>
      </w:r>
      <w:r w:rsidR="00A014B6">
        <w:t>ECSP</w:t>
      </w:r>
      <w:r>
        <w:t>_4&gt;</w:t>
      </w:r>
    </w:p>
    <w:p w14:paraId="4975BC77" w14:textId="04E3BE80" w:rsidR="00492B3A" w:rsidRDefault="00AA5580" w:rsidP="00492B3A">
      <w:permStart w:id="910372547" w:edGrp="everyone"/>
      <w:r>
        <w:t>Yes</w:t>
      </w:r>
    </w:p>
    <w:permEnd w:id="910372547"/>
    <w:p w14:paraId="44CC0988" w14:textId="07927AF1" w:rsidR="00492B3A" w:rsidRDefault="00492B3A" w:rsidP="00492B3A">
      <w:r>
        <w:t>&lt;ESMA_QUESTION_</w:t>
      </w:r>
      <w:r w:rsidR="00A014B6">
        <w:t>ECSP</w:t>
      </w:r>
      <w:r>
        <w:t>_4&gt;</w:t>
      </w:r>
    </w:p>
    <w:p w14:paraId="629688A3" w14:textId="77777777" w:rsidR="00492B3A" w:rsidRDefault="00492B3A" w:rsidP="00492B3A"/>
    <w:p w14:paraId="4404B413" w14:textId="387AFC08" w:rsidR="00492B3A" w:rsidRDefault="00A014B6" w:rsidP="00492B3A">
      <w:pPr>
        <w:pStyle w:val="Questionstyle"/>
      </w:pPr>
      <w:r w:rsidRPr="00A014B6">
        <w:t>Do you have any comment on the authorisation procedure proposed in the draft RTS?</w:t>
      </w:r>
    </w:p>
    <w:p w14:paraId="037D1519" w14:textId="54B02E90" w:rsidR="00492B3A" w:rsidRDefault="00492B3A" w:rsidP="00492B3A">
      <w:r>
        <w:t>&lt;ESMA_QUESTION_</w:t>
      </w:r>
      <w:r w:rsidR="00A014B6">
        <w:t>ECSP</w:t>
      </w:r>
      <w:r>
        <w:t>_5&gt;</w:t>
      </w:r>
    </w:p>
    <w:p w14:paraId="57E6B59D" w14:textId="0AFD78C8" w:rsidR="004406C4" w:rsidRDefault="004406C4" w:rsidP="004406C4">
      <w:permStart w:id="1454397300" w:edGrp="everyone"/>
      <w:r>
        <w:rPr>
          <w:lang w:val="en-US"/>
        </w:rPr>
        <w:t>W</w:t>
      </w:r>
      <w:r>
        <w:rPr>
          <w:lang w:val="en-US"/>
        </w:rPr>
        <w:t>e would like to remark that:</w:t>
      </w:r>
      <w:r>
        <w:rPr>
          <w:lang w:val="en-US"/>
        </w:rPr>
        <w:br/>
      </w:r>
      <w:r>
        <w:t>a</w:t>
      </w:r>
      <w:r>
        <w:t xml:space="preserve">) F 5 SF 1 D (e): The detailed description of the selection procedure, including the nature and extent of a due </w:t>
      </w:r>
      <w:proofErr w:type="spellStart"/>
      <w:r>
        <w:t>dilligence</w:t>
      </w:r>
      <w:proofErr w:type="spellEnd"/>
      <w:r>
        <w:t xml:space="preserve"> process with respect to the potential project owner does not directly reflect the requirements set out by the ECSP-R itself. Furthermore, it is not clear, which standards ESMA will be apply to this information.</w:t>
      </w:r>
    </w:p>
    <w:p w14:paraId="48D23C40" w14:textId="1A033A89" w:rsidR="004406C4" w:rsidRDefault="004406C4" w:rsidP="004406C4">
      <w:r>
        <w:t>We understand that this measure was taken to ensure a certain level of due diligence selecting potential projects to be offered by the CSP; and thus for investor protection. We would have expected such measures as part of the information under Art. 12 Abs. 2 lit. e) as is presented in Field 6 of ESMAs draft RTS and not as part of the CSP's business plan. This is why we propose to delete this requirement, at least it should be moved to Field 6 of the draft RTS.</w:t>
      </w:r>
      <w:r>
        <w:br/>
      </w:r>
      <w:r>
        <w:br/>
      </w:r>
      <w:r>
        <w:t>b</w:t>
      </w:r>
      <w:r>
        <w:t xml:space="preserve">) F 5 SF 3: We understand that the level-1 texts provides for information on the marketing strategy of the CSP. However, we want to point out that marketing measures may vary significantly in relation to certain projects and therefore an exhaustive description on marketing strategy is difficult to give in advance. Most </w:t>
      </w:r>
      <w:r>
        <w:lastRenderedPageBreak/>
        <w:t>likely member states and frequency of press releases or advertisement will depend on the project owner's discretion and wishes to promote the project.</w:t>
      </w:r>
    </w:p>
    <w:p w14:paraId="445E3286" w14:textId="77777777" w:rsidR="004406C4" w:rsidRDefault="004406C4" w:rsidP="004406C4">
      <w:r>
        <w:t xml:space="preserve">In accordance with Art. 27 (5), the </w:t>
      </w:r>
      <w:proofErr w:type="spellStart"/>
      <w:r>
        <w:t>detailled</w:t>
      </w:r>
      <w:proofErr w:type="spellEnd"/>
      <w:r>
        <w:t xml:space="preserve"> description in F5SF3 would constitute an ex ante notification of marketing information, which is too burdensome for the platform. The German Crowdfunding association suggests that F5SF3 should only require to state the languages and member states where the CSP will be operating. We propose to delete the reference to "media visibility and frequency".</w:t>
      </w:r>
      <w:r>
        <w:br/>
      </w:r>
    </w:p>
    <w:p w14:paraId="6CC51F43" w14:textId="43D4F0F4" w:rsidR="004406C4" w:rsidRDefault="004406C4" w:rsidP="004406C4">
      <w:r>
        <w:t>c</w:t>
      </w:r>
      <w:r>
        <w:t>)</w:t>
      </w:r>
      <w:r w:rsidRPr="00B46DC9">
        <w:t xml:space="preserve"> </w:t>
      </w:r>
      <w:r>
        <w:t xml:space="preserve">F12 SF 1-10: The Level-1 text talks only about the persons responsible for the management. The RTS extent the </w:t>
      </w:r>
      <w:proofErr w:type="spellStart"/>
      <w:r>
        <w:t>the</w:t>
      </w:r>
      <w:proofErr w:type="spellEnd"/>
      <w:r>
        <w:t xml:space="preserve"> Information provided in F12 SF 1-10 also to the shareholders companies. These seems excessive and not covered by Level 1 text. Level-1 text provides only information on the shareholders in relation to Art 12 (3) lit a., which discusses previous criminal records of </w:t>
      </w:r>
      <w:proofErr w:type="spellStart"/>
      <w:r>
        <w:t>shareholds</w:t>
      </w:r>
      <w:proofErr w:type="spellEnd"/>
      <w:r>
        <w:t>, which is covered in SF8, but extending this to all subfields seems burdensome.</w:t>
      </w:r>
      <w:r>
        <w:br/>
      </w:r>
      <w:r>
        <w:br/>
      </w:r>
      <w:r>
        <w:t>d)</w:t>
      </w:r>
      <w:r>
        <w:t xml:space="preserve"> F12 SF 1: The structure of the company would better fit in F 1-3 or F 6. We think that it would suffice to inform about the shareholder structure (above 20% of the shares). It is not clear why a proof of good repute for all shareholders is required. This seems to be excessive and burdensome.</w:t>
      </w:r>
      <w:r>
        <w:br/>
      </w:r>
      <w:r>
        <w:br/>
      </w:r>
      <w:r>
        <w:t>e</w:t>
      </w:r>
      <w:r>
        <w:t xml:space="preserve">) F 13 SF9: The German Crowdfunding Association suggests to delete F13 SF9 Lit c because the information is highly personal, especially when it comes to the </w:t>
      </w:r>
      <w:proofErr w:type="spellStart"/>
      <w:r>
        <w:t>reaons</w:t>
      </w:r>
      <w:proofErr w:type="spellEnd"/>
      <w:r>
        <w:t xml:space="preserve"> of departure of a job. Lit d already provides for information on the management personal professional experiences.</w:t>
      </w:r>
      <w:r>
        <w:br/>
      </w:r>
      <w:r>
        <w:br/>
      </w:r>
      <w:r>
        <w:t>f</w:t>
      </w:r>
      <w:r>
        <w:t>) F 13 SF 10: The German Crowdfunding Association views F13 SF10 as too excessive and burdensome. We would propose to delete F13 SF 10 entirely. It would suffice to simply list other commitments in F13 SF9.</w:t>
      </w:r>
      <w:r>
        <w:br/>
      </w:r>
    </w:p>
    <w:p w14:paraId="709F0B8A" w14:textId="54B542BF" w:rsidR="00492B3A" w:rsidRDefault="004406C4" w:rsidP="00492B3A">
      <w:r>
        <w:t xml:space="preserve">g) </w:t>
      </w:r>
      <w:r w:rsidR="00DF0AB2">
        <w:t xml:space="preserve">Article 5 sub 3 Annex VI states that </w:t>
      </w:r>
      <w:r w:rsidR="000B059A">
        <w:t xml:space="preserve">a new application should be done in case of a ‘material change’. </w:t>
      </w:r>
      <w:r w:rsidR="00B04816" w:rsidRPr="00B60481">
        <w:t xml:space="preserve">This would entail new assessment timelines for the competent authority. </w:t>
      </w:r>
      <w:r w:rsidR="00B04816">
        <w:t>What is considered “material change”?</w:t>
      </w:r>
    </w:p>
    <w:permEnd w:id="1454397300"/>
    <w:p w14:paraId="208A9476" w14:textId="7571FAFE" w:rsidR="00492B3A" w:rsidRDefault="00492B3A" w:rsidP="00492B3A">
      <w:r>
        <w:t>&lt;ESMA_QUESTION_</w:t>
      </w:r>
      <w:r w:rsidR="00A014B6">
        <w:t>ECSP</w:t>
      </w:r>
      <w:r>
        <w:t>_5&gt;</w:t>
      </w:r>
    </w:p>
    <w:p w14:paraId="7F6E38EC" w14:textId="77777777" w:rsidR="00492B3A" w:rsidRDefault="00492B3A" w:rsidP="00492B3A"/>
    <w:p w14:paraId="428AAF91" w14:textId="5CE2CDC0" w:rsidR="00492B3A" w:rsidRDefault="00A014B6" w:rsidP="00492B3A">
      <w:pPr>
        <w:pStyle w:val="Questionstyle"/>
      </w:pPr>
      <w:r w:rsidRPr="00A014B6">
        <w:t>Do you agree with the list of information set out in draft RTS to be provided to the Competent Authority of the Member State where the applicant is established? If not, what other information should ESMA further specify?</w:t>
      </w:r>
    </w:p>
    <w:p w14:paraId="5D7E3500" w14:textId="70F34CE5" w:rsidR="00492B3A" w:rsidRDefault="00492B3A" w:rsidP="00492B3A">
      <w:r>
        <w:t>&lt;ESMA_QUESTION_</w:t>
      </w:r>
      <w:r w:rsidR="00A014B6">
        <w:t>ECSP</w:t>
      </w:r>
      <w:r>
        <w:t>_6&gt;</w:t>
      </w:r>
    </w:p>
    <w:p w14:paraId="4DC42D59" w14:textId="04FFA13E" w:rsidR="00492B3A" w:rsidRDefault="008A3B10" w:rsidP="00492B3A">
      <w:permStart w:id="164587406" w:edGrp="everyone"/>
      <w:r>
        <w:t xml:space="preserve">We don’t fully agree with the requested information </w:t>
      </w:r>
      <w:r w:rsidR="00FD5E90">
        <w:t xml:space="preserve">in </w:t>
      </w:r>
      <w:r w:rsidR="00BA5747">
        <w:t xml:space="preserve">Annex VI </w:t>
      </w:r>
      <w:r w:rsidR="00FD5E90">
        <w:t>Annex 1</w:t>
      </w:r>
      <w:r w:rsidR="003B3F61">
        <w:t>.</w:t>
      </w:r>
      <w:r w:rsidR="004C2DD0">
        <w:t xml:space="preserve"> For instance</w:t>
      </w:r>
      <w:r w:rsidR="00CE3A8A">
        <w:t xml:space="preserve"> we don’t see the added value of a LEI-code.</w:t>
      </w:r>
      <w:r w:rsidR="003B3F61">
        <w:t xml:space="preserve"> </w:t>
      </w:r>
      <w:r w:rsidR="0054429C">
        <w:t xml:space="preserve">ESMA states that </w:t>
      </w:r>
      <w:proofErr w:type="spellStart"/>
      <w:r w:rsidR="0054429C">
        <w:t>i</w:t>
      </w:r>
      <w:proofErr w:type="spellEnd"/>
      <w:r w:rsidR="004C2DD0" w:rsidRPr="000139F3">
        <w:rPr>
          <w:lang w:val="en-US"/>
        </w:rPr>
        <w:t>dentificati</w:t>
      </w:r>
      <w:r w:rsidR="004C2DD0">
        <w:rPr>
          <w:lang w:val="en-US"/>
        </w:rPr>
        <w:t>on</w:t>
      </w:r>
      <w:r w:rsidR="004C2DD0" w:rsidRPr="000139F3">
        <w:rPr>
          <w:lang w:val="en-US"/>
        </w:rPr>
        <w:t xml:space="preserve"> of </w:t>
      </w:r>
      <w:proofErr w:type="spellStart"/>
      <w:r w:rsidR="004C2DD0" w:rsidRPr="000139F3">
        <w:rPr>
          <w:lang w:val="en-US"/>
        </w:rPr>
        <w:t>projectowners</w:t>
      </w:r>
      <w:proofErr w:type="spellEnd"/>
      <w:r w:rsidR="004C2DD0" w:rsidRPr="000139F3">
        <w:rPr>
          <w:lang w:val="en-US"/>
        </w:rPr>
        <w:t xml:space="preserve"> will be by ISO 17442 (Legal Entity Identifier LEI) and by ISO 3166-1 alpha-2-code (</w:t>
      </w:r>
      <w:proofErr w:type="spellStart"/>
      <w:r w:rsidR="004C2DD0" w:rsidRPr="000139F3">
        <w:rPr>
          <w:lang w:val="en-US"/>
        </w:rPr>
        <w:t>tw</w:t>
      </w:r>
      <w:r w:rsidR="004C2DD0">
        <w:rPr>
          <w:lang w:val="en-US"/>
        </w:rPr>
        <w:t>oletter</w:t>
      </w:r>
      <w:proofErr w:type="spellEnd"/>
      <w:r w:rsidR="004C2DD0" w:rsidRPr="000139F3">
        <w:rPr>
          <w:lang w:val="en-US"/>
        </w:rPr>
        <w:t xml:space="preserve"> </w:t>
      </w:r>
      <w:proofErr w:type="spellStart"/>
      <w:r w:rsidR="004C2DD0" w:rsidRPr="000139F3">
        <w:rPr>
          <w:lang w:val="en-US"/>
        </w:rPr>
        <w:t>countrycode</w:t>
      </w:r>
      <w:proofErr w:type="spellEnd"/>
      <w:r w:rsidR="00CE3A8A">
        <w:rPr>
          <w:lang w:val="en-US"/>
        </w:rPr>
        <w:t>)</w:t>
      </w:r>
      <w:r w:rsidR="004C2DD0" w:rsidRPr="000139F3">
        <w:rPr>
          <w:lang w:val="en-US"/>
        </w:rPr>
        <w:t>. This is</w:t>
      </w:r>
      <w:r w:rsidR="00A122F7">
        <w:rPr>
          <w:lang w:val="en-US"/>
        </w:rPr>
        <w:t xml:space="preserve"> not</w:t>
      </w:r>
      <w:r w:rsidR="004C2DD0" w:rsidRPr="000139F3">
        <w:rPr>
          <w:lang w:val="en-US"/>
        </w:rPr>
        <w:t xml:space="preserve"> for</w:t>
      </w:r>
      <w:r w:rsidR="00B42084">
        <w:rPr>
          <w:lang w:val="en-US"/>
        </w:rPr>
        <w:t xml:space="preserve"> supervision</w:t>
      </w:r>
      <w:r w:rsidR="00FC77C8">
        <w:rPr>
          <w:lang w:val="en-US"/>
        </w:rPr>
        <w:t xml:space="preserve"> goals</w:t>
      </w:r>
      <w:r w:rsidR="00B42084">
        <w:rPr>
          <w:lang w:val="en-US"/>
        </w:rPr>
        <w:t xml:space="preserve"> of</w:t>
      </w:r>
      <w:r w:rsidR="004C2DD0">
        <w:rPr>
          <w:lang w:val="en-US"/>
        </w:rPr>
        <w:t xml:space="preserve"> </w:t>
      </w:r>
      <w:r w:rsidR="004C2DD0" w:rsidRPr="000139F3">
        <w:rPr>
          <w:lang w:val="en-US"/>
        </w:rPr>
        <w:t xml:space="preserve">the </w:t>
      </w:r>
      <w:r w:rsidR="004C2DD0">
        <w:rPr>
          <w:lang w:val="en-US"/>
        </w:rPr>
        <w:t>NCA</w:t>
      </w:r>
      <w:r w:rsidR="00A122F7">
        <w:rPr>
          <w:lang w:val="en-US"/>
        </w:rPr>
        <w:t xml:space="preserve">. </w:t>
      </w:r>
      <w:r w:rsidR="00314BF0">
        <w:rPr>
          <w:lang w:val="en-US"/>
        </w:rPr>
        <w:t xml:space="preserve">As far as we understand </w:t>
      </w:r>
      <w:r w:rsidR="004C2DD0">
        <w:rPr>
          <w:lang w:val="en-US"/>
        </w:rPr>
        <w:t xml:space="preserve">data goes to ESMA </w:t>
      </w:r>
      <w:proofErr w:type="spellStart"/>
      <w:r w:rsidR="004C2DD0">
        <w:rPr>
          <w:lang w:val="en-US"/>
        </w:rPr>
        <w:t>anonimised</w:t>
      </w:r>
      <w:proofErr w:type="spellEnd"/>
      <w:r w:rsidR="0084327F">
        <w:rPr>
          <w:lang w:val="en-US"/>
        </w:rPr>
        <w:t xml:space="preserve">. </w:t>
      </w:r>
      <w:r w:rsidR="0091727D">
        <w:rPr>
          <w:lang w:val="en-US"/>
        </w:rPr>
        <w:t>Conform article 16 ECSPR t</w:t>
      </w:r>
      <w:r w:rsidR="0084327F">
        <w:rPr>
          <w:lang w:val="en-US"/>
        </w:rPr>
        <w:t>he LEI</w:t>
      </w:r>
      <w:r w:rsidR="00C36F03">
        <w:rPr>
          <w:lang w:val="en-US"/>
        </w:rPr>
        <w:t xml:space="preserve">-code is not part of information that </w:t>
      </w:r>
      <w:r w:rsidR="0091727D">
        <w:rPr>
          <w:lang w:val="en-US"/>
        </w:rPr>
        <w:t>will be</w:t>
      </w:r>
      <w:r w:rsidR="00C36F03">
        <w:rPr>
          <w:lang w:val="en-US"/>
        </w:rPr>
        <w:t xml:space="preserve"> sent to the NCA or ESMA</w:t>
      </w:r>
      <w:r w:rsidR="008540B1">
        <w:rPr>
          <w:lang w:val="en-US"/>
        </w:rPr>
        <w:t>.</w:t>
      </w:r>
      <w:r w:rsidR="00F12E04">
        <w:rPr>
          <w:lang w:val="en-US"/>
        </w:rPr>
        <w:t xml:space="preserve"> Article</w:t>
      </w:r>
      <w:r w:rsidR="00EE1D38">
        <w:rPr>
          <w:lang w:val="en-US"/>
        </w:rPr>
        <w:t xml:space="preserve"> 1 Annex X </w:t>
      </w:r>
      <w:r w:rsidR="008540B1">
        <w:rPr>
          <w:lang w:val="en-US"/>
        </w:rPr>
        <w:t xml:space="preserve">RTS </w:t>
      </w:r>
      <w:r w:rsidR="00EE1D38">
        <w:rPr>
          <w:lang w:val="en-US"/>
        </w:rPr>
        <w:t>forces CSP’s</w:t>
      </w:r>
      <w:r w:rsidR="00437DE7">
        <w:rPr>
          <w:lang w:val="en-US"/>
        </w:rPr>
        <w:t xml:space="preserve"> to report the LEI-code of their project owners.</w:t>
      </w:r>
      <w:r w:rsidR="004C2DD0" w:rsidRPr="000139F3">
        <w:rPr>
          <w:lang w:val="en-US"/>
        </w:rPr>
        <w:t xml:space="preserve"> Most </w:t>
      </w:r>
      <w:r w:rsidR="004C2DD0">
        <w:rPr>
          <w:lang w:val="en-US"/>
        </w:rPr>
        <w:t>project owners</w:t>
      </w:r>
      <w:r w:rsidR="00314BF0">
        <w:rPr>
          <w:lang w:val="en-US"/>
        </w:rPr>
        <w:t xml:space="preserve"> in the Netherlands</w:t>
      </w:r>
      <w:r w:rsidR="004C2DD0" w:rsidRPr="000139F3">
        <w:rPr>
          <w:lang w:val="en-US"/>
        </w:rPr>
        <w:t xml:space="preserve"> do not have a LEI</w:t>
      </w:r>
      <w:r w:rsidR="004C2DD0">
        <w:rPr>
          <w:lang w:val="en-US"/>
        </w:rPr>
        <w:t xml:space="preserve">-code. This brings extra costs. </w:t>
      </w:r>
      <w:r w:rsidR="004C2DD0">
        <w:rPr>
          <w:lang w:val="en-US"/>
        </w:rPr>
        <w:br/>
      </w:r>
      <w:r w:rsidR="004C2DD0">
        <w:rPr>
          <w:lang w:val="en-US"/>
        </w:rPr>
        <w:br/>
      </w:r>
      <w:r w:rsidR="004C2DD0" w:rsidRPr="003C165C">
        <w:rPr>
          <w:b/>
          <w:bCs/>
          <w:lang w:val="en-US"/>
        </w:rPr>
        <w:t>1</w:t>
      </w:r>
      <w:r w:rsidR="004C2DD0">
        <w:rPr>
          <w:lang w:val="en-US"/>
        </w:rPr>
        <w:t>. Why can we not use the national Chamber of Commerce codes?</w:t>
      </w:r>
      <w:r w:rsidR="00524C0F">
        <w:rPr>
          <w:lang w:val="en-US"/>
        </w:rPr>
        <w:t xml:space="preserve"> A LEI-code is of no added value to</w:t>
      </w:r>
      <w:r w:rsidR="002E79DD">
        <w:rPr>
          <w:lang w:val="en-US"/>
        </w:rPr>
        <w:t xml:space="preserve"> NCA’s.</w:t>
      </w:r>
      <w:r w:rsidR="004C2DD0">
        <w:rPr>
          <w:lang w:val="en-US"/>
        </w:rPr>
        <w:br/>
      </w:r>
      <w:r w:rsidR="004C2DD0" w:rsidRPr="003C165C">
        <w:rPr>
          <w:b/>
          <w:bCs/>
          <w:lang w:val="en-US"/>
        </w:rPr>
        <w:t>2.</w:t>
      </w:r>
      <w:r w:rsidR="004C2DD0">
        <w:rPr>
          <w:lang w:val="en-US"/>
        </w:rPr>
        <w:t xml:space="preserve"> Is it correct that a LEI-code only has to be requested once? (so that a project owner only has to pay for it once?) Our national Chamber of Commerce also charges costs to update the LEI-code on a yearly basis. This doesn’t seem appropriate at all.</w:t>
      </w:r>
      <w:r w:rsidR="00FD5E90">
        <w:t xml:space="preserve"> </w:t>
      </w:r>
    </w:p>
    <w:permEnd w:id="164587406"/>
    <w:p w14:paraId="7A0C7BD5" w14:textId="02473B19" w:rsidR="00492B3A" w:rsidRDefault="00492B3A" w:rsidP="00492B3A">
      <w:r>
        <w:t>&lt;ESMA_QUESTION_</w:t>
      </w:r>
      <w:r w:rsidR="00A014B6">
        <w:t>ECSP</w:t>
      </w:r>
      <w:r>
        <w:t>_6&gt;</w:t>
      </w:r>
    </w:p>
    <w:p w14:paraId="4BF785AD" w14:textId="77777777" w:rsidR="00492B3A" w:rsidRDefault="00492B3A" w:rsidP="00492B3A"/>
    <w:p w14:paraId="71D01BE1" w14:textId="387F7A54" w:rsidR="00492B3A" w:rsidRDefault="00A014B6" w:rsidP="00492B3A">
      <w:pPr>
        <w:pStyle w:val="Questionstyle"/>
      </w:pPr>
      <w:r w:rsidRPr="00A014B6">
        <w:t>Do you think that the methodologies provided in the draft RTS are sufficiently clear?</w:t>
      </w:r>
    </w:p>
    <w:p w14:paraId="57CA855E" w14:textId="4464B511" w:rsidR="00492B3A" w:rsidRDefault="00492B3A" w:rsidP="00492B3A">
      <w:r>
        <w:t>&lt;ESMA_QUESTION_</w:t>
      </w:r>
      <w:r w:rsidR="00A014B6">
        <w:t>ECSP</w:t>
      </w:r>
      <w:r>
        <w:t>_7&gt;</w:t>
      </w:r>
    </w:p>
    <w:p w14:paraId="47ABE604" w14:textId="089A9268" w:rsidR="00942818" w:rsidRDefault="00942818" w:rsidP="00942818">
      <w:permStart w:id="1191210126" w:edGrp="everyone"/>
      <w:r>
        <w:t>It is not stipulated when the calculation of the default rates should begin. It would be appreciated if ESMA clarifies that the default rates calculation should only begin after the approval of the CSP by the NCA.</w:t>
      </w:r>
    </w:p>
    <w:p w14:paraId="20867D23" w14:textId="607D1F9D" w:rsidR="00492B3A" w:rsidRDefault="00942818" w:rsidP="00492B3A">
      <w:r>
        <w:lastRenderedPageBreak/>
        <w:t>Furthermore, we want to stress that the CSPs should be open to display default rates based on different standards, for instance default rate standards established and maintained by the national associations of CSPs. The ECSP-R should not replace voluntary transparency regimes set up by the CSPs in their country</w:t>
      </w:r>
      <w:r w:rsidR="002748A8">
        <w:t xml:space="preserve">. </w:t>
      </w:r>
      <w:r w:rsidR="00B752DA">
        <w:t>Regarding this w</w:t>
      </w:r>
      <w:r w:rsidR="002748A8">
        <w:t xml:space="preserve">e also refer to </w:t>
      </w:r>
      <w:r w:rsidR="00B752DA">
        <w:t xml:space="preserve">Q20 </w:t>
      </w:r>
      <w:r w:rsidR="002748A8">
        <w:t>issue #4</w:t>
      </w:r>
      <w:r w:rsidR="00B752DA">
        <w:t>.</w:t>
      </w:r>
      <w:r w:rsidR="002748A8">
        <w:t xml:space="preserve"> </w:t>
      </w:r>
      <w:r w:rsidR="004B71DD">
        <w:br/>
      </w:r>
      <w:permEnd w:id="1191210126"/>
      <w:r w:rsidR="00492B3A">
        <w:t>&lt;ESMA_QUESTION_</w:t>
      </w:r>
      <w:r w:rsidR="00A014B6">
        <w:t>ECSP</w:t>
      </w:r>
      <w:r w:rsidR="00492B3A">
        <w:t>_7&gt;</w:t>
      </w:r>
    </w:p>
    <w:p w14:paraId="627B65D4" w14:textId="77777777" w:rsidR="00492B3A" w:rsidRDefault="00492B3A" w:rsidP="00492B3A"/>
    <w:p w14:paraId="32FE661C" w14:textId="5213F1C6" w:rsidR="00492B3A" w:rsidRDefault="00A014B6" w:rsidP="00492B3A">
      <w:pPr>
        <w:pStyle w:val="Questionstyle"/>
      </w:pPr>
      <w:r w:rsidRPr="00A014B6">
        <w:t>Do you agree with the list of information set out in Article 4(1) of the draft RTS?</w:t>
      </w:r>
    </w:p>
    <w:p w14:paraId="64A00FD2" w14:textId="6FF09A74" w:rsidR="00492B3A" w:rsidRDefault="00492B3A" w:rsidP="00492B3A">
      <w:r>
        <w:t>&lt;ESMA_QUESTION_</w:t>
      </w:r>
      <w:r w:rsidR="00A014B6">
        <w:t>ECSP</w:t>
      </w:r>
      <w:r>
        <w:t>_8&gt;</w:t>
      </w:r>
    </w:p>
    <w:p w14:paraId="3C242153" w14:textId="1EEA48D8" w:rsidR="0037626F" w:rsidRDefault="00E710CE" w:rsidP="0037626F">
      <w:permStart w:id="21103909" w:edGrp="everyone"/>
      <w:r>
        <w:t>We are</w:t>
      </w:r>
      <w:r w:rsidR="0037626F">
        <w:t xml:space="preserve"> of the opinion that the list of information set out in Article 4(1) of the draft RTS is too extensive. </w:t>
      </w:r>
    </w:p>
    <w:p w14:paraId="511F4D23" w14:textId="77777777" w:rsidR="0037626F" w:rsidRDefault="0037626F" w:rsidP="0037626F">
      <w:r>
        <w:t xml:space="preserve">With view to Art. 57 in the RTS, we suggest to clarify in lit a) that the CSP only has to inquire whether the prospective investor has experience with the instrument used in the specific investment presented to the investor, not all possible instruments under the scope of the ECSP-R. We suggest that in lit b) it is clarified that the CSP only requests the volume of the respective instruments in the past five years. We suggest that in lit c) the platform simply asks a simple yes/no question whether the prospective investor is familiar with the risks of the proposed financial instruments. </w:t>
      </w:r>
    </w:p>
    <w:p w14:paraId="38DF0557" w14:textId="77777777" w:rsidR="0037626F" w:rsidRDefault="0037626F" w:rsidP="0037626F">
      <w:r>
        <w:t>The requests set out in the RTS are too excessive. We believe that prospective investors might be very reluctant to give this required information to the CSP.</w:t>
      </w:r>
    </w:p>
    <w:p w14:paraId="5EDCBB56" w14:textId="24ADE215" w:rsidR="0037626F" w:rsidRDefault="0037626F" w:rsidP="0037626F">
      <w:r>
        <w:t>With regard to Art 59 of the RTS, we would ask ESMA to clarify the status of previous investors</w:t>
      </w:r>
      <w:r w:rsidR="00E67DDD">
        <w:t>. We</w:t>
      </w:r>
      <w:r>
        <w:t xml:space="preserve"> propose that any investor on the platform which ha</w:t>
      </w:r>
      <w:r w:rsidR="00E67DDD">
        <w:t>s</w:t>
      </w:r>
      <w:r>
        <w:t xml:space="preserve"> registered before the reception of the ECSP license by the platform should be given the status as sophisticated investor, as it can be safely assumed that they know how Crowdfunding works.</w:t>
      </w:r>
    </w:p>
    <w:p w14:paraId="550BBF30" w14:textId="0944DB02" w:rsidR="0037626F" w:rsidRDefault="0037626F" w:rsidP="0037626F">
      <w:r>
        <w:t>With relevance to Art 56 of the RTS</w:t>
      </w:r>
      <w:r w:rsidR="00E67DDD">
        <w:t xml:space="preserve"> we</w:t>
      </w:r>
      <w:r>
        <w:t xml:space="preserve"> would like to express the view that Art. 3 (1) of Annex VIII goes beyond the text in Art 21 (5) ECSP-R. The level 1 text states that the entry knowledge test should take place "before giving prospective non-sophisticated investors full access to invest in crowdfunding projects on their crowdfunding platform". The RTS states that the entry knowledge test should take place "prior to giving access to their crowdfunding platforms". </w:t>
      </w:r>
    </w:p>
    <w:p w14:paraId="6C91EF19" w14:textId="3EB27253" w:rsidR="00492B3A" w:rsidRDefault="0037626F" w:rsidP="00492B3A">
      <w:r>
        <w:t>The market practice is that potential investors visit the CSP, click on a project description and read the project description, then click on an "Invest" button and then are on-boarded on the platform. During this on-boarding, the investor exploration can take place, but not before the visiting of the platform.</w:t>
      </w:r>
      <w:permEnd w:id="21103909"/>
      <w:r w:rsidR="00492B3A">
        <w:t>&lt;ESMA_QUESTION_</w:t>
      </w:r>
      <w:r w:rsidR="00A014B6">
        <w:t>ECSP</w:t>
      </w:r>
      <w:r w:rsidR="00492B3A">
        <w:t>_8&gt;</w:t>
      </w:r>
    </w:p>
    <w:p w14:paraId="358E7A29" w14:textId="77777777" w:rsidR="00492B3A" w:rsidRDefault="00492B3A" w:rsidP="00492B3A"/>
    <w:p w14:paraId="35F135E9" w14:textId="15460A10" w:rsidR="00492B3A" w:rsidRDefault="00A014B6" w:rsidP="00492B3A">
      <w:pPr>
        <w:pStyle w:val="Questionstyle"/>
      </w:pPr>
      <w:r w:rsidRPr="00A014B6">
        <w:t>Do you agree that requiring CSPs to make available to prospective non-sophisticated investors an online calculation tool will improve investor protection by simplifying the process of simulation of the ability to bear losses</w:t>
      </w:r>
      <w:r w:rsidR="00871D24">
        <w:t>?</w:t>
      </w:r>
    </w:p>
    <w:p w14:paraId="01ADFC46" w14:textId="30D333F7" w:rsidR="00492B3A" w:rsidRDefault="00492B3A" w:rsidP="00492B3A">
      <w:r>
        <w:t>&lt;ESMA_QUESTION_</w:t>
      </w:r>
      <w:r w:rsidR="00A014B6">
        <w:t>ECSP</w:t>
      </w:r>
      <w:r>
        <w:t>_9&gt;</w:t>
      </w:r>
    </w:p>
    <w:p w14:paraId="0AB3A7A1" w14:textId="76003450" w:rsidR="00492B3A" w:rsidRDefault="008A231D" w:rsidP="00492B3A">
      <w:permStart w:id="70807355" w:edGrp="everyone"/>
      <w:r>
        <w:t xml:space="preserve">No. </w:t>
      </w:r>
      <w:r w:rsidR="00CD28DA">
        <w:t>Although</w:t>
      </w:r>
      <w:r w:rsidR="00D9184C">
        <w:t xml:space="preserve"> we appreciate how the tool is set up and how a potential loss can be simulated, w</w:t>
      </w:r>
      <w:r>
        <w:t>e</w:t>
      </w:r>
      <w:r w:rsidR="00BB38C0">
        <w:t xml:space="preserve"> highly </w:t>
      </w:r>
      <w:r w:rsidR="006029EB">
        <w:t>question</w:t>
      </w:r>
      <w:r w:rsidR="00BB38C0">
        <w:t xml:space="preserve"> the amount of</w:t>
      </w:r>
      <w:r w:rsidR="009811D9">
        <w:t xml:space="preserve"> non-sophisticated</w:t>
      </w:r>
      <w:r w:rsidR="00BB38C0">
        <w:t xml:space="preserve"> investors that will actually use the calculation tool</w:t>
      </w:r>
      <w:r w:rsidR="006029EB">
        <w:t xml:space="preserve"> in practice</w:t>
      </w:r>
      <w:r w:rsidR="00BB38C0">
        <w:t>.</w:t>
      </w:r>
    </w:p>
    <w:permEnd w:id="70807355"/>
    <w:p w14:paraId="293286B0" w14:textId="328806B6" w:rsidR="00492B3A" w:rsidRDefault="00492B3A" w:rsidP="00492B3A">
      <w:r>
        <w:t>&lt;ESMA_QUESTION_</w:t>
      </w:r>
      <w:r w:rsidR="00A014B6">
        <w:t>ECSP</w:t>
      </w:r>
      <w:r>
        <w:t>_9&gt;</w:t>
      </w:r>
    </w:p>
    <w:p w14:paraId="1265C514" w14:textId="77777777" w:rsidR="00492B3A" w:rsidRDefault="00492B3A" w:rsidP="00492B3A"/>
    <w:p w14:paraId="65464EDE" w14:textId="3798EC55" w:rsidR="00492B3A" w:rsidRDefault="00A014B6" w:rsidP="00492B3A">
      <w:pPr>
        <w:pStyle w:val="Questionstyle"/>
      </w:pPr>
      <w:r w:rsidRPr="00A014B6">
        <w:t>Do you agree with the suggested method to calculate the non-sophisticated investor</w:t>
      </w:r>
      <w:r w:rsidR="00871D24">
        <w:t>’s</w:t>
      </w:r>
      <w:r w:rsidRPr="00A014B6">
        <w:t xml:space="preserve"> net worth?</w:t>
      </w:r>
    </w:p>
    <w:p w14:paraId="554C7E7D" w14:textId="00884275" w:rsidR="00492B3A" w:rsidRDefault="00492B3A" w:rsidP="00492B3A">
      <w:r>
        <w:t>&lt;ESMA_QUESTION_</w:t>
      </w:r>
      <w:r w:rsidR="00A014B6">
        <w:t>ECSP</w:t>
      </w:r>
      <w:r>
        <w:t>_10&gt;</w:t>
      </w:r>
    </w:p>
    <w:p w14:paraId="1CD8F45C" w14:textId="192BFAF6" w:rsidR="00492B3A" w:rsidRDefault="00CC6377" w:rsidP="00492B3A">
      <w:permStart w:id="1969951227" w:edGrp="everyone"/>
      <w:r>
        <w:t>Yes</w:t>
      </w:r>
      <w:r w:rsidR="009961F1">
        <w:t>, but w</w:t>
      </w:r>
      <w:r w:rsidRPr="00CC6377">
        <w:t>e would like to point out that some elements are less clear than others. For instance,  Art 10 (1) lit f) refers to payments for subscription services, which could in theory relate to all kinds of costs, for instance a Spotify or Netflix subscription. We propose to delete lit f) as these payments for subscription services are in general not long-term financial commitments.</w:t>
      </w:r>
      <w:permEnd w:id="1969951227"/>
      <w:r w:rsidR="00492B3A">
        <w:t>&lt;ESMA_QUESTION_</w:t>
      </w:r>
      <w:r w:rsidR="00A014B6">
        <w:t>ECSP</w:t>
      </w:r>
      <w:r w:rsidR="00492B3A">
        <w:t>_10&gt;</w:t>
      </w:r>
    </w:p>
    <w:p w14:paraId="4A233221" w14:textId="77777777" w:rsidR="00492B3A" w:rsidRDefault="00492B3A" w:rsidP="00492B3A"/>
    <w:p w14:paraId="43470B7B" w14:textId="649ADADC" w:rsidR="00492B3A" w:rsidRDefault="00A014B6" w:rsidP="00492B3A">
      <w:pPr>
        <w:pStyle w:val="Questionstyle"/>
      </w:pPr>
      <w:r w:rsidRPr="00A014B6">
        <w:t>Do you agree with the extent of the provisions that ESMA proposes to specify the ECSPR’s requirements for the KIIS model? Please also state the reasons for your answer.</w:t>
      </w:r>
    </w:p>
    <w:p w14:paraId="17905251" w14:textId="47FB8986" w:rsidR="00492B3A" w:rsidRDefault="00492B3A" w:rsidP="00492B3A">
      <w:r>
        <w:lastRenderedPageBreak/>
        <w:t>&lt;ESMA_QUESTION_</w:t>
      </w:r>
      <w:r w:rsidR="00A014B6">
        <w:t>ECSP</w:t>
      </w:r>
      <w:r>
        <w:t>_11&gt;</w:t>
      </w:r>
    </w:p>
    <w:p w14:paraId="27023AE8" w14:textId="7AAE03F3" w:rsidR="00CE133D" w:rsidRDefault="00CE133D" w:rsidP="00CE133D">
      <w:pPr>
        <w:spacing w:before="60" w:after="60"/>
        <w:jc w:val="both"/>
        <w:rPr>
          <w:lang w:val="en-US"/>
        </w:rPr>
      </w:pPr>
      <w:permStart w:id="947678092" w:edGrp="everyone"/>
      <w:r>
        <w:rPr>
          <w:lang w:val="en-US"/>
        </w:rPr>
        <w:t xml:space="preserve">No. </w:t>
      </w:r>
      <w:r w:rsidRPr="00A21D98">
        <w:rPr>
          <w:lang w:val="en-US"/>
        </w:rPr>
        <w:t>Th</w:t>
      </w:r>
      <w:r>
        <w:rPr>
          <w:lang w:val="en-US"/>
        </w:rPr>
        <w:t xml:space="preserve">e </w:t>
      </w:r>
      <w:r w:rsidRPr="00A1516A">
        <w:rPr>
          <w:lang w:val="en-US"/>
        </w:rPr>
        <w:t xml:space="preserve">KIIS is too </w:t>
      </w:r>
      <w:r>
        <w:rPr>
          <w:lang w:val="en-US"/>
        </w:rPr>
        <w:t>extensive for relatively small project owners. The required information to be disclosed is disproportional and can be</w:t>
      </w:r>
      <w:r w:rsidRPr="00A1516A">
        <w:rPr>
          <w:lang w:val="en-US"/>
        </w:rPr>
        <w:t xml:space="preserve"> a burden</w:t>
      </w:r>
      <w:r>
        <w:rPr>
          <w:lang w:val="en-US"/>
        </w:rPr>
        <w:t xml:space="preserve"> for the project owner to choose for crowdfunding. </w:t>
      </w:r>
      <w:r>
        <w:t>For a non-sophisticated investor it is too much information to digest and not in proportion to the amount of investment. A small non-sophisticated investor who invests for only a few hundred euros has no interest in certain information.</w:t>
      </w:r>
      <w:r>
        <w:br/>
      </w:r>
      <w:r>
        <w:rPr>
          <w:lang w:val="en-US"/>
        </w:rPr>
        <w:t>A few examples:</w:t>
      </w:r>
    </w:p>
    <w:p w14:paraId="1B9A98AC" w14:textId="77777777" w:rsidR="00CE133D" w:rsidRPr="00CE133D" w:rsidRDefault="00CE133D" w:rsidP="00093A17">
      <w:pPr>
        <w:pStyle w:val="Lijstalinea"/>
        <w:numPr>
          <w:ilvl w:val="0"/>
          <w:numId w:val="39"/>
        </w:numPr>
        <w:spacing w:before="60" w:after="60"/>
        <w:rPr>
          <w:lang w:val="en-US"/>
        </w:rPr>
      </w:pPr>
      <w:r w:rsidRPr="00F85AF8">
        <w:rPr>
          <w:i/>
          <w:iCs/>
          <w:lang w:val="en-US"/>
        </w:rPr>
        <w:t>Deadline on which the offer will be closed for prospective/potential investors</w:t>
      </w:r>
      <w:r w:rsidRPr="00F85AF8">
        <w:rPr>
          <w:lang w:val="en-US"/>
        </w:rPr>
        <w:br/>
      </w:r>
      <w:r>
        <w:sym w:font="Wingdings" w:char="F0E0"/>
      </w:r>
      <w:r w:rsidRPr="00F85AF8">
        <w:rPr>
          <w:lang w:val="en-US"/>
        </w:rPr>
        <w:t xml:space="preserve"> Why</w:t>
      </w:r>
      <w:r>
        <w:rPr>
          <w:lang w:val="en-US"/>
        </w:rPr>
        <w:t xml:space="preserve"> is not possible for</w:t>
      </w:r>
      <w:r w:rsidRPr="00F85AF8">
        <w:rPr>
          <w:lang w:val="en-US"/>
        </w:rPr>
        <w:t xml:space="preserve"> CSP</w:t>
      </w:r>
      <w:r>
        <w:rPr>
          <w:lang w:val="en-US"/>
        </w:rPr>
        <w:t xml:space="preserve">’s to decide to prolong the deadline for reaching the target capital when this decision is made in mutual consultation with the project owner? </w:t>
      </w:r>
      <w:r w:rsidRPr="00CE133D">
        <w:rPr>
          <w:lang w:val="en-US"/>
        </w:rPr>
        <w:t xml:space="preserve">A fixed deadline beforehand can increase the pressure to </w:t>
      </w:r>
      <w:proofErr w:type="spellStart"/>
      <w:r w:rsidRPr="00CE133D">
        <w:rPr>
          <w:lang w:val="en-US"/>
        </w:rPr>
        <w:t>finalise</w:t>
      </w:r>
      <w:proofErr w:type="spellEnd"/>
      <w:r w:rsidRPr="00CE133D">
        <w:rPr>
          <w:lang w:val="en-US"/>
        </w:rPr>
        <w:t xml:space="preserve"> the target capital and also pressure investors to make hasty investment decisions. </w:t>
      </w:r>
      <w:r w:rsidRPr="00CE133D">
        <w:rPr>
          <w:lang w:val="en-US"/>
        </w:rPr>
        <w:br/>
      </w:r>
      <w:r w:rsidRPr="00CE133D">
        <w:rPr>
          <w:lang w:val="en-US"/>
        </w:rPr>
        <w:br/>
      </w:r>
      <w:r w:rsidRPr="000775A3">
        <w:rPr>
          <w:i/>
          <w:iCs/>
          <w:lang w:val="en-US"/>
        </w:rPr>
        <w:t>b)</w:t>
      </w:r>
      <w:r>
        <w:rPr>
          <w:i/>
          <w:iCs/>
          <w:lang w:val="en-US"/>
        </w:rPr>
        <w:t xml:space="preserve"> </w:t>
      </w:r>
      <w:r w:rsidRPr="000775A3">
        <w:rPr>
          <w:i/>
          <w:iCs/>
          <w:lang w:val="en-US"/>
        </w:rPr>
        <w:t>Consequences when the target capital is not raised by the deadline</w:t>
      </w:r>
      <w:r w:rsidRPr="000775A3">
        <w:rPr>
          <w:lang w:val="en-US"/>
        </w:rPr>
        <w:br/>
      </w:r>
      <w:r>
        <w:sym w:font="Wingdings" w:char="F0E0"/>
      </w:r>
      <w:r w:rsidRPr="000775A3">
        <w:rPr>
          <w:lang w:val="en-US"/>
        </w:rPr>
        <w:t xml:space="preserve"> This is information that belongs in the terms and conditions of the CSP. </w:t>
      </w:r>
      <w:r w:rsidRPr="00874670">
        <w:rPr>
          <w:lang w:val="en-US"/>
        </w:rPr>
        <w:t>When investors are interested in this information they should be able to find this easily on either th</w:t>
      </w:r>
      <w:r>
        <w:rPr>
          <w:lang w:val="en-US"/>
        </w:rPr>
        <w:t>e website of the CSP or the terms and conditions, but not in the KIIS of the specific project.</w:t>
      </w:r>
    </w:p>
    <w:p w14:paraId="14DFAF6A" w14:textId="77777777" w:rsidR="00CE133D" w:rsidRDefault="00CE133D" w:rsidP="00CE133D">
      <w:pPr>
        <w:pStyle w:val="Lijstalinea"/>
        <w:spacing w:before="60" w:after="60"/>
        <w:jc w:val="both"/>
        <w:rPr>
          <w:lang w:val="en-US"/>
        </w:rPr>
      </w:pPr>
      <w:r w:rsidRPr="00CE133D">
        <w:rPr>
          <w:lang w:val="en-US"/>
        </w:rPr>
        <w:t xml:space="preserve"> </w:t>
      </w:r>
      <w:r w:rsidRPr="00654DFC">
        <w:rPr>
          <w:lang w:val="en-US"/>
        </w:rPr>
        <w:br/>
      </w:r>
      <w:r w:rsidRPr="00654DFC">
        <w:rPr>
          <w:i/>
          <w:iCs/>
          <w:lang w:val="en-US"/>
        </w:rPr>
        <w:t>c) Amount of own funds committed to</w:t>
      </w:r>
      <w:r>
        <w:rPr>
          <w:i/>
          <w:iCs/>
          <w:lang w:val="en-US"/>
        </w:rPr>
        <w:t xml:space="preserve"> t</w:t>
      </w:r>
      <w:r w:rsidRPr="00654DFC">
        <w:rPr>
          <w:i/>
          <w:iCs/>
          <w:lang w:val="en-US"/>
        </w:rPr>
        <w:t>he crowdfunding project by the project owner</w:t>
      </w:r>
      <w:r w:rsidRPr="00654DFC">
        <w:rPr>
          <w:lang w:val="en-US"/>
        </w:rPr>
        <w:br/>
      </w:r>
      <w:r>
        <w:sym w:font="Wingdings" w:char="F0E0"/>
      </w:r>
      <w:r w:rsidRPr="00654DFC">
        <w:rPr>
          <w:lang w:val="en-US"/>
        </w:rPr>
        <w:t xml:space="preserve"> what is the added value to know this information? </w:t>
      </w:r>
      <w:r w:rsidRPr="00F5588D">
        <w:rPr>
          <w:lang w:val="en-US"/>
        </w:rPr>
        <w:t>It can be concluded that the project owner has invested a lot of</w:t>
      </w:r>
      <w:r>
        <w:rPr>
          <w:lang w:val="en-US"/>
        </w:rPr>
        <w:t xml:space="preserve"> own funds</w:t>
      </w:r>
      <w:r w:rsidRPr="00F5588D">
        <w:rPr>
          <w:lang w:val="en-US"/>
        </w:rPr>
        <w:t xml:space="preserve">. </w:t>
      </w:r>
      <w:r w:rsidRPr="008D72C6">
        <w:rPr>
          <w:lang w:val="en-US"/>
        </w:rPr>
        <w:t>The other way around can</w:t>
      </w:r>
      <w:r>
        <w:rPr>
          <w:lang w:val="en-US"/>
        </w:rPr>
        <w:t xml:space="preserve"> it be concluded</w:t>
      </w:r>
      <w:r w:rsidRPr="008D72C6">
        <w:rPr>
          <w:lang w:val="en-US"/>
        </w:rPr>
        <w:t xml:space="preserve"> that a project owner doesn’t have a lot of own </w:t>
      </w:r>
      <w:r>
        <w:rPr>
          <w:lang w:val="en-US"/>
        </w:rPr>
        <w:t>funds</w:t>
      </w:r>
      <w:r w:rsidRPr="008D72C6">
        <w:rPr>
          <w:lang w:val="en-US"/>
        </w:rPr>
        <w:t xml:space="preserve">. </w:t>
      </w:r>
      <w:r w:rsidRPr="00CC1384">
        <w:rPr>
          <w:lang w:val="en-US"/>
        </w:rPr>
        <w:t xml:space="preserve">Though this doesn’t necessarily has to say anything about </w:t>
      </w:r>
      <w:r>
        <w:rPr>
          <w:lang w:val="en-US"/>
        </w:rPr>
        <w:t>the financial position of the project owner or the collateral profile of the project. Therefore it</w:t>
      </w:r>
      <w:r w:rsidRPr="00654DFC">
        <w:rPr>
          <w:lang w:val="en-US"/>
        </w:rPr>
        <w:t xml:space="preserve"> should be optional for the project owner to disclose th</w:t>
      </w:r>
      <w:r>
        <w:rPr>
          <w:lang w:val="en-US"/>
        </w:rPr>
        <w:t>e amount of own funds committed</w:t>
      </w:r>
      <w:r w:rsidRPr="00654DFC">
        <w:rPr>
          <w:lang w:val="en-US"/>
        </w:rPr>
        <w:t>.</w:t>
      </w:r>
    </w:p>
    <w:p w14:paraId="6459406F" w14:textId="77777777" w:rsidR="00CE133D" w:rsidRPr="00B044B0" w:rsidRDefault="00CE133D" w:rsidP="00CE133D">
      <w:pPr>
        <w:pStyle w:val="Lijstalinea"/>
        <w:spacing w:before="60" w:after="60"/>
        <w:rPr>
          <w:i/>
          <w:iCs/>
          <w:lang w:val="en-US"/>
        </w:rPr>
      </w:pPr>
      <w:r w:rsidRPr="00651B38">
        <w:rPr>
          <w:lang w:val="en-US"/>
        </w:rPr>
        <w:br/>
      </w:r>
      <w:r w:rsidRPr="00651B38">
        <w:rPr>
          <w:i/>
          <w:iCs/>
          <w:lang w:val="en-US"/>
        </w:rPr>
        <w:t>d) Too much emphasis on potential ri</w:t>
      </w:r>
      <w:r>
        <w:rPr>
          <w:i/>
          <w:iCs/>
          <w:lang w:val="en-US"/>
        </w:rPr>
        <w:t>sks associated with the crowdfunding project</w:t>
      </w:r>
      <w:r w:rsidRPr="00651B38">
        <w:rPr>
          <w:i/>
          <w:iCs/>
          <w:lang w:val="en-US"/>
        </w:rPr>
        <w:t>.</w:t>
      </w:r>
      <w:r w:rsidRPr="00651B38">
        <w:rPr>
          <w:lang w:val="en-US"/>
        </w:rPr>
        <w:br/>
      </w:r>
      <w:r>
        <w:sym w:font="Wingdings" w:char="F0E0"/>
      </w:r>
      <w:r w:rsidRPr="00651B38">
        <w:rPr>
          <w:lang w:val="en-US"/>
        </w:rPr>
        <w:t xml:space="preserve"> </w:t>
      </w:r>
      <w:r w:rsidRPr="0067247C">
        <w:rPr>
          <w:lang w:val="en-US"/>
        </w:rPr>
        <w:t>for example risk type 3 and risk type 5 are risks that are basically always present</w:t>
      </w:r>
      <w:r>
        <w:rPr>
          <w:lang w:val="en-US"/>
        </w:rPr>
        <w:t xml:space="preserve"> for every project</w:t>
      </w:r>
      <w:r w:rsidRPr="0067247C">
        <w:rPr>
          <w:lang w:val="en-US"/>
        </w:rPr>
        <w:t xml:space="preserve"> and do not add value</w:t>
      </w:r>
      <w:r>
        <w:rPr>
          <w:lang w:val="en-US"/>
        </w:rPr>
        <w:t xml:space="preserve"> for the investors to be disclosed in every KIIS</w:t>
      </w:r>
      <w:r w:rsidRPr="0067247C">
        <w:rPr>
          <w:lang w:val="en-US"/>
        </w:rPr>
        <w:t>.</w:t>
      </w:r>
      <w:r>
        <w:rPr>
          <w:lang w:val="en-US"/>
        </w:rPr>
        <w:t xml:space="preserve"> </w:t>
      </w:r>
      <w:r w:rsidRPr="00906C98">
        <w:rPr>
          <w:lang w:val="en-US"/>
        </w:rPr>
        <w:t xml:space="preserve">Moreover these are risks that have to tackled in the business continuity plan of the CSP. </w:t>
      </w:r>
      <w:r w:rsidRPr="00C706D6">
        <w:rPr>
          <w:lang w:val="en-US"/>
        </w:rPr>
        <w:t>If this is not the case, a CSP cannot even get a license under ECSPR.</w:t>
      </w:r>
      <w:r w:rsidRPr="00C706D6">
        <w:rPr>
          <w:lang w:val="en-US"/>
        </w:rPr>
        <w:br/>
      </w:r>
      <w:r w:rsidRPr="00C706D6">
        <w:rPr>
          <w:lang w:val="en-US"/>
        </w:rPr>
        <w:br/>
      </w:r>
      <w:r w:rsidRPr="00E40F2B">
        <w:rPr>
          <w:i/>
          <w:iCs/>
          <w:lang w:val="en-US"/>
        </w:rPr>
        <w:t>e) Any default on credit agreements by the project owner withing the past 5 years</w:t>
      </w:r>
      <w:r w:rsidRPr="00E40F2B">
        <w:rPr>
          <w:i/>
          <w:iCs/>
          <w:lang w:val="en-US"/>
        </w:rPr>
        <w:br/>
      </w:r>
      <w:r>
        <w:sym w:font="Wingdings" w:char="F0E0"/>
      </w:r>
      <w:r w:rsidRPr="00E40F2B">
        <w:rPr>
          <w:lang w:val="en-US"/>
        </w:rPr>
        <w:t xml:space="preserve"> </w:t>
      </w:r>
      <w:r>
        <w:rPr>
          <w:lang w:val="en-US"/>
        </w:rPr>
        <w:t xml:space="preserve">We understand this is valuable information, especially for the CSP that has to decide whether or not to provide crowdfunding services to the project owner. </w:t>
      </w:r>
      <w:r w:rsidRPr="00455237">
        <w:rPr>
          <w:lang w:val="en-US"/>
        </w:rPr>
        <w:t>Investors should trust the CSP</w:t>
      </w:r>
      <w:r>
        <w:rPr>
          <w:lang w:val="en-US"/>
        </w:rPr>
        <w:t xml:space="preserve"> to do</w:t>
      </w:r>
      <w:r w:rsidRPr="00455237">
        <w:rPr>
          <w:lang w:val="en-US"/>
        </w:rPr>
        <w:t xml:space="preserve"> this an</w:t>
      </w:r>
      <w:r>
        <w:rPr>
          <w:lang w:val="en-US"/>
        </w:rPr>
        <w:t xml:space="preserve">alysis upfront. </w:t>
      </w:r>
      <w:r w:rsidRPr="005014FC">
        <w:rPr>
          <w:lang w:val="en-US"/>
        </w:rPr>
        <w:t xml:space="preserve">If the result is negative, the </w:t>
      </w:r>
      <w:r>
        <w:rPr>
          <w:lang w:val="en-US"/>
        </w:rPr>
        <w:t>CSP</w:t>
      </w:r>
      <w:r w:rsidRPr="005014FC">
        <w:rPr>
          <w:lang w:val="en-US"/>
        </w:rPr>
        <w:t xml:space="preserve"> shoul</w:t>
      </w:r>
      <w:r>
        <w:rPr>
          <w:lang w:val="en-US"/>
        </w:rPr>
        <w:t xml:space="preserve">d not allow the project owner on their platform. </w:t>
      </w:r>
      <w:r w:rsidRPr="009452FC">
        <w:rPr>
          <w:lang w:val="en-US"/>
        </w:rPr>
        <w:t>Therefore this is information</w:t>
      </w:r>
      <w:r>
        <w:rPr>
          <w:lang w:val="en-US"/>
        </w:rPr>
        <w:t xml:space="preserve"> that should</w:t>
      </w:r>
      <w:r w:rsidRPr="009452FC">
        <w:rPr>
          <w:lang w:val="en-US"/>
        </w:rPr>
        <w:t>n’t</w:t>
      </w:r>
      <w:r>
        <w:rPr>
          <w:lang w:val="en-US"/>
        </w:rPr>
        <w:t xml:space="preserve"> be disclosed in the KIIS. </w:t>
      </w:r>
      <w:r w:rsidRPr="009E0194">
        <w:rPr>
          <w:lang w:val="en-US"/>
        </w:rPr>
        <w:t>Also it is questionable whether this information is allowed to be disclosed this way considering the privacy rules under GDPR.</w:t>
      </w:r>
      <w:r w:rsidRPr="009E0194">
        <w:rPr>
          <w:lang w:val="en-US"/>
        </w:rPr>
        <w:br/>
      </w:r>
      <w:r w:rsidRPr="009E0194">
        <w:rPr>
          <w:lang w:val="en-US"/>
        </w:rPr>
        <w:br/>
      </w:r>
      <w:r w:rsidRPr="00A26AE3">
        <w:rPr>
          <w:i/>
          <w:iCs/>
          <w:lang w:val="en-US"/>
        </w:rPr>
        <w:t>f) Description of servicing of the loan in situations where the project owner does not meet its obligations</w:t>
      </w:r>
      <w:r w:rsidRPr="00A26AE3">
        <w:rPr>
          <w:i/>
          <w:iCs/>
          <w:lang w:val="en-US"/>
        </w:rPr>
        <w:br/>
      </w:r>
      <w:r>
        <w:sym w:font="Wingdings" w:char="F0E0"/>
      </w:r>
      <w:r w:rsidRPr="00A26AE3">
        <w:rPr>
          <w:lang w:val="en-US"/>
        </w:rPr>
        <w:t xml:space="preserve"> </w:t>
      </w:r>
      <w:r w:rsidRPr="000775A3">
        <w:rPr>
          <w:lang w:val="en-US"/>
        </w:rPr>
        <w:t>This is information that belongs in the terms and conditions of the CSP</w:t>
      </w:r>
      <w:r>
        <w:rPr>
          <w:lang w:val="en-US"/>
        </w:rPr>
        <w:t xml:space="preserve"> or the loan agreement between the project owner and the investors</w:t>
      </w:r>
      <w:r w:rsidRPr="000775A3">
        <w:rPr>
          <w:lang w:val="en-US"/>
        </w:rPr>
        <w:t xml:space="preserve">. </w:t>
      </w:r>
      <w:r w:rsidRPr="00874670">
        <w:rPr>
          <w:lang w:val="en-US"/>
        </w:rPr>
        <w:t>When investors are interested in this information they should be able to find this easily on either th</w:t>
      </w:r>
      <w:r>
        <w:rPr>
          <w:lang w:val="en-US"/>
        </w:rPr>
        <w:t>e website of the CSP, the terms and conditions or the loan agreement itself, but not in the KIIS of the specific project.</w:t>
      </w:r>
    </w:p>
    <w:p w14:paraId="4F09D4BD" w14:textId="77777777" w:rsidR="00CE133D" w:rsidRPr="00A26AE3" w:rsidRDefault="00CE133D" w:rsidP="00CE133D">
      <w:pPr>
        <w:spacing w:before="60" w:after="60"/>
        <w:jc w:val="both"/>
        <w:rPr>
          <w:lang w:val="en-US"/>
        </w:rPr>
      </w:pPr>
    </w:p>
    <w:p w14:paraId="16B29EBB" w14:textId="58340881" w:rsidR="00492B3A" w:rsidRDefault="00CE133D" w:rsidP="00CE133D">
      <w:pPr>
        <w:rPr>
          <w:lang w:val="en-US"/>
        </w:rPr>
      </w:pPr>
      <w:r>
        <w:rPr>
          <w:lang w:val="en-US"/>
        </w:rPr>
        <w:t>Regarding the requested information in the KIIS it would be justified to distinguish between smaller and bigger projects. This is already the case under MiFID II considering the prospectus obligation.</w:t>
      </w:r>
    </w:p>
    <w:p w14:paraId="5F373067" w14:textId="110A722A" w:rsidR="001C113F" w:rsidRDefault="001C113F" w:rsidP="00CE133D">
      <w:pPr>
        <w:rPr>
          <w:lang w:val="en-US"/>
        </w:rPr>
      </w:pPr>
    </w:p>
    <w:permEnd w:id="947678092"/>
    <w:p w14:paraId="5D803357" w14:textId="4B36AE28" w:rsidR="00492B3A" w:rsidRDefault="00492B3A" w:rsidP="00492B3A">
      <w:r>
        <w:t>&lt;ESMA_QUESTION_</w:t>
      </w:r>
      <w:r w:rsidR="00A014B6">
        <w:t>ECSP</w:t>
      </w:r>
      <w:r>
        <w:t>_11&gt;</w:t>
      </w:r>
    </w:p>
    <w:p w14:paraId="1A3E6E6B" w14:textId="77777777" w:rsidR="00492B3A" w:rsidRDefault="00492B3A" w:rsidP="00492B3A"/>
    <w:p w14:paraId="681EC23B" w14:textId="027065A6" w:rsidR="00492B3A" w:rsidRDefault="00A014B6" w:rsidP="00492B3A">
      <w:pPr>
        <w:pStyle w:val="Questionstyle"/>
      </w:pPr>
      <w:r w:rsidRPr="00A014B6">
        <w:t>How could the KIIS be alternatively structured to foster its provision by project owners, while ensuring investor protection? Please provide specific examples, if possible.</w:t>
      </w:r>
    </w:p>
    <w:p w14:paraId="7F0E3695" w14:textId="7D7ECC20" w:rsidR="00492B3A" w:rsidRDefault="00492B3A" w:rsidP="00492B3A">
      <w:r>
        <w:t>&lt;ESMA_QUESTION_</w:t>
      </w:r>
      <w:r w:rsidR="00A014B6">
        <w:t>ECSP</w:t>
      </w:r>
      <w:r>
        <w:t>_12&gt;</w:t>
      </w:r>
    </w:p>
    <w:p w14:paraId="5F50FA92" w14:textId="77777777" w:rsidR="00492B3A" w:rsidRDefault="00492B3A" w:rsidP="00492B3A">
      <w:permStart w:id="575285207" w:edGrp="everyone"/>
      <w:r>
        <w:t>TYPE YOUR TEXT HERE</w:t>
      </w:r>
    </w:p>
    <w:permEnd w:id="575285207"/>
    <w:p w14:paraId="40A9AA66" w14:textId="6DFB013E" w:rsidR="00492B3A" w:rsidRDefault="00492B3A" w:rsidP="00492B3A">
      <w:r>
        <w:lastRenderedPageBreak/>
        <w:t>&lt;ESMA_QUESTION_</w:t>
      </w:r>
      <w:r w:rsidR="00A014B6">
        <w:t>ECSP</w:t>
      </w:r>
      <w:r>
        <w:t>_12&gt;</w:t>
      </w:r>
    </w:p>
    <w:p w14:paraId="47FAF275" w14:textId="77777777" w:rsidR="00492B3A" w:rsidRDefault="00492B3A" w:rsidP="00492B3A"/>
    <w:p w14:paraId="01343F76" w14:textId="434B2FC7" w:rsidR="00492B3A" w:rsidRDefault="00A014B6" w:rsidP="00492B3A">
      <w:pPr>
        <w:pStyle w:val="Questionstyle"/>
      </w:pPr>
      <w:r w:rsidRPr="00A014B6">
        <w:t>Based on your experience with investor information documents required under your national regulatory framework on crowdfunding: Have you seen good practices of information disclosure which could help investors to better understand risks, benefits and other key features related to crowdfunding offers under the ECSPR? Please provide specific examples, if possible.</w:t>
      </w:r>
    </w:p>
    <w:p w14:paraId="4C7333E2" w14:textId="28900D98" w:rsidR="00492B3A" w:rsidRDefault="00492B3A" w:rsidP="00492B3A">
      <w:r>
        <w:t>&lt;ESMA_QUESTION_</w:t>
      </w:r>
      <w:r w:rsidR="00A014B6">
        <w:t>ECSP</w:t>
      </w:r>
      <w:r>
        <w:t>_13&gt;</w:t>
      </w:r>
    </w:p>
    <w:p w14:paraId="7A9A50C5" w14:textId="77777777" w:rsidR="00492B3A" w:rsidRDefault="00492B3A" w:rsidP="00492B3A">
      <w:permStart w:id="384379543" w:edGrp="everyone"/>
      <w:r>
        <w:t>TYPE YOUR TEXT HERE</w:t>
      </w:r>
    </w:p>
    <w:permEnd w:id="384379543"/>
    <w:p w14:paraId="0D19A1E9" w14:textId="2485FB0C" w:rsidR="00492B3A" w:rsidRDefault="00492B3A" w:rsidP="00492B3A">
      <w:r>
        <w:t>&lt;ESMA_QUESTION_</w:t>
      </w:r>
      <w:r w:rsidR="00A014B6">
        <w:t>ECSP</w:t>
      </w:r>
      <w:r>
        <w:t>_13&gt;</w:t>
      </w:r>
    </w:p>
    <w:p w14:paraId="2B65235D" w14:textId="77777777" w:rsidR="00492B3A" w:rsidRDefault="00492B3A" w:rsidP="00492B3A"/>
    <w:p w14:paraId="620A77B5" w14:textId="0E97E3BE" w:rsidR="00492B3A" w:rsidRDefault="00A014B6" w:rsidP="00492B3A">
      <w:pPr>
        <w:pStyle w:val="Questionstyle"/>
      </w:pPr>
      <w:r w:rsidRPr="00A014B6">
        <w:t>What, if any, additional costs and/or benefits do you envisage arising from the proposed approach taken for the KIIS? Please quantify and provide details.</w:t>
      </w:r>
    </w:p>
    <w:p w14:paraId="469F3B30" w14:textId="77BFC061" w:rsidR="00492B3A" w:rsidRDefault="00492B3A" w:rsidP="00492B3A">
      <w:r>
        <w:t>&lt;ESMA_QUESTION_</w:t>
      </w:r>
      <w:r w:rsidR="00A014B6">
        <w:t>ECSP</w:t>
      </w:r>
      <w:r>
        <w:t>_14&gt;</w:t>
      </w:r>
    </w:p>
    <w:p w14:paraId="65AE7182" w14:textId="2B641321" w:rsidR="00492B3A" w:rsidRDefault="008A17ED" w:rsidP="00492B3A">
      <w:permStart w:id="1844913490" w:edGrp="everyone"/>
      <w:r>
        <w:t>The KIIS</w:t>
      </w:r>
      <w:r w:rsidR="002865C3">
        <w:t xml:space="preserve"> involves a</w:t>
      </w:r>
      <w:r w:rsidR="004E126D">
        <w:t xml:space="preserve"> lot of information that investors have to go through. </w:t>
      </w:r>
      <w:proofErr w:type="spellStart"/>
      <w:r w:rsidR="004E126D">
        <w:t>Eventhough</w:t>
      </w:r>
      <w:proofErr w:type="spellEnd"/>
      <w:r w:rsidR="004E126D">
        <w:t xml:space="preserve"> the extent of the KIIS is limited to 6 pages A4</w:t>
      </w:r>
      <w:r w:rsidR="009620FD">
        <w:t>, it still requires</w:t>
      </w:r>
      <w:r w:rsidR="00D53B40">
        <w:t xml:space="preserve"> CSP’s</w:t>
      </w:r>
      <w:r w:rsidR="009620FD">
        <w:t xml:space="preserve"> to disclose a lot information that</w:t>
      </w:r>
      <w:r w:rsidR="00E91A75">
        <w:t xml:space="preserve">, especially for smaller projects, </w:t>
      </w:r>
      <w:r w:rsidR="00D53B40">
        <w:t>can be</w:t>
      </w:r>
      <w:r w:rsidR="00E91A75">
        <w:t xml:space="preserve"> disproportional. Moreover it can </w:t>
      </w:r>
      <w:r w:rsidR="004E52B8">
        <w:t>result in</w:t>
      </w:r>
      <w:r w:rsidR="00E91A75">
        <w:t xml:space="preserve"> investors not reading the KIIS at all</w:t>
      </w:r>
      <w:r w:rsidR="004E52B8">
        <w:t>, missing essential information</w:t>
      </w:r>
      <w:r w:rsidR="00EC2664">
        <w:t>.</w:t>
      </w:r>
    </w:p>
    <w:permEnd w:id="1844913490"/>
    <w:p w14:paraId="70457698" w14:textId="5E8BFF59" w:rsidR="00492B3A" w:rsidRDefault="00492B3A" w:rsidP="00492B3A">
      <w:r>
        <w:t>&lt;ESMA_QUESTION_</w:t>
      </w:r>
      <w:r w:rsidR="00A014B6">
        <w:t>ECSP</w:t>
      </w:r>
      <w:r>
        <w:t>_14&gt;</w:t>
      </w:r>
    </w:p>
    <w:p w14:paraId="33E3946A" w14:textId="77777777" w:rsidR="00492B3A" w:rsidRDefault="00492B3A" w:rsidP="00492B3A"/>
    <w:p w14:paraId="3CC16F44" w14:textId="5E944E73" w:rsidR="00492B3A" w:rsidRDefault="00A014B6" w:rsidP="00492B3A">
      <w:pPr>
        <w:pStyle w:val="Questionstyle"/>
      </w:pPr>
      <w:r w:rsidRPr="00A014B6">
        <w:t>Do you agree with the proposals with respect to standards, formats, templates and procedures for the provision of data by crowdfunding service providers to competent authorities?</w:t>
      </w:r>
    </w:p>
    <w:p w14:paraId="63D6457D" w14:textId="31D90EA5" w:rsidR="00492B3A" w:rsidRDefault="00492B3A" w:rsidP="00492B3A">
      <w:r>
        <w:t>&lt;ESMA_QUESTION_</w:t>
      </w:r>
      <w:r w:rsidR="00A014B6">
        <w:t>ECSP</w:t>
      </w:r>
      <w:r>
        <w:t>_15&gt;</w:t>
      </w:r>
    </w:p>
    <w:p w14:paraId="2E34B8AF" w14:textId="7A8F725A" w:rsidR="00492B3A" w:rsidRDefault="00CE02EA" w:rsidP="00492B3A">
      <w:permStart w:id="1403017900" w:edGrp="everyone"/>
      <w:r>
        <w:t xml:space="preserve">Not fully. </w:t>
      </w:r>
      <w:r w:rsidR="00EC61CE">
        <w:t xml:space="preserve">We refer to </w:t>
      </w:r>
      <w:r w:rsidR="00FC77C8">
        <w:t xml:space="preserve">the answer on </w:t>
      </w:r>
      <w:r w:rsidR="00EC61CE">
        <w:t xml:space="preserve">Q6 </w:t>
      </w:r>
      <w:r w:rsidR="00FC77C8">
        <w:t>about</w:t>
      </w:r>
      <w:r w:rsidR="00165ED9">
        <w:t xml:space="preserve"> the LEI-code</w:t>
      </w:r>
      <w:r w:rsidR="00FC77C8">
        <w:t>.</w:t>
      </w:r>
    </w:p>
    <w:permEnd w:id="1403017900"/>
    <w:p w14:paraId="379DD71C" w14:textId="5EE120C9" w:rsidR="00492B3A" w:rsidRDefault="00492B3A" w:rsidP="00492B3A">
      <w:r>
        <w:t>&lt;ESMA_QUESTION_</w:t>
      </w:r>
      <w:r w:rsidR="00A014B6">
        <w:t>ECSP</w:t>
      </w:r>
      <w:r>
        <w:t>_15&gt;</w:t>
      </w:r>
    </w:p>
    <w:p w14:paraId="3D52163A" w14:textId="77777777" w:rsidR="00492B3A" w:rsidRDefault="00492B3A" w:rsidP="00492B3A"/>
    <w:p w14:paraId="112B8CBC" w14:textId="054A2D1D" w:rsidR="00492B3A" w:rsidRDefault="00A014B6" w:rsidP="00492B3A">
      <w:pPr>
        <w:pStyle w:val="Questionstyle"/>
      </w:pPr>
      <w:r w:rsidRPr="00A014B6">
        <w:t>Do you consider that the format for the submission of the information to competent authorities should be further specified in the final draft ITS? Which technical format (e.g. CSV, others) should be considered by ESMA?</w:t>
      </w:r>
    </w:p>
    <w:p w14:paraId="4EC2BDB8" w14:textId="70D06100" w:rsidR="00492B3A" w:rsidRDefault="00492B3A" w:rsidP="00492B3A">
      <w:r>
        <w:t>&lt;ESMA_QUESTION_</w:t>
      </w:r>
      <w:r w:rsidR="00A014B6">
        <w:t>ECSP</w:t>
      </w:r>
      <w:r>
        <w:t>_16&gt;</w:t>
      </w:r>
    </w:p>
    <w:p w14:paraId="1FF5293E" w14:textId="77777777" w:rsidR="00492B3A" w:rsidRDefault="00492B3A" w:rsidP="00492B3A">
      <w:permStart w:id="1046510351" w:edGrp="everyone"/>
      <w:r>
        <w:t>TYPE YOUR TEXT HERE</w:t>
      </w:r>
    </w:p>
    <w:permEnd w:id="1046510351"/>
    <w:p w14:paraId="1B3BEA7F" w14:textId="2693CAD0" w:rsidR="00492B3A" w:rsidRDefault="00492B3A" w:rsidP="00492B3A">
      <w:r>
        <w:t>&lt;ESMA_QUESTION_</w:t>
      </w:r>
      <w:r w:rsidR="00A014B6">
        <w:t>ECSP</w:t>
      </w:r>
      <w:r>
        <w:t>_16&gt;</w:t>
      </w:r>
    </w:p>
    <w:p w14:paraId="649FBBBD" w14:textId="77777777" w:rsidR="00492B3A" w:rsidRDefault="00492B3A" w:rsidP="00492B3A"/>
    <w:p w14:paraId="5EF224F0" w14:textId="6285CCCE" w:rsidR="00492B3A" w:rsidRDefault="00A014B6" w:rsidP="00492B3A">
      <w:pPr>
        <w:pStyle w:val="Questionstyle"/>
      </w:pPr>
      <w:r w:rsidRPr="00A014B6">
        <w:t>Do you envisage any impacts of the proposals with respect to provision of data by competent authorities to ESMA, and in particular on the anonymisation methods that should be used when transmitting information by competent authorities to ESMA? Which specific anonymisation methods would be appropriate to fulfil the reporting requirements?</w:t>
      </w:r>
    </w:p>
    <w:p w14:paraId="0A7FFEE1" w14:textId="1BF2EF66" w:rsidR="00492B3A" w:rsidRDefault="00492B3A" w:rsidP="00492B3A">
      <w:r>
        <w:t>&lt;ESMA_QUESTION_</w:t>
      </w:r>
      <w:r w:rsidR="00A014B6">
        <w:t>ECSP</w:t>
      </w:r>
      <w:r>
        <w:t>_17&gt;</w:t>
      </w:r>
    </w:p>
    <w:p w14:paraId="6B61C298" w14:textId="77777777" w:rsidR="00492B3A" w:rsidRDefault="00492B3A" w:rsidP="00492B3A">
      <w:permStart w:id="1692017174" w:edGrp="everyone"/>
      <w:r>
        <w:t>TYPE YOUR TEXT HERE</w:t>
      </w:r>
    </w:p>
    <w:permEnd w:id="1692017174"/>
    <w:p w14:paraId="20733EA7" w14:textId="3AB33142" w:rsidR="00492B3A" w:rsidRDefault="00492B3A" w:rsidP="00492B3A">
      <w:r>
        <w:t>&lt;ESMA_QUESTION_</w:t>
      </w:r>
      <w:r w:rsidR="00A014B6">
        <w:t>ECSP</w:t>
      </w:r>
      <w:r>
        <w:t>_17&gt;</w:t>
      </w:r>
    </w:p>
    <w:p w14:paraId="003742D8" w14:textId="77777777" w:rsidR="00492B3A" w:rsidRDefault="00492B3A" w:rsidP="00492B3A"/>
    <w:p w14:paraId="630C1875" w14:textId="3DD5F10E" w:rsidR="00492B3A" w:rsidRDefault="00A014B6" w:rsidP="00492B3A">
      <w:pPr>
        <w:pStyle w:val="Questionstyle"/>
      </w:pPr>
      <w:r w:rsidRPr="00A014B6">
        <w:t>Do you agree with the information on the national laws, regulations and administrative provisions applicable to marketing communications of CSPs that is being requested from CAs in the two templates? If not, which items should be added or deleted and for which reasons? Please provide a detailed answer.</w:t>
      </w:r>
    </w:p>
    <w:p w14:paraId="62131EFD" w14:textId="4197F9E7" w:rsidR="00492B3A" w:rsidRDefault="00492B3A" w:rsidP="00492B3A">
      <w:r>
        <w:lastRenderedPageBreak/>
        <w:t>&lt;ESMA_QUESTION_</w:t>
      </w:r>
      <w:r w:rsidR="00A014B6">
        <w:t>ECSP</w:t>
      </w:r>
      <w:r>
        <w:t>_18&gt;</w:t>
      </w:r>
    </w:p>
    <w:p w14:paraId="1298BA03" w14:textId="77777777" w:rsidR="00492B3A" w:rsidRDefault="00492B3A" w:rsidP="00492B3A">
      <w:permStart w:id="2067675786" w:edGrp="everyone"/>
      <w:r>
        <w:t>TYPE YOUR TEXT HERE</w:t>
      </w:r>
    </w:p>
    <w:permEnd w:id="2067675786"/>
    <w:p w14:paraId="0824C05D" w14:textId="006209DA" w:rsidR="00492B3A" w:rsidRDefault="00492B3A" w:rsidP="00492B3A">
      <w:r>
        <w:t>&lt;ESMA_QUESTION_</w:t>
      </w:r>
      <w:r w:rsidR="00A014B6">
        <w:t>ECSP</w:t>
      </w:r>
      <w:r>
        <w:t>_18&gt;</w:t>
      </w:r>
    </w:p>
    <w:p w14:paraId="04F456E7" w14:textId="77777777" w:rsidR="00492B3A" w:rsidRDefault="00492B3A" w:rsidP="00492B3A"/>
    <w:p w14:paraId="2CB6885A" w14:textId="4DDDCD81" w:rsidR="00492B3A" w:rsidRDefault="00A014B6" w:rsidP="00492B3A">
      <w:pPr>
        <w:pStyle w:val="Questionstyle"/>
      </w:pPr>
      <w:r w:rsidRPr="00A014B6">
        <w:t>Do you agree with the cost benefit analysis as it has been described in Annex II?</w:t>
      </w:r>
    </w:p>
    <w:p w14:paraId="7199B384" w14:textId="1B78CC0E" w:rsidR="00492B3A" w:rsidRDefault="00492B3A" w:rsidP="00492B3A">
      <w:r>
        <w:t>&lt;ESMA_QUESTION_</w:t>
      </w:r>
      <w:r w:rsidR="00A014B6">
        <w:t>ECSP</w:t>
      </w:r>
      <w:r>
        <w:t>_19&gt;</w:t>
      </w:r>
    </w:p>
    <w:p w14:paraId="3088D274" w14:textId="77777777" w:rsidR="00492B3A" w:rsidRDefault="00492B3A" w:rsidP="00492B3A">
      <w:permStart w:id="1373325572" w:edGrp="everyone"/>
      <w:r>
        <w:t>TYPE YOUR TEXT HERE</w:t>
      </w:r>
    </w:p>
    <w:permEnd w:id="1373325572"/>
    <w:p w14:paraId="0BFE7D97" w14:textId="1AC239FF" w:rsidR="00492B3A" w:rsidRDefault="00492B3A" w:rsidP="00492B3A">
      <w:r>
        <w:t>&lt;ESMA_QUESTION_</w:t>
      </w:r>
      <w:r w:rsidR="00A014B6">
        <w:t>ECSP</w:t>
      </w:r>
      <w:r>
        <w:t>_19&gt;</w:t>
      </w:r>
    </w:p>
    <w:p w14:paraId="3D24CE57" w14:textId="77777777" w:rsidR="00492B3A" w:rsidRDefault="00492B3A" w:rsidP="00492B3A"/>
    <w:p w14:paraId="480CBA32" w14:textId="40BA3744" w:rsidR="00492B3A" w:rsidRDefault="00470356" w:rsidP="00492B3A">
      <w:pPr>
        <w:pStyle w:val="Questionstyle"/>
      </w:pPr>
      <w:r w:rsidRPr="00470356">
        <w:t>Are there any additional comments that you would like to raise and/or information that you would like to provide?</w:t>
      </w:r>
    </w:p>
    <w:p w14:paraId="2B4FDACB" w14:textId="7D8037EC" w:rsidR="00492B3A" w:rsidRDefault="00492B3A" w:rsidP="00492B3A">
      <w:r>
        <w:t>&lt;ESMA_QUESTION_</w:t>
      </w:r>
      <w:r w:rsidR="00A014B6">
        <w:t>ECSP</w:t>
      </w:r>
      <w:r>
        <w:t>_20&gt;</w:t>
      </w:r>
    </w:p>
    <w:p w14:paraId="758D9E6E" w14:textId="77777777" w:rsidR="00FE7F3C" w:rsidRPr="000D54B6" w:rsidRDefault="00FE7F3C" w:rsidP="00FE7F3C">
      <w:pPr>
        <w:spacing w:before="60" w:after="60"/>
        <w:rPr>
          <w:rFonts w:asciiTheme="minorHAnsi" w:hAnsiTheme="minorHAnsi" w:cstheme="minorHAnsi"/>
          <w:lang w:val="nl-NL"/>
        </w:rPr>
      </w:pPr>
      <w:permStart w:id="1139373962" w:edGrp="everyone"/>
    </w:p>
    <w:tbl>
      <w:tblPr>
        <w:tblStyle w:val="Tabelraster"/>
        <w:tblW w:w="11341" w:type="dxa"/>
        <w:tblInd w:w="-998" w:type="dxa"/>
        <w:tblLook w:val="04A0" w:firstRow="1" w:lastRow="0" w:firstColumn="1" w:lastColumn="0" w:noHBand="0" w:noVBand="1"/>
      </w:tblPr>
      <w:tblGrid>
        <w:gridCol w:w="520"/>
        <w:gridCol w:w="1947"/>
        <w:gridCol w:w="2012"/>
        <w:gridCol w:w="6862"/>
      </w:tblGrid>
      <w:tr w:rsidR="00FE7F3C" w:rsidRPr="000D54B6" w14:paraId="1221EA55" w14:textId="77777777" w:rsidTr="00DB1345">
        <w:tc>
          <w:tcPr>
            <w:tcW w:w="11341" w:type="dxa"/>
            <w:gridSpan w:val="4"/>
            <w:shd w:val="clear" w:color="auto" w:fill="FDE9D9" w:themeFill="accent6" w:themeFillTint="33"/>
          </w:tcPr>
          <w:p w14:paraId="5503E981" w14:textId="77777777" w:rsidR="00FE7F3C" w:rsidRPr="000D54B6" w:rsidRDefault="00FE7F3C" w:rsidP="00DB1345">
            <w:pPr>
              <w:pStyle w:val="Lijstalinea"/>
              <w:spacing w:before="60" w:after="60"/>
              <w:jc w:val="center"/>
              <w:rPr>
                <w:rFonts w:asciiTheme="minorHAnsi" w:hAnsiTheme="minorHAnsi" w:cstheme="minorHAnsi"/>
                <w:b/>
                <w:bCs/>
                <w:lang w:val="nl-NL"/>
              </w:rPr>
            </w:pPr>
          </w:p>
        </w:tc>
      </w:tr>
      <w:tr w:rsidR="00FE7F3C" w:rsidRPr="000D54B6" w14:paraId="7F201076" w14:textId="77777777" w:rsidTr="00DB1345">
        <w:tc>
          <w:tcPr>
            <w:tcW w:w="520" w:type="dxa"/>
          </w:tcPr>
          <w:p w14:paraId="3A278B02" w14:textId="77777777" w:rsidR="00FE7F3C" w:rsidRPr="000D54B6" w:rsidRDefault="00FE7F3C" w:rsidP="00DB1345">
            <w:pPr>
              <w:spacing w:before="60" w:after="60"/>
              <w:rPr>
                <w:rFonts w:asciiTheme="minorHAnsi" w:hAnsiTheme="minorHAnsi" w:cstheme="minorHAnsi"/>
                <w:b/>
                <w:bCs/>
                <w:lang w:val="nl-NL"/>
              </w:rPr>
            </w:pPr>
            <w:r w:rsidRPr="000D54B6">
              <w:rPr>
                <w:rFonts w:asciiTheme="minorHAnsi" w:hAnsiTheme="minorHAnsi" w:cstheme="minorHAnsi"/>
                <w:b/>
                <w:bCs/>
                <w:lang w:val="nl-NL"/>
              </w:rPr>
              <w:t>#</w:t>
            </w:r>
          </w:p>
        </w:tc>
        <w:tc>
          <w:tcPr>
            <w:tcW w:w="1947" w:type="dxa"/>
          </w:tcPr>
          <w:p w14:paraId="1A0C942F" w14:textId="77777777" w:rsidR="00FE7F3C" w:rsidRPr="000D54B6" w:rsidRDefault="00FE7F3C" w:rsidP="00DB1345">
            <w:pPr>
              <w:spacing w:before="60" w:after="60"/>
              <w:rPr>
                <w:rFonts w:asciiTheme="minorHAnsi" w:hAnsiTheme="minorHAnsi" w:cstheme="minorHAnsi"/>
                <w:b/>
                <w:bCs/>
                <w:lang w:val="nl-NL"/>
              </w:rPr>
            </w:pPr>
            <w:r w:rsidRPr="000D54B6">
              <w:rPr>
                <w:rFonts w:asciiTheme="minorHAnsi" w:hAnsiTheme="minorHAnsi" w:cstheme="minorHAnsi"/>
                <w:b/>
                <w:bCs/>
                <w:lang w:val="nl-NL"/>
              </w:rPr>
              <w:t>Issue</w:t>
            </w:r>
          </w:p>
        </w:tc>
        <w:tc>
          <w:tcPr>
            <w:tcW w:w="2012" w:type="dxa"/>
          </w:tcPr>
          <w:p w14:paraId="6F9D9B59" w14:textId="77777777" w:rsidR="00FE7F3C" w:rsidRPr="000D54B6" w:rsidRDefault="00FE7F3C" w:rsidP="00DB1345">
            <w:pPr>
              <w:spacing w:before="60" w:after="60"/>
              <w:rPr>
                <w:rFonts w:asciiTheme="minorHAnsi" w:hAnsiTheme="minorHAnsi" w:cstheme="minorHAnsi"/>
                <w:b/>
                <w:bCs/>
                <w:lang w:val="nl-NL"/>
              </w:rPr>
            </w:pPr>
            <w:r>
              <w:rPr>
                <w:rFonts w:asciiTheme="minorHAnsi" w:hAnsiTheme="minorHAnsi" w:cstheme="minorHAnsi"/>
                <w:b/>
                <w:bCs/>
                <w:lang w:val="nl-NL"/>
              </w:rPr>
              <w:t>Reference</w:t>
            </w:r>
          </w:p>
        </w:tc>
        <w:tc>
          <w:tcPr>
            <w:tcW w:w="6862" w:type="dxa"/>
          </w:tcPr>
          <w:p w14:paraId="0C5DA217" w14:textId="77777777" w:rsidR="00FE7F3C" w:rsidRPr="000D54B6" w:rsidRDefault="00FE7F3C" w:rsidP="00DB1345">
            <w:pPr>
              <w:spacing w:before="60" w:after="60"/>
              <w:jc w:val="both"/>
              <w:rPr>
                <w:rFonts w:asciiTheme="minorHAnsi" w:hAnsiTheme="minorHAnsi" w:cstheme="minorHAnsi"/>
                <w:b/>
                <w:bCs/>
                <w:lang w:val="nl-NL"/>
              </w:rPr>
            </w:pPr>
            <w:proofErr w:type="spellStart"/>
            <w:r>
              <w:rPr>
                <w:rFonts w:asciiTheme="minorHAnsi" w:hAnsiTheme="minorHAnsi" w:cstheme="minorHAnsi"/>
                <w:b/>
                <w:bCs/>
                <w:lang w:val="nl-NL"/>
              </w:rPr>
              <w:t>Remarks</w:t>
            </w:r>
            <w:proofErr w:type="spellEnd"/>
          </w:p>
        </w:tc>
      </w:tr>
      <w:tr w:rsidR="00FE7F3C" w:rsidRPr="002D5ADC" w14:paraId="12D18DA3" w14:textId="77777777" w:rsidTr="00DB1345">
        <w:tc>
          <w:tcPr>
            <w:tcW w:w="520" w:type="dxa"/>
          </w:tcPr>
          <w:p w14:paraId="0C248358" w14:textId="77777777" w:rsidR="00FE7F3C" w:rsidRPr="002D5ADC" w:rsidRDefault="00FE7F3C" w:rsidP="00093A17">
            <w:pPr>
              <w:pStyle w:val="Lijstalinea"/>
              <w:numPr>
                <w:ilvl w:val="0"/>
                <w:numId w:val="40"/>
              </w:numPr>
              <w:spacing w:before="60" w:after="60"/>
              <w:rPr>
                <w:rFonts w:asciiTheme="minorHAnsi" w:hAnsiTheme="minorHAnsi" w:cstheme="minorHAnsi"/>
              </w:rPr>
            </w:pPr>
          </w:p>
        </w:tc>
        <w:tc>
          <w:tcPr>
            <w:tcW w:w="1947" w:type="dxa"/>
          </w:tcPr>
          <w:p w14:paraId="6FCF7FD6" w14:textId="77777777" w:rsidR="00FE7F3C" w:rsidRDefault="00FE7F3C" w:rsidP="00DB1345">
            <w:pPr>
              <w:spacing w:before="60" w:after="60"/>
              <w:rPr>
                <w:rFonts w:asciiTheme="minorHAnsi" w:hAnsiTheme="minorHAnsi" w:cstheme="minorHAnsi"/>
                <w:b/>
                <w:bCs/>
              </w:rPr>
            </w:pPr>
            <w:r>
              <w:rPr>
                <w:rFonts w:asciiTheme="minorHAnsi" w:hAnsiTheme="minorHAnsi" w:cstheme="minorHAnsi"/>
                <w:b/>
                <w:bCs/>
              </w:rPr>
              <w:t>KIIIS</w:t>
            </w:r>
          </w:p>
          <w:p w14:paraId="06682FC7" w14:textId="77777777" w:rsidR="00FE7F3C" w:rsidRPr="002D5ADC" w:rsidRDefault="00FE7F3C" w:rsidP="00DB1345">
            <w:pPr>
              <w:spacing w:before="60" w:after="60"/>
              <w:rPr>
                <w:rFonts w:asciiTheme="minorHAnsi" w:hAnsiTheme="minorHAnsi" w:cstheme="minorHAnsi"/>
                <w:b/>
                <w:bCs/>
              </w:rPr>
            </w:pPr>
          </w:p>
        </w:tc>
        <w:tc>
          <w:tcPr>
            <w:tcW w:w="2012" w:type="dxa"/>
          </w:tcPr>
          <w:p w14:paraId="65FDA2A8" w14:textId="77777777" w:rsidR="00FE7F3C" w:rsidRDefault="00FE7F3C" w:rsidP="00DB1345">
            <w:pPr>
              <w:spacing w:before="60" w:after="60"/>
              <w:rPr>
                <w:rFonts w:asciiTheme="minorHAnsi" w:hAnsiTheme="minorHAnsi" w:cstheme="minorHAnsi"/>
              </w:rPr>
            </w:pPr>
            <w:r w:rsidRPr="00CB46BA">
              <w:rPr>
                <w:rFonts w:asciiTheme="minorHAnsi" w:hAnsiTheme="minorHAnsi" w:cstheme="minorHAnsi"/>
              </w:rPr>
              <w:t>§</w:t>
            </w:r>
            <w:r>
              <w:rPr>
                <w:rFonts w:asciiTheme="minorHAnsi" w:hAnsiTheme="minorHAnsi" w:cstheme="minorHAnsi"/>
              </w:rPr>
              <w:t xml:space="preserve"> 2.7 ESMA</w:t>
            </w:r>
          </w:p>
          <w:p w14:paraId="4E55FE2B" w14:textId="77777777" w:rsidR="00FE7F3C" w:rsidRPr="00CB46BA" w:rsidRDefault="00FE7F3C" w:rsidP="00DB1345">
            <w:pPr>
              <w:spacing w:before="60" w:after="60"/>
              <w:rPr>
                <w:rFonts w:asciiTheme="minorHAnsi" w:hAnsiTheme="minorHAnsi" w:cstheme="minorHAnsi"/>
              </w:rPr>
            </w:pPr>
            <w:r>
              <w:rPr>
                <w:rFonts w:asciiTheme="minorHAnsi" w:hAnsiTheme="minorHAnsi" w:cstheme="minorHAnsi"/>
              </w:rPr>
              <w:t>Annex IX</w:t>
            </w:r>
            <w:r>
              <w:rPr>
                <w:rFonts w:asciiTheme="minorHAnsi" w:hAnsiTheme="minorHAnsi" w:cstheme="minorHAnsi"/>
              </w:rPr>
              <w:br/>
            </w:r>
            <w:r>
              <w:rPr>
                <w:rFonts w:asciiTheme="minorHAnsi" w:hAnsiTheme="minorHAnsi" w:cstheme="minorHAnsi"/>
              </w:rPr>
              <w:br/>
              <w:t xml:space="preserve">Part D </w:t>
            </w:r>
          </w:p>
        </w:tc>
        <w:tc>
          <w:tcPr>
            <w:tcW w:w="6862" w:type="dxa"/>
          </w:tcPr>
          <w:p w14:paraId="54048A1E" w14:textId="77777777" w:rsidR="00FE7F3C" w:rsidRDefault="00FE7F3C" w:rsidP="00DB1345">
            <w:pPr>
              <w:spacing w:before="60" w:after="60"/>
              <w:jc w:val="both"/>
              <w:rPr>
                <w:lang w:val="en-US"/>
              </w:rPr>
            </w:pPr>
            <w:r w:rsidRPr="00A21D98">
              <w:rPr>
                <w:lang w:val="en-US"/>
              </w:rPr>
              <w:t>Th</w:t>
            </w:r>
            <w:r>
              <w:rPr>
                <w:lang w:val="en-US"/>
              </w:rPr>
              <w:t xml:space="preserve">e </w:t>
            </w:r>
            <w:r w:rsidRPr="00A1516A">
              <w:rPr>
                <w:lang w:val="en-US"/>
              </w:rPr>
              <w:t xml:space="preserve">Key Investment Information Sheet </w:t>
            </w:r>
            <w:r>
              <w:rPr>
                <w:lang w:val="en-US"/>
              </w:rPr>
              <w:t>(</w:t>
            </w:r>
            <w:r w:rsidRPr="00A1516A">
              <w:rPr>
                <w:lang w:val="en-US"/>
              </w:rPr>
              <w:t>KIIS</w:t>
            </w:r>
            <w:r>
              <w:rPr>
                <w:lang w:val="en-US"/>
              </w:rPr>
              <w:t>)</w:t>
            </w:r>
            <w:r w:rsidRPr="00A1516A">
              <w:rPr>
                <w:lang w:val="en-US"/>
              </w:rPr>
              <w:t xml:space="preserve"> is too </w:t>
            </w:r>
            <w:r>
              <w:rPr>
                <w:lang w:val="en-US"/>
              </w:rPr>
              <w:t>extensive for relatively small project owners. The required information to be disclosed is disproportional and can be</w:t>
            </w:r>
            <w:r w:rsidRPr="00A1516A">
              <w:rPr>
                <w:lang w:val="en-US"/>
              </w:rPr>
              <w:t xml:space="preserve"> a burden</w:t>
            </w:r>
            <w:r>
              <w:rPr>
                <w:lang w:val="en-US"/>
              </w:rPr>
              <w:t xml:space="preserve"> for the project owner to choose for crowdfunding. </w:t>
            </w:r>
            <w:r>
              <w:t>For a non-sophisticated investor it is too much information to digest and not in proportion to the amount of investment. A small non-sophisticated investor who invests for only a few hundred euros has no interest in certain information.</w:t>
            </w:r>
            <w:r>
              <w:br/>
            </w:r>
            <w:r>
              <w:rPr>
                <w:lang w:val="en-US"/>
              </w:rPr>
              <w:t>A few examples:</w:t>
            </w:r>
          </w:p>
          <w:p w14:paraId="4D337A36" w14:textId="77777777" w:rsidR="00FE7F3C" w:rsidRPr="00FE7F3C" w:rsidRDefault="00FE7F3C" w:rsidP="00093A17">
            <w:pPr>
              <w:pStyle w:val="Lijstalinea"/>
              <w:numPr>
                <w:ilvl w:val="0"/>
                <w:numId w:val="39"/>
              </w:numPr>
              <w:spacing w:before="60" w:after="60"/>
              <w:rPr>
                <w:lang w:val="en-US"/>
              </w:rPr>
            </w:pPr>
            <w:r w:rsidRPr="00F85AF8">
              <w:rPr>
                <w:i/>
                <w:iCs/>
                <w:lang w:val="en-US"/>
              </w:rPr>
              <w:t>Deadline on which the offer will be closed for prospective/potential investors</w:t>
            </w:r>
            <w:r w:rsidRPr="00F85AF8">
              <w:rPr>
                <w:lang w:val="en-US"/>
              </w:rPr>
              <w:br/>
            </w:r>
            <w:r>
              <w:sym w:font="Wingdings" w:char="F0E0"/>
            </w:r>
            <w:r w:rsidRPr="00F85AF8">
              <w:rPr>
                <w:lang w:val="en-US"/>
              </w:rPr>
              <w:t xml:space="preserve"> Why</w:t>
            </w:r>
            <w:r>
              <w:rPr>
                <w:lang w:val="en-US"/>
              </w:rPr>
              <w:t xml:space="preserve"> is not possible for</w:t>
            </w:r>
            <w:r w:rsidRPr="00F85AF8">
              <w:rPr>
                <w:lang w:val="en-US"/>
              </w:rPr>
              <w:t xml:space="preserve"> CSP</w:t>
            </w:r>
            <w:r>
              <w:rPr>
                <w:lang w:val="en-US"/>
              </w:rPr>
              <w:t xml:space="preserve">’s to decide to prolong the deadline for reaching the target capital when this decision is made in mutual consultation with the project owner? </w:t>
            </w:r>
            <w:r w:rsidRPr="00FE7F3C">
              <w:rPr>
                <w:lang w:val="en-US"/>
              </w:rPr>
              <w:t xml:space="preserve">A fixed deadline beforehand can increase the pressure to </w:t>
            </w:r>
            <w:proofErr w:type="spellStart"/>
            <w:r w:rsidRPr="00FE7F3C">
              <w:rPr>
                <w:lang w:val="en-US"/>
              </w:rPr>
              <w:t>finalise</w:t>
            </w:r>
            <w:proofErr w:type="spellEnd"/>
            <w:r w:rsidRPr="00FE7F3C">
              <w:rPr>
                <w:lang w:val="en-US"/>
              </w:rPr>
              <w:t xml:space="preserve"> the target capital and also pressure investors to make hasty investment decisions. </w:t>
            </w:r>
            <w:r w:rsidRPr="00FE7F3C">
              <w:rPr>
                <w:lang w:val="en-US"/>
              </w:rPr>
              <w:br/>
            </w:r>
            <w:r w:rsidRPr="00FE7F3C">
              <w:rPr>
                <w:lang w:val="en-US"/>
              </w:rPr>
              <w:br/>
            </w:r>
            <w:r w:rsidRPr="000775A3">
              <w:rPr>
                <w:i/>
                <w:iCs/>
                <w:lang w:val="en-US"/>
              </w:rPr>
              <w:t>b)</w:t>
            </w:r>
            <w:r>
              <w:rPr>
                <w:i/>
                <w:iCs/>
                <w:lang w:val="en-US"/>
              </w:rPr>
              <w:t xml:space="preserve"> </w:t>
            </w:r>
            <w:r w:rsidRPr="000775A3">
              <w:rPr>
                <w:i/>
                <w:iCs/>
                <w:lang w:val="en-US"/>
              </w:rPr>
              <w:t>Consequences when the target capital is not raised by the deadline</w:t>
            </w:r>
            <w:r w:rsidRPr="000775A3">
              <w:rPr>
                <w:lang w:val="en-US"/>
              </w:rPr>
              <w:br/>
            </w:r>
            <w:r>
              <w:sym w:font="Wingdings" w:char="F0E0"/>
            </w:r>
            <w:r w:rsidRPr="000775A3">
              <w:rPr>
                <w:lang w:val="en-US"/>
              </w:rPr>
              <w:t xml:space="preserve"> This is information that belongs in the terms and conditions of the CSP. </w:t>
            </w:r>
            <w:r w:rsidRPr="00874670">
              <w:rPr>
                <w:lang w:val="en-US"/>
              </w:rPr>
              <w:t>When investors are interested in this information they should be able to find this easily on either th</w:t>
            </w:r>
            <w:r>
              <w:rPr>
                <w:lang w:val="en-US"/>
              </w:rPr>
              <w:t>e website of the CSP or the terms and conditions, but not in the KIIS of the specific project.</w:t>
            </w:r>
          </w:p>
          <w:p w14:paraId="4AE4573D" w14:textId="77777777" w:rsidR="00FE7F3C" w:rsidRDefault="00FE7F3C" w:rsidP="00DB1345">
            <w:pPr>
              <w:pStyle w:val="Lijstalinea"/>
              <w:spacing w:before="60" w:after="60"/>
              <w:rPr>
                <w:lang w:val="en-US"/>
              </w:rPr>
            </w:pPr>
            <w:r w:rsidRPr="00FE7F3C">
              <w:rPr>
                <w:lang w:val="en-US"/>
              </w:rPr>
              <w:t xml:space="preserve"> </w:t>
            </w:r>
            <w:r w:rsidRPr="00654DFC">
              <w:rPr>
                <w:lang w:val="en-US"/>
              </w:rPr>
              <w:br/>
            </w:r>
            <w:r w:rsidRPr="00654DFC">
              <w:rPr>
                <w:i/>
                <w:iCs/>
                <w:lang w:val="en-US"/>
              </w:rPr>
              <w:t>c) Amount of own funds committed to</w:t>
            </w:r>
            <w:r>
              <w:rPr>
                <w:i/>
                <w:iCs/>
                <w:lang w:val="en-US"/>
              </w:rPr>
              <w:t xml:space="preserve"> t</w:t>
            </w:r>
            <w:r w:rsidRPr="00654DFC">
              <w:rPr>
                <w:i/>
                <w:iCs/>
                <w:lang w:val="en-US"/>
              </w:rPr>
              <w:t>he crowdfunding project by the project owner</w:t>
            </w:r>
            <w:r w:rsidRPr="00654DFC">
              <w:rPr>
                <w:lang w:val="en-US"/>
              </w:rPr>
              <w:br/>
            </w:r>
            <w:r>
              <w:sym w:font="Wingdings" w:char="F0E0"/>
            </w:r>
            <w:r w:rsidRPr="00654DFC">
              <w:rPr>
                <w:lang w:val="en-US"/>
              </w:rPr>
              <w:t xml:space="preserve"> what is the added value to know this information? </w:t>
            </w:r>
            <w:r w:rsidRPr="00F5588D">
              <w:rPr>
                <w:lang w:val="en-US"/>
              </w:rPr>
              <w:t>It can be concluded that the project owner has invested a lot of</w:t>
            </w:r>
            <w:r>
              <w:rPr>
                <w:lang w:val="en-US"/>
              </w:rPr>
              <w:t xml:space="preserve"> own funds</w:t>
            </w:r>
            <w:r w:rsidRPr="00F5588D">
              <w:rPr>
                <w:lang w:val="en-US"/>
              </w:rPr>
              <w:t xml:space="preserve">. </w:t>
            </w:r>
            <w:r w:rsidRPr="008D72C6">
              <w:rPr>
                <w:lang w:val="en-US"/>
              </w:rPr>
              <w:t>The other way around can</w:t>
            </w:r>
            <w:r>
              <w:rPr>
                <w:lang w:val="en-US"/>
              </w:rPr>
              <w:t xml:space="preserve"> it be concluded</w:t>
            </w:r>
            <w:r w:rsidRPr="008D72C6">
              <w:rPr>
                <w:lang w:val="en-US"/>
              </w:rPr>
              <w:t xml:space="preserve"> that a project owner doesn’t have a lot of own </w:t>
            </w:r>
            <w:r>
              <w:rPr>
                <w:lang w:val="en-US"/>
              </w:rPr>
              <w:t>funds</w:t>
            </w:r>
            <w:r w:rsidRPr="008D72C6">
              <w:rPr>
                <w:lang w:val="en-US"/>
              </w:rPr>
              <w:t xml:space="preserve">. </w:t>
            </w:r>
            <w:r w:rsidRPr="00CC1384">
              <w:rPr>
                <w:lang w:val="en-US"/>
              </w:rPr>
              <w:t xml:space="preserve">Though this doesn’t necessarily has to say anything about </w:t>
            </w:r>
            <w:r>
              <w:rPr>
                <w:lang w:val="en-US"/>
              </w:rPr>
              <w:t>the financial position of the project owner or the collateral profile of the project. Therefore it</w:t>
            </w:r>
            <w:r w:rsidRPr="00654DFC">
              <w:rPr>
                <w:lang w:val="en-US"/>
              </w:rPr>
              <w:t xml:space="preserve"> should be optional for the project owner to disclose th</w:t>
            </w:r>
            <w:r>
              <w:rPr>
                <w:lang w:val="en-US"/>
              </w:rPr>
              <w:t>e amount of own funds committed</w:t>
            </w:r>
            <w:r w:rsidRPr="00654DFC">
              <w:rPr>
                <w:lang w:val="en-US"/>
              </w:rPr>
              <w:t>.</w:t>
            </w:r>
          </w:p>
          <w:p w14:paraId="34F38F09" w14:textId="77777777" w:rsidR="00FE7F3C" w:rsidRPr="00B044B0" w:rsidRDefault="00FE7F3C" w:rsidP="00DB1345">
            <w:pPr>
              <w:pStyle w:val="Lijstalinea"/>
              <w:spacing w:before="60" w:after="60"/>
              <w:rPr>
                <w:i/>
                <w:iCs/>
                <w:lang w:val="en-US"/>
              </w:rPr>
            </w:pPr>
            <w:r w:rsidRPr="00651B38">
              <w:rPr>
                <w:lang w:val="en-US"/>
              </w:rPr>
              <w:br/>
            </w:r>
            <w:r w:rsidRPr="00651B38">
              <w:rPr>
                <w:i/>
                <w:iCs/>
                <w:lang w:val="en-US"/>
              </w:rPr>
              <w:t>d) Too much emphasis on potential ri</w:t>
            </w:r>
            <w:r>
              <w:rPr>
                <w:i/>
                <w:iCs/>
                <w:lang w:val="en-US"/>
              </w:rPr>
              <w:t>sks associated with the crowdfunding project</w:t>
            </w:r>
            <w:r w:rsidRPr="00651B38">
              <w:rPr>
                <w:i/>
                <w:iCs/>
                <w:lang w:val="en-US"/>
              </w:rPr>
              <w:t>.</w:t>
            </w:r>
            <w:r w:rsidRPr="00651B38">
              <w:rPr>
                <w:lang w:val="en-US"/>
              </w:rPr>
              <w:br/>
            </w:r>
            <w:r>
              <w:lastRenderedPageBreak/>
              <w:sym w:font="Wingdings" w:char="F0E0"/>
            </w:r>
            <w:r w:rsidRPr="00651B38">
              <w:rPr>
                <w:lang w:val="en-US"/>
              </w:rPr>
              <w:t xml:space="preserve"> </w:t>
            </w:r>
            <w:r w:rsidRPr="0067247C">
              <w:rPr>
                <w:lang w:val="en-US"/>
              </w:rPr>
              <w:t>for example risk type 3 and risk type 5 are risks that are basically always present</w:t>
            </w:r>
            <w:r>
              <w:rPr>
                <w:lang w:val="en-US"/>
              </w:rPr>
              <w:t xml:space="preserve"> for every project</w:t>
            </w:r>
            <w:r w:rsidRPr="0067247C">
              <w:rPr>
                <w:lang w:val="en-US"/>
              </w:rPr>
              <w:t xml:space="preserve"> and do not add value</w:t>
            </w:r>
            <w:r>
              <w:rPr>
                <w:lang w:val="en-US"/>
              </w:rPr>
              <w:t xml:space="preserve"> for the investors to be disclosed in every KIIS</w:t>
            </w:r>
            <w:r w:rsidRPr="0067247C">
              <w:rPr>
                <w:lang w:val="en-US"/>
              </w:rPr>
              <w:t>.</w:t>
            </w:r>
            <w:r>
              <w:rPr>
                <w:lang w:val="en-US"/>
              </w:rPr>
              <w:t xml:space="preserve"> </w:t>
            </w:r>
            <w:r w:rsidRPr="00906C98">
              <w:rPr>
                <w:lang w:val="en-US"/>
              </w:rPr>
              <w:t xml:space="preserve">Moreover these are risks that have to tackled in the business continuity plan of the CSP. </w:t>
            </w:r>
            <w:r w:rsidRPr="00C706D6">
              <w:rPr>
                <w:lang w:val="en-US"/>
              </w:rPr>
              <w:t>If this is not the case, a CSP cannot even get a license under ECSPR.</w:t>
            </w:r>
            <w:r w:rsidRPr="00C706D6">
              <w:rPr>
                <w:lang w:val="en-US"/>
              </w:rPr>
              <w:br/>
            </w:r>
            <w:r w:rsidRPr="00C706D6">
              <w:rPr>
                <w:lang w:val="en-US"/>
              </w:rPr>
              <w:br/>
            </w:r>
            <w:r w:rsidRPr="00E40F2B">
              <w:rPr>
                <w:i/>
                <w:iCs/>
                <w:lang w:val="en-US"/>
              </w:rPr>
              <w:t>e) Any default on credit agreements by the project owner withing the past 5 years</w:t>
            </w:r>
            <w:r w:rsidRPr="00E40F2B">
              <w:rPr>
                <w:i/>
                <w:iCs/>
                <w:lang w:val="en-US"/>
              </w:rPr>
              <w:br/>
            </w:r>
            <w:r>
              <w:sym w:font="Wingdings" w:char="F0E0"/>
            </w:r>
            <w:r w:rsidRPr="00E40F2B">
              <w:rPr>
                <w:lang w:val="en-US"/>
              </w:rPr>
              <w:t xml:space="preserve"> </w:t>
            </w:r>
            <w:r>
              <w:rPr>
                <w:lang w:val="en-US"/>
              </w:rPr>
              <w:t xml:space="preserve">We understand this is valuable information, especially for the CSP that has to decide whether or not to provide crowdfunding services to the project owner. </w:t>
            </w:r>
            <w:r w:rsidRPr="00455237">
              <w:rPr>
                <w:lang w:val="en-US"/>
              </w:rPr>
              <w:t>Investors should trust the CSP</w:t>
            </w:r>
            <w:r>
              <w:rPr>
                <w:lang w:val="en-US"/>
              </w:rPr>
              <w:t xml:space="preserve"> to do</w:t>
            </w:r>
            <w:r w:rsidRPr="00455237">
              <w:rPr>
                <w:lang w:val="en-US"/>
              </w:rPr>
              <w:t xml:space="preserve"> this an</w:t>
            </w:r>
            <w:r>
              <w:rPr>
                <w:lang w:val="en-US"/>
              </w:rPr>
              <w:t xml:space="preserve">alysis upfront. </w:t>
            </w:r>
            <w:r w:rsidRPr="005014FC">
              <w:rPr>
                <w:lang w:val="en-US"/>
              </w:rPr>
              <w:t xml:space="preserve">If the result is negative, the </w:t>
            </w:r>
            <w:r>
              <w:rPr>
                <w:lang w:val="en-US"/>
              </w:rPr>
              <w:t>CSP</w:t>
            </w:r>
            <w:r w:rsidRPr="005014FC">
              <w:rPr>
                <w:lang w:val="en-US"/>
              </w:rPr>
              <w:t xml:space="preserve"> shoul</w:t>
            </w:r>
            <w:r>
              <w:rPr>
                <w:lang w:val="en-US"/>
              </w:rPr>
              <w:t xml:space="preserve">d not allow the project owner on their platform. </w:t>
            </w:r>
            <w:r w:rsidRPr="009452FC">
              <w:rPr>
                <w:lang w:val="en-US"/>
              </w:rPr>
              <w:t>Therefore this is information</w:t>
            </w:r>
            <w:r>
              <w:rPr>
                <w:lang w:val="en-US"/>
              </w:rPr>
              <w:t xml:space="preserve"> that should</w:t>
            </w:r>
            <w:r w:rsidRPr="009452FC">
              <w:rPr>
                <w:lang w:val="en-US"/>
              </w:rPr>
              <w:t>n’t</w:t>
            </w:r>
            <w:r>
              <w:rPr>
                <w:lang w:val="en-US"/>
              </w:rPr>
              <w:t xml:space="preserve"> be disclosed in the KIIS. </w:t>
            </w:r>
            <w:r w:rsidRPr="009E0194">
              <w:rPr>
                <w:lang w:val="en-US"/>
              </w:rPr>
              <w:t>Also it is questionable whether this information is allowed to be disclosed this way considering the privacy rules under GDPR.</w:t>
            </w:r>
            <w:r w:rsidRPr="009E0194">
              <w:rPr>
                <w:lang w:val="en-US"/>
              </w:rPr>
              <w:br/>
            </w:r>
            <w:r w:rsidRPr="009E0194">
              <w:rPr>
                <w:lang w:val="en-US"/>
              </w:rPr>
              <w:br/>
            </w:r>
            <w:r w:rsidRPr="00A26AE3">
              <w:rPr>
                <w:i/>
                <w:iCs/>
                <w:lang w:val="en-US"/>
              </w:rPr>
              <w:t>f) Description of servicing of the loan in situations where the project owner does not meet its obligations</w:t>
            </w:r>
            <w:r w:rsidRPr="00A26AE3">
              <w:rPr>
                <w:i/>
                <w:iCs/>
                <w:lang w:val="en-US"/>
              </w:rPr>
              <w:br/>
            </w:r>
            <w:r>
              <w:sym w:font="Wingdings" w:char="F0E0"/>
            </w:r>
            <w:r w:rsidRPr="00A26AE3">
              <w:rPr>
                <w:lang w:val="en-US"/>
              </w:rPr>
              <w:t xml:space="preserve"> </w:t>
            </w:r>
            <w:r w:rsidRPr="000775A3">
              <w:rPr>
                <w:lang w:val="en-US"/>
              </w:rPr>
              <w:t>This is information that belongs in the terms and conditions of the CSP</w:t>
            </w:r>
            <w:r>
              <w:rPr>
                <w:lang w:val="en-US"/>
              </w:rPr>
              <w:t xml:space="preserve"> or the loan agreement between the project owner and the investors</w:t>
            </w:r>
            <w:r w:rsidRPr="000775A3">
              <w:rPr>
                <w:lang w:val="en-US"/>
              </w:rPr>
              <w:t xml:space="preserve">. </w:t>
            </w:r>
            <w:r w:rsidRPr="00874670">
              <w:rPr>
                <w:lang w:val="en-US"/>
              </w:rPr>
              <w:t>When investors are interested in this information they should be able to find this easily on either th</w:t>
            </w:r>
            <w:r>
              <w:rPr>
                <w:lang w:val="en-US"/>
              </w:rPr>
              <w:t>e website of the CSP, the terms and conditions or the loan agreement itself, but not in the KIIS of the specific project.</w:t>
            </w:r>
          </w:p>
          <w:p w14:paraId="7EC317DE" w14:textId="77777777" w:rsidR="00FE7F3C" w:rsidRPr="00A26AE3" w:rsidRDefault="00FE7F3C" w:rsidP="00DB1345">
            <w:pPr>
              <w:spacing w:before="60" w:after="60"/>
              <w:jc w:val="both"/>
              <w:rPr>
                <w:lang w:val="en-US"/>
              </w:rPr>
            </w:pPr>
          </w:p>
          <w:p w14:paraId="1D77AA6B" w14:textId="77777777" w:rsidR="00FE7F3C" w:rsidRPr="001E7011" w:rsidRDefault="00FE7F3C" w:rsidP="00DB1345">
            <w:pPr>
              <w:spacing w:before="60" w:after="60"/>
              <w:jc w:val="both"/>
              <w:rPr>
                <w:lang w:val="en-US"/>
              </w:rPr>
            </w:pPr>
            <w:r>
              <w:rPr>
                <w:lang w:val="en-US"/>
              </w:rPr>
              <w:t>Regarding the requested information in the KIIS it would be justified to distinguish between smaller and bigger projects. This is already the case under MiFID II considering the prospectus obligation.</w:t>
            </w:r>
          </w:p>
        </w:tc>
      </w:tr>
      <w:tr w:rsidR="00FE7F3C" w:rsidRPr="00CF5A09" w14:paraId="488E4A75" w14:textId="77777777" w:rsidTr="00DB1345">
        <w:trPr>
          <w:trHeight w:val="1578"/>
        </w:trPr>
        <w:tc>
          <w:tcPr>
            <w:tcW w:w="520" w:type="dxa"/>
          </w:tcPr>
          <w:p w14:paraId="0C3353A0" w14:textId="77777777" w:rsidR="00FE7F3C" w:rsidRPr="002D5ADC" w:rsidRDefault="00FE7F3C" w:rsidP="00093A17">
            <w:pPr>
              <w:pStyle w:val="Lijstalinea"/>
              <w:numPr>
                <w:ilvl w:val="0"/>
                <w:numId w:val="40"/>
              </w:numPr>
              <w:spacing w:before="60" w:after="60"/>
              <w:rPr>
                <w:rFonts w:asciiTheme="minorHAnsi" w:hAnsiTheme="minorHAnsi" w:cstheme="minorHAnsi"/>
              </w:rPr>
            </w:pPr>
          </w:p>
        </w:tc>
        <w:tc>
          <w:tcPr>
            <w:tcW w:w="1947" w:type="dxa"/>
          </w:tcPr>
          <w:p w14:paraId="281BD773" w14:textId="77777777" w:rsidR="00FE7F3C" w:rsidRPr="00A122CD" w:rsidRDefault="00FE7F3C" w:rsidP="00DB1345">
            <w:pPr>
              <w:spacing w:before="60" w:after="60"/>
              <w:rPr>
                <w:rFonts w:asciiTheme="minorHAnsi" w:hAnsiTheme="minorHAnsi" w:cstheme="minorHAnsi"/>
                <w:b/>
                <w:bCs/>
              </w:rPr>
            </w:pPr>
            <w:r>
              <w:rPr>
                <w:rFonts w:asciiTheme="minorHAnsi" w:hAnsiTheme="minorHAnsi" w:cstheme="minorHAnsi"/>
                <w:b/>
                <w:bCs/>
              </w:rPr>
              <w:t>KIIS &amp; Approved accounts by accountant needed</w:t>
            </w:r>
          </w:p>
        </w:tc>
        <w:tc>
          <w:tcPr>
            <w:tcW w:w="2012" w:type="dxa"/>
          </w:tcPr>
          <w:p w14:paraId="4F2524B4" w14:textId="77777777" w:rsidR="00FE7F3C" w:rsidRDefault="00FE7F3C" w:rsidP="00DB1345">
            <w:pPr>
              <w:spacing w:before="60" w:after="60"/>
              <w:rPr>
                <w:rFonts w:asciiTheme="minorHAnsi" w:hAnsiTheme="minorHAnsi" w:cstheme="minorHAnsi"/>
                <w:lang w:val="en-US"/>
              </w:rPr>
            </w:pPr>
            <w:r w:rsidRPr="00CF5A09">
              <w:rPr>
                <w:rFonts w:asciiTheme="minorHAnsi" w:hAnsiTheme="minorHAnsi" w:cstheme="minorHAnsi"/>
                <w:lang w:val="en-US"/>
              </w:rPr>
              <w:t>Art. 8 of Draft RTS Annex IX</w:t>
            </w:r>
          </w:p>
          <w:p w14:paraId="5EFDE3A2" w14:textId="77777777" w:rsidR="00FE7F3C" w:rsidRDefault="00FE7F3C" w:rsidP="00DB1345">
            <w:pPr>
              <w:spacing w:before="60" w:after="60"/>
              <w:rPr>
                <w:rFonts w:asciiTheme="minorHAnsi" w:hAnsiTheme="minorHAnsi" w:cstheme="minorHAnsi"/>
                <w:lang w:val="en-US"/>
              </w:rPr>
            </w:pPr>
          </w:p>
          <w:p w14:paraId="4D129A50" w14:textId="77777777" w:rsidR="00FE7F3C" w:rsidRDefault="00FE7F3C" w:rsidP="00DB1345">
            <w:pPr>
              <w:spacing w:before="60" w:after="60"/>
              <w:rPr>
                <w:rFonts w:asciiTheme="minorHAnsi" w:hAnsiTheme="minorHAnsi" w:cstheme="minorHAnsi"/>
                <w:lang w:val="en-US"/>
              </w:rPr>
            </w:pPr>
          </w:p>
          <w:p w14:paraId="5DB6CE72" w14:textId="77777777" w:rsidR="00FE7F3C" w:rsidRDefault="00FE7F3C" w:rsidP="00DB1345">
            <w:pPr>
              <w:spacing w:before="60" w:after="60"/>
              <w:rPr>
                <w:rFonts w:asciiTheme="minorHAnsi" w:hAnsiTheme="minorHAnsi" w:cstheme="minorHAnsi"/>
                <w:lang w:val="en-US"/>
              </w:rPr>
            </w:pPr>
          </w:p>
          <w:p w14:paraId="491ACE05" w14:textId="77777777" w:rsidR="00FE7F3C" w:rsidRDefault="00FE7F3C" w:rsidP="00DB1345">
            <w:pPr>
              <w:spacing w:before="60" w:after="60"/>
              <w:rPr>
                <w:rFonts w:asciiTheme="minorHAnsi" w:hAnsiTheme="minorHAnsi" w:cstheme="minorHAnsi"/>
                <w:lang w:val="en-US"/>
              </w:rPr>
            </w:pPr>
          </w:p>
          <w:p w14:paraId="245E7128" w14:textId="77777777" w:rsidR="00FE7F3C" w:rsidRDefault="00FE7F3C" w:rsidP="00DB1345">
            <w:pPr>
              <w:spacing w:before="60" w:after="60"/>
              <w:rPr>
                <w:rFonts w:asciiTheme="minorHAnsi" w:hAnsiTheme="minorHAnsi" w:cstheme="minorHAnsi"/>
                <w:lang w:val="en-US"/>
              </w:rPr>
            </w:pPr>
          </w:p>
          <w:p w14:paraId="5627CF1E" w14:textId="77777777" w:rsidR="00FE7F3C" w:rsidRDefault="00FE7F3C" w:rsidP="00DB1345">
            <w:pPr>
              <w:spacing w:before="60" w:after="60"/>
              <w:rPr>
                <w:rFonts w:asciiTheme="minorHAnsi" w:hAnsiTheme="minorHAnsi" w:cstheme="minorHAnsi"/>
                <w:lang w:val="en-US"/>
              </w:rPr>
            </w:pPr>
          </w:p>
          <w:p w14:paraId="50418598" w14:textId="77777777" w:rsidR="00FE7F3C" w:rsidRDefault="00FE7F3C" w:rsidP="00DB1345">
            <w:pPr>
              <w:spacing w:before="60" w:after="60"/>
              <w:rPr>
                <w:rFonts w:asciiTheme="minorHAnsi" w:hAnsiTheme="minorHAnsi" w:cstheme="minorHAnsi"/>
                <w:lang w:val="en-US"/>
              </w:rPr>
            </w:pPr>
          </w:p>
          <w:p w14:paraId="7CAEEDEF" w14:textId="77777777" w:rsidR="00FE7F3C" w:rsidRPr="00CF5A09" w:rsidRDefault="00FE7F3C" w:rsidP="00DB1345">
            <w:pPr>
              <w:spacing w:before="60" w:after="60"/>
              <w:rPr>
                <w:rFonts w:asciiTheme="minorHAnsi" w:hAnsiTheme="minorHAnsi" w:cstheme="minorHAnsi"/>
                <w:lang w:val="en-US"/>
              </w:rPr>
            </w:pPr>
            <w:r>
              <w:rPr>
                <w:rFonts w:asciiTheme="minorHAnsi" w:hAnsiTheme="minorHAnsi" w:cstheme="minorHAnsi"/>
                <w:lang w:val="en-US"/>
              </w:rPr>
              <w:t>Part A sub e Draft RTS Annex IX</w:t>
            </w:r>
          </w:p>
        </w:tc>
        <w:tc>
          <w:tcPr>
            <w:tcW w:w="6862" w:type="dxa"/>
          </w:tcPr>
          <w:p w14:paraId="5DEAE23C" w14:textId="77777777" w:rsidR="00FE7F3C" w:rsidRDefault="00FE7F3C" w:rsidP="00DB1345">
            <w:pPr>
              <w:spacing w:before="60" w:after="60"/>
              <w:jc w:val="both"/>
              <w:rPr>
                <w:u w:val="single"/>
                <w:lang w:val="en-US"/>
              </w:rPr>
            </w:pPr>
            <w:r>
              <w:rPr>
                <w:b/>
                <w:bCs/>
                <w:lang w:val="en-US"/>
              </w:rPr>
              <w:t xml:space="preserve">1. </w:t>
            </w:r>
            <w:r w:rsidRPr="00CF5A09">
              <w:rPr>
                <w:lang w:val="en-US"/>
              </w:rPr>
              <w:t xml:space="preserve">Art. 8 van de Draft RTS Annex IX </w:t>
            </w:r>
            <w:r>
              <w:rPr>
                <w:lang w:val="en-US"/>
              </w:rPr>
              <w:t>could be interpreted in a way that the</w:t>
            </w:r>
            <w:r w:rsidRPr="00CF5A09">
              <w:rPr>
                <w:lang w:val="en-US"/>
              </w:rPr>
              <w:t xml:space="preserve"> financial accounts of the last 3 years</w:t>
            </w:r>
            <w:r>
              <w:rPr>
                <w:lang w:val="en-US"/>
              </w:rPr>
              <w:t xml:space="preserve"> have to be</w:t>
            </w:r>
            <w:r w:rsidRPr="00CF5A09">
              <w:rPr>
                <w:lang w:val="en-US"/>
              </w:rPr>
              <w:t xml:space="preserve"> approved by an accountant (conform</w:t>
            </w:r>
            <w:r>
              <w:rPr>
                <w:lang w:val="en-US"/>
              </w:rPr>
              <w:t xml:space="preserve"> </w:t>
            </w:r>
            <w:r w:rsidRPr="00CF5A09">
              <w:rPr>
                <w:lang w:val="en-US"/>
              </w:rPr>
              <w:t>IFRS/GAAP). For starters this is of course impossible (as mentioned in Annex IX they</w:t>
            </w:r>
            <w:r>
              <w:rPr>
                <w:lang w:val="en-US"/>
              </w:rPr>
              <w:t xml:space="preserve"> are exempt)</w:t>
            </w:r>
            <w:r w:rsidRPr="00CF5A09">
              <w:rPr>
                <w:lang w:val="en-US"/>
              </w:rPr>
              <w:t xml:space="preserve">, but for other </w:t>
            </w:r>
            <w:r>
              <w:rPr>
                <w:lang w:val="en-US"/>
              </w:rPr>
              <w:t xml:space="preserve">(smaller) </w:t>
            </w:r>
            <w:r w:rsidRPr="00CF5A09">
              <w:rPr>
                <w:lang w:val="en-US"/>
              </w:rPr>
              <w:t>companies</w:t>
            </w:r>
            <w:r>
              <w:rPr>
                <w:lang w:val="en-US"/>
              </w:rPr>
              <w:t xml:space="preserve"> this is also difficult. 90% of SME’s do not need these approved statements by national law so do not have them in a lot of cases (approximately only 40% of Dutch SME’s use an AA/RA accountant). Therefore we read art. 8 Draft RTS Annex IX that financial ratios shall only be provided in accordance with IFRS or GAAP </w:t>
            </w:r>
            <w:r>
              <w:rPr>
                <w:u w:val="single"/>
                <w:lang w:val="en-US"/>
              </w:rPr>
              <w:t>when they are available.</w:t>
            </w:r>
          </w:p>
          <w:p w14:paraId="16F5EDBE" w14:textId="77777777" w:rsidR="00FE7F3C" w:rsidRDefault="00FE7F3C" w:rsidP="00DB1345">
            <w:pPr>
              <w:spacing w:before="60" w:after="60"/>
              <w:jc w:val="both"/>
              <w:rPr>
                <w:lang w:val="en-US"/>
              </w:rPr>
            </w:pPr>
          </w:p>
          <w:p w14:paraId="73AE529C" w14:textId="77777777" w:rsidR="00FE7F3C" w:rsidRDefault="00FE7F3C" w:rsidP="00DB1345">
            <w:pPr>
              <w:spacing w:before="60" w:after="60"/>
              <w:jc w:val="both"/>
              <w:rPr>
                <w:b/>
                <w:bCs/>
                <w:lang w:val="en-US"/>
              </w:rPr>
            </w:pPr>
            <w:r>
              <w:rPr>
                <w:b/>
                <w:bCs/>
                <w:lang w:val="en-US"/>
              </w:rPr>
              <w:t xml:space="preserve">2. </w:t>
            </w:r>
            <w:r>
              <w:rPr>
                <w:lang w:eastAsia="en-US"/>
              </w:rPr>
              <w:t>Why does a project owner need to publish financial statements of the last 3 years (if available)? For instance, in case of equity issues based on the Growth Prospectus Regulation SME’s are only required to publish 2 year financial statements of the last 2 years. For non-equity issues this is 1 year. Why is this more strict for crowdfunding?</w:t>
            </w:r>
          </w:p>
          <w:p w14:paraId="01A41A8B" w14:textId="77777777" w:rsidR="00FE7F3C" w:rsidRDefault="00FE7F3C" w:rsidP="00DB1345">
            <w:pPr>
              <w:spacing w:before="60" w:after="60"/>
              <w:jc w:val="both"/>
              <w:rPr>
                <w:b/>
                <w:bCs/>
                <w:lang w:val="en-US"/>
              </w:rPr>
            </w:pPr>
          </w:p>
          <w:p w14:paraId="0F9B0151" w14:textId="77777777" w:rsidR="00FE7F3C" w:rsidRPr="00CF5A09" w:rsidRDefault="00FE7F3C" w:rsidP="00DB1345">
            <w:pPr>
              <w:spacing w:before="60" w:after="60"/>
              <w:jc w:val="both"/>
              <w:rPr>
                <w:lang w:val="en-US"/>
              </w:rPr>
            </w:pPr>
            <w:r>
              <w:rPr>
                <w:b/>
                <w:bCs/>
                <w:lang w:val="en-US"/>
              </w:rPr>
              <w:t xml:space="preserve">3. </w:t>
            </w:r>
            <w:r>
              <w:rPr>
                <w:lang w:val="en-US"/>
              </w:rPr>
              <w:t>Are the mentioned key annual financial figures in Part A sub e optional to disclose or mandatory?</w:t>
            </w:r>
          </w:p>
        </w:tc>
      </w:tr>
      <w:tr w:rsidR="00FE7F3C" w:rsidRPr="00CF5A09" w14:paraId="4E49FA1E" w14:textId="77777777" w:rsidTr="00DB1345">
        <w:tc>
          <w:tcPr>
            <w:tcW w:w="520" w:type="dxa"/>
          </w:tcPr>
          <w:p w14:paraId="15CB3B2B" w14:textId="77777777" w:rsidR="00FE7F3C" w:rsidRPr="002D5ADC" w:rsidRDefault="00FE7F3C" w:rsidP="00093A17">
            <w:pPr>
              <w:pStyle w:val="Lijstalinea"/>
              <w:numPr>
                <w:ilvl w:val="0"/>
                <w:numId w:val="40"/>
              </w:numPr>
              <w:spacing w:before="60" w:after="60"/>
              <w:rPr>
                <w:rFonts w:asciiTheme="minorHAnsi" w:hAnsiTheme="minorHAnsi" w:cstheme="minorHAnsi"/>
              </w:rPr>
            </w:pPr>
          </w:p>
        </w:tc>
        <w:tc>
          <w:tcPr>
            <w:tcW w:w="1947" w:type="dxa"/>
          </w:tcPr>
          <w:p w14:paraId="30A99586" w14:textId="77777777" w:rsidR="00FE7F3C" w:rsidRDefault="00FE7F3C" w:rsidP="00DB1345">
            <w:pPr>
              <w:spacing w:before="60" w:after="60"/>
              <w:rPr>
                <w:rFonts w:asciiTheme="minorHAnsi" w:hAnsiTheme="minorHAnsi" w:cstheme="minorHAnsi"/>
                <w:b/>
                <w:bCs/>
              </w:rPr>
            </w:pPr>
            <w:r>
              <w:rPr>
                <w:rFonts w:asciiTheme="minorHAnsi" w:hAnsiTheme="minorHAnsi" w:cstheme="minorHAnsi"/>
                <w:b/>
                <w:bCs/>
              </w:rPr>
              <w:t>Obligatory use of PSP</w:t>
            </w:r>
          </w:p>
          <w:p w14:paraId="74D9F24B" w14:textId="77777777" w:rsidR="00FE7F3C" w:rsidRPr="0039638C" w:rsidRDefault="00FE7F3C" w:rsidP="00DB1345">
            <w:pPr>
              <w:spacing w:before="60" w:after="60"/>
              <w:rPr>
                <w:rFonts w:asciiTheme="minorHAnsi" w:hAnsiTheme="minorHAnsi" w:cstheme="minorHAnsi"/>
                <w:b/>
                <w:bCs/>
              </w:rPr>
            </w:pPr>
          </w:p>
        </w:tc>
        <w:tc>
          <w:tcPr>
            <w:tcW w:w="2012" w:type="dxa"/>
          </w:tcPr>
          <w:p w14:paraId="6831256C" w14:textId="77777777" w:rsidR="00FE7F3C" w:rsidRDefault="00FE7F3C" w:rsidP="00DB1345">
            <w:pPr>
              <w:spacing w:before="60" w:after="60"/>
              <w:rPr>
                <w:rFonts w:asciiTheme="minorHAnsi" w:hAnsiTheme="minorHAnsi" w:cstheme="minorHAnsi"/>
                <w:lang w:val="en-US"/>
              </w:rPr>
            </w:pPr>
            <w:r>
              <w:rPr>
                <w:rFonts w:asciiTheme="minorHAnsi" w:hAnsiTheme="minorHAnsi" w:cstheme="minorHAnsi"/>
                <w:lang w:val="en-US"/>
              </w:rPr>
              <w:t>Art 10. ECSPR</w:t>
            </w:r>
          </w:p>
          <w:p w14:paraId="40759BF1" w14:textId="77777777" w:rsidR="00FE7F3C" w:rsidRDefault="00FE7F3C" w:rsidP="00DB1345">
            <w:pPr>
              <w:spacing w:before="60" w:after="60"/>
              <w:rPr>
                <w:rFonts w:asciiTheme="minorHAnsi" w:hAnsiTheme="minorHAnsi" w:cstheme="minorHAnsi"/>
                <w:lang w:val="en-US"/>
              </w:rPr>
            </w:pPr>
          </w:p>
          <w:p w14:paraId="7AEC421E" w14:textId="77777777" w:rsidR="00FE7F3C" w:rsidRPr="00CF5A09" w:rsidRDefault="00FE7F3C" w:rsidP="00DB1345">
            <w:pPr>
              <w:spacing w:before="60" w:after="60"/>
              <w:rPr>
                <w:rFonts w:asciiTheme="minorHAnsi" w:hAnsiTheme="minorHAnsi" w:cstheme="minorHAnsi"/>
                <w:lang w:val="en-US"/>
              </w:rPr>
            </w:pPr>
            <w:r>
              <w:rPr>
                <w:rFonts w:asciiTheme="minorHAnsi" w:hAnsiTheme="minorHAnsi" w:cstheme="minorHAnsi"/>
                <w:lang w:val="en-US"/>
              </w:rPr>
              <w:br/>
            </w:r>
            <w:r>
              <w:rPr>
                <w:rFonts w:asciiTheme="minorHAnsi" w:hAnsiTheme="minorHAnsi" w:cstheme="minorHAnsi"/>
                <w:lang w:val="en-US"/>
              </w:rPr>
              <w:br/>
            </w:r>
            <w:r>
              <w:rPr>
                <w:rFonts w:asciiTheme="minorHAnsi" w:hAnsiTheme="minorHAnsi" w:cstheme="minorHAnsi"/>
                <w:lang w:val="en-US"/>
              </w:rPr>
              <w:lastRenderedPageBreak/>
              <w:br/>
              <w:t>Art. 10.5 ECSPR</w:t>
            </w:r>
          </w:p>
        </w:tc>
        <w:tc>
          <w:tcPr>
            <w:tcW w:w="6862" w:type="dxa"/>
          </w:tcPr>
          <w:p w14:paraId="54B1635F" w14:textId="77777777" w:rsidR="00FE7F3C" w:rsidRDefault="00FE7F3C" w:rsidP="00DB1345">
            <w:pPr>
              <w:spacing w:before="60" w:after="60"/>
              <w:jc w:val="both"/>
              <w:rPr>
                <w:lang w:val="en-US"/>
              </w:rPr>
            </w:pPr>
            <w:r w:rsidRPr="00CF5A09">
              <w:rPr>
                <w:lang w:val="en-US"/>
              </w:rPr>
              <w:lastRenderedPageBreak/>
              <w:t xml:space="preserve">ECSPR states that platforms have to handle payments through an approved PSP or apply for a </w:t>
            </w:r>
            <w:r>
              <w:rPr>
                <w:lang w:val="en-US"/>
              </w:rPr>
              <w:t>PSP-</w:t>
            </w:r>
            <w:r w:rsidRPr="00CF5A09">
              <w:rPr>
                <w:lang w:val="en-US"/>
              </w:rPr>
              <w:t>license themselves</w:t>
            </w:r>
            <w:r>
              <w:rPr>
                <w:lang w:val="en-US"/>
              </w:rPr>
              <w:t xml:space="preserve">. </w:t>
            </w:r>
            <w:r w:rsidRPr="00CF5A09">
              <w:rPr>
                <w:lang w:val="en-US"/>
              </w:rPr>
              <w:t>We miss further details about this</w:t>
            </w:r>
            <w:r>
              <w:rPr>
                <w:lang w:val="en-US"/>
              </w:rPr>
              <w:t xml:space="preserve"> and this forms a major obstacle</w:t>
            </w:r>
            <w:r w:rsidRPr="00CF5A09">
              <w:rPr>
                <w:lang w:val="en-US"/>
              </w:rPr>
              <w:t xml:space="preserve">. This will increase costs for </w:t>
            </w:r>
            <w:r>
              <w:rPr>
                <w:lang w:val="en-US"/>
              </w:rPr>
              <w:t xml:space="preserve">all </w:t>
            </w:r>
            <w:r w:rsidRPr="00CF5A09">
              <w:rPr>
                <w:lang w:val="en-US"/>
              </w:rPr>
              <w:t xml:space="preserve">platforms and requires </w:t>
            </w:r>
            <w:r>
              <w:rPr>
                <w:lang w:val="en-US"/>
              </w:rPr>
              <w:t xml:space="preserve">impactful </w:t>
            </w:r>
            <w:r w:rsidRPr="00CF5A09">
              <w:rPr>
                <w:lang w:val="en-US"/>
              </w:rPr>
              <w:t>adjustment</w:t>
            </w:r>
            <w:r>
              <w:rPr>
                <w:lang w:val="en-US"/>
              </w:rPr>
              <w:t xml:space="preserve"> of procedures. </w:t>
            </w:r>
            <w:r w:rsidRPr="00CF5A09">
              <w:rPr>
                <w:lang w:val="en-US"/>
              </w:rPr>
              <w:t>A number of platfo</w:t>
            </w:r>
            <w:r>
              <w:rPr>
                <w:lang w:val="en-US"/>
              </w:rPr>
              <w:t>r</w:t>
            </w:r>
            <w:r w:rsidRPr="00CF5A09">
              <w:rPr>
                <w:lang w:val="en-US"/>
              </w:rPr>
              <w:t xml:space="preserve">ms now </w:t>
            </w:r>
            <w:r w:rsidRPr="00CF5A09">
              <w:rPr>
                <w:lang w:val="en-US"/>
              </w:rPr>
              <w:lastRenderedPageBreak/>
              <w:t xml:space="preserve">uses a </w:t>
            </w:r>
            <w:r>
              <w:rPr>
                <w:lang w:val="en-US"/>
              </w:rPr>
              <w:t xml:space="preserve">TPFF (in Dutch </w:t>
            </w:r>
            <w:r w:rsidRPr="00CF5A09">
              <w:rPr>
                <w:lang w:val="en-US"/>
              </w:rPr>
              <w:t>“</w:t>
            </w:r>
            <w:proofErr w:type="spellStart"/>
            <w:r w:rsidRPr="00CF5A09">
              <w:rPr>
                <w:lang w:val="en-US"/>
              </w:rPr>
              <w:t>Stichting</w:t>
            </w:r>
            <w:proofErr w:type="spellEnd"/>
            <w:r w:rsidRPr="00CF5A09">
              <w:rPr>
                <w:lang w:val="en-US"/>
              </w:rPr>
              <w:t xml:space="preserve"> </w:t>
            </w:r>
            <w:proofErr w:type="spellStart"/>
            <w:r w:rsidRPr="00CF5A09">
              <w:rPr>
                <w:lang w:val="en-US"/>
              </w:rPr>
              <w:t>Derden</w:t>
            </w:r>
            <w:r>
              <w:rPr>
                <w:lang w:val="en-US"/>
              </w:rPr>
              <w:t>g</w:t>
            </w:r>
            <w:r w:rsidRPr="00CF5A09">
              <w:rPr>
                <w:lang w:val="en-US"/>
              </w:rPr>
              <w:t>elden</w:t>
            </w:r>
            <w:proofErr w:type="spellEnd"/>
            <w:r w:rsidRPr="00CF5A09">
              <w:rPr>
                <w:lang w:val="en-US"/>
              </w:rPr>
              <w:t>”</w:t>
            </w:r>
            <w:r>
              <w:rPr>
                <w:lang w:val="en-US"/>
              </w:rPr>
              <w:t>)</w:t>
            </w:r>
            <w:r w:rsidRPr="00CF5A09">
              <w:rPr>
                <w:lang w:val="en-US"/>
              </w:rPr>
              <w:t xml:space="preserve"> which ac</w:t>
            </w:r>
            <w:r>
              <w:rPr>
                <w:lang w:val="en-US"/>
              </w:rPr>
              <w:t>t</w:t>
            </w:r>
            <w:r w:rsidRPr="00CF5A09">
              <w:rPr>
                <w:lang w:val="en-US"/>
              </w:rPr>
              <w:t>ually functions as a PSP.</w:t>
            </w:r>
          </w:p>
          <w:p w14:paraId="343E11B3" w14:textId="77777777" w:rsidR="00FE7F3C" w:rsidRDefault="00FE7F3C" w:rsidP="00DB1345">
            <w:pPr>
              <w:spacing w:before="60" w:after="60"/>
              <w:jc w:val="both"/>
              <w:rPr>
                <w:lang w:val="en-US"/>
              </w:rPr>
            </w:pPr>
            <w:r>
              <w:rPr>
                <w:lang w:val="en-US"/>
              </w:rPr>
              <w:br/>
              <w:t>Our NCA (national competent authority) sent a letter to ESMA about this on our request. This letter is drawn up by the Dutch crowdfunding industry association &amp; the Foundation SME Finance. We appreciate this is a level 1 text. Nonetheless we would like clarification and answers to our posed questions in this letter.</w:t>
            </w:r>
          </w:p>
          <w:p w14:paraId="4C39BFDE" w14:textId="77777777" w:rsidR="00FE7F3C" w:rsidRDefault="00FE7F3C" w:rsidP="00DB1345">
            <w:pPr>
              <w:spacing w:before="60" w:after="60"/>
              <w:jc w:val="both"/>
              <w:rPr>
                <w:lang w:val="en-US"/>
              </w:rPr>
            </w:pPr>
            <w:r>
              <w:rPr>
                <w:lang w:val="en-US"/>
              </w:rPr>
              <w:t>In our opinion the TPFF-structure we use in The Netherlands to execute payment transactions can be put under the scope of art. 10.5 ECSPR as an ‘arrangement’.</w:t>
            </w:r>
          </w:p>
          <w:p w14:paraId="5E827832" w14:textId="77777777" w:rsidR="00FE7F3C" w:rsidRPr="00CF5A09" w:rsidRDefault="00FE7F3C" w:rsidP="00DB1345">
            <w:pPr>
              <w:spacing w:before="60" w:after="60"/>
              <w:jc w:val="both"/>
              <w:rPr>
                <w:lang w:val="en-US"/>
              </w:rPr>
            </w:pPr>
            <w:r w:rsidRPr="00CF5A09">
              <w:rPr>
                <w:lang w:val="en-US"/>
              </w:rPr>
              <w:br/>
            </w:r>
          </w:p>
        </w:tc>
      </w:tr>
    </w:tbl>
    <w:p w14:paraId="070D3694" w14:textId="77777777" w:rsidR="00FE7F3C" w:rsidRPr="00DD7BE2" w:rsidRDefault="00FE7F3C" w:rsidP="00FE7F3C">
      <w:pPr>
        <w:spacing w:before="60" w:after="60"/>
        <w:rPr>
          <w:rFonts w:asciiTheme="minorHAnsi" w:hAnsiTheme="minorHAnsi" w:cstheme="minorHAnsi"/>
        </w:rPr>
      </w:pPr>
    </w:p>
    <w:p w14:paraId="20F391E7" w14:textId="77777777" w:rsidR="00FE7F3C" w:rsidRPr="00CF5A09" w:rsidRDefault="00FE7F3C" w:rsidP="00FE7F3C">
      <w:pPr>
        <w:spacing w:before="60" w:after="60"/>
        <w:rPr>
          <w:rFonts w:asciiTheme="minorHAnsi" w:hAnsiTheme="minorHAnsi" w:cstheme="minorHAnsi"/>
          <w:lang w:val="en-US"/>
        </w:rPr>
      </w:pPr>
    </w:p>
    <w:tbl>
      <w:tblPr>
        <w:tblStyle w:val="Tabelraster"/>
        <w:tblW w:w="11341" w:type="dxa"/>
        <w:tblInd w:w="-998" w:type="dxa"/>
        <w:tblLook w:val="04A0" w:firstRow="1" w:lastRow="0" w:firstColumn="1" w:lastColumn="0" w:noHBand="0" w:noVBand="1"/>
      </w:tblPr>
      <w:tblGrid>
        <w:gridCol w:w="745"/>
        <w:gridCol w:w="1935"/>
        <w:gridCol w:w="1991"/>
        <w:gridCol w:w="6670"/>
      </w:tblGrid>
      <w:tr w:rsidR="00FE7F3C" w:rsidRPr="006D0B9E" w14:paraId="61B33954" w14:textId="77777777" w:rsidTr="00DB1345">
        <w:tc>
          <w:tcPr>
            <w:tcW w:w="11341" w:type="dxa"/>
            <w:gridSpan w:val="4"/>
            <w:shd w:val="clear" w:color="auto" w:fill="FDE9D9" w:themeFill="accent6" w:themeFillTint="33"/>
          </w:tcPr>
          <w:p w14:paraId="3B30FEFE" w14:textId="77777777" w:rsidR="00FE7F3C" w:rsidRPr="006D0B9E" w:rsidRDefault="00FE7F3C" w:rsidP="00DB1345">
            <w:pPr>
              <w:pStyle w:val="Lijstalinea"/>
              <w:spacing w:before="60" w:after="60"/>
              <w:jc w:val="center"/>
              <w:rPr>
                <w:rFonts w:asciiTheme="minorHAnsi" w:hAnsiTheme="minorHAnsi" w:cstheme="minorHAnsi"/>
                <w:b/>
                <w:bCs/>
                <w:lang w:val="en-US"/>
              </w:rPr>
            </w:pPr>
          </w:p>
        </w:tc>
      </w:tr>
      <w:tr w:rsidR="00FE7F3C" w:rsidRPr="000D54B6" w14:paraId="416CF158" w14:textId="77777777" w:rsidTr="00DB1345">
        <w:tc>
          <w:tcPr>
            <w:tcW w:w="745" w:type="dxa"/>
          </w:tcPr>
          <w:p w14:paraId="33AB2A4D" w14:textId="77777777" w:rsidR="00FE7F3C" w:rsidRPr="000D54B6" w:rsidRDefault="00FE7F3C" w:rsidP="00DB1345">
            <w:pPr>
              <w:spacing w:before="60" w:after="60"/>
              <w:rPr>
                <w:rFonts w:asciiTheme="minorHAnsi" w:hAnsiTheme="minorHAnsi" w:cstheme="minorHAnsi"/>
                <w:b/>
                <w:bCs/>
                <w:lang w:val="nl-NL"/>
              </w:rPr>
            </w:pPr>
            <w:r w:rsidRPr="000D54B6">
              <w:rPr>
                <w:rFonts w:asciiTheme="minorHAnsi" w:hAnsiTheme="minorHAnsi" w:cstheme="minorHAnsi"/>
                <w:b/>
                <w:bCs/>
                <w:lang w:val="nl-NL"/>
              </w:rPr>
              <w:t>#</w:t>
            </w:r>
          </w:p>
        </w:tc>
        <w:tc>
          <w:tcPr>
            <w:tcW w:w="1935" w:type="dxa"/>
          </w:tcPr>
          <w:p w14:paraId="48829D32" w14:textId="77777777" w:rsidR="00FE7F3C" w:rsidRPr="000D54B6" w:rsidRDefault="00FE7F3C" w:rsidP="00DB1345">
            <w:pPr>
              <w:spacing w:before="60" w:after="60"/>
              <w:rPr>
                <w:rFonts w:asciiTheme="minorHAnsi" w:hAnsiTheme="minorHAnsi" w:cstheme="minorHAnsi"/>
                <w:b/>
                <w:bCs/>
                <w:lang w:val="nl-NL"/>
              </w:rPr>
            </w:pPr>
            <w:r w:rsidRPr="000D54B6">
              <w:rPr>
                <w:rFonts w:asciiTheme="minorHAnsi" w:hAnsiTheme="minorHAnsi" w:cstheme="minorHAnsi"/>
                <w:b/>
                <w:bCs/>
                <w:lang w:val="nl-NL"/>
              </w:rPr>
              <w:t>Issue</w:t>
            </w:r>
          </w:p>
        </w:tc>
        <w:tc>
          <w:tcPr>
            <w:tcW w:w="1991" w:type="dxa"/>
          </w:tcPr>
          <w:p w14:paraId="55D55D1B" w14:textId="77777777" w:rsidR="00FE7F3C" w:rsidRPr="000D54B6" w:rsidRDefault="00FE7F3C" w:rsidP="00DB1345">
            <w:pPr>
              <w:spacing w:before="60" w:after="60"/>
              <w:rPr>
                <w:rFonts w:asciiTheme="minorHAnsi" w:hAnsiTheme="minorHAnsi" w:cstheme="minorHAnsi"/>
                <w:b/>
                <w:bCs/>
                <w:lang w:val="nl-NL"/>
              </w:rPr>
            </w:pPr>
            <w:r>
              <w:rPr>
                <w:rFonts w:asciiTheme="minorHAnsi" w:hAnsiTheme="minorHAnsi" w:cstheme="minorHAnsi"/>
                <w:b/>
                <w:bCs/>
                <w:lang w:val="nl-NL"/>
              </w:rPr>
              <w:t>Reference</w:t>
            </w:r>
          </w:p>
        </w:tc>
        <w:tc>
          <w:tcPr>
            <w:tcW w:w="6670" w:type="dxa"/>
          </w:tcPr>
          <w:p w14:paraId="7561BBC2" w14:textId="77777777" w:rsidR="00FE7F3C" w:rsidRPr="000D54B6" w:rsidRDefault="00FE7F3C" w:rsidP="00DB1345">
            <w:pPr>
              <w:spacing w:before="60" w:after="60"/>
              <w:rPr>
                <w:rFonts w:asciiTheme="minorHAnsi" w:hAnsiTheme="minorHAnsi" w:cstheme="minorHAnsi"/>
                <w:b/>
                <w:bCs/>
                <w:lang w:val="nl-NL"/>
              </w:rPr>
            </w:pPr>
            <w:proofErr w:type="spellStart"/>
            <w:r>
              <w:rPr>
                <w:rFonts w:asciiTheme="minorHAnsi" w:hAnsiTheme="minorHAnsi" w:cstheme="minorHAnsi"/>
                <w:b/>
                <w:bCs/>
                <w:lang w:val="nl-NL"/>
              </w:rPr>
              <w:t>Remarks</w:t>
            </w:r>
            <w:proofErr w:type="spellEnd"/>
          </w:p>
        </w:tc>
      </w:tr>
      <w:tr w:rsidR="00FE7F3C" w:rsidRPr="00A87AA0" w14:paraId="721A52C6" w14:textId="77777777" w:rsidTr="00DB1345">
        <w:tc>
          <w:tcPr>
            <w:tcW w:w="745" w:type="dxa"/>
          </w:tcPr>
          <w:p w14:paraId="0B739E27" w14:textId="77777777" w:rsidR="00FE7F3C" w:rsidRPr="000D54B6" w:rsidRDefault="00FE7F3C" w:rsidP="00DB1345">
            <w:pPr>
              <w:pStyle w:val="Lijstalinea"/>
              <w:spacing w:before="60" w:after="60"/>
              <w:ind w:left="360"/>
              <w:rPr>
                <w:rFonts w:asciiTheme="minorHAnsi" w:hAnsiTheme="minorHAnsi" w:cstheme="minorHAnsi"/>
                <w:lang w:val="nl-NL"/>
              </w:rPr>
            </w:pPr>
            <w:r>
              <w:rPr>
                <w:rFonts w:asciiTheme="minorHAnsi" w:hAnsiTheme="minorHAnsi" w:cstheme="minorHAnsi"/>
                <w:lang w:val="nl-NL"/>
              </w:rPr>
              <w:t>4.</w:t>
            </w:r>
          </w:p>
        </w:tc>
        <w:tc>
          <w:tcPr>
            <w:tcW w:w="1935" w:type="dxa"/>
          </w:tcPr>
          <w:p w14:paraId="6D870832" w14:textId="77777777" w:rsidR="00FE7F3C" w:rsidRPr="000D54B6" w:rsidRDefault="00FE7F3C" w:rsidP="00DB1345">
            <w:pPr>
              <w:spacing w:before="60" w:after="60"/>
              <w:rPr>
                <w:rFonts w:asciiTheme="minorHAnsi" w:hAnsiTheme="minorHAnsi" w:cstheme="minorHAnsi"/>
                <w:b/>
                <w:bCs/>
                <w:lang w:val="nl-NL"/>
              </w:rPr>
            </w:pPr>
            <w:r>
              <w:rPr>
                <w:rFonts w:asciiTheme="minorHAnsi" w:hAnsiTheme="minorHAnsi" w:cstheme="minorHAnsi"/>
                <w:b/>
                <w:bCs/>
                <w:lang w:val="nl-NL"/>
              </w:rPr>
              <w:t xml:space="preserve">Default </w:t>
            </w:r>
            <w:proofErr w:type="spellStart"/>
            <w:r>
              <w:rPr>
                <w:rFonts w:asciiTheme="minorHAnsi" w:hAnsiTheme="minorHAnsi" w:cstheme="minorHAnsi"/>
                <w:b/>
                <w:bCs/>
                <w:lang w:val="nl-NL"/>
              </w:rPr>
              <w:t>rate</w:t>
            </w:r>
            <w:proofErr w:type="spellEnd"/>
          </w:p>
        </w:tc>
        <w:tc>
          <w:tcPr>
            <w:tcW w:w="1991" w:type="dxa"/>
          </w:tcPr>
          <w:p w14:paraId="705251AF" w14:textId="77777777" w:rsidR="00FE7F3C" w:rsidRPr="00CB46BA" w:rsidRDefault="00FE7F3C" w:rsidP="00DB1345">
            <w:pPr>
              <w:spacing w:before="60" w:after="60"/>
              <w:rPr>
                <w:rFonts w:asciiTheme="minorHAnsi" w:hAnsiTheme="minorHAnsi" w:cstheme="minorHAnsi"/>
              </w:rPr>
            </w:pPr>
            <w:r w:rsidRPr="00CB46BA">
              <w:rPr>
                <w:rFonts w:asciiTheme="minorHAnsi" w:hAnsiTheme="minorHAnsi" w:cstheme="minorHAnsi"/>
              </w:rPr>
              <w:t>§2.5 ESMA</w:t>
            </w:r>
          </w:p>
          <w:p w14:paraId="21149997" w14:textId="77777777" w:rsidR="00FE7F3C" w:rsidRDefault="00FE7F3C" w:rsidP="00DB1345">
            <w:pPr>
              <w:spacing w:before="60" w:after="60"/>
            </w:pPr>
            <w:r>
              <w:t>Article 1 sub 1 (b) Annex VII</w:t>
            </w:r>
          </w:p>
          <w:p w14:paraId="2E5508CD" w14:textId="77777777" w:rsidR="00FE7F3C" w:rsidRDefault="00FE7F3C" w:rsidP="00DB1345">
            <w:pPr>
              <w:spacing w:before="60" w:after="60"/>
              <w:rPr>
                <w:rFonts w:asciiTheme="minorHAnsi" w:hAnsiTheme="minorHAnsi" w:cstheme="minorHAnsi"/>
              </w:rPr>
            </w:pPr>
          </w:p>
          <w:p w14:paraId="0F3F7D3D" w14:textId="77777777" w:rsidR="00FE7F3C" w:rsidRDefault="00FE7F3C" w:rsidP="00DB1345">
            <w:pPr>
              <w:spacing w:before="60" w:after="60"/>
              <w:rPr>
                <w:rFonts w:asciiTheme="minorHAnsi" w:hAnsiTheme="minorHAnsi" w:cstheme="minorHAnsi"/>
              </w:rPr>
            </w:pPr>
          </w:p>
          <w:p w14:paraId="11B43BB2" w14:textId="77777777" w:rsidR="00FE7F3C" w:rsidRDefault="00FE7F3C" w:rsidP="00DB1345">
            <w:pPr>
              <w:spacing w:before="60" w:after="60"/>
              <w:rPr>
                <w:rFonts w:asciiTheme="minorHAnsi" w:hAnsiTheme="minorHAnsi" w:cstheme="minorHAnsi"/>
              </w:rPr>
            </w:pPr>
          </w:p>
          <w:p w14:paraId="4A62C76C" w14:textId="77777777" w:rsidR="00FE7F3C" w:rsidRDefault="00FE7F3C" w:rsidP="00DB1345">
            <w:pPr>
              <w:spacing w:before="60" w:after="60"/>
              <w:rPr>
                <w:rFonts w:asciiTheme="minorHAnsi" w:hAnsiTheme="minorHAnsi" w:cstheme="minorHAnsi"/>
              </w:rPr>
            </w:pPr>
          </w:p>
          <w:p w14:paraId="4A895712" w14:textId="77777777" w:rsidR="00FE7F3C" w:rsidRDefault="00FE7F3C" w:rsidP="00DB1345">
            <w:pPr>
              <w:spacing w:before="60" w:after="60"/>
              <w:rPr>
                <w:rFonts w:asciiTheme="minorHAnsi" w:hAnsiTheme="minorHAnsi" w:cstheme="minorHAnsi"/>
              </w:rPr>
            </w:pPr>
            <w:r w:rsidRPr="009F46C4">
              <w:rPr>
                <w:lang w:val="en-US"/>
              </w:rPr>
              <w:t>consideration 6 Annex VII</w:t>
            </w:r>
          </w:p>
          <w:p w14:paraId="11DE2967" w14:textId="77777777" w:rsidR="00FE7F3C" w:rsidRDefault="00FE7F3C" w:rsidP="00DB1345">
            <w:pPr>
              <w:spacing w:before="60" w:after="60"/>
              <w:rPr>
                <w:rFonts w:asciiTheme="minorHAnsi" w:hAnsiTheme="minorHAnsi" w:cstheme="minorHAnsi"/>
              </w:rPr>
            </w:pPr>
          </w:p>
          <w:p w14:paraId="12E7226C" w14:textId="77777777" w:rsidR="00FE7F3C" w:rsidRDefault="00FE7F3C" w:rsidP="00DB1345">
            <w:pPr>
              <w:spacing w:before="60" w:after="60"/>
              <w:rPr>
                <w:rFonts w:asciiTheme="minorHAnsi" w:hAnsiTheme="minorHAnsi" w:cstheme="minorHAnsi"/>
              </w:rPr>
            </w:pPr>
          </w:p>
          <w:p w14:paraId="48204015" w14:textId="77777777" w:rsidR="00FE7F3C" w:rsidRDefault="00FE7F3C" w:rsidP="00DB1345">
            <w:pPr>
              <w:spacing w:before="60" w:after="60"/>
              <w:rPr>
                <w:rFonts w:asciiTheme="minorHAnsi" w:hAnsiTheme="minorHAnsi" w:cstheme="minorHAnsi"/>
              </w:rPr>
            </w:pPr>
            <w:r>
              <w:rPr>
                <w:rFonts w:asciiTheme="minorHAnsi" w:hAnsiTheme="minorHAnsi" w:cstheme="minorHAnsi"/>
              </w:rPr>
              <w:t>Article 1 sub 3 Annex VII</w:t>
            </w:r>
          </w:p>
          <w:p w14:paraId="18473DF9" w14:textId="77777777" w:rsidR="00FE7F3C" w:rsidRDefault="00FE7F3C" w:rsidP="00DB1345">
            <w:pPr>
              <w:spacing w:before="60" w:after="60"/>
              <w:rPr>
                <w:rFonts w:asciiTheme="minorHAnsi" w:hAnsiTheme="minorHAnsi" w:cstheme="minorHAnsi"/>
              </w:rPr>
            </w:pPr>
          </w:p>
          <w:p w14:paraId="002132DB" w14:textId="77777777" w:rsidR="00FE7F3C" w:rsidRDefault="00FE7F3C" w:rsidP="00DB1345">
            <w:pPr>
              <w:spacing w:before="60" w:after="60"/>
              <w:rPr>
                <w:rFonts w:asciiTheme="minorHAnsi" w:hAnsiTheme="minorHAnsi" w:cstheme="minorHAnsi"/>
              </w:rPr>
            </w:pPr>
          </w:p>
          <w:p w14:paraId="14A8B448" w14:textId="77777777" w:rsidR="00FE7F3C" w:rsidRDefault="00FE7F3C" w:rsidP="00DB1345">
            <w:pPr>
              <w:spacing w:before="60" w:after="60"/>
              <w:rPr>
                <w:rFonts w:asciiTheme="minorHAnsi" w:hAnsiTheme="minorHAnsi" w:cstheme="minorHAnsi"/>
              </w:rPr>
            </w:pPr>
          </w:p>
          <w:p w14:paraId="2718F4E4" w14:textId="77777777" w:rsidR="00FE7F3C" w:rsidRPr="00CB46BA" w:rsidRDefault="00FE7F3C" w:rsidP="00DB1345">
            <w:pPr>
              <w:spacing w:before="60" w:after="60"/>
              <w:rPr>
                <w:rFonts w:asciiTheme="minorHAnsi" w:hAnsiTheme="minorHAnsi" w:cstheme="minorHAnsi"/>
              </w:rPr>
            </w:pPr>
            <w:r>
              <w:rPr>
                <w:rFonts w:asciiTheme="minorHAnsi" w:hAnsiTheme="minorHAnsi" w:cstheme="minorHAnsi"/>
              </w:rPr>
              <w:t>Article 2 sub 4 Annex VII</w:t>
            </w:r>
          </w:p>
        </w:tc>
        <w:tc>
          <w:tcPr>
            <w:tcW w:w="6670" w:type="dxa"/>
          </w:tcPr>
          <w:p w14:paraId="0377A2A8" w14:textId="77777777" w:rsidR="00FE7F3C" w:rsidRDefault="00FE7F3C" w:rsidP="00DB1345">
            <w:pPr>
              <w:spacing w:before="60" w:after="60"/>
              <w:jc w:val="both"/>
            </w:pPr>
            <w:r>
              <w:rPr>
                <w:b/>
                <w:bCs/>
              </w:rPr>
              <w:t xml:space="preserve">1. </w:t>
            </w:r>
            <w:r>
              <w:t xml:space="preserve">The default period of 90 days is too short. Generally, project owners pay interest/repayments on a quarterly basis. Therefore, if a project owner is late one quarter or a repayment schedule is agreed as a result of which the loan is postponed with one quarter, the CSP would need to report the project as default. This would give a wrong impression, as many project owners fully repay the loan after being late a quarter. </w:t>
            </w:r>
          </w:p>
          <w:p w14:paraId="1FA7CC31" w14:textId="77777777" w:rsidR="00FE7F3C" w:rsidRDefault="00FE7F3C" w:rsidP="00DB1345">
            <w:pPr>
              <w:spacing w:before="60" w:after="60"/>
              <w:jc w:val="both"/>
            </w:pPr>
            <w:r w:rsidRPr="00A85D6F">
              <w:t xml:space="preserve">Therefore, we would like to </w:t>
            </w:r>
            <w:r>
              <w:t xml:space="preserve">suggest to either extend the 90-day period to more than two quarters late or to make it possible to deviate from the 90-day period in certain contracts where repayment is allowed more than 90 days late without triggering default status.  </w:t>
            </w:r>
          </w:p>
          <w:p w14:paraId="03514062" w14:textId="77777777" w:rsidR="00FE7F3C" w:rsidRDefault="00FE7F3C" w:rsidP="00DB1345">
            <w:pPr>
              <w:spacing w:before="60" w:after="60"/>
              <w:jc w:val="both"/>
            </w:pPr>
          </w:p>
          <w:p w14:paraId="5F1F9524" w14:textId="77777777" w:rsidR="00FE7F3C" w:rsidRDefault="00FE7F3C" w:rsidP="00DB1345">
            <w:pPr>
              <w:spacing w:before="60" w:after="60"/>
              <w:jc w:val="both"/>
              <w:rPr>
                <w:lang w:val="en-US"/>
              </w:rPr>
            </w:pPr>
            <w:r w:rsidRPr="0039638C">
              <w:rPr>
                <w:b/>
                <w:bCs/>
              </w:rPr>
              <w:t xml:space="preserve">2. </w:t>
            </w:r>
            <w:r w:rsidRPr="00A87AA0">
              <w:rPr>
                <w:lang w:val="en-US"/>
              </w:rPr>
              <w:t>Also it is unclear if a provis</w:t>
            </w:r>
            <w:r>
              <w:rPr>
                <w:lang w:val="en-US"/>
              </w:rPr>
              <w:t>i</w:t>
            </w:r>
            <w:r w:rsidRPr="00A87AA0">
              <w:rPr>
                <w:lang w:val="en-US"/>
              </w:rPr>
              <w:t>on method (</w:t>
            </w:r>
            <w:r>
              <w:rPr>
                <w:lang w:val="en-US"/>
              </w:rPr>
              <w:t xml:space="preserve">where amounts are </w:t>
            </w:r>
            <w:r w:rsidRPr="00A87AA0">
              <w:rPr>
                <w:lang w:val="en-US"/>
              </w:rPr>
              <w:t>reserv</w:t>
            </w:r>
            <w:r>
              <w:rPr>
                <w:lang w:val="en-US"/>
              </w:rPr>
              <w:t>ed proportionally conform [x] days late of repayment)</w:t>
            </w:r>
            <w:r w:rsidRPr="00A87AA0">
              <w:rPr>
                <w:lang w:val="en-US"/>
              </w:rPr>
              <w:t xml:space="preserve"> is still allowed</w:t>
            </w:r>
            <w:r>
              <w:rPr>
                <w:lang w:val="en-US"/>
              </w:rPr>
              <w:t>. T</w:t>
            </w:r>
            <w:r w:rsidRPr="00A87AA0">
              <w:rPr>
                <w:lang w:val="en-US"/>
              </w:rPr>
              <w:t>his is better suited to actual risk and possible default for investor</w:t>
            </w:r>
            <w:r>
              <w:rPr>
                <w:lang w:val="en-US"/>
              </w:rPr>
              <w:t>s.</w:t>
            </w:r>
          </w:p>
          <w:p w14:paraId="59A95FFE" w14:textId="77777777" w:rsidR="00FE7F3C" w:rsidRDefault="00FE7F3C" w:rsidP="00DB1345">
            <w:pPr>
              <w:spacing w:before="60" w:after="60"/>
              <w:jc w:val="both"/>
              <w:rPr>
                <w:lang w:val="en-US"/>
              </w:rPr>
            </w:pPr>
          </w:p>
          <w:p w14:paraId="51D482EA" w14:textId="77777777" w:rsidR="00FE7F3C" w:rsidRPr="003D1A52" w:rsidRDefault="00FE7F3C" w:rsidP="00DB1345">
            <w:pPr>
              <w:spacing w:before="60" w:after="60"/>
              <w:rPr>
                <w:lang w:val="en-US"/>
              </w:rPr>
            </w:pPr>
            <w:r w:rsidRPr="003D1A52">
              <w:rPr>
                <w:b/>
                <w:bCs/>
                <w:lang w:val="en-US"/>
              </w:rPr>
              <w:br/>
              <w:t>3.</w:t>
            </w:r>
            <w:r w:rsidRPr="003D1A52">
              <w:rPr>
                <w:lang w:val="en-US"/>
              </w:rPr>
              <w:t xml:space="preserve"> Can this article be read in a way that CSP’s can develop and maintain own criteria to identify when a default status is triggered based on the project owner being 90 days late with repayment? Or what is meant with ‘disclosing the criteria used to identify the materiality threshold’? </w:t>
            </w:r>
          </w:p>
          <w:p w14:paraId="60AF3D92" w14:textId="77777777" w:rsidR="00FE7F3C" w:rsidRPr="003D1A52" w:rsidRDefault="00FE7F3C" w:rsidP="00DB1345">
            <w:pPr>
              <w:spacing w:before="60" w:after="60"/>
              <w:rPr>
                <w:lang w:val="en-US"/>
              </w:rPr>
            </w:pPr>
          </w:p>
          <w:p w14:paraId="3DD9FFD4" w14:textId="77777777" w:rsidR="00FE7F3C" w:rsidRPr="003D1A52" w:rsidRDefault="00FE7F3C" w:rsidP="00DB1345">
            <w:pPr>
              <w:spacing w:before="60" w:after="60"/>
              <w:rPr>
                <w:lang w:val="en-US"/>
              </w:rPr>
            </w:pPr>
          </w:p>
          <w:p w14:paraId="6F38302B" w14:textId="77777777" w:rsidR="00FE7F3C" w:rsidRDefault="00FE7F3C" w:rsidP="00DB1345">
            <w:pPr>
              <w:spacing w:before="60" w:after="60"/>
            </w:pPr>
            <w:r>
              <w:rPr>
                <w:b/>
                <w:bCs/>
              </w:rPr>
              <w:t xml:space="preserve">4. </w:t>
            </w:r>
            <w:r>
              <w:t>Article 2 sub 4 states that i</w:t>
            </w:r>
            <w:r w:rsidRPr="00D72FAE">
              <w:t xml:space="preserve">n case of bias due to the relevant presence of short-term loans, </w:t>
            </w:r>
            <w:r>
              <w:t xml:space="preserve">CSP’s </w:t>
            </w:r>
            <w:r w:rsidRPr="00D72FAE">
              <w:t>shall take appropriate adjustments in the calculation of the default rate for the purpose of paragraph</w:t>
            </w:r>
            <w:r>
              <w:t xml:space="preserve">. This can be interpreted differently by different CSP’s. </w:t>
            </w:r>
          </w:p>
          <w:p w14:paraId="599CDEC0" w14:textId="77777777" w:rsidR="00FE7F3C" w:rsidRPr="00816F7F" w:rsidRDefault="00FE7F3C" w:rsidP="00DB1345">
            <w:pPr>
              <w:spacing w:before="60" w:after="60"/>
              <w:jc w:val="both"/>
              <w:rPr>
                <w:lang w:val="en-US"/>
              </w:rPr>
            </w:pPr>
            <w:r w:rsidRPr="00A85D6F">
              <w:t xml:space="preserve">Therefore we would like to </w:t>
            </w:r>
            <w:r>
              <w:t>suggest to clarify what measures CSP’s must take in such situation (what are “appropriate adjust</w:t>
            </w:r>
            <w:proofErr w:type="spellStart"/>
            <w:r>
              <w:rPr>
                <w:lang w:val="en-US"/>
              </w:rPr>
              <w:t>ments</w:t>
            </w:r>
            <w:proofErr w:type="spellEnd"/>
            <w:r>
              <w:rPr>
                <w:lang w:val="en-US"/>
              </w:rPr>
              <w:t>” that CSP’s have to take?</w:t>
            </w:r>
          </w:p>
        </w:tc>
      </w:tr>
      <w:tr w:rsidR="00FE7F3C" w:rsidRPr="00A87AA0" w14:paraId="54EB6A7B" w14:textId="77777777" w:rsidTr="00DB1345">
        <w:tc>
          <w:tcPr>
            <w:tcW w:w="745" w:type="dxa"/>
          </w:tcPr>
          <w:p w14:paraId="76E66CC3" w14:textId="77777777" w:rsidR="00FE7F3C" w:rsidRPr="00BE72A8" w:rsidRDefault="00FE7F3C" w:rsidP="00DB1345">
            <w:pPr>
              <w:spacing w:before="60" w:after="60"/>
              <w:rPr>
                <w:rFonts w:asciiTheme="minorHAnsi" w:hAnsiTheme="minorHAnsi" w:cstheme="minorHAnsi"/>
                <w:lang w:val="nl-NL"/>
              </w:rPr>
            </w:pPr>
            <w:r>
              <w:rPr>
                <w:rFonts w:asciiTheme="minorHAnsi" w:hAnsiTheme="minorHAnsi" w:cstheme="minorHAnsi"/>
                <w:lang w:val="nl-NL"/>
              </w:rPr>
              <w:t xml:space="preserve">5. </w:t>
            </w:r>
          </w:p>
        </w:tc>
        <w:tc>
          <w:tcPr>
            <w:tcW w:w="1935" w:type="dxa"/>
          </w:tcPr>
          <w:p w14:paraId="00E77858" w14:textId="77777777" w:rsidR="00FE7F3C" w:rsidRDefault="00FE7F3C" w:rsidP="00DB1345">
            <w:pPr>
              <w:spacing w:before="60" w:after="60"/>
              <w:rPr>
                <w:rFonts w:asciiTheme="minorHAnsi" w:hAnsiTheme="minorHAnsi" w:cstheme="minorHAnsi"/>
                <w:b/>
                <w:bCs/>
                <w:lang w:val="nl-NL"/>
              </w:rPr>
            </w:pPr>
            <w:r>
              <w:rPr>
                <w:rFonts w:asciiTheme="minorHAnsi" w:hAnsiTheme="minorHAnsi" w:cstheme="minorHAnsi"/>
                <w:b/>
                <w:bCs/>
                <w:lang w:val="nl-NL"/>
              </w:rPr>
              <w:t xml:space="preserve">Interest </w:t>
            </w:r>
            <w:proofErr w:type="spellStart"/>
            <w:r>
              <w:rPr>
                <w:rFonts w:asciiTheme="minorHAnsi" w:hAnsiTheme="minorHAnsi" w:cstheme="minorHAnsi"/>
                <w:b/>
                <w:bCs/>
                <w:lang w:val="nl-NL"/>
              </w:rPr>
              <w:t>rate</w:t>
            </w:r>
            <w:proofErr w:type="spellEnd"/>
          </w:p>
        </w:tc>
        <w:tc>
          <w:tcPr>
            <w:tcW w:w="1991" w:type="dxa"/>
          </w:tcPr>
          <w:p w14:paraId="4B00730D" w14:textId="77777777" w:rsidR="00FE7F3C" w:rsidRDefault="00FE7F3C" w:rsidP="00DB1345">
            <w:pPr>
              <w:spacing w:before="60" w:after="60"/>
              <w:rPr>
                <w:rFonts w:asciiTheme="minorHAnsi" w:hAnsiTheme="minorHAnsi" w:cstheme="minorHAnsi"/>
              </w:rPr>
            </w:pPr>
            <w:r w:rsidRPr="00CB46BA">
              <w:rPr>
                <w:rFonts w:asciiTheme="minorHAnsi" w:hAnsiTheme="minorHAnsi" w:cstheme="minorHAnsi"/>
              </w:rPr>
              <w:t>§</w:t>
            </w:r>
            <w:r>
              <w:rPr>
                <w:rFonts w:asciiTheme="minorHAnsi" w:hAnsiTheme="minorHAnsi" w:cstheme="minorHAnsi"/>
              </w:rPr>
              <w:t xml:space="preserve"> 2.7 ESMA</w:t>
            </w:r>
          </w:p>
          <w:p w14:paraId="6B4AA492" w14:textId="77777777" w:rsidR="00FE7F3C" w:rsidRPr="00CB46BA" w:rsidRDefault="00FE7F3C" w:rsidP="00DB1345">
            <w:pPr>
              <w:spacing w:before="60" w:after="60"/>
              <w:rPr>
                <w:rFonts w:asciiTheme="minorHAnsi" w:hAnsiTheme="minorHAnsi" w:cstheme="minorHAnsi"/>
              </w:rPr>
            </w:pPr>
            <w:r>
              <w:rPr>
                <w:rFonts w:asciiTheme="minorHAnsi" w:hAnsiTheme="minorHAnsi" w:cstheme="minorHAnsi"/>
              </w:rPr>
              <w:t>Annex IX Part D sub (h) &amp; Part G sub (b)</w:t>
            </w:r>
          </w:p>
        </w:tc>
        <w:tc>
          <w:tcPr>
            <w:tcW w:w="6670" w:type="dxa"/>
          </w:tcPr>
          <w:p w14:paraId="29985B18" w14:textId="77777777" w:rsidR="00FE7F3C" w:rsidRDefault="00FE7F3C" w:rsidP="00DB1345">
            <w:pPr>
              <w:spacing w:before="60" w:after="60"/>
              <w:jc w:val="both"/>
              <w:rPr>
                <w:b/>
                <w:bCs/>
              </w:rPr>
            </w:pPr>
            <w:r>
              <w:rPr>
                <w:rStyle w:val="y2iqfc"/>
                <w:color w:val="202124"/>
                <w:lang w:val="en"/>
              </w:rPr>
              <w:t xml:space="preserve">Why can't interest be based on 360 days? The regulation only refers to interest rate that must be disclosed. Based on the KIIS this must be 365 days. Many loan administration systems are set up based on 360 days’ interest period. This is more convenient, because at 360 days the interest </w:t>
            </w:r>
            <w:r>
              <w:rPr>
                <w:rStyle w:val="y2iqfc"/>
                <w:color w:val="202124"/>
                <w:lang w:val="en"/>
              </w:rPr>
              <w:lastRenderedPageBreak/>
              <w:t>is always the same every quarter / month. This way, you can easily calculate the accrued interest from month [x] to year by using ((y-x) * 30) / 360. You do not have to take into account the number of days in a month. It will be a costly and time-consuming project to amend the loan administration system. We would be grateful if the RTS can refer to a flexible 360-365 days interest period.</w:t>
            </w:r>
          </w:p>
        </w:tc>
      </w:tr>
      <w:tr w:rsidR="00FE7F3C" w:rsidRPr="002D5ADC" w14:paraId="7E6ABB23" w14:textId="77777777" w:rsidTr="00DB1345">
        <w:tc>
          <w:tcPr>
            <w:tcW w:w="745" w:type="dxa"/>
          </w:tcPr>
          <w:p w14:paraId="6660C474" w14:textId="77777777" w:rsidR="00FE7F3C" w:rsidRPr="00A87AA0" w:rsidRDefault="00FE7F3C" w:rsidP="00DB1345">
            <w:pPr>
              <w:spacing w:before="60" w:after="60"/>
              <w:rPr>
                <w:rFonts w:asciiTheme="minorHAnsi" w:hAnsiTheme="minorHAnsi" w:cstheme="minorHAnsi"/>
                <w:lang w:val="en-US"/>
              </w:rPr>
            </w:pPr>
            <w:r>
              <w:rPr>
                <w:rFonts w:asciiTheme="minorHAnsi" w:hAnsiTheme="minorHAnsi" w:cstheme="minorHAnsi"/>
                <w:lang w:val="en-US"/>
              </w:rPr>
              <w:lastRenderedPageBreak/>
              <w:t>6.</w:t>
            </w:r>
          </w:p>
        </w:tc>
        <w:tc>
          <w:tcPr>
            <w:tcW w:w="1935" w:type="dxa"/>
          </w:tcPr>
          <w:p w14:paraId="295D72D4" w14:textId="77777777" w:rsidR="00FE7F3C" w:rsidRPr="002D5ADC" w:rsidRDefault="00FE7F3C" w:rsidP="00DB1345">
            <w:pPr>
              <w:spacing w:before="60" w:after="60"/>
              <w:rPr>
                <w:rFonts w:asciiTheme="minorHAnsi" w:hAnsiTheme="minorHAnsi" w:cstheme="minorHAnsi"/>
                <w:b/>
                <w:bCs/>
              </w:rPr>
            </w:pPr>
            <w:r>
              <w:rPr>
                <w:rFonts w:cs="Arial"/>
                <w:b/>
                <w:bCs/>
                <w:color w:val="000000"/>
                <w:szCs w:val="20"/>
                <w:shd w:val="clear" w:color="auto" w:fill="FFFFFF"/>
              </w:rPr>
              <w:t>KIIS &amp; Pre-contractual reflection period</w:t>
            </w:r>
          </w:p>
        </w:tc>
        <w:tc>
          <w:tcPr>
            <w:tcW w:w="1991" w:type="dxa"/>
          </w:tcPr>
          <w:p w14:paraId="010AFCF2" w14:textId="77777777" w:rsidR="00FE7F3C" w:rsidRDefault="00FE7F3C" w:rsidP="00DB1345">
            <w:pPr>
              <w:spacing w:before="60" w:after="60"/>
              <w:rPr>
                <w:rFonts w:asciiTheme="minorHAnsi" w:hAnsiTheme="minorHAnsi" w:cstheme="minorHAnsi"/>
              </w:rPr>
            </w:pPr>
            <w:r w:rsidRPr="00CB46BA">
              <w:rPr>
                <w:rFonts w:asciiTheme="minorHAnsi" w:hAnsiTheme="minorHAnsi" w:cstheme="minorHAnsi"/>
              </w:rPr>
              <w:t>§</w:t>
            </w:r>
            <w:r>
              <w:rPr>
                <w:rFonts w:asciiTheme="minorHAnsi" w:hAnsiTheme="minorHAnsi" w:cstheme="minorHAnsi"/>
              </w:rPr>
              <w:t xml:space="preserve"> 2.7 ESMA</w:t>
            </w:r>
          </w:p>
          <w:p w14:paraId="1D967FCC" w14:textId="77777777" w:rsidR="00FE7F3C" w:rsidRPr="002D5ADC" w:rsidRDefault="00FE7F3C" w:rsidP="00DB1345">
            <w:pPr>
              <w:spacing w:before="60" w:after="60"/>
              <w:rPr>
                <w:rFonts w:asciiTheme="minorHAnsi" w:hAnsiTheme="minorHAnsi" w:cstheme="minorHAnsi"/>
              </w:rPr>
            </w:pPr>
            <w:r>
              <w:rPr>
                <w:rFonts w:asciiTheme="minorHAnsi" w:hAnsiTheme="minorHAnsi" w:cstheme="minorHAnsi"/>
              </w:rPr>
              <w:t>Art. 22 ECSP</w:t>
            </w:r>
          </w:p>
        </w:tc>
        <w:tc>
          <w:tcPr>
            <w:tcW w:w="6670" w:type="dxa"/>
          </w:tcPr>
          <w:p w14:paraId="31B16B36" w14:textId="77777777" w:rsidR="00FE7F3C" w:rsidRPr="002D5ADC" w:rsidRDefault="00FE7F3C" w:rsidP="00DB1345">
            <w:pPr>
              <w:spacing w:before="60" w:after="60"/>
              <w:rPr>
                <w:rFonts w:asciiTheme="minorHAnsi" w:hAnsiTheme="minorHAnsi" w:cstheme="minorHAnsi"/>
                <w:color w:val="FF0000"/>
              </w:rPr>
            </w:pPr>
            <w:r>
              <w:rPr>
                <w:rFonts w:asciiTheme="minorHAnsi" w:hAnsiTheme="minorHAnsi" w:cstheme="minorHAnsi"/>
              </w:rPr>
              <w:t xml:space="preserve">In case of a pre-contractual reflection period of 4 days, it is recommended that other pre-contractual reflection periods (such as 14 days for consumers) are specifically excluded. </w:t>
            </w:r>
          </w:p>
        </w:tc>
      </w:tr>
      <w:tr w:rsidR="00FE7F3C" w:rsidRPr="00FE7F3C" w14:paraId="1FCED6D6" w14:textId="77777777" w:rsidTr="00DB1345">
        <w:tc>
          <w:tcPr>
            <w:tcW w:w="745" w:type="dxa"/>
          </w:tcPr>
          <w:p w14:paraId="5F9A1EF8" w14:textId="77777777" w:rsidR="00FE7F3C" w:rsidRDefault="00FE7F3C" w:rsidP="00DB1345">
            <w:pPr>
              <w:spacing w:before="60" w:after="60"/>
              <w:rPr>
                <w:rFonts w:asciiTheme="minorHAnsi" w:hAnsiTheme="minorHAnsi" w:cstheme="minorHAnsi"/>
                <w:lang w:val="en-US"/>
              </w:rPr>
            </w:pPr>
            <w:r>
              <w:rPr>
                <w:rFonts w:asciiTheme="minorHAnsi" w:hAnsiTheme="minorHAnsi" w:cstheme="minorHAnsi"/>
                <w:lang w:val="en-US"/>
              </w:rPr>
              <w:t xml:space="preserve">7. </w:t>
            </w:r>
          </w:p>
        </w:tc>
        <w:tc>
          <w:tcPr>
            <w:tcW w:w="1935" w:type="dxa"/>
          </w:tcPr>
          <w:p w14:paraId="36A2EBE2" w14:textId="77777777" w:rsidR="00FE7F3C" w:rsidRDefault="00FE7F3C" w:rsidP="00DB1345">
            <w:pPr>
              <w:spacing w:before="60" w:after="60"/>
              <w:rPr>
                <w:rFonts w:cs="Arial"/>
                <w:b/>
                <w:bCs/>
                <w:color w:val="000000"/>
                <w:szCs w:val="20"/>
                <w:shd w:val="clear" w:color="auto" w:fill="FFFFFF"/>
              </w:rPr>
            </w:pPr>
            <w:r>
              <w:rPr>
                <w:rFonts w:cs="Arial"/>
                <w:b/>
                <w:bCs/>
                <w:color w:val="000000"/>
                <w:szCs w:val="20"/>
                <w:shd w:val="clear" w:color="auto" w:fill="FFFFFF"/>
              </w:rPr>
              <w:t>KIIS &amp; ownership structure</w:t>
            </w:r>
          </w:p>
        </w:tc>
        <w:tc>
          <w:tcPr>
            <w:tcW w:w="1991" w:type="dxa"/>
          </w:tcPr>
          <w:p w14:paraId="23400423" w14:textId="77777777" w:rsidR="00FE7F3C" w:rsidRDefault="00FE7F3C" w:rsidP="00DB1345">
            <w:pPr>
              <w:spacing w:before="60" w:after="60"/>
              <w:rPr>
                <w:rFonts w:asciiTheme="minorHAnsi" w:hAnsiTheme="minorHAnsi" w:cstheme="minorHAnsi"/>
              </w:rPr>
            </w:pPr>
            <w:r w:rsidRPr="00CB46BA">
              <w:rPr>
                <w:rFonts w:asciiTheme="minorHAnsi" w:hAnsiTheme="minorHAnsi" w:cstheme="minorHAnsi"/>
              </w:rPr>
              <w:t>§</w:t>
            </w:r>
            <w:r>
              <w:rPr>
                <w:rFonts w:asciiTheme="minorHAnsi" w:hAnsiTheme="minorHAnsi" w:cstheme="minorHAnsi"/>
              </w:rPr>
              <w:t xml:space="preserve"> 2.7 ESMA</w:t>
            </w:r>
          </w:p>
          <w:p w14:paraId="69EB6DAE" w14:textId="77777777" w:rsidR="00FE7F3C" w:rsidRPr="00F152B5" w:rsidRDefault="00FE7F3C" w:rsidP="00DB1345">
            <w:pPr>
              <w:spacing w:before="60" w:after="60"/>
              <w:rPr>
                <w:rFonts w:asciiTheme="minorHAnsi" w:hAnsiTheme="minorHAnsi" w:cstheme="minorHAnsi"/>
              </w:rPr>
            </w:pPr>
            <w:r>
              <w:rPr>
                <w:rFonts w:asciiTheme="minorHAnsi" w:hAnsiTheme="minorHAnsi" w:cstheme="minorHAnsi"/>
              </w:rPr>
              <w:t xml:space="preserve">Annex IX </w:t>
            </w:r>
            <w:r w:rsidRPr="00F152B5">
              <w:t xml:space="preserve">Part A </w:t>
            </w:r>
            <w:r>
              <w:br/>
              <w:t>sub</w:t>
            </w:r>
            <w:r w:rsidRPr="00F152B5">
              <w:t xml:space="preserve"> (a):</w:t>
            </w:r>
          </w:p>
          <w:p w14:paraId="07DBAA8B" w14:textId="77777777" w:rsidR="00FE7F3C" w:rsidRPr="00CB46BA" w:rsidRDefault="00FE7F3C" w:rsidP="00DB1345">
            <w:pPr>
              <w:spacing w:before="60" w:after="60"/>
              <w:rPr>
                <w:rFonts w:asciiTheme="minorHAnsi" w:hAnsiTheme="minorHAnsi" w:cstheme="minorHAnsi"/>
              </w:rPr>
            </w:pPr>
          </w:p>
        </w:tc>
        <w:tc>
          <w:tcPr>
            <w:tcW w:w="6670" w:type="dxa"/>
          </w:tcPr>
          <w:p w14:paraId="112A536A" w14:textId="77777777" w:rsidR="00FE7F3C" w:rsidRPr="00FE7F3C" w:rsidRDefault="00FE7F3C" w:rsidP="00DB1345">
            <w:pPr>
              <w:spacing w:after="160" w:line="252" w:lineRule="auto"/>
              <w:rPr>
                <w:rFonts w:asciiTheme="minorHAnsi" w:hAnsiTheme="minorHAnsi" w:cstheme="minorHAnsi"/>
                <w:lang w:val="en-US"/>
              </w:rPr>
            </w:pPr>
            <w:r w:rsidRPr="00CA36FE">
              <w:t xml:space="preserve">It is not appropriate nor necessary that a project owner has to disclose the complete ownership structure </w:t>
            </w:r>
            <w:r>
              <w:t xml:space="preserve">in case a shareholder holds a relative small part of the shares and who prefers to stay confidential. </w:t>
            </w:r>
            <w:r w:rsidRPr="007B7EC9">
              <w:t>There</w:t>
            </w:r>
            <w:r>
              <w:t>fore</w:t>
            </w:r>
            <w:r w:rsidRPr="007B7EC9">
              <w:t xml:space="preserve"> we would like to propose </w:t>
            </w:r>
            <w:r>
              <w:t xml:space="preserve">for the KIIS that </w:t>
            </w:r>
            <w:r w:rsidRPr="007B7EC9">
              <w:t>only shareholders</w:t>
            </w:r>
            <w:r>
              <w:t xml:space="preserve"> have to be disclosed</w:t>
            </w:r>
            <w:r w:rsidRPr="007B7EC9">
              <w:t xml:space="preserve"> who</w:t>
            </w:r>
            <w:r>
              <w:t xml:space="preserve"> hold 25% or more of the shares (or voting rights) of the project owner need to be disclosed. </w:t>
            </w:r>
            <w:r w:rsidRPr="006645DE">
              <w:t>This</w:t>
            </w:r>
            <w:r>
              <w:t xml:space="preserve"> percentage is in line with</w:t>
            </w:r>
            <w:r w:rsidRPr="006645DE">
              <w:t xml:space="preserve"> the requirements of AML/KYC wh</w:t>
            </w:r>
            <w:r>
              <w:t>ere UBO’s have to be disclosed from 25% shareholding (or holding of votes) and onwards.</w:t>
            </w:r>
            <w:r w:rsidRPr="006645DE">
              <w:t xml:space="preserve"> </w:t>
            </w:r>
          </w:p>
        </w:tc>
      </w:tr>
      <w:tr w:rsidR="00FE7F3C" w:rsidRPr="00F152B5" w14:paraId="35ED1683" w14:textId="77777777" w:rsidTr="00DB1345">
        <w:tc>
          <w:tcPr>
            <w:tcW w:w="745" w:type="dxa"/>
          </w:tcPr>
          <w:p w14:paraId="5D14949A" w14:textId="77777777" w:rsidR="00FE7F3C" w:rsidRDefault="00FE7F3C" w:rsidP="00DB1345">
            <w:pPr>
              <w:spacing w:before="60" w:after="60"/>
              <w:rPr>
                <w:rFonts w:asciiTheme="minorHAnsi" w:hAnsiTheme="minorHAnsi" w:cstheme="minorHAnsi"/>
                <w:lang w:val="en-US"/>
              </w:rPr>
            </w:pPr>
            <w:r>
              <w:rPr>
                <w:rFonts w:asciiTheme="minorHAnsi" w:hAnsiTheme="minorHAnsi" w:cstheme="minorHAnsi"/>
                <w:lang w:val="en-US"/>
              </w:rPr>
              <w:t>8.</w:t>
            </w:r>
          </w:p>
        </w:tc>
        <w:tc>
          <w:tcPr>
            <w:tcW w:w="1935" w:type="dxa"/>
          </w:tcPr>
          <w:p w14:paraId="7995AF02" w14:textId="77777777" w:rsidR="00FE7F3C" w:rsidRDefault="00FE7F3C" w:rsidP="00DB1345">
            <w:pPr>
              <w:spacing w:before="60" w:after="60"/>
              <w:rPr>
                <w:rFonts w:cs="Arial"/>
                <w:b/>
                <w:bCs/>
                <w:color w:val="000000"/>
                <w:szCs w:val="20"/>
                <w:shd w:val="clear" w:color="auto" w:fill="FFFFFF"/>
              </w:rPr>
            </w:pPr>
            <w:r>
              <w:rPr>
                <w:rFonts w:cs="Arial"/>
                <w:b/>
                <w:bCs/>
                <w:color w:val="000000"/>
                <w:szCs w:val="20"/>
                <w:shd w:val="clear" w:color="auto" w:fill="FFFFFF"/>
              </w:rPr>
              <w:t>KIIS &amp; delivery date</w:t>
            </w:r>
          </w:p>
        </w:tc>
        <w:tc>
          <w:tcPr>
            <w:tcW w:w="1991" w:type="dxa"/>
          </w:tcPr>
          <w:p w14:paraId="7E67E279" w14:textId="77777777" w:rsidR="00FE7F3C" w:rsidRDefault="00FE7F3C" w:rsidP="00DB1345">
            <w:pPr>
              <w:spacing w:before="60" w:after="60"/>
              <w:rPr>
                <w:rFonts w:asciiTheme="minorHAnsi" w:hAnsiTheme="minorHAnsi" w:cstheme="minorHAnsi"/>
              </w:rPr>
            </w:pPr>
            <w:r w:rsidRPr="00CB46BA">
              <w:rPr>
                <w:rFonts w:asciiTheme="minorHAnsi" w:hAnsiTheme="minorHAnsi" w:cstheme="minorHAnsi"/>
              </w:rPr>
              <w:t>§</w:t>
            </w:r>
            <w:r>
              <w:rPr>
                <w:rFonts w:asciiTheme="minorHAnsi" w:hAnsiTheme="minorHAnsi" w:cstheme="minorHAnsi"/>
              </w:rPr>
              <w:t xml:space="preserve"> 2.7 ESMA</w:t>
            </w:r>
          </w:p>
          <w:p w14:paraId="72683ACF" w14:textId="77777777" w:rsidR="00FE7F3C" w:rsidRPr="00F152B5" w:rsidRDefault="00FE7F3C" w:rsidP="00DB1345">
            <w:pPr>
              <w:spacing w:before="60" w:after="60"/>
              <w:rPr>
                <w:rFonts w:asciiTheme="minorHAnsi" w:hAnsiTheme="minorHAnsi" w:cstheme="minorHAnsi"/>
              </w:rPr>
            </w:pPr>
            <w:r>
              <w:rPr>
                <w:rFonts w:asciiTheme="minorHAnsi" w:hAnsiTheme="minorHAnsi" w:cstheme="minorHAnsi"/>
              </w:rPr>
              <w:t xml:space="preserve">Annex IX </w:t>
            </w:r>
            <w:r w:rsidRPr="00F152B5">
              <w:t xml:space="preserve">Part </w:t>
            </w:r>
            <w:r>
              <w:t>D</w:t>
            </w:r>
            <w:r>
              <w:br/>
              <w:t>sub</w:t>
            </w:r>
            <w:r w:rsidRPr="00F152B5">
              <w:t xml:space="preserve"> (</w:t>
            </w:r>
            <w:r>
              <w:t>e</w:t>
            </w:r>
            <w:r w:rsidRPr="00F152B5">
              <w:t>):</w:t>
            </w:r>
          </w:p>
          <w:p w14:paraId="23A504F9" w14:textId="77777777" w:rsidR="00FE7F3C" w:rsidRPr="00CB46BA" w:rsidRDefault="00FE7F3C" w:rsidP="00DB1345">
            <w:pPr>
              <w:spacing w:before="60" w:after="60"/>
              <w:rPr>
                <w:rFonts w:asciiTheme="minorHAnsi" w:hAnsiTheme="minorHAnsi" w:cstheme="minorHAnsi"/>
              </w:rPr>
            </w:pPr>
          </w:p>
        </w:tc>
        <w:tc>
          <w:tcPr>
            <w:tcW w:w="6670" w:type="dxa"/>
          </w:tcPr>
          <w:p w14:paraId="0CBC7BFB" w14:textId="77777777" w:rsidR="00FE7F3C" w:rsidRPr="00EF0554" w:rsidRDefault="00FE7F3C" w:rsidP="00DB1345">
            <w:pPr>
              <w:spacing w:after="160" w:line="252" w:lineRule="auto"/>
              <w:rPr>
                <w:lang w:val="en-US"/>
              </w:rPr>
            </w:pPr>
            <w:r w:rsidRPr="00DF5AAA">
              <w:t>The delivery date of admitted crowdfunding instruments is unclear in a lot of</w:t>
            </w:r>
            <w:r>
              <w:t xml:space="preserve"> cases and depends on how quickly the project owner fulfils the additional conditions. </w:t>
            </w:r>
            <w:r w:rsidRPr="00D35EFB">
              <w:t>For example loans can have mortgages</w:t>
            </w:r>
            <w:r>
              <w:t xml:space="preserve"> or pledges</w:t>
            </w:r>
            <w:r w:rsidRPr="00D35EFB">
              <w:t xml:space="preserve"> as collateral and th</w:t>
            </w:r>
            <w:r>
              <w:t>e date of establishing this collateral is sometimes hard to predict and doesn’t match the delivery date of the loan provided, because it also depends on other parties (i.e. notary, the project owner itself). It would be more suitable when there is only a deadline until when investors can invest, but not a deadline for the moment the loan has to be ‘delivered’.</w:t>
            </w:r>
            <w:r w:rsidRPr="00D35EFB">
              <w:t xml:space="preserve"> </w:t>
            </w:r>
            <w:r>
              <w:br/>
              <w:t>In practice the delivery period can be extended with the approval of the CSP and the project owner.</w:t>
            </w:r>
            <w:r>
              <w:br/>
            </w:r>
            <w:r>
              <w:br/>
              <w:t>In short: flexibility of the delivery date would be more appropriate. Postponement of the delivery date should be allowed. Our NCA agrees with this point of view.</w:t>
            </w:r>
          </w:p>
        </w:tc>
      </w:tr>
      <w:tr w:rsidR="00FE7F3C" w:rsidRPr="000A57FE" w14:paraId="22373EDC" w14:textId="77777777" w:rsidTr="00DB1345">
        <w:tc>
          <w:tcPr>
            <w:tcW w:w="745" w:type="dxa"/>
          </w:tcPr>
          <w:p w14:paraId="6385809F" w14:textId="77777777" w:rsidR="00FE7F3C" w:rsidRDefault="00FE7F3C" w:rsidP="00DB1345">
            <w:pPr>
              <w:spacing w:before="60" w:after="60"/>
              <w:rPr>
                <w:rFonts w:asciiTheme="minorHAnsi" w:hAnsiTheme="minorHAnsi" w:cstheme="minorHAnsi"/>
                <w:lang w:val="en-US"/>
              </w:rPr>
            </w:pPr>
            <w:r>
              <w:rPr>
                <w:rFonts w:asciiTheme="minorHAnsi" w:hAnsiTheme="minorHAnsi" w:cstheme="minorHAnsi"/>
                <w:lang w:val="en-US"/>
              </w:rPr>
              <w:t>9.</w:t>
            </w:r>
          </w:p>
        </w:tc>
        <w:tc>
          <w:tcPr>
            <w:tcW w:w="1935" w:type="dxa"/>
          </w:tcPr>
          <w:p w14:paraId="13A43638" w14:textId="77777777" w:rsidR="00FE7F3C" w:rsidRDefault="00FE7F3C" w:rsidP="00DB1345">
            <w:pPr>
              <w:spacing w:before="60" w:after="60"/>
              <w:rPr>
                <w:rFonts w:cs="Arial"/>
                <w:b/>
                <w:bCs/>
                <w:color w:val="000000"/>
                <w:szCs w:val="20"/>
                <w:shd w:val="clear" w:color="auto" w:fill="FFFFFF"/>
              </w:rPr>
            </w:pPr>
            <w:r>
              <w:rPr>
                <w:rFonts w:cs="Arial"/>
                <w:b/>
                <w:bCs/>
                <w:color w:val="000000"/>
                <w:szCs w:val="20"/>
                <w:shd w:val="clear" w:color="auto" w:fill="FFFFFF"/>
              </w:rPr>
              <w:t>KIIS &amp; filing AFM</w:t>
            </w:r>
          </w:p>
        </w:tc>
        <w:tc>
          <w:tcPr>
            <w:tcW w:w="1991" w:type="dxa"/>
          </w:tcPr>
          <w:p w14:paraId="1DC0CFBF" w14:textId="77777777" w:rsidR="00FE7F3C" w:rsidRDefault="00FE7F3C" w:rsidP="00DB1345">
            <w:pPr>
              <w:spacing w:before="60" w:after="60"/>
              <w:rPr>
                <w:rFonts w:asciiTheme="minorHAnsi" w:hAnsiTheme="minorHAnsi" w:cstheme="minorHAnsi"/>
              </w:rPr>
            </w:pPr>
            <w:r w:rsidRPr="00CB46BA">
              <w:rPr>
                <w:rFonts w:asciiTheme="minorHAnsi" w:hAnsiTheme="minorHAnsi" w:cstheme="minorHAnsi"/>
              </w:rPr>
              <w:t>§</w:t>
            </w:r>
            <w:r>
              <w:rPr>
                <w:rFonts w:asciiTheme="minorHAnsi" w:hAnsiTheme="minorHAnsi" w:cstheme="minorHAnsi"/>
              </w:rPr>
              <w:t xml:space="preserve"> 2.7 ESMA</w:t>
            </w:r>
          </w:p>
          <w:p w14:paraId="08EE9E38" w14:textId="77777777" w:rsidR="00FE7F3C" w:rsidRPr="00CB46BA" w:rsidRDefault="00FE7F3C" w:rsidP="00DB1345">
            <w:pPr>
              <w:spacing w:before="60" w:after="60"/>
              <w:rPr>
                <w:rFonts w:asciiTheme="minorHAnsi" w:hAnsiTheme="minorHAnsi" w:cstheme="minorHAnsi"/>
              </w:rPr>
            </w:pPr>
            <w:r>
              <w:rPr>
                <w:rFonts w:asciiTheme="minorHAnsi" w:hAnsiTheme="minorHAnsi" w:cstheme="minorHAnsi"/>
              </w:rPr>
              <w:t>Art. 23(7)</w:t>
            </w:r>
          </w:p>
        </w:tc>
        <w:tc>
          <w:tcPr>
            <w:tcW w:w="6670" w:type="dxa"/>
          </w:tcPr>
          <w:p w14:paraId="453876ED" w14:textId="0D2E5578" w:rsidR="00FE7F3C" w:rsidRPr="00942818" w:rsidRDefault="00FE7F3C" w:rsidP="00DB1345">
            <w:pPr>
              <w:spacing w:after="160" w:line="252" w:lineRule="auto"/>
              <w:rPr>
                <w:lang w:val="en-US"/>
              </w:rPr>
            </w:pPr>
            <w:r w:rsidRPr="00776EF0">
              <w:t>In practice</w:t>
            </w:r>
            <w:r w:rsidR="00776EF0" w:rsidRPr="00776EF0">
              <w:t xml:space="preserve"> the current KIIS is available to investors 48 hours prior to</w:t>
            </w:r>
            <w:r w:rsidR="00776EF0">
              <w:t xml:space="preserve"> the</w:t>
            </w:r>
            <w:r w:rsidR="000527D0">
              <w:t xml:space="preserve"> starting date of the funding of the project</w:t>
            </w:r>
            <w:r w:rsidR="00EC11CB">
              <w:t xml:space="preserve">. </w:t>
            </w:r>
            <w:r w:rsidR="00EC11CB" w:rsidRPr="00942818">
              <w:rPr>
                <w:lang w:val="en-US"/>
              </w:rPr>
              <w:t xml:space="preserve">The NCA </w:t>
            </w:r>
            <w:r w:rsidR="002A1EBC" w:rsidRPr="00942818">
              <w:rPr>
                <w:lang w:val="en-US"/>
              </w:rPr>
              <w:t>doesn’t request the KIIS at all</w:t>
            </w:r>
            <w:r w:rsidRPr="00942818">
              <w:rPr>
                <w:lang w:val="en-US"/>
              </w:rPr>
              <w:t xml:space="preserve">. </w:t>
            </w:r>
            <w:r w:rsidR="004264D4" w:rsidRPr="00485330">
              <w:rPr>
                <w:lang w:val="en-US"/>
              </w:rPr>
              <w:t>In case the KIIS needs to be filed to</w:t>
            </w:r>
            <w:r w:rsidR="008E39C1" w:rsidRPr="00485330">
              <w:rPr>
                <w:lang w:val="en-US"/>
              </w:rPr>
              <w:t xml:space="preserve"> </w:t>
            </w:r>
            <w:r w:rsidR="004264D4" w:rsidRPr="00485330">
              <w:rPr>
                <w:lang w:val="en-US"/>
              </w:rPr>
              <w:t>the NCA 7 days prior</w:t>
            </w:r>
            <w:r w:rsidR="008E39C1" w:rsidRPr="00485330">
              <w:rPr>
                <w:lang w:val="en-US"/>
              </w:rPr>
              <w:t xml:space="preserve">, this forms a burden to </w:t>
            </w:r>
            <w:r w:rsidR="00485330" w:rsidRPr="00485330">
              <w:rPr>
                <w:lang w:val="en-US"/>
              </w:rPr>
              <w:t>both the CSP and the project owner</w:t>
            </w:r>
            <w:r w:rsidR="00485330">
              <w:rPr>
                <w:lang w:val="en-US"/>
              </w:rPr>
              <w:t>, because the</w:t>
            </w:r>
            <w:r w:rsidR="008F413F">
              <w:rPr>
                <w:lang w:val="en-US"/>
              </w:rPr>
              <w:t xml:space="preserve"> starting date of the funding of the</w:t>
            </w:r>
            <w:r w:rsidR="00485330">
              <w:rPr>
                <w:lang w:val="en-US"/>
              </w:rPr>
              <w:t xml:space="preserve"> project will be delayed</w:t>
            </w:r>
            <w:r w:rsidR="00485330" w:rsidRPr="00485330">
              <w:rPr>
                <w:lang w:val="en-US"/>
              </w:rPr>
              <w:t>.</w:t>
            </w:r>
            <w:r w:rsidR="00485330">
              <w:rPr>
                <w:lang w:val="en-US"/>
              </w:rPr>
              <w:t xml:space="preserve"> </w:t>
            </w:r>
            <w:r w:rsidR="008F413F">
              <w:rPr>
                <w:lang w:val="en-US"/>
              </w:rPr>
              <w:br/>
            </w:r>
            <w:r w:rsidR="009928CE">
              <w:rPr>
                <w:lang w:val="en-US"/>
              </w:rPr>
              <w:t>Also c</w:t>
            </w:r>
            <w:r w:rsidR="008F413F" w:rsidRPr="00BF69B7">
              <w:rPr>
                <w:lang w:val="en-US"/>
              </w:rPr>
              <w:t xml:space="preserve">ompared </w:t>
            </w:r>
            <w:r w:rsidR="00E65D59" w:rsidRPr="00BF69B7">
              <w:rPr>
                <w:lang w:val="en-US"/>
              </w:rPr>
              <w:t>to the current legislation</w:t>
            </w:r>
            <w:r w:rsidR="00AC24C2" w:rsidRPr="00BF69B7">
              <w:rPr>
                <w:lang w:val="en-US"/>
              </w:rPr>
              <w:t xml:space="preserve"> regarding equity issues</w:t>
            </w:r>
            <w:r w:rsidR="00BF69B7" w:rsidRPr="00BF69B7">
              <w:rPr>
                <w:lang w:val="en-US"/>
              </w:rPr>
              <w:t xml:space="preserve"> the ‘KIIS’ only needs to</w:t>
            </w:r>
            <w:r w:rsidR="00BF69B7">
              <w:rPr>
                <w:lang w:val="en-US"/>
              </w:rPr>
              <w:t xml:space="preserve"> be filed 1 day prior to the</w:t>
            </w:r>
            <w:r w:rsidR="00DA002D">
              <w:rPr>
                <w:lang w:val="en-US"/>
              </w:rPr>
              <w:t xml:space="preserve"> starting date of the</w:t>
            </w:r>
            <w:r w:rsidR="00BF69B7">
              <w:rPr>
                <w:lang w:val="en-US"/>
              </w:rPr>
              <w:t xml:space="preserve"> project.</w:t>
            </w:r>
            <w:r w:rsidR="009928CE">
              <w:rPr>
                <w:lang w:val="en-US"/>
              </w:rPr>
              <w:br/>
            </w:r>
            <w:r w:rsidR="009928CE" w:rsidRPr="002F3F4F">
              <w:rPr>
                <w:lang w:val="en-US"/>
              </w:rPr>
              <w:t>We don’t see a justification</w:t>
            </w:r>
            <w:r w:rsidR="002F3F4F" w:rsidRPr="002F3F4F">
              <w:rPr>
                <w:lang w:val="en-US"/>
              </w:rPr>
              <w:t xml:space="preserve"> to introduce a 7 day</w:t>
            </w:r>
            <w:r w:rsidR="008777B4">
              <w:rPr>
                <w:lang w:val="en-US"/>
              </w:rPr>
              <w:t>-</w:t>
            </w:r>
            <w:r w:rsidR="002F3F4F" w:rsidRPr="002F3F4F">
              <w:rPr>
                <w:lang w:val="en-US"/>
              </w:rPr>
              <w:t>period for crowdfunding.</w:t>
            </w:r>
            <w:r w:rsidR="009928CE" w:rsidRPr="002F3F4F">
              <w:rPr>
                <w:lang w:val="en-US"/>
              </w:rPr>
              <w:br/>
            </w:r>
            <w:r w:rsidR="00E65D59" w:rsidRPr="002F3F4F">
              <w:rPr>
                <w:lang w:val="en-US"/>
              </w:rPr>
              <w:t xml:space="preserve"> </w:t>
            </w:r>
          </w:p>
        </w:tc>
      </w:tr>
      <w:tr w:rsidR="00FE7F3C" w:rsidRPr="000139F3" w14:paraId="4F36E38B" w14:textId="77777777" w:rsidTr="00DB1345">
        <w:tc>
          <w:tcPr>
            <w:tcW w:w="745" w:type="dxa"/>
          </w:tcPr>
          <w:p w14:paraId="3C7352D1" w14:textId="77777777" w:rsidR="00FE7F3C" w:rsidRDefault="00FE7F3C" w:rsidP="00DB1345">
            <w:pPr>
              <w:spacing w:before="60" w:after="60"/>
              <w:rPr>
                <w:rFonts w:asciiTheme="minorHAnsi" w:hAnsiTheme="minorHAnsi" w:cstheme="minorHAnsi"/>
                <w:lang w:val="en-US"/>
              </w:rPr>
            </w:pPr>
            <w:r>
              <w:rPr>
                <w:rFonts w:asciiTheme="minorHAnsi" w:hAnsiTheme="minorHAnsi" w:cstheme="minorHAnsi"/>
                <w:lang w:val="en-US"/>
              </w:rPr>
              <w:t>10.</w:t>
            </w:r>
          </w:p>
        </w:tc>
        <w:tc>
          <w:tcPr>
            <w:tcW w:w="1935" w:type="dxa"/>
          </w:tcPr>
          <w:p w14:paraId="2F3CEE0C" w14:textId="77777777" w:rsidR="00FE7F3C" w:rsidRDefault="00FE7F3C" w:rsidP="00DB1345">
            <w:pPr>
              <w:spacing w:before="60" w:after="60"/>
              <w:rPr>
                <w:rFonts w:cs="Arial"/>
                <w:b/>
                <w:bCs/>
                <w:color w:val="000000"/>
                <w:szCs w:val="20"/>
                <w:shd w:val="clear" w:color="auto" w:fill="FFFFFF"/>
              </w:rPr>
            </w:pPr>
            <w:r>
              <w:rPr>
                <w:rFonts w:cs="Arial"/>
                <w:b/>
                <w:bCs/>
                <w:color w:val="000000"/>
                <w:szCs w:val="20"/>
                <w:shd w:val="clear" w:color="auto" w:fill="FFFFFF"/>
              </w:rPr>
              <w:t>KIIS &amp; LEI identification project owners</w:t>
            </w:r>
          </w:p>
        </w:tc>
        <w:tc>
          <w:tcPr>
            <w:tcW w:w="1991" w:type="dxa"/>
          </w:tcPr>
          <w:p w14:paraId="4F851F32" w14:textId="77777777" w:rsidR="00FE7F3C" w:rsidRPr="007061C2" w:rsidRDefault="00FE7F3C" w:rsidP="00DB1345">
            <w:pPr>
              <w:spacing w:before="60" w:after="60"/>
              <w:rPr>
                <w:rFonts w:asciiTheme="minorHAnsi" w:hAnsiTheme="minorHAnsi" w:cstheme="minorHAnsi"/>
                <w:lang w:val="en-US"/>
              </w:rPr>
            </w:pPr>
            <w:r w:rsidRPr="00DD7BE2">
              <w:rPr>
                <w:lang w:val="en-US"/>
              </w:rPr>
              <w:t>KIIS art. 4 lid 2 sub a Draft RTS Annex IX</w:t>
            </w:r>
          </w:p>
        </w:tc>
        <w:tc>
          <w:tcPr>
            <w:tcW w:w="6670" w:type="dxa"/>
          </w:tcPr>
          <w:p w14:paraId="410A9D07" w14:textId="77777777" w:rsidR="00FE7F3C" w:rsidRPr="003C02BE" w:rsidRDefault="00FE7F3C" w:rsidP="00DB1345">
            <w:pPr>
              <w:spacing w:before="60" w:after="60"/>
              <w:rPr>
                <w:rFonts w:asciiTheme="minorHAnsi" w:hAnsiTheme="minorHAnsi" w:cstheme="minorHAnsi"/>
                <w:lang w:val="en-US"/>
              </w:rPr>
            </w:pPr>
            <w:r w:rsidRPr="000139F3">
              <w:rPr>
                <w:lang w:val="en-US"/>
              </w:rPr>
              <w:t>Identificati</w:t>
            </w:r>
            <w:r>
              <w:rPr>
                <w:lang w:val="en-US"/>
              </w:rPr>
              <w:t>on</w:t>
            </w:r>
            <w:r w:rsidRPr="000139F3">
              <w:rPr>
                <w:lang w:val="en-US"/>
              </w:rPr>
              <w:t xml:space="preserve"> of </w:t>
            </w:r>
            <w:proofErr w:type="spellStart"/>
            <w:r w:rsidRPr="000139F3">
              <w:rPr>
                <w:lang w:val="en-US"/>
              </w:rPr>
              <w:t>projectowners</w:t>
            </w:r>
            <w:proofErr w:type="spellEnd"/>
            <w:r w:rsidRPr="000139F3">
              <w:rPr>
                <w:lang w:val="en-US"/>
              </w:rPr>
              <w:t xml:space="preserve"> will be by ISO 17442 (Legal Entity Identifier LEI) and by ISO 3166-1 alpha-2-code (</w:t>
            </w:r>
            <w:proofErr w:type="spellStart"/>
            <w:r w:rsidRPr="000139F3">
              <w:rPr>
                <w:lang w:val="en-US"/>
              </w:rPr>
              <w:t>tw</w:t>
            </w:r>
            <w:r>
              <w:rPr>
                <w:lang w:val="en-US"/>
              </w:rPr>
              <w:t>oletter</w:t>
            </w:r>
            <w:proofErr w:type="spellEnd"/>
            <w:r w:rsidRPr="000139F3">
              <w:rPr>
                <w:lang w:val="en-US"/>
              </w:rPr>
              <w:t xml:space="preserve"> </w:t>
            </w:r>
            <w:proofErr w:type="spellStart"/>
            <w:r w:rsidRPr="000139F3">
              <w:rPr>
                <w:lang w:val="en-US"/>
              </w:rPr>
              <w:t>countrycode</w:t>
            </w:r>
            <w:proofErr w:type="spellEnd"/>
            <w:r w:rsidRPr="000139F3">
              <w:rPr>
                <w:lang w:val="en-US"/>
              </w:rPr>
              <w:t>. This is only for</w:t>
            </w:r>
            <w:r>
              <w:rPr>
                <w:lang w:val="en-US"/>
              </w:rPr>
              <w:t xml:space="preserve"> </w:t>
            </w:r>
            <w:r w:rsidRPr="000139F3">
              <w:rPr>
                <w:lang w:val="en-US"/>
              </w:rPr>
              <w:t xml:space="preserve">the </w:t>
            </w:r>
            <w:r>
              <w:rPr>
                <w:lang w:val="en-US"/>
              </w:rPr>
              <w:t xml:space="preserve">NCA (data goes to ESMA </w:t>
            </w:r>
            <w:proofErr w:type="spellStart"/>
            <w:r>
              <w:rPr>
                <w:lang w:val="en-US"/>
              </w:rPr>
              <w:t>anonimised</w:t>
            </w:r>
            <w:proofErr w:type="spellEnd"/>
            <w:r>
              <w:rPr>
                <w:lang w:val="en-US"/>
              </w:rPr>
              <w:t>)</w:t>
            </w:r>
            <w:r w:rsidRPr="000139F3">
              <w:rPr>
                <w:lang w:val="en-US"/>
              </w:rPr>
              <w:t xml:space="preserve"> . Most </w:t>
            </w:r>
            <w:r>
              <w:rPr>
                <w:lang w:val="en-US"/>
              </w:rPr>
              <w:t>project owners</w:t>
            </w:r>
            <w:r w:rsidRPr="000139F3">
              <w:rPr>
                <w:lang w:val="en-US"/>
              </w:rPr>
              <w:t xml:space="preserve"> do not have a LEI</w:t>
            </w:r>
            <w:r>
              <w:rPr>
                <w:lang w:val="en-US"/>
              </w:rPr>
              <w:t xml:space="preserve">-code. This brings extra costs. </w:t>
            </w:r>
            <w:r>
              <w:rPr>
                <w:lang w:val="en-US"/>
              </w:rPr>
              <w:br/>
            </w:r>
            <w:r>
              <w:rPr>
                <w:lang w:val="en-US"/>
              </w:rPr>
              <w:br/>
            </w:r>
            <w:r w:rsidRPr="003C165C">
              <w:rPr>
                <w:b/>
                <w:bCs/>
                <w:lang w:val="en-US"/>
              </w:rPr>
              <w:t>1</w:t>
            </w:r>
            <w:r>
              <w:rPr>
                <w:lang w:val="en-US"/>
              </w:rPr>
              <w:t>. Why can we not use the national Chamber of Commerce codes?</w:t>
            </w:r>
            <w:r>
              <w:rPr>
                <w:lang w:val="en-US"/>
              </w:rPr>
              <w:br/>
            </w:r>
            <w:r w:rsidRPr="003C165C">
              <w:rPr>
                <w:b/>
                <w:bCs/>
                <w:lang w:val="en-US"/>
              </w:rPr>
              <w:t>2.</w:t>
            </w:r>
            <w:r>
              <w:rPr>
                <w:lang w:val="en-US"/>
              </w:rPr>
              <w:t xml:space="preserve"> Is it correct that a LEI-code only has to be requested once? (so that a project owner only has to pay for it once?) Our national Chamber of Commerce also charges costs to update the LEI-code on a yearly basis. </w:t>
            </w:r>
            <w:r>
              <w:rPr>
                <w:lang w:val="en-US"/>
              </w:rPr>
              <w:lastRenderedPageBreak/>
              <w:t>This doesn’t seem appropriate at all.</w:t>
            </w:r>
            <w:r>
              <w:rPr>
                <w:lang w:val="en-US"/>
              </w:rPr>
              <w:br/>
            </w:r>
          </w:p>
        </w:tc>
      </w:tr>
    </w:tbl>
    <w:p w14:paraId="07C428B6" w14:textId="77777777" w:rsidR="00FE7F3C" w:rsidRDefault="00FE7F3C" w:rsidP="00FE7F3C">
      <w:pPr>
        <w:spacing w:before="60" w:after="60"/>
        <w:rPr>
          <w:rFonts w:asciiTheme="minorHAnsi" w:hAnsiTheme="minorHAnsi" w:cstheme="minorHAnsi"/>
          <w:lang w:val="en-US"/>
        </w:rPr>
      </w:pPr>
    </w:p>
    <w:p w14:paraId="0B5A8019" w14:textId="77777777" w:rsidR="00FE7F3C" w:rsidRPr="000139F3" w:rsidRDefault="00FE7F3C" w:rsidP="00FE7F3C">
      <w:pPr>
        <w:spacing w:before="60" w:after="60"/>
        <w:rPr>
          <w:rFonts w:asciiTheme="minorHAnsi" w:hAnsiTheme="minorHAnsi" w:cstheme="minorHAnsi"/>
          <w:lang w:val="en-US"/>
        </w:rPr>
      </w:pPr>
    </w:p>
    <w:p w14:paraId="29F0F87B" w14:textId="77777777" w:rsidR="00FE7F3C" w:rsidRPr="000139F3" w:rsidRDefault="00FE7F3C" w:rsidP="00FE7F3C">
      <w:pPr>
        <w:spacing w:before="60" w:after="60"/>
        <w:rPr>
          <w:rFonts w:asciiTheme="minorHAnsi" w:hAnsiTheme="minorHAnsi" w:cstheme="minorHAnsi"/>
          <w:lang w:val="en-US"/>
        </w:rPr>
      </w:pPr>
    </w:p>
    <w:p w14:paraId="1C793F68" w14:textId="77777777" w:rsidR="00FE7F3C" w:rsidRPr="000139F3" w:rsidRDefault="00FE7F3C" w:rsidP="00FE7F3C">
      <w:pPr>
        <w:spacing w:before="60" w:after="60"/>
        <w:rPr>
          <w:rFonts w:asciiTheme="minorHAnsi" w:hAnsiTheme="minorHAnsi" w:cstheme="minorHAnsi"/>
          <w:lang w:val="en-US"/>
        </w:rPr>
      </w:pPr>
    </w:p>
    <w:tbl>
      <w:tblPr>
        <w:tblStyle w:val="Tabelraster"/>
        <w:tblW w:w="11483" w:type="dxa"/>
        <w:tblInd w:w="-998" w:type="dxa"/>
        <w:tblLook w:val="04A0" w:firstRow="1" w:lastRow="0" w:firstColumn="1" w:lastColumn="0" w:noHBand="0" w:noVBand="1"/>
      </w:tblPr>
      <w:tblGrid>
        <w:gridCol w:w="520"/>
        <w:gridCol w:w="1947"/>
        <w:gridCol w:w="2012"/>
        <w:gridCol w:w="7004"/>
      </w:tblGrid>
      <w:tr w:rsidR="00FE7F3C" w:rsidRPr="003621A1" w14:paraId="09CB706A" w14:textId="77777777" w:rsidTr="00DB1345">
        <w:tc>
          <w:tcPr>
            <w:tcW w:w="11483" w:type="dxa"/>
            <w:gridSpan w:val="4"/>
            <w:shd w:val="clear" w:color="auto" w:fill="FDE9D9" w:themeFill="accent6" w:themeFillTint="33"/>
          </w:tcPr>
          <w:p w14:paraId="72823F83" w14:textId="77777777" w:rsidR="00FE7F3C" w:rsidRPr="000D54B6" w:rsidRDefault="00FE7F3C" w:rsidP="00DB1345">
            <w:pPr>
              <w:pStyle w:val="Lijstalinea"/>
              <w:spacing w:before="60" w:after="60"/>
              <w:jc w:val="center"/>
              <w:rPr>
                <w:rFonts w:asciiTheme="minorHAnsi" w:hAnsiTheme="minorHAnsi" w:cstheme="minorHAnsi"/>
                <w:b/>
                <w:bCs/>
                <w:lang w:val="nl-NL"/>
              </w:rPr>
            </w:pPr>
          </w:p>
        </w:tc>
      </w:tr>
      <w:tr w:rsidR="00FE7F3C" w:rsidRPr="000D54B6" w14:paraId="4B3EB9C1" w14:textId="77777777" w:rsidTr="00DB1345">
        <w:tc>
          <w:tcPr>
            <w:tcW w:w="520" w:type="dxa"/>
          </w:tcPr>
          <w:p w14:paraId="5CA454AB" w14:textId="77777777" w:rsidR="00FE7F3C" w:rsidRPr="000D54B6" w:rsidRDefault="00FE7F3C" w:rsidP="00DB1345">
            <w:pPr>
              <w:spacing w:before="60" w:after="60"/>
              <w:rPr>
                <w:rFonts w:asciiTheme="minorHAnsi" w:hAnsiTheme="minorHAnsi" w:cstheme="minorHAnsi"/>
                <w:b/>
                <w:bCs/>
                <w:lang w:val="nl-NL"/>
              </w:rPr>
            </w:pPr>
            <w:r w:rsidRPr="000D54B6">
              <w:rPr>
                <w:rFonts w:asciiTheme="minorHAnsi" w:hAnsiTheme="minorHAnsi" w:cstheme="minorHAnsi"/>
                <w:b/>
                <w:bCs/>
                <w:lang w:val="nl-NL"/>
              </w:rPr>
              <w:t>#</w:t>
            </w:r>
          </w:p>
        </w:tc>
        <w:tc>
          <w:tcPr>
            <w:tcW w:w="1947" w:type="dxa"/>
          </w:tcPr>
          <w:p w14:paraId="27510CDF" w14:textId="77777777" w:rsidR="00FE7F3C" w:rsidRPr="000D54B6" w:rsidRDefault="00FE7F3C" w:rsidP="00DB1345">
            <w:pPr>
              <w:spacing w:before="60" w:after="60"/>
              <w:rPr>
                <w:rFonts w:asciiTheme="minorHAnsi" w:hAnsiTheme="minorHAnsi" w:cstheme="minorHAnsi"/>
                <w:b/>
                <w:bCs/>
                <w:lang w:val="nl-NL"/>
              </w:rPr>
            </w:pPr>
            <w:r w:rsidRPr="000D54B6">
              <w:rPr>
                <w:rFonts w:asciiTheme="minorHAnsi" w:hAnsiTheme="minorHAnsi" w:cstheme="minorHAnsi"/>
                <w:b/>
                <w:bCs/>
                <w:lang w:val="nl-NL"/>
              </w:rPr>
              <w:t>Issue</w:t>
            </w:r>
          </w:p>
        </w:tc>
        <w:tc>
          <w:tcPr>
            <w:tcW w:w="2012" w:type="dxa"/>
          </w:tcPr>
          <w:p w14:paraId="6B679E4D" w14:textId="77777777" w:rsidR="00FE7F3C" w:rsidRPr="000D54B6" w:rsidRDefault="00FE7F3C" w:rsidP="00DB1345">
            <w:pPr>
              <w:spacing w:before="60" w:after="60"/>
              <w:rPr>
                <w:rFonts w:asciiTheme="minorHAnsi" w:hAnsiTheme="minorHAnsi" w:cstheme="minorHAnsi"/>
                <w:b/>
                <w:bCs/>
                <w:lang w:val="nl-NL"/>
              </w:rPr>
            </w:pPr>
            <w:r>
              <w:rPr>
                <w:rFonts w:asciiTheme="minorHAnsi" w:hAnsiTheme="minorHAnsi" w:cstheme="minorHAnsi"/>
                <w:b/>
                <w:bCs/>
                <w:lang w:val="nl-NL"/>
              </w:rPr>
              <w:t>Reference</w:t>
            </w:r>
          </w:p>
        </w:tc>
        <w:tc>
          <w:tcPr>
            <w:tcW w:w="7004" w:type="dxa"/>
          </w:tcPr>
          <w:p w14:paraId="0130E145" w14:textId="77777777" w:rsidR="00FE7F3C" w:rsidRPr="000D54B6" w:rsidRDefault="00FE7F3C" w:rsidP="00DB1345">
            <w:pPr>
              <w:spacing w:before="60" w:after="60"/>
              <w:rPr>
                <w:rFonts w:asciiTheme="minorHAnsi" w:hAnsiTheme="minorHAnsi" w:cstheme="minorHAnsi"/>
                <w:b/>
                <w:bCs/>
                <w:lang w:val="nl-NL"/>
              </w:rPr>
            </w:pPr>
            <w:proofErr w:type="spellStart"/>
            <w:r>
              <w:rPr>
                <w:rFonts w:asciiTheme="minorHAnsi" w:hAnsiTheme="minorHAnsi" w:cstheme="minorHAnsi"/>
                <w:b/>
                <w:bCs/>
                <w:lang w:val="nl-NL"/>
              </w:rPr>
              <w:t>Remarks</w:t>
            </w:r>
            <w:proofErr w:type="spellEnd"/>
          </w:p>
        </w:tc>
      </w:tr>
      <w:tr w:rsidR="00FE7F3C" w:rsidRPr="002E7A5B" w14:paraId="400423CB" w14:textId="77777777" w:rsidTr="00DB1345">
        <w:tc>
          <w:tcPr>
            <w:tcW w:w="520" w:type="dxa"/>
          </w:tcPr>
          <w:p w14:paraId="406908F7" w14:textId="77777777" w:rsidR="00FE7F3C" w:rsidRPr="00A87AA0" w:rsidRDefault="00FE7F3C" w:rsidP="00DB1345">
            <w:pPr>
              <w:spacing w:before="60" w:after="60"/>
              <w:rPr>
                <w:rFonts w:asciiTheme="minorHAnsi" w:hAnsiTheme="minorHAnsi" w:cstheme="minorHAnsi"/>
                <w:lang w:val="nl-NL"/>
              </w:rPr>
            </w:pPr>
            <w:r>
              <w:rPr>
                <w:rFonts w:asciiTheme="minorHAnsi" w:hAnsiTheme="minorHAnsi" w:cstheme="minorHAnsi"/>
                <w:lang w:val="nl-NL"/>
              </w:rPr>
              <w:t>11.</w:t>
            </w:r>
          </w:p>
        </w:tc>
        <w:tc>
          <w:tcPr>
            <w:tcW w:w="1947" w:type="dxa"/>
          </w:tcPr>
          <w:p w14:paraId="1889C798" w14:textId="77777777" w:rsidR="00FE7F3C" w:rsidRPr="000D54B6" w:rsidRDefault="00FE7F3C" w:rsidP="00DB1345">
            <w:pPr>
              <w:spacing w:before="60" w:after="60"/>
              <w:rPr>
                <w:rFonts w:asciiTheme="minorHAnsi" w:hAnsiTheme="minorHAnsi" w:cstheme="minorHAnsi"/>
                <w:b/>
                <w:bCs/>
                <w:lang w:val="nl-NL"/>
              </w:rPr>
            </w:pPr>
            <w:proofErr w:type="spellStart"/>
            <w:r>
              <w:rPr>
                <w:rFonts w:asciiTheme="minorHAnsi" w:hAnsiTheme="minorHAnsi" w:cstheme="minorHAnsi"/>
                <w:b/>
                <w:bCs/>
                <w:lang w:val="nl-NL"/>
              </w:rPr>
              <w:t>Complaints</w:t>
            </w:r>
            <w:proofErr w:type="spellEnd"/>
            <w:r>
              <w:rPr>
                <w:rFonts w:asciiTheme="minorHAnsi" w:hAnsiTheme="minorHAnsi" w:cstheme="minorHAnsi"/>
                <w:b/>
                <w:bCs/>
                <w:lang w:val="nl-NL"/>
              </w:rPr>
              <w:t xml:space="preserve"> handling </w:t>
            </w:r>
          </w:p>
        </w:tc>
        <w:tc>
          <w:tcPr>
            <w:tcW w:w="2012" w:type="dxa"/>
          </w:tcPr>
          <w:p w14:paraId="78BAE037" w14:textId="77777777" w:rsidR="00FE7F3C" w:rsidRDefault="00FE7F3C" w:rsidP="00DB1345">
            <w:pPr>
              <w:spacing w:before="60" w:after="60"/>
              <w:rPr>
                <w:rFonts w:asciiTheme="minorHAnsi" w:hAnsiTheme="minorHAnsi" w:cstheme="minorHAnsi"/>
                <w:lang w:val="nl-NL"/>
              </w:rPr>
            </w:pPr>
            <w:r>
              <w:rPr>
                <w:rFonts w:asciiTheme="minorHAnsi" w:hAnsiTheme="minorHAnsi" w:cstheme="minorHAnsi"/>
                <w:lang w:val="nl-NL"/>
              </w:rPr>
              <w:t xml:space="preserve">§2.1 ESMA </w:t>
            </w:r>
          </w:p>
          <w:p w14:paraId="3438A18E" w14:textId="77777777" w:rsidR="00FE7F3C" w:rsidRPr="000D54B6" w:rsidRDefault="00FE7F3C" w:rsidP="00DB1345">
            <w:pPr>
              <w:spacing w:before="60" w:after="60"/>
              <w:rPr>
                <w:rFonts w:asciiTheme="minorHAnsi" w:hAnsiTheme="minorHAnsi" w:cstheme="minorHAnsi"/>
                <w:lang w:val="nl-NL"/>
              </w:rPr>
            </w:pPr>
            <w:r>
              <w:rPr>
                <w:rFonts w:asciiTheme="minorHAnsi" w:hAnsiTheme="minorHAnsi" w:cstheme="minorHAnsi"/>
                <w:lang w:val="nl-NL"/>
              </w:rPr>
              <w:t>Art. 7 ECSP</w:t>
            </w:r>
          </w:p>
        </w:tc>
        <w:tc>
          <w:tcPr>
            <w:tcW w:w="7004" w:type="dxa"/>
          </w:tcPr>
          <w:p w14:paraId="7B9A9CEC" w14:textId="77777777" w:rsidR="00FE7F3C" w:rsidRDefault="00FE7F3C" w:rsidP="00DB1345">
            <w:pPr>
              <w:spacing w:before="60" w:after="60"/>
              <w:jc w:val="both"/>
            </w:pPr>
            <w:r>
              <w:t>There is no uniform definition of “complaint”. When does a question or statement of dissatisfaction of a client constitute a “complaint” pursuant to the regulation? And what is the difference between a complaint against the entrepreneur (via the</w:t>
            </w:r>
            <w:r w:rsidRPr="00FA7469">
              <w:t xml:space="preserve"> </w:t>
            </w:r>
            <w:r>
              <w:t xml:space="preserve">CSP) or against the CSP itself? </w:t>
            </w:r>
          </w:p>
          <w:p w14:paraId="75830FDA" w14:textId="77777777" w:rsidR="00FE7F3C" w:rsidRPr="00A33858" w:rsidRDefault="00FE7F3C" w:rsidP="00DB1345">
            <w:pPr>
              <w:spacing w:before="60" w:after="60"/>
              <w:jc w:val="both"/>
            </w:pPr>
            <w:r>
              <w:t xml:space="preserve">A clear definition would </w:t>
            </w:r>
            <w:r w:rsidRPr="00B60481">
              <w:t>ensure a consistent interpretation and application EU-wide throughout the Member States by the respective competent authorities</w:t>
            </w:r>
            <w:r>
              <w:t xml:space="preserve">. </w:t>
            </w:r>
          </w:p>
        </w:tc>
      </w:tr>
      <w:tr w:rsidR="00FE7F3C" w:rsidRPr="00816376" w14:paraId="563C0DA6" w14:textId="77777777" w:rsidTr="00DB1345">
        <w:tc>
          <w:tcPr>
            <w:tcW w:w="520" w:type="dxa"/>
          </w:tcPr>
          <w:p w14:paraId="79DDF77D" w14:textId="77777777" w:rsidR="00FE7F3C" w:rsidRPr="00A87AA0" w:rsidRDefault="00FE7F3C" w:rsidP="00DB1345">
            <w:pPr>
              <w:spacing w:before="60" w:after="60"/>
              <w:rPr>
                <w:rFonts w:asciiTheme="minorHAnsi" w:hAnsiTheme="minorHAnsi" w:cstheme="minorHAnsi"/>
              </w:rPr>
            </w:pPr>
            <w:r>
              <w:rPr>
                <w:rFonts w:asciiTheme="minorHAnsi" w:hAnsiTheme="minorHAnsi" w:cstheme="minorHAnsi"/>
              </w:rPr>
              <w:t>12.</w:t>
            </w:r>
          </w:p>
        </w:tc>
        <w:tc>
          <w:tcPr>
            <w:tcW w:w="1947" w:type="dxa"/>
          </w:tcPr>
          <w:p w14:paraId="536C60F5" w14:textId="77777777" w:rsidR="00FE7F3C" w:rsidRPr="00816376" w:rsidRDefault="00FE7F3C" w:rsidP="00DB1345">
            <w:pPr>
              <w:spacing w:before="60" w:after="60"/>
              <w:rPr>
                <w:rFonts w:asciiTheme="minorHAnsi" w:hAnsiTheme="minorHAnsi" w:cstheme="minorHAnsi"/>
                <w:b/>
                <w:bCs/>
              </w:rPr>
            </w:pPr>
            <w:r>
              <w:rPr>
                <w:rFonts w:asciiTheme="minorHAnsi" w:hAnsiTheme="minorHAnsi" w:cstheme="minorHAnsi"/>
                <w:b/>
                <w:bCs/>
              </w:rPr>
              <w:t>Application</w:t>
            </w:r>
          </w:p>
        </w:tc>
        <w:tc>
          <w:tcPr>
            <w:tcW w:w="2012" w:type="dxa"/>
          </w:tcPr>
          <w:p w14:paraId="7FD07C3A" w14:textId="77777777" w:rsidR="00FE7F3C" w:rsidRPr="006D090B" w:rsidRDefault="00FE7F3C" w:rsidP="00DB1345">
            <w:pPr>
              <w:spacing w:before="60" w:after="60"/>
              <w:rPr>
                <w:rFonts w:asciiTheme="minorHAnsi" w:hAnsiTheme="minorHAnsi" w:cstheme="minorHAnsi"/>
                <w:lang w:val="en-US"/>
              </w:rPr>
            </w:pPr>
            <w:r w:rsidRPr="006D090B">
              <w:rPr>
                <w:rFonts w:asciiTheme="minorHAnsi" w:hAnsiTheme="minorHAnsi" w:cstheme="minorHAnsi"/>
                <w:lang w:val="en-US"/>
              </w:rPr>
              <w:t xml:space="preserve">§2.4 </w:t>
            </w:r>
            <w:r>
              <w:rPr>
                <w:rFonts w:asciiTheme="minorHAnsi" w:hAnsiTheme="minorHAnsi" w:cstheme="minorHAnsi"/>
                <w:lang w:val="en-US"/>
              </w:rPr>
              <w:t xml:space="preserve">&amp; 2.7 </w:t>
            </w:r>
            <w:r w:rsidRPr="006D090B">
              <w:rPr>
                <w:rFonts w:asciiTheme="minorHAnsi" w:hAnsiTheme="minorHAnsi" w:cstheme="minorHAnsi"/>
                <w:lang w:val="en-US"/>
              </w:rPr>
              <w:t xml:space="preserve">ESMA </w:t>
            </w:r>
          </w:p>
          <w:p w14:paraId="7C3ACC7B" w14:textId="77777777" w:rsidR="00FE7F3C" w:rsidRDefault="00FE7F3C" w:rsidP="00DB1345">
            <w:pPr>
              <w:spacing w:before="60" w:after="60"/>
            </w:pPr>
            <w:r>
              <w:t>Sub 70</w:t>
            </w:r>
          </w:p>
          <w:p w14:paraId="76C37DFF" w14:textId="77777777" w:rsidR="00FE7F3C" w:rsidRDefault="00FE7F3C" w:rsidP="00DB1345">
            <w:pPr>
              <w:spacing w:before="60" w:after="60"/>
            </w:pPr>
            <w:r>
              <w:t>Art. 23 sub 8 ECSPR</w:t>
            </w:r>
          </w:p>
          <w:p w14:paraId="44C58E75" w14:textId="77777777" w:rsidR="00FE7F3C" w:rsidRPr="00816376" w:rsidRDefault="00FE7F3C" w:rsidP="00DB1345">
            <w:pPr>
              <w:spacing w:before="60" w:after="60"/>
              <w:rPr>
                <w:rFonts w:asciiTheme="minorHAnsi" w:hAnsiTheme="minorHAnsi" w:cstheme="minorHAnsi"/>
              </w:rPr>
            </w:pPr>
          </w:p>
        </w:tc>
        <w:tc>
          <w:tcPr>
            <w:tcW w:w="7004" w:type="dxa"/>
          </w:tcPr>
          <w:p w14:paraId="69F6EADB" w14:textId="77777777" w:rsidR="00FE7F3C" w:rsidRPr="00B60481" w:rsidRDefault="00FE7F3C" w:rsidP="00DB1345">
            <w:pPr>
              <w:spacing w:before="60" w:after="60"/>
              <w:jc w:val="both"/>
            </w:pPr>
            <w:r>
              <w:t xml:space="preserve">A </w:t>
            </w:r>
            <w:r w:rsidRPr="00B60481">
              <w:t xml:space="preserve">subsequent "material change" of information related to the application for authorisation shall be treated as a new application instead of modifying the existing one. This would entail new assessment timelines for the competent authority. </w:t>
            </w:r>
            <w:r>
              <w:t xml:space="preserve">What is considered “material change”? </w:t>
            </w:r>
          </w:p>
          <w:p w14:paraId="409CB0EB" w14:textId="77777777" w:rsidR="00FE7F3C" w:rsidRPr="00816376" w:rsidRDefault="00FE7F3C" w:rsidP="00DB1345">
            <w:pPr>
              <w:spacing w:before="60" w:after="60"/>
              <w:jc w:val="both"/>
              <w:rPr>
                <w:rFonts w:asciiTheme="minorHAnsi" w:hAnsiTheme="minorHAnsi" w:cstheme="minorHAnsi"/>
              </w:rPr>
            </w:pPr>
            <w:r>
              <w:t>Clarification</w:t>
            </w:r>
            <w:r w:rsidRPr="00B60481">
              <w:t xml:space="preserve"> would also ensure a consistent interpretation and application EU-wide throughout the Member States by the respective competent authorities.</w:t>
            </w:r>
          </w:p>
        </w:tc>
      </w:tr>
      <w:tr w:rsidR="00FE7F3C" w:rsidRPr="00816376" w14:paraId="5E661212" w14:textId="77777777" w:rsidTr="00DB1345">
        <w:tc>
          <w:tcPr>
            <w:tcW w:w="520" w:type="dxa"/>
          </w:tcPr>
          <w:p w14:paraId="58E470D2" w14:textId="77777777" w:rsidR="00FE7F3C" w:rsidRPr="00A87AA0" w:rsidRDefault="00FE7F3C" w:rsidP="00DB1345">
            <w:pPr>
              <w:spacing w:before="60" w:after="60"/>
              <w:rPr>
                <w:rFonts w:asciiTheme="minorHAnsi" w:hAnsiTheme="minorHAnsi" w:cstheme="minorHAnsi"/>
              </w:rPr>
            </w:pPr>
            <w:r>
              <w:rPr>
                <w:rFonts w:asciiTheme="minorHAnsi" w:hAnsiTheme="minorHAnsi" w:cstheme="minorHAnsi"/>
              </w:rPr>
              <w:t>13.</w:t>
            </w:r>
          </w:p>
        </w:tc>
        <w:tc>
          <w:tcPr>
            <w:tcW w:w="1947" w:type="dxa"/>
          </w:tcPr>
          <w:p w14:paraId="4EC9081F" w14:textId="77777777" w:rsidR="00FE7F3C" w:rsidRPr="003228A3" w:rsidRDefault="00FE7F3C" w:rsidP="00DB1345">
            <w:pPr>
              <w:spacing w:before="60" w:after="60"/>
              <w:rPr>
                <w:rFonts w:asciiTheme="minorHAnsi" w:hAnsiTheme="minorHAnsi" w:cstheme="minorHAnsi"/>
                <w:b/>
                <w:bCs/>
                <w:lang w:val="en-US"/>
              </w:rPr>
            </w:pPr>
            <w:r w:rsidRPr="003228A3">
              <w:rPr>
                <w:rFonts w:asciiTheme="minorHAnsi" w:hAnsiTheme="minorHAnsi" w:cstheme="minorHAnsi"/>
                <w:b/>
                <w:bCs/>
                <w:lang w:val="en-US"/>
              </w:rPr>
              <w:t>Ability to bear loss f</w:t>
            </w:r>
            <w:r>
              <w:rPr>
                <w:rFonts w:asciiTheme="minorHAnsi" w:hAnsiTheme="minorHAnsi" w:cstheme="minorHAnsi"/>
                <w:b/>
                <w:bCs/>
                <w:lang w:val="en-US"/>
              </w:rPr>
              <w:t>or non-sophisticated investors</w:t>
            </w:r>
          </w:p>
        </w:tc>
        <w:tc>
          <w:tcPr>
            <w:tcW w:w="2012" w:type="dxa"/>
          </w:tcPr>
          <w:p w14:paraId="11497351" w14:textId="77777777" w:rsidR="00FE7F3C" w:rsidRPr="00CB46BA" w:rsidRDefault="00FE7F3C" w:rsidP="00DB1345">
            <w:pPr>
              <w:spacing w:before="60" w:after="60"/>
              <w:rPr>
                <w:rFonts w:asciiTheme="minorHAnsi" w:hAnsiTheme="minorHAnsi" w:cstheme="minorHAnsi"/>
              </w:rPr>
            </w:pPr>
            <w:r w:rsidRPr="00CB46BA">
              <w:rPr>
                <w:rFonts w:asciiTheme="minorHAnsi" w:hAnsiTheme="minorHAnsi" w:cstheme="minorHAnsi"/>
              </w:rPr>
              <w:t>§2.</w:t>
            </w:r>
            <w:r>
              <w:rPr>
                <w:rFonts w:asciiTheme="minorHAnsi" w:hAnsiTheme="minorHAnsi" w:cstheme="minorHAnsi"/>
              </w:rPr>
              <w:t>6</w:t>
            </w:r>
            <w:r w:rsidRPr="00CB46BA">
              <w:rPr>
                <w:rFonts w:asciiTheme="minorHAnsi" w:hAnsiTheme="minorHAnsi" w:cstheme="minorHAnsi"/>
              </w:rPr>
              <w:t xml:space="preserve"> ESMA</w:t>
            </w:r>
          </w:p>
          <w:p w14:paraId="49D9AD09" w14:textId="77777777" w:rsidR="00FE7F3C" w:rsidRDefault="00FE7F3C" w:rsidP="00DB1345">
            <w:pPr>
              <w:spacing w:before="60" w:after="60"/>
            </w:pPr>
            <w:r>
              <w:t>Article 1 sub 1 Annex VIII</w:t>
            </w:r>
          </w:p>
          <w:p w14:paraId="3ED01E77" w14:textId="77777777" w:rsidR="00FE7F3C" w:rsidRPr="00B60481" w:rsidRDefault="00FE7F3C" w:rsidP="00DB1345">
            <w:pPr>
              <w:spacing w:before="60" w:after="60"/>
            </w:pPr>
          </w:p>
        </w:tc>
        <w:tc>
          <w:tcPr>
            <w:tcW w:w="7004" w:type="dxa"/>
          </w:tcPr>
          <w:p w14:paraId="512DA028" w14:textId="77777777" w:rsidR="00FE7F3C" w:rsidRDefault="00FE7F3C" w:rsidP="00DB1345">
            <w:pPr>
              <w:spacing w:before="60" w:after="60"/>
              <w:jc w:val="both"/>
            </w:pPr>
            <w:r>
              <w:t xml:space="preserve">What are “reasonable steps”? How can a CSP check this and can it be held liable by the investor later for not having checked correctly? </w:t>
            </w:r>
          </w:p>
        </w:tc>
      </w:tr>
    </w:tbl>
    <w:p w14:paraId="0CD019D4" w14:textId="77777777" w:rsidR="00FE7F3C" w:rsidRPr="00FE7F3C" w:rsidRDefault="00FE7F3C" w:rsidP="00FE7F3C">
      <w:pPr>
        <w:spacing w:before="60" w:after="60"/>
        <w:rPr>
          <w:rFonts w:asciiTheme="minorHAnsi" w:hAnsiTheme="minorHAnsi" w:cstheme="minorHAnsi"/>
          <w:lang w:val="en-US"/>
        </w:rPr>
      </w:pPr>
    </w:p>
    <w:p w14:paraId="267B92F7" w14:textId="77777777" w:rsidR="00FE7F3C" w:rsidRPr="00FE7F3C" w:rsidRDefault="00FE7F3C" w:rsidP="00FE7F3C">
      <w:pPr>
        <w:spacing w:before="60" w:after="60"/>
        <w:rPr>
          <w:lang w:val="en-US"/>
        </w:rPr>
      </w:pPr>
    </w:p>
    <w:p w14:paraId="6DC1C301" w14:textId="77777777" w:rsidR="00FE7F3C" w:rsidRPr="00F644A0" w:rsidRDefault="00FE7F3C" w:rsidP="00FE7F3C">
      <w:pPr>
        <w:pStyle w:val="Default"/>
        <w:rPr>
          <w:color w:val="auto"/>
          <w:lang w:val="en-US"/>
        </w:rPr>
      </w:pPr>
    </w:p>
    <w:p w14:paraId="3D62DCD3" w14:textId="77777777" w:rsidR="00FE7F3C" w:rsidRPr="00612D90" w:rsidRDefault="00FE7F3C" w:rsidP="00FE7F3C">
      <w:pPr>
        <w:spacing w:before="60" w:after="60"/>
        <w:rPr>
          <w:rFonts w:asciiTheme="minorHAnsi" w:hAnsiTheme="minorHAnsi" w:cstheme="minorHAnsi"/>
          <w:lang w:val="en-US"/>
        </w:rPr>
      </w:pPr>
    </w:p>
    <w:p w14:paraId="3189744A" w14:textId="77777777" w:rsidR="00492B3A" w:rsidRDefault="00492B3A" w:rsidP="00492B3A">
      <w:r>
        <w:t>TYPE YOUR TEXT HERE</w:t>
      </w:r>
    </w:p>
    <w:permEnd w:id="1139373962"/>
    <w:p w14:paraId="013F0CDC" w14:textId="634A12C8" w:rsidR="00492B3A" w:rsidRDefault="00492B3A" w:rsidP="00492B3A">
      <w:r>
        <w:t>&lt;ESMA_QUESTION_</w:t>
      </w:r>
      <w:r w:rsidR="00A014B6">
        <w:t>ECSP</w:t>
      </w:r>
      <w:r>
        <w:t>_20&gt;</w:t>
      </w:r>
    </w:p>
    <w:p w14:paraId="6ADCFC75"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EF85" w14:textId="77777777" w:rsidR="003F0615" w:rsidRDefault="003F0615">
      <w:r>
        <w:separator/>
      </w:r>
    </w:p>
    <w:p w14:paraId="7BF9A112" w14:textId="77777777" w:rsidR="003F0615" w:rsidRDefault="003F0615"/>
  </w:endnote>
  <w:endnote w:type="continuationSeparator" w:id="0">
    <w:p w14:paraId="06EE94B9" w14:textId="77777777" w:rsidR="003F0615" w:rsidRDefault="003F0615">
      <w:r>
        <w:continuationSeparator/>
      </w:r>
    </w:p>
    <w:p w14:paraId="09CC2346" w14:textId="77777777" w:rsidR="003F0615" w:rsidRDefault="003F0615"/>
  </w:endnote>
  <w:endnote w:type="continuationNotice" w:id="1">
    <w:p w14:paraId="696CEED8" w14:textId="77777777" w:rsidR="003F0615" w:rsidRDefault="003F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12C9" w14:textId="77777777" w:rsidR="003F0615" w:rsidRDefault="003F0615">
      <w:r>
        <w:separator/>
      </w:r>
    </w:p>
    <w:p w14:paraId="7C3792E4" w14:textId="77777777" w:rsidR="003F0615" w:rsidRDefault="003F0615"/>
  </w:footnote>
  <w:footnote w:type="continuationSeparator" w:id="0">
    <w:p w14:paraId="760A1C27" w14:textId="77777777" w:rsidR="003F0615" w:rsidRDefault="003F0615">
      <w:r>
        <w:continuationSeparator/>
      </w:r>
    </w:p>
    <w:p w14:paraId="7CE6FF1F" w14:textId="77777777" w:rsidR="003F0615" w:rsidRDefault="003F0615"/>
  </w:footnote>
  <w:footnote w:type="continuationNotice" w:id="1">
    <w:p w14:paraId="6C140A0F" w14:textId="77777777" w:rsidR="003F0615" w:rsidRDefault="003F0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Koptekst"/>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9F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Koptekst"/>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Koptekst"/>
      <w:rPr>
        <w:lang w:val="fr-FR"/>
      </w:rPr>
    </w:pPr>
  </w:p>
  <w:p w14:paraId="0F1BB730" w14:textId="77777777" w:rsidR="00811EDA" w:rsidRPr="002F4496" w:rsidRDefault="00811EDA" w:rsidP="000C06C9">
    <w:pPr>
      <w:pStyle w:val="Koptekst"/>
      <w:tabs>
        <w:tab w:val="clear" w:pos="4536"/>
        <w:tab w:val="clear" w:pos="9072"/>
        <w:tab w:val="left" w:pos="8227"/>
      </w:tabs>
      <w:rPr>
        <w:lang w:val="fr-FR"/>
      </w:rPr>
    </w:pPr>
  </w:p>
  <w:p w14:paraId="354F7019" w14:textId="77777777" w:rsidR="00811EDA" w:rsidRPr="002F4496" w:rsidRDefault="00811EDA" w:rsidP="000C06C9">
    <w:pPr>
      <w:pStyle w:val="Koptekst"/>
      <w:tabs>
        <w:tab w:val="clear" w:pos="4536"/>
        <w:tab w:val="clear" w:pos="9072"/>
        <w:tab w:val="left" w:pos="8227"/>
      </w:tabs>
      <w:rPr>
        <w:lang w:val="fr-FR"/>
      </w:rPr>
    </w:pPr>
  </w:p>
  <w:p w14:paraId="438C49BF" w14:textId="77777777" w:rsidR="00811EDA" w:rsidRPr="002F4496" w:rsidRDefault="00811EDA">
    <w:pPr>
      <w:pStyle w:val="Koptekst"/>
      <w:rPr>
        <w:lang w:val="fr-FR"/>
      </w:rPr>
    </w:pPr>
  </w:p>
  <w:p w14:paraId="77F5F5FB" w14:textId="77777777" w:rsidR="00811EDA" w:rsidRPr="002F4496" w:rsidRDefault="00811EDA">
    <w:pPr>
      <w:pStyle w:val="Koptekst"/>
      <w:rPr>
        <w:lang w:val="fr-FR"/>
      </w:rPr>
    </w:pPr>
  </w:p>
  <w:p w14:paraId="31EA96F8" w14:textId="77777777" w:rsidR="00811EDA" w:rsidRPr="002F4496" w:rsidRDefault="00811EDA">
    <w:pPr>
      <w:pStyle w:val="Koptekst"/>
      <w:rPr>
        <w:lang w:val="fr-FR"/>
      </w:rPr>
    </w:pPr>
  </w:p>
  <w:p w14:paraId="0FAE7A71" w14:textId="77777777" w:rsidR="00811EDA" w:rsidRPr="002F4496" w:rsidRDefault="00811EDA">
    <w:pPr>
      <w:pStyle w:val="Koptekst"/>
      <w:rPr>
        <w:lang w:val="fr-FR"/>
      </w:rPr>
    </w:pPr>
  </w:p>
  <w:p w14:paraId="339C0C6E" w14:textId="77777777" w:rsidR="00811EDA" w:rsidRPr="002F4496" w:rsidRDefault="00811EDA">
    <w:pPr>
      <w:pStyle w:val="Koptekst"/>
      <w:rPr>
        <w:highlight w:val="yellow"/>
        <w:lang w:val="fr-FR"/>
      </w:rPr>
    </w:pPr>
  </w:p>
  <w:p w14:paraId="0495A777" w14:textId="77777777" w:rsidR="00811EDA" w:rsidRDefault="00DE66EB">
    <w:pPr>
      <w:pStyle w:val="Koptekst"/>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505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3DE64E67"/>
    <w:multiLevelType w:val="hybridMultilevel"/>
    <w:tmpl w:val="7A1CE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5A166B5"/>
    <w:multiLevelType w:val="multilevel"/>
    <w:tmpl w:val="0860C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507056"/>
    <w:multiLevelType w:val="hybridMultilevel"/>
    <w:tmpl w:val="2774F08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8"/>
  </w:num>
  <w:num w:numId="3">
    <w:abstractNumId w:val="10"/>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8"/>
  </w:num>
  <w:num w:numId="16">
    <w:abstractNumId w:val="1"/>
  </w:num>
  <w:num w:numId="17">
    <w:abstractNumId w:val="13"/>
  </w:num>
  <w:num w:numId="18">
    <w:abstractNumId w:val="14"/>
  </w:num>
  <w:num w:numId="19">
    <w:abstractNumId w:val="16"/>
  </w:num>
  <w:num w:numId="20">
    <w:abstractNumId w:val="28"/>
  </w:num>
  <w:num w:numId="21">
    <w:abstractNumId w:val="38"/>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0"/>
  </w:num>
  <w:num w:numId="29">
    <w:abstractNumId w:val="5"/>
  </w:num>
  <w:num w:numId="30">
    <w:abstractNumId w:val="2"/>
  </w:num>
  <w:num w:numId="31">
    <w:abstractNumId w:val="22"/>
  </w:num>
  <w:num w:numId="32">
    <w:abstractNumId w:val="21"/>
  </w:num>
  <w:num w:numId="33">
    <w:abstractNumId w:val="37"/>
  </w:num>
  <w:num w:numId="34">
    <w:abstractNumId w:val="36"/>
  </w:num>
  <w:num w:numId="35">
    <w:abstractNumId w:val="9"/>
  </w:num>
  <w:num w:numId="36">
    <w:abstractNumId w:val="11"/>
  </w:num>
  <w:num w:numId="37">
    <w:abstractNumId w:val="33"/>
  </w:num>
  <w:num w:numId="38">
    <w:abstractNumId w:val="11"/>
    <w:lvlOverride w:ilvl="0">
      <w:startOverride w:val="1"/>
    </w:lvlOverride>
  </w:num>
  <w:num w:numId="39">
    <w:abstractNumId w:val="23"/>
  </w:num>
  <w:num w:numId="40">
    <w:abstractNumId w:val="17"/>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9rPfNwJOGfOWwiWaHhEOojeEHaksGLOR3dtp9+ZnMJiImJVVSHfjKpOwIrmhTs4cEaTVPc5AJHgJgB7k0Xtsg==" w:salt="JlwXc+SUYE80HWIyEJzZJ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692"/>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7D0"/>
    <w:rsid w:val="00052F25"/>
    <w:rsid w:val="00052F47"/>
    <w:rsid w:val="000537D3"/>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3A17"/>
    <w:rsid w:val="00094C4C"/>
    <w:rsid w:val="00094C5B"/>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59A"/>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12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27854"/>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5ED9"/>
    <w:rsid w:val="00166B04"/>
    <w:rsid w:val="001670A6"/>
    <w:rsid w:val="001701FA"/>
    <w:rsid w:val="001707B9"/>
    <w:rsid w:val="00170D44"/>
    <w:rsid w:val="00171183"/>
    <w:rsid w:val="001725A5"/>
    <w:rsid w:val="001725A8"/>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3B8"/>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923"/>
    <w:rsid w:val="001B4E4B"/>
    <w:rsid w:val="001B50AC"/>
    <w:rsid w:val="001B55FB"/>
    <w:rsid w:val="001B5E05"/>
    <w:rsid w:val="001B6D68"/>
    <w:rsid w:val="001B6F2E"/>
    <w:rsid w:val="001C0344"/>
    <w:rsid w:val="001C0F2A"/>
    <w:rsid w:val="001C113F"/>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5FED"/>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529"/>
    <w:rsid w:val="00270E54"/>
    <w:rsid w:val="00273681"/>
    <w:rsid w:val="002748A8"/>
    <w:rsid w:val="002754B5"/>
    <w:rsid w:val="002764C5"/>
    <w:rsid w:val="002772AE"/>
    <w:rsid w:val="00280613"/>
    <w:rsid w:val="0028274D"/>
    <w:rsid w:val="00282B96"/>
    <w:rsid w:val="00282DFB"/>
    <w:rsid w:val="002833D6"/>
    <w:rsid w:val="00283F51"/>
    <w:rsid w:val="00286064"/>
    <w:rsid w:val="002865C3"/>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1EBC"/>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5B8"/>
    <w:rsid w:val="002E387F"/>
    <w:rsid w:val="002E5D63"/>
    <w:rsid w:val="002E7113"/>
    <w:rsid w:val="002E79DD"/>
    <w:rsid w:val="002E7F4B"/>
    <w:rsid w:val="002E7FB3"/>
    <w:rsid w:val="002F0C91"/>
    <w:rsid w:val="002F0E3E"/>
    <w:rsid w:val="002F1B19"/>
    <w:rsid w:val="002F1FBF"/>
    <w:rsid w:val="002F3F4F"/>
    <w:rsid w:val="002F4139"/>
    <w:rsid w:val="00300624"/>
    <w:rsid w:val="00300F56"/>
    <w:rsid w:val="00301006"/>
    <w:rsid w:val="00303565"/>
    <w:rsid w:val="00304A71"/>
    <w:rsid w:val="003066C8"/>
    <w:rsid w:val="0030739D"/>
    <w:rsid w:val="00307AFB"/>
    <w:rsid w:val="00311184"/>
    <w:rsid w:val="00312675"/>
    <w:rsid w:val="00314013"/>
    <w:rsid w:val="00314945"/>
    <w:rsid w:val="00314BF0"/>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2CC4"/>
    <w:rsid w:val="00344496"/>
    <w:rsid w:val="00345968"/>
    <w:rsid w:val="00347667"/>
    <w:rsid w:val="003507E2"/>
    <w:rsid w:val="003522B2"/>
    <w:rsid w:val="00352DEB"/>
    <w:rsid w:val="0035455E"/>
    <w:rsid w:val="00354A6F"/>
    <w:rsid w:val="00354B48"/>
    <w:rsid w:val="00355789"/>
    <w:rsid w:val="003557F4"/>
    <w:rsid w:val="00357C60"/>
    <w:rsid w:val="003609B6"/>
    <w:rsid w:val="00360CB8"/>
    <w:rsid w:val="00361119"/>
    <w:rsid w:val="0036538D"/>
    <w:rsid w:val="00365D12"/>
    <w:rsid w:val="0037018D"/>
    <w:rsid w:val="00372299"/>
    <w:rsid w:val="00372F02"/>
    <w:rsid w:val="00373729"/>
    <w:rsid w:val="00373C91"/>
    <w:rsid w:val="003748F0"/>
    <w:rsid w:val="003755C6"/>
    <w:rsid w:val="00375AEF"/>
    <w:rsid w:val="00375F8E"/>
    <w:rsid w:val="0037626F"/>
    <w:rsid w:val="00376367"/>
    <w:rsid w:val="00376B02"/>
    <w:rsid w:val="0037733A"/>
    <w:rsid w:val="003776DC"/>
    <w:rsid w:val="003779C1"/>
    <w:rsid w:val="00380FEC"/>
    <w:rsid w:val="00381226"/>
    <w:rsid w:val="00381517"/>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3F61"/>
    <w:rsid w:val="003B4976"/>
    <w:rsid w:val="003B4B3F"/>
    <w:rsid w:val="003B6258"/>
    <w:rsid w:val="003B7A99"/>
    <w:rsid w:val="003C0343"/>
    <w:rsid w:val="003C0E87"/>
    <w:rsid w:val="003C1C32"/>
    <w:rsid w:val="003C40DA"/>
    <w:rsid w:val="003C42BA"/>
    <w:rsid w:val="003C462F"/>
    <w:rsid w:val="003C4A02"/>
    <w:rsid w:val="003C4F05"/>
    <w:rsid w:val="003C5CC2"/>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0615"/>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4D4"/>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37DE7"/>
    <w:rsid w:val="00440541"/>
    <w:rsid w:val="004406C4"/>
    <w:rsid w:val="0044162D"/>
    <w:rsid w:val="0044277A"/>
    <w:rsid w:val="004456DC"/>
    <w:rsid w:val="00447B48"/>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80A"/>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5330"/>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6EBA"/>
    <w:rsid w:val="00497750"/>
    <w:rsid w:val="00497B44"/>
    <w:rsid w:val="004A00E5"/>
    <w:rsid w:val="004A01A7"/>
    <w:rsid w:val="004A03FB"/>
    <w:rsid w:val="004A0D09"/>
    <w:rsid w:val="004A116E"/>
    <w:rsid w:val="004A3401"/>
    <w:rsid w:val="004A357F"/>
    <w:rsid w:val="004A3DAD"/>
    <w:rsid w:val="004A4AC0"/>
    <w:rsid w:val="004B0335"/>
    <w:rsid w:val="004B0F1C"/>
    <w:rsid w:val="004B1E61"/>
    <w:rsid w:val="004B21AB"/>
    <w:rsid w:val="004B59E0"/>
    <w:rsid w:val="004B667B"/>
    <w:rsid w:val="004B71C7"/>
    <w:rsid w:val="004B71DD"/>
    <w:rsid w:val="004C03AA"/>
    <w:rsid w:val="004C0B9A"/>
    <w:rsid w:val="004C14E7"/>
    <w:rsid w:val="004C1D89"/>
    <w:rsid w:val="004C2A94"/>
    <w:rsid w:val="004C2D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26D"/>
    <w:rsid w:val="004E1A0F"/>
    <w:rsid w:val="004E2E89"/>
    <w:rsid w:val="004E33C2"/>
    <w:rsid w:val="004E3B9A"/>
    <w:rsid w:val="004E477A"/>
    <w:rsid w:val="004E49B0"/>
    <w:rsid w:val="004E52B8"/>
    <w:rsid w:val="004E62DE"/>
    <w:rsid w:val="004E6AE4"/>
    <w:rsid w:val="004E6B05"/>
    <w:rsid w:val="004E76A1"/>
    <w:rsid w:val="004E7A98"/>
    <w:rsid w:val="004F05DE"/>
    <w:rsid w:val="004F2858"/>
    <w:rsid w:val="004F6376"/>
    <w:rsid w:val="004F6A93"/>
    <w:rsid w:val="004F6F14"/>
    <w:rsid w:val="004F76D9"/>
    <w:rsid w:val="004F79A6"/>
    <w:rsid w:val="00501BF5"/>
    <w:rsid w:val="00501D8B"/>
    <w:rsid w:val="005038C4"/>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4C0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429C"/>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0CE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29EB"/>
    <w:rsid w:val="006036BB"/>
    <w:rsid w:val="00605531"/>
    <w:rsid w:val="00606240"/>
    <w:rsid w:val="0060674A"/>
    <w:rsid w:val="00607832"/>
    <w:rsid w:val="0060784B"/>
    <w:rsid w:val="0061024F"/>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835"/>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4BF5"/>
    <w:rsid w:val="0075525A"/>
    <w:rsid w:val="00755609"/>
    <w:rsid w:val="00755874"/>
    <w:rsid w:val="00755986"/>
    <w:rsid w:val="00755C86"/>
    <w:rsid w:val="00755E19"/>
    <w:rsid w:val="00756BFF"/>
    <w:rsid w:val="00756D77"/>
    <w:rsid w:val="00760041"/>
    <w:rsid w:val="007605C7"/>
    <w:rsid w:val="00760B08"/>
    <w:rsid w:val="00760BA1"/>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6EF0"/>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327F"/>
    <w:rsid w:val="00844515"/>
    <w:rsid w:val="0084465A"/>
    <w:rsid w:val="00844DFF"/>
    <w:rsid w:val="00845D87"/>
    <w:rsid w:val="00846C3A"/>
    <w:rsid w:val="008477BF"/>
    <w:rsid w:val="008503DA"/>
    <w:rsid w:val="00850B68"/>
    <w:rsid w:val="00850E82"/>
    <w:rsid w:val="0085122D"/>
    <w:rsid w:val="008519E8"/>
    <w:rsid w:val="008525FF"/>
    <w:rsid w:val="00852C03"/>
    <w:rsid w:val="008540B1"/>
    <w:rsid w:val="0085590C"/>
    <w:rsid w:val="008575EB"/>
    <w:rsid w:val="00862DDD"/>
    <w:rsid w:val="0086326D"/>
    <w:rsid w:val="00863CC1"/>
    <w:rsid w:val="00865B01"/>
    <w:rsid w:val="008662DF"/>
    <w:rsid w:val="00866D7A"/>
    <w:rsid w:val="00866EE3"/>
    <w:rsid w:val="008701E5"/>
    <w:rsid w:val="008706C5"/>
    <w:rsid w:val="00871D24"/>
    <w:rsid w:val="00871F04"/>
    <w:rsid w:val="008746C1"/>
    <w:rsid w:val="0087501A"/>
    <w:rsid w:val="008777B4"/>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17ED"/>
    <w:rsid w:val="008A231D"/>
    <w:rsid w:val="008A2585"/>
    <w:rsid w:val="008A2718"/>
    <w:rsid w:val="008A3A52"/>
    <w:rsid w:val="008A3B10"/>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39C1"/>
    <w:rsid w:val="008E5625"/>
    <w:rsid w:val="008E5C5B"/>
    <w:rsid w:val="008E6A37"/>
    <w:rsid w:val="008F0354"/>
    <w:rsid w:val="008F085A"/>
    <w:rsid w:val="008F1462"/>
    <w:rsid w:val="008F2413"/>
    <w:rsid w:val="008F248D"/>
    <w:rsid w:val="008F413F"/>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1727D"/>
    <w:rsid w:val="0092030E"/>
    <w:rsid w:val="009203D0"/>
    <w:rsid w:val="009217B1"/>
    <w:rsid w:val="00921A42"/>
    <w:rsid w:val="009223BB"/>
    <w:rsid w:val="00922491"/>
    <w:rsid w:val="00923BCF"/>
    <w:rsid w:val="009252EC"/>
    <w:rsid w:val="00925AEC"/>
    <w:rsid w:val="0092751A"/>
    <w:rsid w:val="009305C4"/>
    <w:rsid w:val="00930A23"/>
    <w:rsid w:val="00931FAF"/>
    <w:rsid w:val="009360F6"/>
    <w:rsid w:val="009371DC"/>
    <w:rsid w:val="0093759D"/>
    <w:rsid w:val="00940239"/>
    <w:rsid w:val="00942818"/>
    <w:rsid w:val="00942BD6"/>
    <w:rsid w:val="00942DED"/>
    <w:rsid w:val="00944404"/>
    <w:rsid w:val="009452D7"/>
    <w:rsid w:val="00945FD1"/>
    <w:rsid w:val="00946CCC"/>
    <w:rsid w:val="00947A5F"/>
    <w:rsid w:val="009503E5"/>
    <w:rsid w:val="00950F71"/>
    <w:rsid w:val="009515F8"/>
    <w:rsid w:val="00952F2C"/>
    <w:rsid w:val="009532E3"/>
    <w:rsid w:val="00953615"/>
    <w:rsid w:val="00953A42"/>
    <w:rsid w:val="00954BAF"/>
    <w:rsid w:val="00955F48"/>
    <w:rsid w:val="009560B3"/>
    <w:rsid w:val="0095745E"/>
    <w:rsid w:val="00957CE0"/>
    <w:rsid w:val="0096002E"/>
    <w:rsid w:val="0096039E"/>
    <w:rsid w:val="009620FD"/>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5111"/>
    <w:rsid w:val="0097606C"/>
    <w:rsid w:val="009771D1"/>
    <w:rsid w:val="0098012D"/>
    <w:rsid w:val="00980845"/>
    <w:rsid w:val="009811D9"/>
    <w:rsid w:val="00981BD9"/>
    <w:rsid w:val="0098225F"/>
    <w:rsid w:val="00983A3C"/>
    <w:rsid w:val="00983EFA"/>
    <w:rsid w:val="00984C15"/>
    <w:rsid w:val="00987829"/>
    <w:rsid w:val="00991276"/>
    <w:rsid w:val="009923E7"/>
    <w:rsid w:val="00992697"/>
    <w:rsid w:val="009928CE"/>
    <w:rsid w:val="00992D4E"/>
    <w:rsid w:val="00993D1B"/>
    <w:rsid w:val="00994621"/>
    <w:rsid w:val="009947FF"/>
    <w:rsid w:val="0099544B"/>
    <w:rsid w:val="009961F1"/>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577F"/>
    <w:rsid w:val="009F6321"/>
    <w:rsid w:val="009F6378"/>
    <w:rsid w:val="009F7669"/>
    <w:rsid w:val="009F7F45"/>
    <w:rsid w:val="009F7FD5"/>
    <w:rsid w:val="00A005D4"/>
    <w:rsid w:val="00A0083C"/>
    <w:rsid w:val="00A014B6"/>
    <w:rsid w:val="00A01A90"/>
    <w:rsid w:val="00A02370"/>
    <w:rsid w:val="00A0282F"/>
    <w:rsid w:val="00A04685"/>
    <w:rsid w:val="00A04C57"/>
    <w:rsid w:val="00A06340"/>
    <w:rsid w:val="00A0684F"/>
    <w:rsid w:val="00A06867"/>
    <w:rsid w:val="00A10148"/>
    <w:rsid w:val="00A104FE"/>
    <w:rsid w:val="00A10776"/>
    <w:rsid w:val="00A113FD"/>
    <w:rsid w:val="00A11DDE"/>
    <w:rsid w:val="00A122F7"/>
    <w:rsid w:val="00A127A7"/>
    <w:rsid w:val="00A129F4"/>
    <w:rsid w:val="00A136F4"/>
    <w:rsid w:val="00A150F7"/>
    <w:rsid w:val="00A15720"/>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0F82"/>
    <w:rsid w:val="00A74F9F"/>
    <w:rsid w:val="00A750B3"/>
    <w:rsid w:val="00A75559"/>
    <w:rsid w:val="00A7623D"/>
    <w:rsid w:val="00A824A7"/>
    <w:rsid w:val="00A83644"/>
    <w:rsid w:val="00A83C07"/>
    <w:rsid w:val="00A83F40"/>
    <w:rsid w:val="00A84945"/>
    <w:rsid w:val="00A85226"/>
    <w:rsid w:val="00A85543"/>
    <w:rsid w:val="00A86E29"/>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580"/>
    <w:rsid w:val="00AA5F4C"/>
    <w:rsid w:val="00AA615C"/>
    <w:rsid w:val="00AA6711"/>
    <w:rsid w:val="00AB2AEC"/>
    <w:rsid w:val="00AB2DC1"/>
    <w:rsid w:val="00AB3102"/>
    <w:rsid w:val="00AB3D9A"/>
    <w:rsid w:val="00AB4B1D"/>
    <w:rsid w:val="00AB6B5E"/>
    <w:rsid w:val="00AC047F"/>
    <w:rsid w:val="00AC24C2"/>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02DF"/>
    <w:rsid w:val="00AE1393"/>
    <w:rsid w:val="00AE3BC6"/>
    <w:rsid w:val="00AE3E2F"/>
    <w:rsid w:val="00AE4D4F"/>
    <w:rsid w:val="00AE627C"/>
    <w:rsid w:val="00AE62B0"/>
    <w:rsid w:val="00AE68A2"/>
    <w:rsid w:val="00AF0029"/>
    <w:rsid w:val="00AF0354"/>
    <w:rsid w:val="00AF1236"/>
    <w:rsid w:val="00AF201E"/>
    <w:rsid w:val="00AF38AF"/>
    <w:rsid w:val="00AF3C29"/>
    <w:rsid w:val="00AF4401"/>
    <w:rsid w:val="00AF4463"/>
    <w:rsid w:val="00AF53CB"/>
    <w:rsid w:val="00AF65C5"/>
    <w:rsid w:val="00B03CE2"/>
    <w:rsid w:val="00B04816"/>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5A51"/>
    <w:rsid w:val="00B2659C"/>
    <w:rsid w:val="00B26B13"/>
    <w:rsid w:val="00B26BD2"/>
    <w:rsid w:val="00B26FD7"/>
    <w:rsid w:val="00B270AB"/>
    <w:rsid w:val="00B2725B"/>
    <w:rsid w:val="00B306FC"/>
    <w:rsid w:val="00B3097D"/>
    <w:rsid w:val="00B309D2"/>
    <w:rsid w:val="00B30E4F"/>
    <w:rsid w:val="00B3124F"/>
    <w:rsid w:val="00B31BE1"/>
    <w:rsid w:val="00B327E9"/>
    <w:rsid w:val="00B33294"/>
    <w:rsid w:val="00B33657"/>
    <w:rsid w:val="00B34885"/>
    <w:rsid w:val="00B34D68"/>
    <w:rsid w:val="00B36117"/>
    <w:rsid w:val="00B362E3"/>
    <w:rsid w:val="00B37C73"/>
    <w:rsid w:val="00B4009B"/>
    <w:rsid w:val="00B400A1"/>
    <w:rsid w:val="00B40A2B"/>
    <w:rsid w:val="00B42084"/>
    <w:rsid w:val="00B420CB"/>
    <w:rsid w:val="00B428D1"/>
    <w:rsid w:val="00B4401C"/>
    <w:rsid w:val="00B44802"/>
    <w:rsid w:val="00B455D1"/>
    <w:rsid w:val="00B46135"/>
    <w:rsid w:val="00B467E4"/>
    <w:rsid w:val="00B46DC9"/>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52D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0D3B"/>
    <w:rsid w:val="00BA1354"/>
    <w:rsid w:val="00BA24F8"/>
    <w:rsid w:val="00BA31AA"/>
    <w:rsid w:val="00BA45D8"/>
    <w:rsid w:val="00BA5747"/>
    <w:rsid w:val="00BA5828"/>
    <w:rsid w:val="00BA647A"/>
    <w:rsid w:val="00BA64B3"/>
    <w:rsid w:val="00BA7228"/>
    <w:rsid w:val="00BA754A"/>
    <w:rsid w:val="00BA7820"/>
    <w:rsid w:val="00BA794C"/>
    <w:rsid w:val="00BB09FB"/>
    <w:rsid w:val="00BB1617"/>
    <w:rsid w:val="00BB238D"/>
    <w:rsid w:val="00BB37CC"/>
    <w:rsid w:val="00BB38C0"/>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0109"/>
    <w:rsid w:val="00BE19EF"/>
    <w:rsid w:val="00BE425B"/>
    <w:rsid w:val="00BE51BB"/>
    <w:rsid w:val="00BE7595"/>
    <w:rsid w:val="00BE77D3"/>
    <w:rsid w:val="00BF0138"/>
    <w:rsid w:val="00BF114B"/>
    <w:rsid w:val="00BF1620"/>
    <w:rsid w:val="00BF1721"/>
    <w:rsid w:val="00BF1AC3"/>
    <w:rsid w:val="00BF28DA"/>
    <w:rsid w:val="00BF373A"/>
    <w:rsid w:val="00BF37A5"/>
    <w:rsid w:val="00BF557C"/>
    <w:rsid w:val="00BF62D2"/>
    <w:rsid w:val="00BF69B7"/>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762"/>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03"/>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E53"/>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122"/>
    <w:rsid w:val="00C923B7"/>
    <w:rsid w:val="00C93A9C"/>
    <w:rsid w:val="00C94D4C"/>
    <w:rsid w:val="00CA012C"/>
    <w:rsid w:val="00CA0AA6"/>
    <w:rsid w:val="00CA2897"/>
    <w:rsid w:val="00CA44F3"/>
    <w:rsid w:val="00CA51BA"/>
    <w:rsid w:val="00CA582C"/>
    <w:rsid w:val="00CA6077"/>
    <w:rsid w:val="00CA715B"/>
    <w:rsid w:val="00CA7988"/>
    <w:rsid w:val="00CA7A14"/>
    <w:rsid w:val="00CA7BA2"/>
    <w:rsid w:val="00CB0B78"/>
    <w:rsid w:val="00CB12A5"/>
    <w:rsid w:val="00CB17FA"/>
    <w:rsid w:val="00CB23D8"/>
    <w:rsid w:val="00CB2ED9"/>
    <w:rsid w:val="00CB36A5"/>
    <w:rsid w:val="00CB56B4"/>
    <w:rsid w:val="00CB6FE3"/>
    <w:rsid w:val="00CB7286"/>
    <w:rsid w:val="00CB7947"/>
    <w:rsid w:val="00CC0E0A"/>
    <w:rsid w:val="00CC1783"/>
    <w:rsid w:val="00CC38E9"/>
    <w:rsid w:val="00CC3B46"/>
    <w:rsid w:val="00CC3D8B"/>
    <w:rsid w:val="00CC49EE"/>
    <w:rsid w:val="00CC4E27"/>
    <w:rsid w:val="00CC570C"/>
    <w:rsid w:val="00CC62B6"/>
    <w:rsid w:val="00CC6377"/>
    <w:rsid w:val="00CC76AA"/>
    <w:rsid w:val="00CC7CD2"/>
    <w:rsid w:val="00CD05CF"/>
    <w:rsid w:val="00CD06AB"/>
    <w:rsid w:val="00CD1FAE"/>
    <w:rsid w:val="00CD232F"/>
    <w:rsid w:val="00CD279E"/>
    <w:rsid w:val="00CD28DA"/>
    <w:rsid w:val="00CD2986"/>
    <w:rsid w:val="00CD2F92"/>
    <w:rsid w:val="00CD3899"/>
    <w:rsid w:val="00CD42B6"/>
    <w:rsid w:val="00CD4EB0"/>
    <w:rsid w:val="00CD512D"/>
    <w:rsid w:val="00CD5831"/>
    <w:rsid w:val="00CD6F6E"/>
    <w:rsid w:val="00CD7810"/>
    <w:rsid w:val="00CE02EA"/>
    <w:rsid w:val="00CE08D1"/>
    <w:rsid w:val="00CE133D"/>
    <w:rsid w:val="00CE157F"/>
    <w:rsid w:val="00CE1966"/>
    <w:rsid w:val="00CE1ED4"/>
    <w:rsid w:val="00CE2216"/>
    <w:rsid w:val="00CE3014"/>
    <w:rsid w:val="00CE30E5"/>
    <w:rsid w:val="00CE3A8A"/>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1AEF"/>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0A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B40"/>
    <w:rsid w:val="00D54050"/>
    <w:rsid w:val="00D56AC0"/>
    <w:rsid w:val="00D6081B"/>
    <w:rsid w:val="00D61A37"/>
    <w:rsid w:val="00D6240A"/>
    <w:rsid w:val="00D63093"/>
    <w:rsid w:val="00D63599"/>
    <w:rsid w:val="00D63EBD"/>
    <w:rsid w:val="00D63EE0"/>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184C"/>
    <w:rsid w:val="00D918E6"/>
    <w:rsid w:val="00DA002D"/>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0AB2"/>
    <w:rsid w:val="00DF12E3"/>
    <w:rsid w:val="00DF3F1D"/>
    <w:rsid w:val="00DF595C"/>
    <w:rsid w:val="00DF7EA7"/>
    <w:rsid w:val="00E04548"/>
    <w:rsid w:val="00E0484E"/>
    <w:rsid w:val="00E063F8"/>
    <w:rsid w:val="00E079AF"/>
    <w:rsid w:val="00E114D6"/>
    <w:rsid w:val="00E1166E"/>
    <w:rsid w:val="00E11985"/>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4901"/>
    <w:rsid w:val="00E35215"/>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5D59"/>
    <w:rsid w:val="00E669A1"/>
    <w:rsid w:val="00E66BCE"/>
    <w:rsid w:val="00E679BA"/>
    <w:rsid w:val="00E67DDD"/>
    <w:rsid w:val="00E70243"/>
    <w:rsid w:val="00E710CE"/>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1A75"/>
    <w:rsid w:val="00E92A82"/>
    <w:rsid w:val="00E92AA8"/>
    <w:rsid w:val="00E9344E"/>
    <w:rsid w:val="00E93E39"/>
    <w:rsid w:val="00E94391"/>
    <w:rsid w:val="00E9533B"/>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1CB"/>
    <w:rsid w:val="00EC1A23"/>
    <w:rsid w:val="00EC2664"/>
    <w:rsid w:val="00EC3CB4"/>
    <w:rsid w:val="00EC443E"/>
    <w:rsid w:val="00EC4D83"/>
    <w:rsid w:val="00EC4EEE"/>
    <w:rsid w:val="00EC61CE"/>
    <w:rsid w:val="00EC634F"/>
    <w:rsid w:val="00EC7B97"/>
    <w:rsid w:val="00ED049C"/>
    <w:rsid w:val="00ED07B7"/>
    <w:rsid w:val="00ED19D7"/>
    <w:rsid w:val="00ED2167"/>
    <w:rsid w:val="00ED351E"/>
    <w:rsid w:val="00ED4063"/>
    <w:rsid w:val="00ED4B27"/>
    <w:rsid w:val="00ED543C"/>
    <w:rsid w:val="00ED6BA4"/>
    <w:rsid w:val="00ED7DA7"/>
    <w:rsid w:val="00EE0598"/>
    <w:rsid w:val="00EE1D3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2E04"/>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62B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2B4D"/>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3BF"/>
    <w:rsid w:val="00FB7A97"/>
    <w:rsid w:val="00FC1B9B"/>
    <w:rsid w:val="00FC318D"/>
    <w:rsid w:val="00FC36CF"/>
    <w:rsid w:val="00FC40BC"/>
    <w:rsid w:val="00FC41FC"/>
    <w:rsid w:val="00FC4DCE"/>
    <w:rsid w:val="00FC4F6E"/>
    <w:rsid w:val="00FC506C"/>
    <w:rsid w:val="00FC578C"/>
    <w:rsid w:val="00FC5A37"/>
    <w:rsid w:val="00FC7223"/>
    <w:rsid w:val="00FC77C8"/>
    <w:rsid w:val="00FD0F60"/>
    <w:rsid w:val="00FD13EA"/>
    <w:rsid w:val="00FD3374"/>
    <w:rsid w:val="00FD5E90"/>
    <w:rsid w:val="00FD5EC4"/>
    <w:rsid w:val="00FD7858"/>
    <w:rsid w:val="00FD7A8D"/>
    <w:rsid w:val="00FE1330"/>
    <w:rsid w:val="00FE1CE5"/>
    <w:rsid w:val="00FE2832"/>
    <w:rsid w:val="00FE2D38"/>
    <w:rsid w:val="00FE3929"/>
    <w:rsid w:val="00FE40D3"/>
    <w:rsid w:val="00FE6577"/>
    <w:rsid w:val="00FE7F3C"/>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31A2"/>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rsid w:val="005B64CB"/>
    <w:pPr>
      <w:tabs>
        <w:tab w:val="center" w:pos="4536"/>
        <w:tab w:val="right" w:pos="9072"/>
      </w:tabs>
    </w:pPr>
  </w:style>
  <w:style w:type="table" w:styleId="Tabelraster">
    <w:name w:val="Table Grid"/>
    <w:basedOn w:val="Standaardtabe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492B3A"/>
    <w:pPr>
      <w:numPr>
        <w:numId w:val="36"/>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492B3A"/>
    <w:rPr>
      <w:rFonts w:asciiTheme="minorHAnsi" w:eastAsiaTheme="minorEastAsia" w:hAnsiTheme="minorHAnsi" w:cstheme="minorBidi"/>
      <w:b/>
      <w:sz w:val="22"/>
      <w:lang w:eastAsia="en-US"/>
    </w:rPr>
  </w:style>
  <w:style w:type="paragraph" w:styleId="Ondertitel">
    <w:name w:val="Subtitle"/>
    <w:basedOn w:val="Standaard"/>
    <w:next w:val="Standaard"/>
    <w:link w:val="Onder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OndertitelChar">
    <w:name w:val="Ondertitel Char"/>
    <w:basedOn w:val="Standaardalinea-lettertype"/>
    <w:link w:val="O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jstaline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ardalinea-lettertype"/>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ardalinea-lettertype"/>
    <w:link w:val="myNormal0"/>
    <w:locked/>
    <w:rsid w:val="00AF38AF"/>
    <w:rPr>
      <w:rFonts w:ascii="Georgia" w:hAnsi="Georgia"/>
      <w:lang w:eastAsia="de-DE"/>
    </w:rPr>
  </w:style>
  <w:style w:type="paragraph" w:customStyle="1" w:styleId="myNormal0">
    <w:name w:val="myNormal"/>
    <w:basedOn w:val="Standaard"/>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Standaard"/>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character" w:customStyle="1" w:styleId="y2iqfc">
    <w:name w:val="y2iqfc"/>
    <w:basedOn w:val="Standaardalinea-lettertype"/>
    <w:rsid w:val="00FE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F43CC0B6A64114EB919114A04E3B6EB" ma:contentTypeVersion="13" ma:contentTypeDescription="Een nieuw document maken." ma:contentTypeScope="" ma:versionID="fdc0a3bbf7b68a141a2116ba9cbbe7af">
  <xsd:schema xmlns:xsd="http://www.w3.org/2001/XMLSchema" xmlns:xs="http://www.w3.org/2001/XMLSchema" xmlns:p="http://schemas.microsoft.com/office/2006/metadata/properties" xmlns:ns2="69a5748a-0a74-48db-a1d1-b1fa5dca9d3f" xmlns:ns3="3bcecb2f-2cc6-464a-994e-e8b83da60887" targetNamespace="http://schemas.microsoft.com/office/2006/metadata/properties" ma:root="true" ma:fieldsID="a85e375ae16aa05f5e8b09234b82dd7d" ns2:_="" ns3:_="">
    <xsd:import namespace="69a5748a-0a74-48db-a1d1-b1fa5dca9d3f"/>
    <xsd:import namespace="3bcecb2f-2cc6-464a-994e-e8b83da608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5748a-0a74-48db-a1d1-b1fa5dca9d3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ecb2f-2cc6-464a-994e-e8b83da6088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5.xml><?xml version="1.0" encoding="utf-8"?>
<ds:datastoreItem xmlns:ds="http://schemas.openxmlformats.org/officeDocument/2006/customXml" ds:itemID="{5B22C2C8-F9F0-4F5B-A36C-736BCD03B7DC}"/>
</file>

<file path=docProps/app.xml><?xml version="1.0" encoding="utf-8"?>
<Properties xmlns="http://schemas.openxmlformats.org/officeDocument/2006/extended-properties" xmlns:vt="http://schemas.openxmlformats.org/officeDocument/2006/docPropsVTypes">
  <Template>Normal</Template>
  <TotalTime>248</TotalTime>
  <Pages>14</Pages>
  <Words>5018</Words>
  <Characters>27604</Characters>
  <Application>Microsoft Office Word</Application>
  <DocSecurity>8</DocSecurity>
  <Lines>230</Lines>
  <Paragraphs>65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32557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Paul Schuurbiers</cp:lastModifiedBy>
  <cp:revision>138</cp:revision>
  <cp:lastPrinted>2015-02-18T11:01:00Z</cp:lastPrinted>
  <dcterms:created xsi:type="dcterms:W3CDTF">2021-05-18T09:40:00Z</dcterms:created>
  <dcterms:modified xsi:type="dcterms:W3CDTF">2021-05-27T11:12:00Z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0x0101002F43CC0B6A64114EB919114A04E3B6EB</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