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41F00B15" w:rsidR="00C2094B" w:rsidRPr="00F10D35" w:rsidRDefault="00F87631" w:rsidP="00AF38AF">
            <w:pPr>
              <w:pStyle w:val="00bDBInfo"/>
              <w:rPr>
                <w:rFonts w:cs="Arial"/>
              </w:rPr>
            </w:pPr>
            <w:r>
              <w:rPr>
                <w:rFonts w:cs="Arial"/>
              </w:rPr>
              <w:t>26</w:t>
            </w:r>
            <w:r w:rsidR="00FE40D3" w:rsidRPr="00FE40D3">
              <w:rPr>
                <w:rFonts w:cs="Arial"/>
              </w:rPr>
              <w:t xml:space="preserve"> </w:t>
            </w:r>
            <w:r>
              <w:rPr>
                <w:rFonts w:cs="Arial"/>
              </w:rPr>
              <w:t>February</w:t>
            </w:r>
            <w:r w:rsidR="002C27F9" w:rsidRPr="00FE40D3">
              <w:rPr>
                <w:rFonts w:cs="Arial"/>
              </w:rPr>
              <w:t xml:space="preserve"> 202</w:t>
            </w:r>
            <w:r>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918EE33"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F87631" w:rsidRPr="00201005">
              <w:rPr>
                <w:szCs w:val="40"/>
              </w:rPr>
              <w:t>draft technical standards under the ECSP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6578C83A" w:rsidR="00620D7C" w:rsidRPr="004E49B0" w:rsidRDefault="00620D7C" w:rsidP="00FE40D3">
            <w:pPr>
              <w:pStyle w:val="02Date"/>
              <w:jc w:val="right"/>
              <w:rPr>
                <w:rFonts w:cs="Arial"/>
              </w:rPr>
            </w:pPr>
            <w:r w:rsidRPr="00F10D35">
              <w:rPr>
                <w:rFonts w:cs="Arial"/>
              </w:rPr>
              <w:lastRenderedPageBreak/>
              <w:t xml:space="preserve">Date: </w:t>
            </w:r>
            <w:r w:rsidR="00F87631">
              <w:rPr>
                <w:rFonts w:cs="Arial"/>
              </w:rPr>
              <w:t>26</w:t>
            </w:r>
            <w:r w:rsidR="00FE40D3" w:rsidRPr="00FE40D3">
              <w:rPr>
                <w:rFonts w:cs="Arial"/>
              </w:rPr>
              <w:t xml:space="preserve"> </w:t>
            </w:r>
            <w:r w:rsidR="00F87631">
              <w:rPr>
                <w:rFonts w:cs="Arial"/>
              </w:rPr>
              <w:t xml:space="preserve">February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rPr>
      </w:pPr>
      <w:r w:rsidRPr="00FE40D3">
        <w:rPr>
          <w:sz w:val="22"/>
          <w:szCs w:val="22"/>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rPr>
      </w:pPr>
      <w:r w:rsidRPr="00FE40D3">
        <w:rPr>
          <w:sz w:val="22"/>
          <w:szCs w:val="22"/>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rPr>
      </w:pPr>
      <w:r w:rsidRPr="00FE40D3">
        <w:rPr>
          <w:sz w:val="22"/>
          <w:szCs w:val="22"/>
        </w:rPr>
        <w:t>describe any alternatives ESMA should consider.</w:t>
      </w:r>
    </w:p>
    <w:p w14:paraId="3B54E1DD" w14:textId="439A2E64"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F87631" w:rsidRPr="002A7128">
        <w:rPr>
          <w:b/>
        </w:rPr>
        <w:t>Friday 28</w:t>
      </w:r>
      <w:r w:rsidR="00F87631" w:rsidRPr="002A7128">
        <w:rPr>
          <w:b/>
          <w:vertAlign w:val="superscript"/>
        </w:rPr>
        <w:t>th</w:t>
      </w:r>
      <w:r w:rsidR="00F87631" w:rsidRPr="002A7128">
        <w:rPr>
          <w:b/>
        </w:rPr>
        <w:t xml:space="preserve"> May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rPr>
      </w:pPr>
      <w:bookmarkStart w:id="1" w:name="_Hlk65154841"/>
      <w:r w:rsidRPr="00241178">
        <w:rPr>
          <w:sz w:val="22"/>
          <w:szCs w:val="22"/>
        </w:rPr>
        <w:t>Insert your responses to the consultation questions in th</w:t>
      </w:r>
      <w:r w:rsidR="006D0D0A">
        <w:rPr>
          <w:sz w:val="22"/>
          <w:szCs w:val="22"/>
        </w:rPr>
        <w:t>is</w:t>
      </w:r>
      <w:r w:rsidRPr="00241178">
        <w:rPr>
          <w:sz w:val="22"/>
          <w:szCs w:val="22"/>
        </w:rPr>
        <w:t xml:space="preserve"> form</w:t>
      </w:r>
      <w:r w:rsidR="006D0D0A">
        <w:rPr>
          <w:sz w:val="22"/>
          <w:szCs w:val="22"/>
        </w:rPr>
        <w:t>.</w:t>
      </w:r>
    </w:p>
    <w:bookmarkEnd w:id="1"/>
    <w:p w14:paraId="45B49741" w14:textId="6FCE07C7" w:rsidR="00FE40D3" w:rsidRPr="00241178" w:rsidRDefault="00FE40D3" w:rsidP="00FE40D3">
      <w:pPr>
        <w:numPr>
          <w:ilvl w:val="0"/>
          <w:numId w:val="47"/>
        </w:numPr>
        <w:spacing w:after="240" w:line="276" w:lineRule="auto"/>
        <w:jc w:val="both"/>
        <w:rPr>
          <w:sz w:val="22"/>
          <w:szCs w:val="22"/>
        </w:rPr>
      </w:pPr>
      <w:r w:rsidRPr="00241178">
        <w:rPr>
          <w:sz w:val="22"/>
          <w:szCs w:val="22"/>
        </w:rPr>
        <w:t>Please do not remove tags of the type &lt;ESMA_QUESTION_</w:t>
      </w:r>
      <w:r w:rsidR="00075503" w:rsidRPr="00241178">
        <w:rPr>
          <w:sz w:val="22"/>
          <w:szCs w:val="22"/>
        </w:rPr>
        <w:t>ECSP</w:t>
      </w:r>
      <w:r w:rsidRPr="00241178">
        <w:rPr>
          <w:sz w:val="22"/>
          <w:szCs w:val="22"/>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rPr>
      </w:pPr>
      <w:r w:rsidRPr="00241178">
        <w:rPr>
          <w:sz w:val="22"/>
          <w:szCs w:val="22"/>
        </w:rPr>
        <w:t>If you do not wish to respond to a given question, please do not delete it but simply leave the text “TYPE YOUR TEXT HERE” between the tags.</w:t>
      </w:r>
    </w:p>
    <w:p w14:paraId="0398429A" w14:textId="6F44B1DB" w:rsidR="00FE40D3" w:rsidRPr="00241178" w:rsidRDefault="00FE40D3" w:rsidP="00FE40D3">
      <w:pPr>
        <w:numPr>
          <w:ilvl w:val="0"/>
          <w:numId w:val="47"/>
        </w:numPr>
        <w:spacing w:after="240" w:line="276" w:lineRule="auto"/>
        <w:jc w:val="both"/>
        <w:rPr>
          <w:sz w:val="22"/>
          <w:szCs w:val="22"/>
        </w:rPr>
      </w:pPr>
      <w:r w:rsidRPr="00241178">
        <w:rPr>
          <w:sz w:val="22"/>
          <w:szCs w:val="22"/>
        </w:rPr>
        <w:t>When you have drafted your response, name your response form according to the following convention: ESMA_</w:t>
      </w:r>
      <w:r w:rsidR="00075503" w:rsidRPr="00241178">
        <w:rPr>
          <w:sz w:val="22"/>
          <w:szCs w:val="22"/>
        </w:rPr>
        <w:t>ECSP</w:t>
      </w:r>
      <w:r w:rsidRPr="00241178">
        <w:rPr>
          <w:sz w:val="22"/>
          <w:szCs w:val="22"/>
        </w:rPr>
        <w:t>_nameofrespondent_RESPONSEFORM. For example, for a respondent named ABCD, the response form would be entitled ESMA_</w:t>
      </w:r>
      <w:r w:rsidR="00075503" w:rsidRPr="00241178">
        <w:rPr>
          <w:sz w:val="22"/>
          <w:szCs w:val="22"/>
        </w:rPr>
        <w:t>ECSP</w:t>
      </w:r>
      <w:r w:rsidRPr="00241178">
        <w:rPr>
          <w:sz w:val="22"/>
          <w:szCs w:val="22"/>
        </w:rPr>
        <w:t>_ABCD_RESPONSEFORM.</w:t>
      </w:r>
    </w:p>
    <w:p w14:paraId="033FC000" w14:textId="5E5B972F" w:rsidR="00FE40D3" w:rsidRPr="00241178" w:rsidRDefault="00FE40D3" w:rsidP="00FE40D3">
      <w:pPr>
        <w:numPr>
          <w:ilvl w:val="0"/>
          <w:numId w:val="47"/>
        </w:numPr>
        <w:spacing w:after="240" w:line="276" w:lineRule="auto"/>
        <w:jc w:val="both"/>
        <w:rPr>
          <w:sz w:val="22"/>
          <w:szCs w:val="22"/>
        </w:rPr>
      </w:pPr>
      <w:r w:rsidRPr="00241178">
        <w:rPr>
          <w:sz w:val="22"/>
          <w:szCs w:val="22"/>
        </w:rPr>
        <w:t>Upload the form containing your responses, in Word format, to ESMA’s website (</w:t>
      </w:r>
      <w:hyperlink r:id="rId17" w:history="1">
        <w:r w:rsidRPr="00241178">
          <w:rPr>
            <w:color w:val="0563C1"/>
            <w:sz w:val="22"/>
            <w:szCs w:val="22"/>
            <w:u w:val="single"/>
          </w:rPr>
          <w:t>www.esma.europa.eu</w:t>
        </w:r>
      </w:hyperlink>
      <w:r w:rsidRPr="00241178">
        <w:rPr>
          <w:sz w:val="22"/>
          <w:szCs w:val="22"/>
        </w:rPr>
        <w:t xml:space="preserve"> under the heading ‘Your input – Open consultations’ → ‘</w:t>
      </w:r>
      <w:r w:rsidR="00075503" w:rsidRPr="00241178">
        <w:rPr>
          <w:sz w:val="22"/>
          <w:szCs w:val="22"/>
        </w:rPr>
        <w:t>Consultation on draft technical standards under the ECSP Regulation</w:t>
      </w:r>
      <w:r w:rsidRPr="00241178">
        <w:rPr>
          <w:sz w:val="22"/>
          <w:szCs w:val="22"/>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0E9C54D9" w:rsidR="00332304" w:rsidRPr="001021EF" w:rsidRDefault="00FE40D3" w:rsidP="00FE40D3">
      <w:pPr>
        <w:spacing w:after="240"/>
        <w:jc w:val="both"/>
        <w:rPr>
          <w:b/>
          <w:bCs/>
        </w:rPr>
      </w:pPr>
      <w:r w:rsidRPr="00FE40D3">
        <w:rPr>
          <w:sz w:val="22"/>
          <w:szCs w:val="20"/>
          <w:lang w:eastAsia="en-US"/>
        </w:rPr>
        <w:t xml:space="preserve">This Consultation Paper </w:t>
      </w:r>
      <w:r w:rsidR="00F87631" w:rsidRPr="00F87631">
        <w:rPr>
          <w:sz w:val="22"/>
          <w:szCs w:val="20"/>
          <w:lang w:eastAsia="en-US"/>
        </w:rPr>
        <w:t>primarily of interest to crowdfunding service providers within the meaning of point (e) of Article 2(1) of the ECSP Regulation, competent authorities and other entities that are subject to the ECSP but it is also important for trade associations and industry bodies, sophisticated and non-sophisticated investors, consumer associations, as well as any market participant engaged in the provision of crowdfunding services</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11EA954E" w:rsidR="00B327E9" w:rsidRPr="00AB6D88" w:rsidRDefault="003717FA" w:rsidP="00F136AD">
                <w:pPr>
                  <w:rPr>
                    <w:rStyle w:val="PlaceholderText"/>
                    <w:rFonts w:cs="Arial"/>
                  </w:rPr>
                </w:pPr>
                <w:proofErr w:type="spellStart"/>
                <w:r>
                  <w:rPr>
                    <w:rStyle w:val="PlaceholderText"/>
                    <w:rFonts w:cs="Arial"/>
                  </w:rPr>
                  <w:t>Bundesverband</w:t>
                </w:r>
                <w:proofErr w:type="spellEnd"/>
                <w:r>
                  <w:rPr>
                    <w:rStyle w:val="PlaceholderText"/>
                    <w:rFonts w:cs="Arial"/>
                  </w:rPr>
                  <w:t xml:space="preserve"> Crowdfunding – German Crowdfunding Association</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5F175BD" w:rsidR="00B327E9" w:rsidRPr="00AB6D88" w:rsidRDefault="00A97D4E"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B45633">
                  <w:rPr>
                    <w:rFonts w:cs="Arial"/>
                  </w:rPr>
                  <w:t>Non-governmental Organisation and Other Associations</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10F71DA1" w:rsidR="00B327E9" w:rsidRPr="00AB6D88" w:rsidRDefault="00B45633"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54F15A4A" w:rsidR="00B327E9" w:rsidRPr="00AB6D88" w:rsidRDefault="00B45633" w:rsidP="00F136AD">
                <w:pPr>
                  <w:rPr>
                    <w:rFonts w:cs="Arial"/>
                  </w:rPr>
                </w:pPr>
                <w:r>
                  <w:rPr>
                    <w:rFonts w:cs="Arial"/>
                  </w:rPr>
                  <w:t>Germany</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54D2D51" w:rsidR="00B327E9" w:rsidRPr="006F4535" w:rsidRDefault="00B327E9" w:rsidP="00FE6577">
      <w:r w:rsidRPr="006F4535">
        <w:t>&lt;ESMA_COMMENT_</w:t>
      </w:r>
      <w:r w:rsidR="00A014B6">
        <w:t>ECSP</w:t>
      </w:r>
      <w:r w:rsidRPr="006F4535">
        <w:t>_1&gt;</w:t>
      </w:r>
    </w:p>
    <w:p w14:paraId="77DBE4D7" w14:textId="0C39E92B" w:rsidR="00B14364" w:rsidRPr="00B30475" w:rsidRDefault="00B14364" w:rsidP="00B14364">
      <w:pPr>
        <w:pStyle w:val="NormalWeb"/>
        <w:spacing w:before="0" w:beforeAutospacing="0" w:after="300" w:afterAutospacing="0"/>
        <w:textAlignment w:val="baseline"/>
        <w:rPr>
          <w:color w:val="404040"/>
          <w:sz w:val="22"/>
          <w:szCs w:val="22"/>
          <w:lang w:val="en-GB"/>
        </w:rPr>
      </w:pPr>
      <w:permStart w:id="44765448" w:edGrp="everyone"/>
      <w:r w:rsidRPr="00B30475">
        <w:rPr>
          <w:color w:val="404040"/>
          <w:sz w:val="22"/>
          <w:szCs w:val="22"/>
          <w:lang w:val="en-GB"/>
        </w:rPr>
        <w:t>T</w:t>
      </w:r>
      <w:r w:rsidRPr="00B30475">
        <w:rPr>
          <w:color w:val="404040"/>
          <w:sz w:val="22"/>
          <w:szCs w:val="22"/>
          <w:lang w:val="en-GB"/>
        </w:rPr>
        <w:t>he German Crowdfunding Association (</w:t>
      </w:r>
      <w:proofErr w:type="spellStart"/>
      <w:r w:rsidRPr="00B30475">
        <w:rPr>
          <w:color w:val="404040"/>
          <w:sz w:val="22"/>
          <w:szCs w:val="22"/>
          <w:lang w:val="en-GB"/>
        </w:rPr>
        <w:t>Bundesverband</w:t>
      </w:r>
      <w:proofErr w:type="spellEnd"/>
      <w:r w:rsidRPr="00B30475">
        <w:rPr>
          <w:color w:val="404040"/>
          <w:sz w:val="22"/>
          <w:szCs w:val="22"/>
          <w:lang w:val="en-GB"/>
        </w:rPr>
        <w:t xml:space="preserve"> Crowdfunding eV) represents the political and public interests of Crowdfunding platforms to the German Government, Parliament, Regulatory Bodies, Media and other Associations</w:t>
      </w:r>
      <w:r w:rsidRPr="00B30475">
        <w:rPr>
          <w:color w:val="404040"/>
          <w:sz w:val="22"/>
          <w:szCs w:val="22"/>
          <w:lang w:val="en-GB"/>
        </w:rPr>
        <w:t xml:space="preserve">. </w:t>
      </w:r>
      <w:r w:rsidRPr="00B30475">
        <w:rPr>
          <w:color w:val="404040"/>
          <w:sz w:val="22"/>
          <w:szCs w:val="22"/>
          <w:lang w:val="en-GB"/>
        </w:rPr>
        <w:t>It serves as a networking forum for the platform owner in developing best practices for the industry.</w:t>
      </w:r>
    </w:p>
    <w:p w14:paraId="49079936" w14:textId="3658F383" w:rsidR="00B14364" w:rsidRPr="00B30475" w:rsidRDefault="00B14364" w:rsidP="00B14364">
      <w:pPr>
        <w:pStyle w:val="NormalWeb"/>
        <w:spacing w:before="0" w:beforeAutospacing="0" w:after="300" w:afterAutospacing="0"/>
        <w:textAlignment w:val="baseline"/>
        <w:rPr>
          <w:color w:val="404040"/>
          <w:sz w:val="22"/>
          <w:szCs w:val="22"/>
          <w:lang w:val="en-GB" w:eastAsia="en-GB"/>
        </w:rPr>
      </w:pPr>
      <w:r w:rsidRPr="00B30475">
        <w:rPr>
          <w:color w:val="404040"/>
          <w:sz w:val="22"/>
          <w:szCs w:val="22"/>
          <w:lang w:val="en-GB"/>
        </w:rPr>
        <w:t xml:space="preserve">Our members have jointly intermediated a volume of more than a billion Euros in the past years and considering </w:t>
      </w:r>
      <w:proofErr w:type="gramStart"/>
      <w:r w:rsidRPr="00B30475">
        <w:rPr>
          <w:color w:val="404040"/>
          <w:sz w:val="22"/>
          <w:szCs w:val="22"/>
          <w:lang w:val="en-GB"/>
        </w:rPr>
        <w:t>to apply</w:t>
      </w:r>
      <w:proofErr w:type="gramEnd"/>
      <w:r w:rsidRPr="00B30475">
        <w:rPr>
          <w:color w:val="404040"/>
          <w:sz w:val="22"/>
          <w:szCs w:val="22"/>
          <w:lang w:val="en-GB"/>
        </w:rPr>
        <w:t xml:space="preserve"> for the ECSP-license in Germany</w:t>
      </w:r>
      <w:r w:rsidR="00A52657" w:rsidRPr="00B30475">
        <w:rPr>
          <w:color w:val="404040"/>
          <w:sz w:val="22"/>
          <w:szCs w:val="22"/>
          <w:lang w:val="en-GB"/>
        </w:rPr>
        <w:t>. We strongly support the policy goal of the ECSP-R, which is to make it easier for companies to mobilize private investments across the European Union.</w:t>
      </w:r>
    </w:p>
    <w:p w14:paraId="7C7715C9" w14:textId="263CB13D" w:rsidR="00A52657" w:rsidRPr="00B30475" w:rsidRDefault="00B14364" w:rsidP="00B14364">
      <w:pPr>
        <w:pStyle w:val="NormalWeb"/>
        <w:spacing w:before="0" w:beforeAutospacing="0" w:after="300" w:afterAutospacing="0"/>
        <w:textAlignment w:val="baseline"/>
        <w:rPr>
          <w:color w:val="404040"/>
          <w:sz w:val="22"/>
          <w:szCs w:val="22"/>
          <w:lang w:val="en-GB"/>
        </w:rPr>
      </w:pPr>
      <w:r w:rsidRPr="00B30475">
        <w:rPr>
          <w:color w:val="404040"/>
          <w:sz w:val="22"/>
          <w:szCs w:val="22"/>
          <w:lang w:val="en-GB"/>
        </w:rPr>
        <w:t xml:space="preserve">The association works in close cooperation with national and European </w:t>
      </w:r>
      <w:proofErr w:type="gramStart"/>
      <w:r w:rsidRPr="00B30475">
        <w:rPr>
          <w:color w:val="404040"/>
          <w:sz w:val="22"/>
          <w:szCs w:val="22"/>
          <w:lang w:val="en-GB"/>
        </w:rPr>
        <w:t>network</w:t>
      </w:r>
      <w:r w:rsidR="00A52657" w:rsidRPr="00B30475">
        <w:rPr>
          <w:color w:val="404040"/>
          <w:sz w:val="22"/>
          <w:szCs w:val="22"/>
          <w:lang w:val="en-GB"/>
        </w:rPr>
        <w:t>s</w:t>
      </w:r>
      <w:proofErr w:type="gramEnd"/>
      <w:r w:rsidRPr="00B30475">
        <w:rPr>
          <w:color w:val="404040"/>
          <w:sz w:val="22"/>
          <w:szCs w:val="22"/>
          <w:lang w:val="en-GB"/>
        </w:rPr>
        <w:t xml:space="preserve"> and we collaborate closely </w:t>
      </w:r>
      <w:r w:rsidR="00A52657" w:rsidRPr="00B30475">
        <w:rPr>
          <w:color w:val="404040"/>
          <w:sz w:val="22"/>
          <w:szCs w:val="22"/>
          <w:lang w:val="en-GB"/>
        </w:rPr>
        <w:t>through</w:t>
      </w:r>
      <w:r w:rsidRPr="00B30475">
        <w:rPr>
          <w:color w:val="404040"/>
          <w:sz w:val="22"/>
          <w:szCs w:val="22"/>
          <w:lang w:val="en-GB"/>
        </w:rPr>
        <w:t xml:space="preserve"> the </w:t>
      </w:r>
      <w:proofErr w:type="spellStart"/>
      <w:r w:rsidRPr="00B30475">
        <w:rPr>
          <w:color w:val="404040"/>
          <w:sz w:val="22"/>
          <w:szCs w:val="22"/>
          <w:lang w:val="en-GB"/>
        </w:rPr>
        <w:t>AltFinator</w:t>
      </w:r>
      <w:proofErr w:type="spellEnd"/>
      <w:r w:rsidRPr="00B30475">
        <w:rPr>
          <w:color w:val="404040"/>
          <w:sz w:val="22"/>
          <w:szCs w:val="22"/>
          <w:lang w:val="en-GB"/>
        </w:rPr>
        <w:t xml:space="preserve"> Policy Network with crowdfunding associations from other member states</w:t>
      </w:r>
      <w:r w:rsidR="00A52657" w:rsidRPr="00B30475">
        <w:rPr>
          <w:color w:val="404040"/>
          <w:sz w:val="22"/>
          <w:szCs w:val="22"/>
          <w:lang w:val="en-GB"/>
        </w:rPr>
        <w:t xml:space="preserve"> in Europe as well</w:t>
      </w:r>
      <w:r w:rsidRPr="00B30475">
        <w:rPr>
          <w:color w:val="404040"/>
          <w:sz w:val="22"/>
          <w:szCs w:val="22"/>
          <w:lang w:val="en-GB"/>
        </w:rPr>
        <w:t>.</w:t>
      </w:r>
      <w:r w:rsidR="00A52657" w:rsidRPr="00B30475">
        <w:rPr>
          <w:color w:val="404040"/>
          <w:sz w:val="22"/>
          <w:szCs w:val="22"/>
          <w:lang w:val="en-GB"/>
        </w:rPr>
        <w:t xml:space="preserve"> The comments below reflect the discussions with our members as well as the exchange with other association in Europe.</w:t>
      </w:r>
    </w:p>
    <w:p w14:paraId="016827B6" w14:textId="4E670892" w:rsidR="00A52657" w:rsidRPr="00B30475" w:rsidRDefault="00A52657" w:rsidP="00B14364">
      <w:pPr>
        <w:pStyle w:val="NormalWeb"/>
        <w:spacing w:before="0" w:beforeAutospacing="0" w:after="300" w:afterAutospacing="0"/>
        <w:textAlignment w:val="baseline"/>
        <w:rPr>
          <w:color w:val="404040"/>
          <w:sz w:val="22"/>
          <w:szCs w:val="22"/>
          <w:lang w:val="en-GB"/>
        </w:rPr>
      </w:pPr>
      <w:r w:rsidRPr="00B30475">
        <w:rPr>
          <w:color w:val="404040"/>
          <w:sz w:val="22"/>
          <w:szCs w:val="22"/>
          <w:lang w:val="en-GB"/>
        </w:rPr>
        <w:t>We would like to thank ESMA for the opportunity to comment on the proposed Level-2-text and also for the practice of the open dialogue with the industry in the previous month. The same thanks we would like to also extend to the representatives of the European Commission, who were helpful in clarifying issues of uncertainty.</w:t>
      </w:r>
    </w:p>
    <w:permEnd w:id="44765448"/>
    <w:p w14:paraId="68F63540" w14:textId="54194BF1" w:rsidR="00B327E9" w:rsidRPr="00BF28DA" w:rsidRDefault="00B327E9" w:rsidP="00FE6577">
      <w:r w:rsidRPr="00BF28DA">
        <w:t>&lt;ESMA_COMMENT_</w:t>
      </w:r>
      <w:r w:rsidR="00A014B6">
        <w:t>ECSP</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3730066" w:rsidR="00492B3A" w:rsidRPr="00492B3A" w:rsidRDefault="00A014B6" w:rsidP="00492B3A">
      <w:pPr>
        <w:pStyle w:val="Questionstyle"/>
        <w:numPr>
          <w:ilvl w:val="0"/>
          <w:numId w:val="49"/>
        </w:numPr>
        <w:rPr>
          <w:rFonts w:ascii="Arial" w:hAnsi="Arial"/>
          <w:szCs w:val="22"/>
        </w:rPr>
      </w:pPr>
      <w:r w:rsidRPr="00A014B6">
        <w:lastRenderedPageBreak/>
        <w:t>Do you consider that the requirements should be made more granular, notably to set a fixed deadline for CSP to handle a complaint and reply to complainants, in order to ensure a better and more harmonised investor protection?</w:t>
      </w:r>
    </w:p>
    <w:p w14:paraId="7EE00B55" w14:textId="6CFDA724" w:rsidR="00492B3A" w:rsidRDefault="00492B3A" w:rsidP="00492B3A">
      <w:r>
        <w:t>&lt;ESMA_QUESTION_</w:t>
      </w:r>
      <w:r w:rsidR="00A014B6">
        <w:t>ECSP</w:t>
      </w:r>
      <w:r>
        <w:t>_1&gt;</w:t>
      </w:r>
    </w:p>
    <w:p w14:paraId="741FADC4" w14:textId="51F062C0" w:rsidR="00492B3A" w:rsidRDefault="004A2DB3" w:rsidP="00492B3A">
      <w:permStart w:id="1576605906" w:edGrp="everyone"/>
      <w:r w:rsidRPr="004A2DB3">
        <w:t xml:space="preserve">The German Crowdfunding Association sees the requirements in Art 7 and the Annex III of the RTS as adequate. More </w:t>
      </w:r>
      <w:proofErr w:type="gramStart"/>
      <w:r w:rsidRPr="004A2DB3">
        <w:t>granularity</w:t>
      </w:r>
      <w:proofErr w:type="gramEnd"/>
      <w:r w:rsidRPr="004A2DB3">
        <w:t xml:space="preserve"> would not necessarily improve the consumer protection, as CSPs have to consider consumer protection laws in member states as well.</w:t>
      </w:r>
      <w:permEnd w:id="1576605906"/>
    </w:p>
    <w:p w14:paraId="7E5A3C00" w14:textId="189CB57F" w:rsidR="00492B3A" w:rsidRDefault="00492B3A" w:rsidP="00492B3A">
      <w:r>
        <w:t>&lt;ESMA_QUESTION_</w:t>
      </w:r>
      <w:r w:rsidR="00A014B6">
        <w:t>ECSP</w:t>
      </w:r>
      <w:r>
        <w:t>_1&gt;</w:t>
      </w:r>
    </w:p>
    <w:p w14:paraId="66BCB951" w14:textId="77777777" w:rsidR="00492B3A" w:rsidRDefault="00492B3A" w:rsidP="00492B3A"/>
    <w:p w14:paraId="711E593A" w14:textId="768F4F05" w:rsidR="00492B3A" w:rsidRDefault="00A014B6" w:rsidP="00492B3A">
      <w:pPr>
        <w:pStyle w:val="Questionstyle"/>
      </w:pPr>
      <w:r w:rsidRPr="00A014B6">
        <w:t>Do you agree that the list set out in Article 1(5) of the draft RTS set</w:t>
      </w:r>
      <w:r w:rsidR="00871D24">
        <w:t>s</w:t>
      </w:r>
      <w:r w:rsidRPr="00A014B6">
        <w:t xml:space="preserve"> out a sufficient</w:t>
      </w:r>
      <w:r w:rsidR="00871D24">
        <w:t>ly</w:t>
      </w:r>
      <w:r w:rsidRPr="00A014B6">
        <w:t xml:space="preserve"> harmonised minimal level of requirements for the internal rules to prevent conflicts of interest?</w:t>
      </w:r>
    </w:p>
    <w:p w14:paraId="3451E920" w14:textId="3A240FB3" w:rsidR="00492B3A" w:rsidRDefault="00492B3A" w:rsidP="00492B3A">
      <w:r>
        <w:t>&lt;ESMA_QUESTION_</w:t>
      </w:r>
      <w:r w:rsidR="00A014B6">
        <w:t>ECSP</w:t>
      </w:r>
      <w:r>
        <w:t>_2&gt;</w:t>
      </w:r>
    </w:p>
    <w:p w14:paraId="45694F8F" w14:textId="3A7841BD" w:rsidR="00492B3A" w:rsidRDefault="004A2DB3" w:rsidP="00492B3A">
      <w:permStart w:id="1123047147" w:edGrp="everyone"/>
      <w:r w:rsidRPr="004A2DB3">
        <w:t xml:space="preserve">The German Crowdfunding Association sees the list in Article 1(5) of Annex IV as sufficient to prevent internal conflicts. We would advise </w:t>
      </w:r>
      <w:r w:rsidR="00F67D5C">
        <w:t xml:space="preserve">not </w:t>
      </w:r>
      <w:r w:rsidRPr="004A2DB3">
        <w:t xml:space="preserve">to add additional requirements at this stage, in order to </w:t>
      </w:r>
      <w:r>
        <w:t>keep the incentives for CSPs to make use of the ECSP-R</w:t>
      </w:r>
      <w:r w:rsidRPr="004A2DB3">
        <w:t>.</w:t>
      </w:r>
    </w:p>
    <w:permEnd w:id="1123047147"/>
    <w:p w14:paraId="741E001B" w14:textId="5331B16E" w:rsidR="00492B3A" w:rsidRDefault="00492B3A" w:rsidP="00492B3A">
      <w:r>
        <w:t>&lt;ESMA_QUESTION_</w:t>
      </w:r>
      <w:r w:rsidR="00A014B6">
        <w:t>ECSP</w:t>
      </w:r>
      <w:r>
        <w:t>_2&gt;</w:t>
      </w:r>
    </w:p>
    <w:p w14:paraId="3DF6FFDF" w14:textId="77777777" w:rsidR="00492B3A" w:rsidRDefault="00492B3A" w:rsidP="00492B3A"/>
    <w:p w14:paraId="47C2F5CA" w14:textId="17E806DA" w:rsidR="00492B3A" w:rsidRDefault="00A014B6" w:rsidP="00492B3A">
      <w:pPr>
        <w:pStyle w:val="Questionstyle"/>
      </w:pPr>
      <w:r w:rsidRPr="00A014B6">
        <w:t xml:space="preserve">Do you agree that the requirements set out in Article </w:t>
      </w:r>
      <w:r w:rsidR="00AF201E">
        <w:t>3</w:t>
      </w:r>
      <w:r w:rsidRPr="00A014B6">
        <w:t xml:space="preserve"> of the draft RTS provide for arrangements that balance adequately the need to protect investors with the objective to limit unnecessary burden for CSP?</w:t>
      </w:r>
    </w:p>
    <w:p w14:paraId="1D5C0FD1" w14:textId="62A3674E" w:rsidR="00492B3A" w:rsidRDefault="00492B3A" w:rsidP="00492B3A">
      <w:r>
        <w:t>&lt;ESMA_QUESTION_</w:t>
      </w:r>
      <w:r w:rsidR="00A014B6">
        <w:t>ECSP</w:t>
      </w:r>
      <w:r>
        <w:t>_3&gt;</w:t>
      </w:r>
    </w:p>
    <w:p w14:paraId="0A715B5F" w14:textId="77777777" w:rsidR="004A2DB3" w:rsidRDefault="004A2DB3" w:rsidP="004A2DB3">
      <w:permStart w:id="1823616926" w:edGrp="everyone"/>
      <w:r>
        <w:t xml:space="preserve">"The German Crowdfunding Association sees the requirements in Art 3. of the draft RTS in Annex IV as sufficient to protect investors. </w:t>
      </w:r>
    </w:p>
    <w:p w14:paraId="39CB0548" w14:textId="77777777" w:rsidR="004A2DB3" w:rsidRDefault="004A2DB3" w:rsidP="004A2DB3"/>
    <w:p w14:paraId="3C9676B8" w14:textId="6D0A6E11" w:rsidR="004A2DB3" w:rsidRDefault="004A2DB3" w:rsidP="004A2DB3">
      <w:r>
        <w:t>The clarification that the "</w:t>
      </w:r>
      <w:r w:rsidRPr="00F67D5C">
        <w:rPr>
          <w:b/>
          <w:bCs/>
        </w:rPr>
        <w:t>prominent place</w:t>
      </w:r>
      <w:r>
        <w:t>" referred to in the Level 1 text is a place that is easily accessible and easily found is welcome. The German Crowdfunding Association would suggest that</w:t>
      </w:r>
      <w:r>
        <w:t xml:space="preserve"> the page stating</w:t>
      </w:r>
      <w:r>
        <w:t xml:space="preserve"> possible conflict</w:t>
      </w:r>
      <w:r>
        <w:t>s</w:t>
      </w:r>
      <w:r>
        <w:t xml:space="preserve"> of interest could be positioned </w:t>
      </w:r>
      <w:r>
        <w:t xml:space="preserve">with a link </w:t>
      </w:r>
      <w:r>
        <w:t>in the footer of the CSP website, next to the Imprint and Privacy Policy</w:t>
      </w:r>
      <w:r>
        <w:t xml:space="preserve"> of the platform. This </w:t>
      </w:r>
      <w:r>
        <w:t xml:space="preserve">is where a user would expect them. Since possible conflict of interest also have to be mentioned in the KIIS, the investor can be easily pointed to the </w:t>
      </w:r>
      <w:proofErr w:type="gramStart"/>
      <w:r>
        <w:t>conflict of interest</w:t>
      </w:r>
      <w:proofErr w:type="gramEnd"/>
      <w:r>
        <w:t xml:space="preserve"> section</w:t>
      </w:r>
      <w:r>
        <w:t xml:space="preserve"> by referencing the link to that specific page.</w:t>
      </w:r>
    </w:p>
    <w:p w14:paraId="73554955" w14:textId="442D6A2D" w:rsidR="004A2DB3" w:rsidRDefault="004A2DB3" w:rsidP="004A2DB3"/>
    <w:p w14:paraId="1D4F1EAF" w14:textId="48563254" w:rsidR="004A2DB3" w:rsidRDefault="004A2DB3" w:rsidP="004A2DB3">
      <w:r>
        <w:t>We would like to point to a few issues for clarifications with regard to Art. 8 of the ECSP-R</w:t>
      </w:r>
      <w:r w:rsidR="00F67D5C">
        <w:t>.</w:t>
      </w:r>
    </w:p>
    <w:p w14:paraId="11965E01" w14:textId="77777777" w:rsidR="004A2DB3" w:rsidRDefault="004A2DB3" w:rsidP="004A2DB3"/>
    <w:p w14:paraId="2F2CCB14" w14:textId="77777777" w:rsidR="00F67D5C" w:rsidRDefault="004A2DB3" w:rsidP="00492B3A">
      <w:r w:rsidRPr="00F67D5C">
        <w:rPr>
          <w:b/>
          <w:bCs/>
        </w:rPr>
        <w:t>The standard market practice is that SPVs referred to in Article 3 of the ECSP-R are managed by the platform on behalf of the issuers.</w:t>
      </w:r>
      <w:r>
        <w:t xml:space="preserve"> Our reading of Article 8 is that SPVs managed by the platforms are allowed, since the SPVs is not the project owner referred in Art 8 (2). Therefore, we would like ESMA to clarify that SPVs managed by the platforms simply have to be mentioned and explained in the "Conflict of Interest" document on the website, as well as in the KIIS</w:t>
      </w:r>
      <w:r w:rsidR="00F67D5C">
        <w:t>, but at the same time that NCAs cannot prohibit platforms from managing or administrating the SPVs.</w:t>
      </w:r>
    </w:p>
    <w:p w14:paraId="56504C50" w14:textId="77777777" w:rsidR="00F67D5C" w:rsidRDefault="00F67D5C" w:rsidP="00492B3A"/>
    <w:p w14:paraId="67347627" w14:textId="384C9E56" w:rsidR="00F67D5C" w:rsidRDefault="00F67D5C" w:rsidP="00492B3A">
      <w:r>
        <w:lastRenderedPageBreak/>
        <w:t>The SPVs used by CSPs currently are simply “vessels” which have no economic interest of their own. They bundle the opinions of the investors and make it easier for companies to use crowdfunding, as it simplifies the cap table for further financing round. Because platforms set-up the SPVs on behalf of the project owner, the transaction costs are lower th</w:t>
      </w:r>
      <w:r w:rsidR="005A3AFB">
        <w:t>a</w:t>
      </w:r>
      <w:r>
        <w:t xml:space="preserve">n when the project owner has to set-up and manage the SPV by themselves. </w:t>
      </w:r>
    </w:p>
    <w:p w14:paraId="7880B0D7" w14:textId="7C0D2EAC" w:rsidR="00F67D5C" w:rsidRDefault="00F67D5C" w:rsidP="00492B3A"/>
    <w:p w14:paraId="20C48561" w14:textId="76BCD537" w:rsidR="00F67D5C" w:rsidRDefault="00F67D5C" w:rsidP="00492B3A">
      <w:r>
        <w:t>The view that CSPs can administer and manage the SPVs on behalf of the issuer is also enforced by Art 3 (6) of the ECSP-R, which states that &gt;</w:t>
      </w:r>
      <w:r w:rsidRPr="00F67D5C">
        <w:rPr>
          <w:i/>
          <w:iCs/>
        </w:rPr>
        <w:t>Where a special purpose vehicle is used for the provision of crowdfunding services, only one illiquid or indivisible asset shall be offered through such a special purpose vehicle</w:t>
      </w:r>
      <w:r>
        <w:t xml:space="preserve">&lt;. </w:t>
      </w:r>
      <w:r w:rsidR="005A3AFB">
        <w:t xml:space="preserve">In Art. 2 (1) lit d) &amp; e) ECSP-R, it is clear that the platform is the provider of crowdfunding services, and not the project owner as defined in Art. 2 (1) lit h). </w:t>
      </w:r>
    </w:p>
    <w:p w14:paraId="454C91D8" w14:textId="2583F6D8" w:rsidR="005A3AFB" w:rsidRDefault="005A3AFB" w:rsidP="00492B3A"/>
    <w:p w14:paraId="7B31F848" w14:textId="6B3DEB71" w:rsidR="00F67D5C" w:rsidRDefault="005A3AFB" w:rsidP="00492B3A">
      <w:r>
        <w:t xml:space="preserve">Since the Level-1 text clearly identifies the project owner in Art. 2 (1) lit h) ECSP-R, it would be clear that the SPVs is not the project owner, even though it issues the securities or loans to the investors and then transfers the investments to the project owner. Therefore, the requirement in Art. 8 </w:t>
      </w:r>
      <w:r w:rsidR="00525089">
        <w:t>(2) does not apply when using an SPV managed on behalf of the investors by the platform.</w:t>
      </w:r>
    </w:p>
    <w:p w14:paraId="383E5893" w14:textId="521E9B20" w:rsidR="00492B3A" w:rsidRDefault="004A2DB3" w:rsidP="00492B3A">
      <w:r>
        <w:t xml:space="preserve"> </w:t>
      </w:r>
      <w:permEnd w:id="1823616926"/>
      <w:r w:rsidR="00492B3A">
        <w:t>&lt;ESMA_QUESTION_</w:t>
      </w:r>
      <w:r w:rsidR="00A014B6">
        <w:t>ECSP</w:t>
      </w:r>
      <w:r w:rsidR="00492B3A">
        <w:t>_3&gt;</w:t>
      </w:r>
    </w:p>
    <w:p w14:paraId="4AD8C875" w14:textId="77777777" w:rsidR="00492B3A" w:rsidRDefault="00492B3A" w:rsidP="00492B3A"/>
    <w:p w14:paraId="798F0E29" w14:textId="5AEED299" w:rsidR="00492B3A" w:rsidRDefault="00A014B6" w:rsidP="00492B3A">
      <w:pPr>
        <w:pStyle w:val="Questionstyle"/>
      </w:pPr>
      <w:r>
        <w:t>D</w:t>
      </w:r>
      <w:r w:rsidRPr="00A014B6">
        <w:t>o you agree with the details of the business continuity plan suggested in the draft RTS?</w:t>
      </w:r>
    </w:p>
    <w:p w14:paraId="001F3D0D" w14:textId="669B80ED" w:rsidR="00492B3A" w:rsidRDefault="00492B3A" w:rsidP="00492B3A">
      <w:r>
        <w:t>&lt;ESMA_QUESTION_</w:t>
      </w:r>
      <w:r w:rsidR="00A014B6">
        <w:t>ECSP</w:t>
      </w:r>
      <w:r>
        <w:t>_4&gt;</w:t>
      </w:r>
    </w:p>
    <w:p w14:paraId="1C83E918" w14:textId="77777777" w:rsidR="00525089" w:rsidRDefault="00525089" w:rsidP="00525089">
      <w:permStart w:id="910372547" w:edGrp="everyone"/>
      <w:r>
        <w:t xml:space="preserve">The German Crowdfunding Association suggests </w:t>
      </w:r>
      <w:proofErr w:type="gramStart"/>
      <w:r>
        <w:t>to remove</w:t>
      </w:r>
      <w:proofErr w:type="gramEnd"/>
      <w:r>
        <w:t xml:space="preserve"> "significant business interruption or incident" from Art. 2 (1) of Annex V of the RTS. </w:t>
      </w:r>
    </w:p>
    <w:p w14:paraId="7C6B33F7" w14:textId="77777777" w:rsidR="00525089" w:rsidRDefault="00525089" w:rsidP="00525089"/>
    <w:p w14:paraId="7A633A4B" w14:textId="270526A7" w:rsidR="00525089" w:rsidRDefault="00525089" w:rsidP="00525089">
      <w:r>
        <w:t>Given the dynamic evolution of Fintech services, business interruptions or incidents can come from many sources, such as competitors or stakeholders. It would be too burdensome to anticipate all possible events</w:t>
      </w:r>
      <w:r>
        <w:t xml:space="preserve"> and disruptions</w:t>
      </w:r>
      <w:r>
        <w:t xml:space="preserve">. </w:t>
      </w:r>
      <w:r>
        <w:t xml:space="preserve">It also seems unnecessary that the CSP has to notify the NCA every time a competitor enters the market, as this could be an unforeseen business interruption, or even worse, in the case this constitutes a “material change” (see Q05 of this consultation, </w:t>
      </w:r>
      <w:proofErr w:type="spellStart"/>
      <w:r>
        <w:t>cf</w:t>
      </w:r>
      <w:proofErr w:type="spellEnd"/>
      <w:r>
        <w:t xml:space="preserve"> Art 5 (3) of the RTS in Annex VI) would have to re-apply for their license. </w:t>
      </w:r>
      <w:r>
        <w:br/>
      </w:r>
      <w:r>
        <w:br/>
      </w:r>
      <w:r>
        <w:t xml:space="preserve">For the business continuity, </w:t>
      </w:r>
      <w:r>
        <w:t xml:space="preserve">we believe that for the investors </w:t>
      </w:r>
      <w:r>
        <w:t>it would suffice to focus on failure of a critical service</w:t>
      </w:r>
      <w:r>
        <w:t>s</w:t>
      </w:r>
      <w:r>
        <w:t xml:space="preserve"> as outlined in Art 1 of Annex V of the RTS.</w:t>
      </w:r>
    </w:p>
    <w:p w14:paraId="4BC04422" w14:textId="77777777" w:rsidR="00525089" w:rsidRDefault="00525089" w:rsidP="00525089"/>
    <w:p w14:paraId="373EEC96" w14:textId="77777777" w:rsidR="00525089" w:rsidRDefault="00525089" w:rsidP="00492B3A">
      <w:r>
        <w:t xml:space="preserve">For consistency, the </w:t>
      </w:r>
      <w:r>
        <w:t>term "significant business interruption or incident" should also be removed in Article 5 of the Annex V of the RTS</w:t>
      </w:r>
      <w:r>
        <w:t xml:space="preserve">, specifically </w:t>
      </w:r>
      <w:r>
        <w:t>Art. 5 (2).</w:t>
      </w:r>
    </w:p>
    <w:p w14:paraId="19EB6E04" w14:textId="77777777" w:rsidR="00525089" w:rsidRDefault="00525089" w:rsidP="00492B3A"/>
    <w:permEnd w:id="910372547"/>
    <w:p w14:paraId="44CC0988" w14:textId="0406F4D6" w:rsidR="00492B3A" w:rsidRDefault="00492B3A" w:rsidP="00492B3A">
      <w:r>
        <w:t>&lt;ESMA_QUESTION_</w:t>
      </w:r>
      <w:r w:rsidR="00A014B6">
        <w:t>ECSP</w:t>
      </w:r>
      <w:r>
        <w:t>_4&gt;</w:t>
      </w:r>
    </w:p>
    <w:p w14:paraId="629688A3" w14:textId="77777777" w:rsidR="00492B3A" w:rsidRDefault="00492B3A" w:rsidP="00492B3A"/>
    <w:p w14:paraId="4404B413" w14:textId="387AFC08" w:rsidR="00492B3A" w:rsidRDefault="00A014B6" w:rsidP="00492B3A">
      <w:pPr>
        <w:pStyle w:val="Questionstyle"/>
      </w:pPr>
      <w:r w:rsidRPr="00A014B6">
        <w:t>Do you have any comment on the authorisation procedure proposed in the draft RTS?</w:t>
      </w:r>
    </w:p>
    <w:p w14:paraId="037D1519" w14:textId="54B02E90" w:rsidR="00492B3A" w:rsidRDefault="00492B3A" w:rsidP="00492B3A">
      <w:r>
        <w:t>&lt;ESMA_QUESTION_</w:t>
      </w:r>
      <w:r w:rsidR="00A014B6">
        <w:t>ECSP</w:t>
      </w:r>
      <w:r>
        <w:t>_5&gt;</w:t>
      </w:r>
    </w:p>
    <w:p w14:paraId="53E8E727" w14:textId="6C2B2B4F" w:rsidR="00525089" w:rsidRPr="00525089" w:rsidRDefault="00525089" w:rsidP="00525089">
      <w:pPr>
        <w:rPr>
          <w:sz w:val="22"/>
          <w:szCs w:val="22"/>
        </w:rPr>
      </w:pPr>
      <w:permStart w:id="1454397300" w:edGrp="everyone"/>
      <w:r w:rsidRPr="00525089">
        <w:rPr>
          <w:color w:val="000000"/>
          <w:sz w:val="22"/>
          <w:szCs w:val="22"/>
        </w:rPr>
        <w:t>The German Crowdfunding Association would like to make the following comments on Art. 12 ECSP-R and Annex VI of the RTS.</w:t>
      </w:r>
      <w:r w:rsidRPr="00525089">
        <w:rPr>
          <w:color w:val="000000"/>
          <w:sz w:val="22"/>
          <w:szCs w:val="22"/>
        </w:rPr>
        <w:br/>
      </w:r>
      <w:r w:rsidRPr="00525089">
        <w:rPr>
          <w:color w:val="000000"/>
          <w:sz w:val="22"/>
          <w:szCs w:val="22"/>
        </w:rPr>
        <w:br/>
      </w:r>
      <w:r w:rsidRPr="00525089">
        <w:rPr>
          <w:b/>
          <w:bCs/>
          <w:color w:val="000000"/>
          <w:sz w:val="22"/>
          <w:szCs w:val="22"/>
        </w:rPr>
        <w:t xml:space="preserve">Art. 5 (3) </w:t>
      </w:r>
      <w:r w:rsidRPr="00525089">
        <w:rPr>
          <w:b/>
          <w:bCs/>
          <w:color w:val="000000"/>
          <w:sz w:val="22"/>
          <w:szCs w:val="22"/>
          <w:lang w:val="en-US"/>
        </w:rPr>
        <w:t>RTS</w:t>
      </w:r>
      <w:r w:rsidRPr="00525089">
        <w:rPr>
          <w:b/>
          <w:bCs/>
          <w:color w:val="000000"/>
          <w:sz w:val="22"/>
          <w:szCs w:val="22"/>
        </w:rPr>
        <w:t>:</w:t>
      </w:r>
      <w:r w:rsidRPr="00525089">
        <w:rPr>
          <w:rStyle w:val="apple-converted-space"/>
          <w:color w:val="000000"/>
          <w:sz w:val="22"/>
          <w:szCs w:val="22"/>
        </w:rPr>
        <w:t> </w:t>
      </w:r>
      <w:r w:rsidRPr="00525089">
        <w:rPr>
          <w:color w:val="000000"/>
          <w:sz w:val="22"/>
          <w:szCs w:val="22"/>
        </w:rPr>
        <w:t xml:space="preserve">According to Art. 5 (3) Delegated Regulation as set out in the ESMA draft RTS, a subsequent "material change" of information related to the application for authorisation shall be treated as </w:t>
      </w:r>
      <w:r w:rsidRPr="00525089">
        <w:rPr>
          <w:color w:val="000000"/>
          <w:sz w:val="22"/>
          <w:szCs w:val="22"/>
        </w:rPr>
        <w:lastRenderedPageBreak/>
        <w:t>a new application instead of modifiying the existing one. This would entail new assessment timelines for the competent authority.</w:t>
      </w:r>
      <w:r w:rsidRPr="00525089">
        <w:rPr>
          <w:rStyle w:val="apple-converted-space"/>
          <w:color w:val="000000"/>
          <w:sz w:val="22"/>
          <w:szCs w:val="22"/>
        </w:rPr>
        <w:t> </w:t>
      </w:r>
      <w:r w:rsidRPr="00525089">
        <w:rPr>
          <w:color w:val="000000"/>
          <w:sz w:val="22"/>
          <w:szCs w:val="22"/>
        </w:rPr>
        <w:br/>
      </w:r>
      <w:r w:rsidRPr="00525089">
        <w:rPr>
          <w:color w:val="000000"/>
          <w:sz w:val="22"/>
          <w:szCs w:val="22"/>
        </w:rPr>
        <w:br/>
        <w:t>We understand that changes in the application can radically change the scope and also the assassement of the compentent authority regarding the compliance with the regulatory requirements set by the ECSPR.</w:t>
      </w:r>
      <w:r w:rsidRPr="00525089">
        <w:rPr>
          <w:rStyle w:val="apple-converted-space"/>
          <w:color w:val="000000"/>
          <w:sz w:val="22"/>
          <w:szCs w:val="22"/>
        </w:rPr>
        <w:t> </w:t>
      </w:r>
      <w:r w:rsidRPr="00525089">
        <w:rPr>
          <w:color w:val="000000"/>
          <w:sz w:val="22"/>
          <w:szCs w:val="22"/>
        </w:rPr>
        <w:br/>
      </w:r>
      <w:r w:rsidRPr="00525089">
        <w:rPr>
          <w:color w:val="000000"/>
          <w:sz w:val="22"/>
          <w:szCs w:val="22"/>
        </w:rPr>
        <w:br/>
        <w:t>However, applicants also have the need to know what changes (e.g. internal governance, best practises) they can make during the (</w:t>
      </w:r>
      <w:r w:rsidRPr="00525089">
        <w:rPr>
          <w:color w:val="000000"/>
          <w:sz w:val="22"/>
          <w:szCs w:val="22"/>
          <w:lang w:val="en-US"/>
        </w:rPr>
        <w:t>pro</w:t>
      </w:r>
      <w:r>
        <w:rPr>
          <w:color w:val="000000"/>
          <w:sz w:val="22"/>
          <w:szCs w:val="22"/>
          <w:lang w:val="en-US"/>
        </w:rPr>
        <w:t xml:space="preserve">bably </w:t>
      </w:r>
      <w:r w:rsidRPr="00525089">
        <w:rPr>
          <w:color w:val="000000"/>
          <w:sz w:val="22"/>
          <w:szCs w:val="22"/>
        </w:rPr>
        <w:t>leng</w:t>
      </w:r>
      <w:proofErr w:type="spellStart"/>
      <w:r w:rsidRPr="00525089">
        <w:rPr>
          <w:color w:val="000000"/>
          <w:sz w:val="22"/>
          <w:szCs w:val="22"/>
          <w:lang w:val="en-US"/>
        </w:rPr>
        <w:t>th</w:t>
      </w:r>
      <w:proofErr w:type="spellEnd"/>
      <w:r w:rsidRPr="00525089">
        <w:rPr>
          <w:color w:val="000000"/>
          <w:sz w:val="22"/>
          <w:szCs w:val="22"/>
        </w:rPr>
        <w:t>y) application process without risking to reset the timelines of the autority's decision upon their application.</w:t>
      </w:r>
      <w:r w:rsidRPr="00525089">
        <w:rPr>
          <w:rStyle w:val="apple-converted-space"/>
          <w:color w:val="000000"/>
          <w:sz w:val="22"/>
          <w:szCs w:val="22"/>
        </w:rPr>
        <w:t> </w:t>
      </w:r>
      <w:r w:rsidRPr="00525089">
        <w:rPr>
          <w:color w:val="000000"/>
          <w:sz w:val="22"/>
          <w:szCs w:val="22"/>
        </w:rPr>
        <w:br/>
      </w:r>
      <w:r w:rsidRPr="00525089">
        <w:rPr>
          <w:color w:val="000000"/>
          <w:sz w:val="22"/>
          <w:szCs w:val="22"/>
        </w:rPr>
        <w:br/>
        <w:t>Therefore we would like to encourage ESMA to give some examplary cases for changes that are to be regarded as "material". This would also ensure a consistent interpretation and application EU-wide throughout the Member States by the respective competent authorities.</w:t>
      </w:r>
      <w:r w:rsidRPr="00525089">
        <w:rPr>
          <w:color w:val="000000"/>
          <w:sz w:val="22"/>
          <w:szCs w:val="22"/>
          <w:lang w:val="en-US"/>
        </w:rPr>
        <w:t xml:space="preserve"> </w:t>
      </w:r>
      <w:r w:rsidRPr="00525089">
        <w:rPr>
          <w:color w:val="000000"/>
          <w:sz w:val="22"/>
          <w:szCs w:val="22"/>
          <w:lang w:val="en-US"/>
        </w:rPr>
        <w:t xml:space="preserve">For instance, </w:t>
      </w:r>
      <w:r>
        <w:rPr>
          <w:color w:val="000000"/>
          <w:sz w:val="22"/>
          <w:szCs w:val="22"/>
          <w:lang w:val="en-US"/>
        </w:rPr>
        <w:t xml:space="preserve">“material changes” would be only if the platforms </w:t>
      </w:r>
      <w:proofErr w:type="gramStart"/>
      <w:r>
        <w:rPr>
          <w:color w:val="000000"/>
          <w:sz w:val="22"/>
          <w:szCs w:val="22"/>
          <w:lang w:val="en-US"/>
        </w:rPr>
        <w:t>aims</w:t>
      </w:r>
      <w:proofErr w:type="gramEnd"/>
      <w:r>
        <w:rPr>
          <w:color w:val="000000"/>
          <w:sz w:val="22"/>
          <w:szCs w:val="22"/>
          <w:lang w:val="en-US"/>
        </w:rPr>
        <w:t xml:space="preserve"> to use different financial instruments or business models as set out in the application.</w:t>
      </w:r>
      <w:r w:rsidRPr="00525089">
        <w:rPr>
          <w:color w:val="000000"/>
          <w:sz w:val="22"/>
          <w:szCs w:val="22"/>
        </w:rPr>
        <w:br/>
      </w:r>
      <w:r w:rsidRPr="00525089">
        <w:rPr>
          <w:color w:val="000000"/>
          <w:sz w:val="22"/>
          <w:szCs w:val="22"/>
        </w:rPr>
        <w:br/>
      </w:r>
      <w:r w:rsidRPr="00525089">
        <w:rPr>
          <w:b/>
          <w:bCs/>
          <w:color w:val="000000"/>
          <w:sz w:val="22"/>
          <w:szCs w:val="22"/>
        </w:rPr>
        <w:t>F 5 SF1 D (d)</w:t>
      </w:r>
      <w:r w:rsidRPr="00525089">
        <w:rPr>
          <w:color w:val="000000"/>
          <w:sz w:val="22"/>
          <w:szCs w:val="22"/>
        </w:rPr>
        <w:t>: The draft RTS provides that the CSP lays down in detail the type of services it wants to provide regulated by the ECSPR itself but also non regulated services (lit. (b) and (c)). We understand that this specifications are relevant to properly assess the compliance with certain requirements set out by the ECSPR, such as the knowledge of the CSP's managing directors or certain prudential requirements.</w:t>
      </w:r>
      <w:r w:rsidRPr="00525089">
        <w:rPr>
          <w:rStyle w:val="apple-converted-space"/>
          <w:color w:val="000000"/>
          <w:sz w:val="22"/>
          <w:szCs w:val="22"/>
        </w:rPr>
        <w:t> </w:t>
      </w:r>
      <w:r w:rsidRPr="00525089">
        <w:rPr>
          <w:color w:val="000000"/>
          <w:sz w:val="22"/>
          <w:szCs w:val="22"/>
        </w:rPr>
        <w:br/>
      </w:r>
      <w:r w:rsidRPr="00525089">
        <w:rPr>
          <w:color w:val="000000"/>
          <w:sz w:val="22"/>
          <w:szCs w:val="22"/>
        </w:rPr>
        <w:br/>
        <w:t>In lit. (d) the draft RTS also require the applicant to disclose in even greater detail the types of offer it plans to present. This includes the distinction between loan-based project, equity-based projects, the types of instruments to be offered or the sector or the specific business activity adressed by the offer.</w:t>
      </w:r>
      <w:r w:rsidRPr="00525089">
        <w:rPr>
          <w:rStyle w:val="apple-converted-space"/>
          <w:color w:val="000000"/>
          <w:sz w:val="22"/>
          <w:szCs w:val="22"/>
        </w:rPr>
        <w:t> </w:t>
      </w:r>
      <w:r w:rsidRPr="00525089">
        <w:rPr>
          <w:color w:val="000000"/>
          <w:sz w:val="22"/>
          <w:szCs w:val="22"/>
        </w:rPr>
        <w:br/>
      </w:r>
      <w:r w:rsidRPr="00525089">
        <w:rPr>
          <w:color w:val="000000"/>
          <w:sz w:val="22"/>
          <w:szCs w:val="22"/>
        </w:rPr>
        <w:br/>
        <w:t>This level of detail is not required by the level-1 text of the ECSP-R itself (cf. Art. 12 (2) lit. (d). There only the types of crowdfunding services intended to be offered are to be disclosed.</w:t>
      </w:r>
      <w:r w:rsidRPr="00525089">
        <w:rPr>
          <w:rStyle w:val="apple-converted-space"/>
          <w:color w:val="000000"/>
          <w:sz w:val="22"/>
          <w:szCs w:val="22"/>
        </w:rPr>
        <w:t> </w:t>
      </w:r>
      <w:r w:rsidRPr="00525089">
        <w:rPr>
          <w:color w:val="000000"/>
          <w:sz w:val="22"/>
          <w:szCs w:val="22"/>
        </w:rPr>
        <w:br/>
      </w:r>
      <w:r w:rsidRPr="00525089">
        <w:rPr>
          <w:color w:val="000000"/>
          <w:sz w:val="22"/>
          <w:szCs w:val="22"/>
        </w:rPr>
        <w:br/>
        <w:t>Furthermore, an indication on the sector may be given upfront by the applicant, but specific instruments (as in different types of securities) depend to a very large extent to the resprective project owner and cannot necessarily be foreseen by the applicant or may vary over time.</w:t>
      </w:r>
      <w:r w:rsidRPr="00525089">
        <w:rPr>
          <w:rStyle w:val="apple-converted-space"/>
          <w:color w:val="000000"/>
          <w:sz w:val="22"/>
          <w:szCs w:val="22"/>
        </w:rPr>
        <w:t> </w:t>
      </w:r>
      <w:r w:rsidRPr="00525089">
        <w:rPr>
          <w:color w:val="000000"/>
          <w:sz w:val="22"/>
          <w:szCs w:val="22"/>
        </w:rPr>
        <w:br/>
      </w:r>
      <w:r w:rsidRPr="00525089">
        <w:rPr>
          <w:color w:val="000000"/>
          <w:sz w:val="22"/>
          <w:szCs w:val="22"/>
        </w:rPr>
        <w:br/>
        <w:t>This is why we propose to drop the stipulation set out in lit. (d) and broaden the entrepreneurial freedom of the applicant in this aspect.</w:t>
      </w:r>
      <w:r w:rsidRPr="00525089">
        <w:rPr>
          <w:color w:val="000000"/>
          <w:sz w:val="22"/>
          <w:szCs w:val="22"/>
        </w:rPr>
        <w:br/>
      </w:r>
      <w:r w:rsidRPr="00525089">
        <w:rPr>
          <w:color w:val="000000"/>
          <w:sz w:val="22"/>
          <w:szCs w:val="22"/>
        </w:rPr>
        <w:br/>
      </w:r>
      <w:r w:rsidRPr="00525089">
        <w:rPr>
          <w:b/>
          <w:bCs/>
          <w:color w:val="000000"/>
          <w:sz w:val="22"/>
          <w:szCs w:val="22"/>
        </w:rPr>
        <w:t>F 5 SF 1 D (e):</w:t>
      </w:r>
      <w:r w:rsidRPr="00525089">
        <w:rPr>
          <w:rStyle w:val="apple-converted-space"/>
          <w:b/>
          <w:bCs/>
          <w:color w:val="000000"/>
          <w:sz w:val="22"/>
          <w:szCs w:val="22"/>
        </w:rPr>
        <w:t> </w:t>
      </w:r>
      <w:r w:rsidRPr="00525089">
        <w:rPr>
          <w:color w:val="000000"/>
          <w:sz w:val="22"/>
          <w:szCs w:val="22"/>
        </w:rPr>
        <w:t xml:space="preserve">The detailed description of the selection procedure, including the nature and extent of a due dilligence process with respect to the potential project owner </w:t>
      </w:r>
      <w:r w:rsidRPr="00525089">
        <w:rPr>
          <w:color w:val="000000"/>
          <w:sz w:val="22"/>
          <w:szCs w:val="22"/>
          <w:lang w:val="en-US"/>
        </w:rPr>
        <w:t>goes beyond</w:t>
      </w:r>
      <w:r w:rsidRPr="00525089">
        <w:rPr>
          <w:color w:val="000000"/>
          <w:sz w:val="22"/>
          <w:szCs w:val="22"/>
        </w:rPr>
        <w:t xml:space="preserve"> the requirements set out by the ECSP-R itself. Furthermore, it is not clear, which standards ESMA will be apply to this information.</w:t>
      </w:r>
      <w:r w:rsidRPr="00525089">
        <w:rPr>
          <w:color w:val="000000"/>
          <w:sz w:val="22"/>
          <w:szCs w:val="22"/>
        </w:rPr>
        <w:br/>
      </w:r>
      <w:r w:rsidRPr="00525089">
        <w:rPr>
          <w:color w:val="000000"/>
          <w:sz w:val="22"/>
          <w:szCs w:val="22"/>
        </w:rPr>
        <w:br/>
        <w:t xml:space="preserve">We understand that this measure was taken to ensure a certain level of due diligence selecting potential projects to be offered by the CSP; and thus for investor protection. We would have expected such measures as part of the information under Art. 12 Abs. 2 lit. e) as is presented in Field 6 of ESMAs draft RTS and not as part of the CSP's business plan. This is why we propose to delete this requirement, </w:t>
      </w:r>
      <w:r w:rsidR="000C2BB4" w:rsidRPr="000C2BB4">
        <w:rPr>
          <w:color w:val="000000"/>
          <w:sz w:val="22"/>
          <w:szCs w:val="22"/>
          <w:lang w:val="en-US"/>
        </w:rPr>
        <w:t xml:space="preserve">or </w:t>
      </w:r>
      <w:r w:rsidRPr="00525089">
        <w:rPr>
          <w:color w:val="000000"/>
          <w:sz w:val="22"/>
          <w:szCs w:val="22"/>
        </w:rPr>
        <w:t>at least it should be moved to Field 6 of the draft RTS.</w:t>
      </w:r>
      <w:r w:rsidRPr="00525089">
        <w:rPr>
          <w:color w:val="000000"/>
          <w:sz w:val="22"/>
          <w:szCs w:val="22"/>
        </w:rPr>
        <w:br/>
      </w:r>
      <w:r w:rsidRPr="00525089">
        <w:rPr>
          <w:color w:val="000000"/>
          <w:sz w:val="22"/>
          <w:szCs w:val="22"/>
        </w:rPr>
        <w:br/>
      </w:r>
      <w:r w:rsidRPr="00525089">
        <w:rPr>
          <w:b/>
          <w:bCs/>
          <w:color w:val="000000"/>
          <w:sz w:val="22"/>
          <w:szCs w:val="22"/>
        </w:rPr>
        <w:t>F 5 SF 1 D (g)</w:t>
      </w:r>
      <w:r w:rsidRPr="00525089">
        <w:rPr>
          <w:color w:val="000000"/>
          <w:sz w:val="22"/>
          <w:szCs w:val="22"/>
        </w:rPr>
        <w:t>: As part of the business plan the applicant shall disclose any other activity/ services it currently provides or intends to provide outside the scope of ECSPR, with reference and a copy of a respective authorisation. We understand this requirement as to the disclosure of other services subject to authorisations under national law. We would appreciate ESMAs confirmation on this view, that only services subject to further authorisation under national law have to be disclosed in the application process.</w:t>
      </w:r>
      <w:r w:rsidRPr="00525089">
        <w:rPr>
          <w:color w:val="000000"/>
          <w:sz w:val="22"/>
          <w:szCs w:val="22"/>
        </w:rPr>
        <w:br/>
      </w:r>
      <w:r w:rsidRPr="00525089">
        <w:rPr>
          <w:color w:val="000000"/>
          <w:sz w:val="22"/>
          <w:szCs w:val="22"/>
        </w:rPr>
        <w:br/>
      </w:r>
      <w:r w:rsidRPr="00525089">
        <w:rPr>
          <w:b/>
          <w:bCs/>
          <w:color w:val="000000"/>
          <w:sz w:val="22"/>
          <w:szCs w:val="22"/>
        </w:rPr>
        <w:lastRenderedPageBreak/>
        <w:t>F 5 SF 3</w:t>
      </w:r>
      <w:r w:rsidRPr="00525089">
        <w:rPr>
          <w:color w:val="000000"/>
          <w:sz w:val="22"/>
          <w:szCs w:val="22"/>
        </w:rPr>
        <w:t>: We understand that the level-1 texts provides for information on the marketing strategy of the CSP. However, we want to point out that marketing measures may vary significantly in relation to certain projects and therefore an exhaustive description on marketing strategy is difficult to give in advance. Most likely member states and frequency of press releases or advertisement will depend on the project owner's discretion and wishes to promote the project.</w:t>
      </w:r>
      <w:r w:rsidRPr="00525089">
        <w:rPr>
          <w:color w:val="000000"/>
          <w:sz w:val="22"/>
          <w:szCs w:val="22"/>
        </w:rPr>
        <w:br/>
      </w:r>
      <w:r w:rsidRPr="00525089">
        <w:rPr>
          <w:color w:val="000000"/>
          <w:sz w:val="22"/>
          <w:szCs w:val="22"/>
        </w:rPr>
        <w:br/>
        <w:t>In accordance with Art. 27 (5), the detailled description in F5SF3 would constitute an ex ante notification of marketing information, which is too burdensome for the platform. The German Crowdfunding association suggests that F5SF3 should only require to state the languages and member states where the CSP will be operating. We propose to delete the reference to "media visibility and frequency".</w:t>
      </w:r>
      <w:r w:rsidRPr="00525089">
        <w:rPr>
          <w:rStyle w:val="apple-converted-space"/>
          <w:color w:val="000000"/>
          <w:sz w:val="22"/>
          <w:szCs w:val="22"/>
        </w:rPr>
        <w:t> </w:t>
      </w:r>
      <w:r w:rsidRPr="00525089">
        <w:rPr>
          <w:color w:val="000000"/>
          <w:sz w:val="22"/>
          <w:szCs w:val="22"/>
        </w:rPr>
        <w:br/>
      </w:r>
      <w:r w:rsidRPr="00525089">
        <w:rPr>
          <w:color w:val="000000"/>
          <w:sz w:val="22"/>
          <w:szCs w:val="22"/>
        </w:rPr>
        <w:br/>
      </w:r>
      <w:r w:rsidRPr="00525089">
        <w:rPr>
          <w:b/>
          <w:bCs/>
          <w:color w:val="000000"/>
          <w:sz w:val="22"/>
          <w:szCs w:val="22"/>
        </w:rPr>
        <w:t>F 9 SF 4 D (b) / (c):</w:t>
      </w:r>
      <w:r w:rsidRPr="00525089">
        <w:rPr>
          <w:rStyle w:val="apple-converted-space"/>
          <w:color w:val="000000"/>
          <w:sz w:val="22"/>
          <w:szCs w:val="22"/>
        </w:rPr>
        <w:t> </w:t>
      </w:r>
      <w:r w:rsidRPr="00525089">
        <w:rPr>
          <w:color w:val="000000"/>
          <w:sz w:val="22"/>
          <w:szCs w:val="22"/>
        </w:rPr>
        <w:t>The draft RTS provides forecast accounting plans including balance sheets and a profit / loss accounts or income statements for the first three business years as well as the planning assumptions for the above. We would rather expect these forecasts as part of the business plan layed out in Field 5 and would therefore suggest to move any information related to planned bussiness growth and financial figures to be part of the information provided based on Art. 12 (2) lit. (d).</w:t>
      </w:r>
      <w:r w:rsidRPr="00525089">
        <w:rPr>
          <w:color w:val="000000"/>
          <w:sz w:val="22"/>
          <w:szCs w:val="22"/>
        </w:rPr>
        <w:br/>
      </w:r>
      <w:r w:rsidRPr="00525089">
        <w:rPr>
          <w:color w:val="000000"/>
          <w:sz w:val="22"/>
          <w:szCs w:val="22"/>
        </w:rPr>
        <w:br/>
      </w:r>
      <w:r w:rsidRPr="00525089">
        <w:rPr>
          <w:b/>
          <w:bCs/>
          <w:color w:val="000000"/>
          <w:sz w:val="22"/>
          <w:szCs w:val="22"/>
        </w:rPr>
        <w:t>F12 SF 1-10:</w:t>
      </w:r>
      <w:r w:rsidRPr="00525089">
        <w:rPr>
          <w:rStyle w:val="apple-converted-space"/>
          <w:color w:val="000000"/>
          <w:sz w:val="22"/>
          <w:szCs w:val="22"/>
        </w:rPr>
        <w:t> </w:t>
      </w:r>
      <w:r w:rsidRPr="00525089">
        <w:rPr>
          <w:color w:val="000000"/>
          <w:sz w:val="22"/>
          <w:szCs w:val="22"/>
        </w:rPr>
        <w:t xml:space="preserve">The Level-1 text talks only about the persons responsible for the management. The RTS extent the the Information provided in F12 SF 1-10 also to the shareholders companies. These seems excessive and not covered by Level 1 text. Level-1 text provides only information on the shareholders in relation to Art 12 (3) lit a., which discusses previous criminal records of shareholds, which is covered in SF8, but extending this to all subfields </w:t>
      </w:r>
      <w:r w:rsidR="000C2BB4" w:rsidRPr="000C2BB4">
        <w:rPr>
          <w:color w:val="000000"/>
          <w:sz w:val="22"/>
          <w:szCs w:val="22"/>
          <w:lang w:val="en-US"/>
        </w:rPr>
        <w:t>is</w:t>
      </w:r>
      <w:r w:rsidRPr="00525089">
        <w:rPr>
          <w:color w:val="000000"/>
          <w:sz w:val="22"/>
          <w:szCs w:val="22"/>
        </w:rPr>
        <w:t xml:space="preserve"> burdensome</w:t>
      </w:r>
      <w:r w:rsidR="000C2BB4" w:rsidRPr="000C2BB4">
        <w:rPr>
          <w:color w:val="000000"/>
          <w:sz w:val="22"/>
          <w:szCs w:val="22"/>
          <w:lang w:val="en-US"/>
        </w:rPr>
        <w:t xml:space="preserve"> fort he CSPs</w:t>
      </w:r>
      <w:r w:rsidRPr="00525089">
        <w:rPr>
          <w:color w:val="000000"/>
          <w:sz w:val="22"/>
          <w:szCs w:val="22"/>
        </w:rPr>
        <w:t>.</w:t>
      </w:r>
      <w:r w:rsidRPr="00525089">
        <w:rPr>
          <w:color w:val="000000"/>
          <w:sz w:val="22"/>
          <w:szCs w:val="22"/>
        </w:rPr>
        <w:br/>
      </w:r>
      <w:r w:rsidRPr="00525089">
        <w:rPr>
          <w:color w:val="000000"/>
          <w:sz w:val="22"/>
          <w:szCs w:val="22"/>
        </w:rPr>
        <w:br/>
      </w:r>
      <w:r w:rsidRPr="00525089">
        <w:rPr>
          <w:b/>
          <w:bCs/>
          <w:color w:val="000000"/>
          <w:sz w:val="22"/>
          <w:szCs w:val="22"/>
        </w:rPr>
        <w:t>F12 SF 1:</w:t>
      </w:r>
      <w:r w:rsidRPr="00525089">
        <w:rPr>
          <w:rStyle w:val="apple-converted-space"/>
          <w:color w:val="000000"/>
          <w:sz w:val="22"/>
          <w:szCs w:val="22"/>
        </w:rPr>
        <w:t> </w:t>
      </w:r>
      <w:r w:rsidRPr="00525089">
        <w:rPr>
          <w:color w:val="000000"/>
          <w:sz w:val="22"/>
          <w:szCs w:val="22"/>
        </w:rPr>
        <w:t>The structure of the company would better fit in F 1-3 or F 6. We think that it would suffice to inform about the shareholder structure (above 20% of the shares). It is not clear why a proof of good repute for all shareholders is required. This seems to be excessive and burdensome.</w:t>
      </w:r>
      <w:r w:rsidRPr="00525089">
        <w:rPr>
          <w:color w:val="000000"/>
          <w:sz w:val="22"/>
          <w:szCs w:val="22"/>
        </w:rPr>
        <w:br/>
      </w:r>
      <w:r w:rsidRPr="00525089">
        <w:rPr>
          <w:color w:val="000000"/>
          <w:sz w:val="22"/>
          <w:szCs w:val="22"/>
        </w:rPr>
        <w:br/>
      </w:r>
      <w:r w:rsidRPr="00525089">
        <w:rPr>
          <w:b/>
          <w:bCs/>
          <w:color w:val="000000"/>
          <w:sz w:val="22"/>
          <w:szCs w:val="22"/>
        </w:rPr>
        <w:t>F 13 SF9:</w:t>
      </w:r>
      <w:r w:rsidRPr="00525089">
        <w:rPr>
          <w:rStyle w:val="apple-converted-space"/>
          <w:b/>
          <w:bCs/>
          <w:color w:val="000000"/>
          <w:sz w:val="22"/>
          <w:szCs w:val="22"/>
        </w:rPr>
        <w:t> </w:t>
      </w:r>
      <w:r w:rsidRPr="00525089">
        <w:rPr>
          <w:color w:val="000000"/>
          <w:sz w:val="22"/>
          <w:szCs w:val="22"/>
        </w:rPr>
        <w:t>The German Crowdfunding Association suggests to delete F13 SF9 Lit c because the information is highly personal, especially when it comes to the rea</w:t>
      </w:r>
      <w:r w:rsidR="000C2BB4" w:rsidRPr="000C2BB4">
        <w:rPr>
          <w:color w:val="000000"/>
          <w:sz w:val="22"/>
          <w:szCs w:val="22"/>
          <w:lang w:val="en-US"/>
        </w:rPr>
        <w:t>s</w:t>
      </w:r>
      <w:r w:rsidRPr="00525089">
        <w:rPr>
          <w:color w:val="000000"/>
          <w:sz w:val="22"/>
          <w:szCs w:val="22"/>
        </w:rPr>
        <w:t>ons of departure of a job. Lit d already provides for information on the management personal professional experiences</w:t>
      </w:r>
      <w:r w:rsidR="000C2BB4" w:rsidRPr="000C2BB4">
        <w:rPr>
          <w:color w:val="000000"/>
          <w:sz w:val="22"/>
          <w:szCs w:val="22"/>
          <w:lang w:val="en-US"/>
        </w:rPr>
        <w:t xml:space="preserve">, which is </w:t>
      </w:r>
      <w:r w:rsidR="000C2BB4">
        <w:rPr>
          <w:color w:val="000000"/>
          <w:sz w:val="22"/>
          <w:szCs w:val="22"/>
          <w:lang w:val="en-US"/>
        </w:rPr>
        <w:t>sufficient for the NCA to assess the quality of the CSP</w:t>
      </w:r>
      <w:r w:rsidRPr="00525089">
        <w:rPr>
          <w:color w:val="000000"/>
          <w:sz w:val="22"/>
          <w:szCs w:val="22"/>
        </w:rPr>
        <w:t>.</w:t>
      </w:r>
      <w:r w:rsidRPr="00525089">
        <w:rPr>
          <w:color w:val="000000"/>
          <w:sz w:val="22"/>
          <w:szCs w:val="22"/>
        </w:rPr>
        <w:br/>
      </w:r>
      <w:r w:rsidRPr="00525089">
        <w:rPr>
          <w:color w:val="000000"/>
          <w:sz w:val="22"/>
          <w:szCs w:val="22"/>
        </w:rPr>
        <w:br/>
      </w:r>
      <w:r w:rsidRPr="00525089">
        <w:rPr>
          <w:b/>
          <w:bCs/>
          <w:color w:val="000000"/>
          <w:sz w:val="22"/>
          <w:szCs w:val="22"/>
        </w:rPr>
        <w:t>F 13 SF 10</w:t>
      </w:r>
      <w:r w:rsidRPr="00525089">
        <w:rPr>
          <w:color w:val="000000"/>
          <w:sz w:val="22"/>
          <w:szCs w:val="22"/>
        </w:rPr>
        <w:t>: The German Crowdfunding Association views F13 SF10 as too excessive and burdensome. We would propose to delete F13 SF 10 entirely. It would suffice to simply list other commitments in F13 SF9.</w:t>
      </w:r>
      <w:r w:rsidRPr="00525089">
        <w:rPr>
          <w:rStyle w:val="apple-converted-space"/>
          <w:color w:val="000000"/>
          <w:sz w:val="22"/>
          <w:szCs w:val="22"/>
        </w:rPr>
        <w:t>  </w:t>
      </w:r>
      <w:r w:rsidRPr="00525089">
        <w:rPr>
          <w:color w:val="000000"/>
          <w:sz w:val="22"/>
          <w:szCs w:val="22"/>
        </w:rPr>
        <w:br/>
      </w:r>
      <w:r w:rsidRPr="00525089">
        <w:rPr>
          <w:color w:val="000000"/>
          <w:sz w:val="22"/>
          <w:szCs w:val="22"/>
        </w:rPr>
        <w:br/>
      </w:r>
      <w:r w:rsidRPr="00525089">
        <w:rPr>
          <w:b/>
          <w:bCs/>
          <w:color w:val="000000"/>
          <w:sz w:val="22"/>
          <w:szCs w:val="22"/>
        </w:rPr>
        <w:t>F 19 D 1 lit. c)</w:t>
      </w:r>
      <w:r w:rsidRPr="00525089">
        <w:rPr>
          <w:rStyle w:val="apple-converted-space"/>
          <w:b/>
          <w:bCs/>
          <w:color w:val="000000"/>
          <w:sz w:val="22"/>
          <w:szCs w:val="22"/>
        </w:rPr>
        <w:t> </w:t>
      </w:r>
      <w:r w:rsidRPr="00525089">
        <w:rPr>
          <w:color w:val="000000"/>
          <w:sz w:val="22"/>
          <w:szCs w:val="22"/>
        </w:rPr>
        <w:t>The draft RTS refer to "Article 21 paragraph 42". This reference seems to be incorrect as there is no Art. 21 paragraph 42 in neither the ECSPR nor the delegated regulation referring to the application process.A clarification by ESMA as to the correct reference would be very much appreciated.</w:t>
      </w:r>
      <w:r w:rsidRPr="00525089">
        <w:rPr>
          <w:color w:val="000000"/>
          <w:sz w:val="22"/>
          <w:szCs w:val="22"/>
        </w:rPr>
        <w:br/>
      </w:r>
    </w:p>
    <w:permEnd w:id="1454397300"/>
    <w:p w14:paraId="208A9476" w14:textId="7571FAFE" w:rsidR="00492B3A" w:rsidRDefault="00492B3A" w:rsidP="00492B3A">
      <w:r>
        <w:t>&lt;ESMA_QUESTION_</w:t>
      </w:r>
      <w:r w:rsidR="00A014B6">
        <w:t>ECSP</w:t>
      </w:r>
      <w:r>
        <w:t>_5&gt;</w:t>
      </w:r>
    </w:p>
    <w:p w14:paraId="7F6E38EC" w14:textId="77777777" w:rsidR="00492B3A" w:rsidRDefault="00492B3A" w:rsidP="00492B3A"/>
    <w:p w14:paraId="428AAF91" w14:textId="5CE2CDC0" w:rsidR="00492B3A" w:rsidRDefault="00A014B6" w:rsidP="00492B3A">
      <w:pPr>
        <w:pStyle w:val="Questionstyle"/>
      </w:pPr>
      <w:r w:rsidRPr="00A014B6">
        <w:t>Do you agree with the list of information set out in draft RTS to be provided to the Competent Authority of the Member State where the applicant is established? If not, what other information should ESMA further specify?</w:t>
      </w:r>
    </w:p>
    <w:p w14:paraId="5D7E3500" w14:textId="70F34CE5" w:rsidR="00492B3A" w:rsidRDefault="00492B3A" w:rsidP="00492B3A">
      <w:r>
        <w:t>&lt;ESMA_QUESTION_</w:t>
      </w:r>
      <w:r w:rsidR="00A014B6">
        <w:t>ECSP</w:t>
      </w:r>
      <w:r>
        <w:t>_6&gt;</w:t>
      </w:r>
    </w:p>
    <w:p w14:paraId="0E244DB4" w14:textId="19AA0A55" w:rsidR="000C2BB4" w:rsidRPr="000C2BB4" w:rsidRDefault="000C2BB4" w:rsidP="00492B3A">
      <w:pPr>
        <w:rPr>
          <w:lang w:val="en-US"/>
        </w:rPr>
      </w:pPr>
      <w:permStart w:id="164587406" w:edGrp="everyone"/>
      <w:r w:rsidRPr="000C2BB4">
        <w:t xml:space="preserve">The German Crowdfunding Association believes that the information requested </w:t>
      </w:r>
      <w:r w:rsidRPr="000C2BB4">
        <w:rPr>
          <w:lang w:val="en-US"/>
        </w:rPr>
        <w:t>in</w:t>
      </w:r>
      <w:r w:rsidRPr="000C2BB4">
        <w:t xml:space="preserve"> the RTS is too excessive and burdensome for the application process. </w:t>
      </w:r>
      <w:r w:rsidRPr="000C2BB4">
        <w:rPr>
          <w:lang w:val="en-US"/>
        </w:rPr>
        <w:t>We antici</w:t>
      </w:r>
      <w:r>
        <w:rPr>
          <w:lang w:val="en-US"/>
        </w:rPr>
        <w:t xml:space="preserve">pate that </w:t>
      </w:r>
      <w:r w:rsidRPr="000C2BB4">
        <w:rPr>
          <w:lang w:val="en-US"/>
        </w:rPr>
        <w:t>e</w:t>
      </w:r>
      <w:r w:rsidRPr="000C2BB4">
        <w:t xml:space="preserve">specially for small platforms, the barriers to enter the ECSP-R will be too high. Art. 12 (2) in the Level-1 text has </w:t>
      </w:r>
      <w:r w:rsidRPr="000C2BB4">
        <w:lastRenderedPageBreak/>
        <w:t xml:space="preserve">been negotiated between Council, Parliament and Commission with the aim to standardize and streamline the application. However, </w:t>
      </w:r>
      <w:r w:rsidRPr="000C2BB4">
        <w:rPr>
          <w:lang w:val="en-US"/>
        </w:rPr>
        <w:t>as discussed in detail in Q</w:t>
      </w:r>
      <w:r>
        <w:rPr>
          <w:lang w:val="en-US"/>
        </w:rPr>
        <w:t xml:space="preserve">06, </w:t>
      </w:r>
      <w:r w:rsidRPr="000C2BB4">
        <w:t xml:space="preserve">the RTS in Annex VI often are beyond what </w:t>
      </w:r>
      <w:r w:rsidRPr="000C2BB4">
        <w:rPr>
          <w:lang w:val="en-US"/>
        </w:rPr>
        <w:t xml:space="preserve">the </w:t>
      </w:r>
      <w:r w:rsidRPr="000C2BB4">
        <w:t>Level-1-text requires. We believe that this will make the ECSP-R regime less attractive for platforms</w:t>
      </w:r>
      <w:r w:rsidRPr="000C2BB4">
        <w:rPr>
          <w:lang w:val="en-US"/>
        </w:rPr>
        <w:t>.</w:t>
      </w:r>
    </w:p>
    <w:p w14:paraId="37BAF8D6" w14:textId="77777777" w:rsidR="000C2BB4" w:rsidRDefault="000C2BB4" w:rsidP="00492B3A"/>
    <w:p w14:paraId="7A0C7BD5" w14:textId="18BBA697" w:rsidR="00492B3A" w:rsidRDefault="000C2BB4" w:rsidP="00492B3A">
      <w:r w:rsidRPr="000C2BB4">
        <w:rPr>
          <w:lang w:val="en-US"/>
        </w:rPr>
        <w:t>Therefore, we would strongly urge ESMA to either reduce the requirements or at l</w:t>
      </w:r>
      <w:r>
        <w:rPr>
          <w:lang w:val="en-US"/>
        </w:rPr>
        <w:t xml:space="preserve">east consider not to add any additional requirements for the application process for the </w:t>
      </w:r>
      <w:proofErr w:type="gramStart"/>
      <w:r>
        <w:rPr>
          <w:lang w:val="en-US"/>
        </w:rPr>
        <w:t>CSPs.</w:t>
      </w:r>
      <w:permEnd w:id="164587406"/>
      <w:r w:rsidR="00492B3A">
        <w:t>&lt;</w:t>
      </w:r>
      <w:proofErr w:type="gramEnd"/>
      <w:r w:rsidR="00492B3A">
        <w:t>ESMA_QUESTION_</w:t>
      </w:r>
      <w:r w:rsidR="00A014B6">
        <w:t>ECSP</w:t>
      </w:r>
      <w:r w:rsidR="00492B3A">
        <w:t>_6&gt;</w:t>
      </w:r>
    </w:p>
    <w:p w14:paraId="4BF785AD" w14:textId="77777777" w:rsidR="00492B3A" w:rsidRDefault="00492B3A" w:rsidP="00492B3A"/>
    <w:p w14:paraId="71D01BE1" w14:textId="387F7A54" w:rsidR="00492B3A" w:rsidRDefault="00A014B6" w:rsidP="00492B3A">
      <w:pPr>
        <w:pStyle w:val="Questionstyle"/>
      </w:pPr>
      <w:r w:rsidRPr="00A014B6">
        <w:t>Do you think that the methodologies provided in the draft RTS are sufficiently clear?</w:t>
      </w:r>
    </w:p>
    <w:p w14:paraId="57CA855E" w14:textId="4464B511" w:rsidR="00492B3A" w:rsidRDefault="00492B3A" w:rsidP="00492B3A">
      <w:r>
        <w:t>&lt;ESMA_QUESTION_</w:t>
      </w:r>
      <w:r w:rsidR="00A014B6">
        <w:t>ECSP</w:t>
      </w:r>
      <w:r>
        <w:t>_7&gt;</w:t>
      </w:r>
    </w:p>
    <w:p w14:paraId="694548C5" w14:textId="77777777" w:rsidR="000C2BB4" w:rsidRPr="00944334" w:rsidRDefault="000C2BB4" w:rsidP="000C2BB4">
      <w:pPr>
        <w:rPr>
          <w:color w:val="000000"/>
          <w:sz w:val="22"/>
          <w:szCs w:val="22"/>
        </w:rPr>
      </w:pPr>
      <w:permStart w:id="1191210126" w:edGrp="everyone"/>
      <w:r w:rsidRPr="00944334">
        <w:rPr>
          <w:color w:val="000000"/>
          <w:sz w:val="22"/>
          <w:szCs w:val="22"/>
        </w:rPr>
        <w:t>The German Crowdfunding Association would like to point out that it is not stipulated when the calculation of the default rates should begin. It would be appreciated if ESMA clarifies that the default rates calculation should only begin after the approval of the CSP by the NCA.</w:t>
      </w:r>
    </w:p>
    <w:p w14:paraId="4E97B3DC" w14:textId="77777777" w:rsidR="000C2BB4" w:rsidRPr="00944334" w:rsidRDefault="000C2BB4" w:rsidP="000C2BB4">
      <w:pPr>
        <w:rPr>
          <w:color w:val="000000"/>
          <w:sz w:val="22"/>
          <w:szCs w:val="22"/>
        </w:rPr>
      </w:pPr>
    </w:p>
    <w:p w14:paraId="41486508" w14:textId="58D3B035" w:rsidR="000C2BB4" w:rsidRPr="00944334" w:rsidRDefault="000C2BB4" w:rsidP="000C2BB4">
      <w:r w:rsidRPr="00944334">
        <w:rPr>
          <w:color w:val="000000"/>
          <w:sz w:val="22"/>
          <w:szCs w:val="22"/>
          <w:lang w:val="en-US"/>
        </w:rPr>
        <w:t>We also believe that t</w:t>
      </w:r>
      <w:r w:rsidRPr="00944334">
        <w:rPr>
          <w:color w:val="000000"/>
          <w:sz w:val="22"/>
          <w:szCs w:val="22"/>
        </w:rPr>
        <w:t xml:space="preserve">he definition of default </w:t>
      </w:r>
      <w:r w:rsidRPr="00944334">
        <w:rPr>
          <w:color w:val="000000"/>
          <w:sz w:val="22"/>
          <w:szCs w:val="22"/>
          <w:lang w:val="en-US"/>
        </w:rPr>
        <w:t xml:space="preserve">is too narrow. If a project owner enters a possible extension </w:t>
      </w:r>
      <w:r w:rsidR="00944334" w:rsidRPr="00944334">
        <w:rPr>
          <w:color w:val="000000"/>
          <w:sz w:val="22"/>
          <w:szCs w:val="22"/>
          <w:lang w:val="en-US"/>
        </w:rPr>
        <w:t>of the loan or the loan agreement receives a new</w:t>
      </w:r>
      <w:r w:rsidRPr="00944334">
        <w:rPr>
          <w:color w:val="000000"/>
          <w:sz w:val="22"/>
          <w:szCs w:val="22"/>
        </w:rPr>
        <w:t xml:space="preserve"> repayment schedule</w:t>
      </w:r>
      <w:r w:rsidR="00944334" w:rsidRPr="00944334">
        <w:rPr>
          <w:color w:val="000000"/>
          <w:sz w:val="22"/>
          <w:szCs w:val="22"/>
          <w:lang w:val="en-US"/>
        </w:rPr>
        <w:t xml:space="preserve">, it would be considered a default loan. </w:t>
      </w:r>
      <w:r w:rsidRPr="00944334">
        <w:rPr>
          <w:color w:val="000000"/>
          <w:sz w:val="22"/>
          <w:szCs w:val="22"/>
        </w:rPr>
        <w:t xml:space="preserve">The definition proposed by ESMA </w:t>
      </w:r>
      <w:r w:rsidR="00944334" w:rsidRPr="00944334">
        <w:rPr>
          <w:color w:val="000000"/>
          <w:sz w:val="22"/>
          <w:szCs w:val="22"/>
          <w:lang w:val="en-US"/>
        </w:rPr>
        <w:t>would imply that a failed project could not recover, which is not the case in standard market practice. We would urge ESMA to lengthen the default period beyond the 90 days proposed in the RTS.</w:t>
      </w:r>
      <w:r w:rsidRPr="00944334">
        <w:rPr>
          <w:color w:val="000000"/>
          <w:sz w:val="22"/>
          <w:szCs w:val="22"/>
        </w:rPr>
        <w:br/>
      </w:r>
      <w:r w:rsidRPr="00944334">
        <w:rPr>
          <w:color w:val="000000"/>
          <w:sz w:val="22"/>
          <w:szCs w:val="22"/>
        </w:rPr>
        <w:br/>
        <w:t xml:space="preserve">Furthermore, we want to stress that the CSPs should be </w:t>
      </w:r>
      <w:proofErr w:type="gramStart"/>
      <w:r w:rsidRPr="00944334">
        <w:rPr>
          <w:color w:val="000000"/>
          <w:sz w:val="22"/>
          <w:szCs w:val="22"/>
        </w:rPr>
        <w:t>open</w:t>
      </w:r>
      <w:proofErr w:type="gramEnd"/>
      <w:r w:rsidRPr="00944334">
        <w:rPr>
          <w:color w:val="000000"/>
          <w:sz w:val="22"/>
          <w:szCs w:val="22"/>
        </w:rPr>
        <w:t xml:space="preserve"> to display default rates based on different standards, for instance default rate standards established and maintained by the national associations of CSPs. The ECSP-R should not replace voluntary transparency regimes set up by the CSPs in their country.</w:t>
      </w:r>
    </w:p>
    <w:permEnd w:id="1191210126"/>
    <w:p w14:paraId="20867D23" w14:textId="4FDB6F5C" w:rsidR="00492B3A" w:rsidRDefault="00492B3A" w:rsidP="00492B3A">
      <w:r>
        <w:t>&lt;ESMA_QUESTION_</w:t>
      </w:r>
      <w:r w:rsidR="00A014B6">
        <w:t>ECSP</w:t>
      </w:r>
      <w:r>
        <w:t>_7&gt;</w:t>
      </w:r>
    </w:p>
    <w:p w14:paraId="627B65D4" w14:textId="77777777" w:rsidR="00492B3A" w:rsidRDefault="00492B3A" w:rsidP="00492B3A"/>
    <w:p w14:paraId="32FE661C" w14:textId="5213F1C6" w:rsidR="00492B3A" w:rsidRDefault="00A014B6" w:rsidP="00492B3A">
      <w:pPr>
        <w:pStyle w:val="Questionstyle"/>
      </w:pPr>
      <w:r w:rsidRPr="00A014B6">
        <w:t>Do you agree with the list of information set out in Article 4(1) of the draft RTS?</w:t>
      </w:r>
    </w:p>
    <w:p w14:paraId="64A00FD2" w14:textId="6FF09A74" w:rsidR="00492B3A" w:rsidRDefault="00492B3A" w:rsidP="00492B3A">
      <w:r>
        <w:t>&lt;ESMA_QUESTION_</w:t>
      </w:r>
      <w:r w:rsidR="00A014B6">
        <w:t>ECSP</w:t>
      </w:r>
      <w:r>
        <w:t>_8&gt;</w:t>
      </w:r>
    </w:p>
    <w:p w14:paraId="5CDC7795" w14:textId="56E2A7D6" w:rsidR="00944334" w:rsidRDefault="00944334" w:rsidP="00944334">
      <w:permStart w:id="21103909" w:edGrp="everyone"/>
      <w:r>
        <w:t xml:space="preserve">The German Crowdfunding Association is of the opinion that the list of information set out in Article 4(1) of the draft RTS is too extensive. </w:t>
      </w:r>
    </w:p>
    <w:p w14:paraId="10E47EDA" w14:textId="77777777" w:rsidR="00944334" w:rsidRDefault="00944334" w:rsidP="00944334"/>
    <w:p w14:paraId="1C11F2D3" w14:textId="1418A2D7" w:rsidR="00980CAF" w:rsidRDefault="00944334" w:rsidP="00944334">
      <w:r>
        <w:t xml:space="preserve">With view to </w:t>
      </w:r>
      <w:r w:rsidRPr="00980CAF">
        <w:rPr>
          <w:b/>
          <w:bCs/>
        </w:rPr>
        <w:t>Art. 57 in the RTS</w:t>
      </w:r>
      <w:r>
        <w:t xml:space="preserve">, we suggest to clarify in lit a) that the CSP only has to inquire whether the prospective investor has experience with the instrument used in the specific investment presented to the investor, not all possible instruments under the scope of the ECSP-R. We suggest that in lit b) it is clarified that the CSP only requests the volume of the respective instruments in the past five years. We suggest that in lit c) the platform simply asks a simple yes/no question whether the prospective investor is familiar with the risks of the proposed financial instruments. </w:t>
      </w:r>
    </w:p>
    <w:p w14:paraId="102BBC25" w14:textId="78DD8718" w:rsidR="00980CAF" w:rsidRDefault="00980CAF" w:rsidP="00944334"/>
    <w:p w14:paraId="659491A3" w14:textId="634BDA3F" w:rsidR="00980CAF" w:rsidRPr="00980CAF" w:rsidRDefault="00980CAF" w:rsidP="00944334">
      <w:pPr>
        <w:rPr>
          <w:lang w:val="en-US"/>
        </w:rPr>
      </w:pPr>
      <w:r w:rsidRPr="00980CAF">
        <w:rPr>
          <w:lang w:val="en-US"/>
        </w:rPr>
        <w:t xml:space="preserve">In the following table, we have put the requirements of </w:t>
      </w:r>
      <w:r>
        <w:rPr>
          <w:lang w:val="en-US"/>
        </w:rPr>
        <w:t>Level 1 and Level 2 next to each other. From the simple comparison, we can see that the Level 1 text is already quite detailed, and that Level 2 text increases the complexity. Since the instruments used in crowdfunding are generally not-complex instruments, such as loans and securities, the level of knowledge of the investor assessed by the CSP seems to be sufficient when considering the level 1 specification. Since the data also needs to be safely stored by the platform, we would urge ESMA to delete the following items:</w:t>
      </w:r>
    </w:p>
    <w:p w14:paraId="6A1AC17D" w14:textId="77777777" w:rsidR="00980CAF" w:rsidRDefault="00980CAF" w:rsidP="00944334"/>
    <w:tbl>
      <w:tblPr>
        <w:tblStyle w:val="TableGrid"/>
        <w:tblW w:w="0" w:type="auto"/>
        <w:tblLook w:val="04A0" w:firstRow="1" w:lastRow="0" w:firstColumn="1" w:lastColumn="0" w:noHBand="0" w:noVBand="1"/>
      </w:tblPr>
      <w:tblGrid>
        <w:gridCol w:w="4701"/>
        <w:gridCol w:w="4701"/>
      </w:tblGrid>
      <w:tr w:rsidR="00980CAF" w14:paraId="6A7A814D" w14:textId="77777777" w:rsidTr="00980CAF">
        <w:tc>
          <w:tcPr>
            <w:tcW w:w="4701" w:type="dxa"/>
          </w:tcPr>
          <w:p w14:paraId="39C72C3C" w14:textId="0E05DBA0" w:rsidR="00980CAF" w:rsidRPr="00980CAF" w:rsidRDefault="00980CAF" w:rsidP="00944334">
            <w:pPr>
              <w:rPr>
                <w:lang w:val="de-DE"/>
              </w:rPr>
            </w:pPr>
            <w:r>
              <w:rPr>
                <w:lang w:val="de-DE"/>
              </w:rPr>
              <w:t>ECSP-R Level 1</w:t>
            </w:r>
          </w:p>
        </w:tc>
        <w:tc>
          <w:tcPr>
            <w:tcW w:w="4701" w:type="dxa"/>
          </w:tcPr>
          <w:p w14:paraId="28F8C3C1" w14:textId="4729F418" w:rsidR="00980CAF" w:rsidRPr="00980CAF" w:rsidRDefault="00980CAF" w:rsidP="00944334">
            <w:pPr>
              <w:rPr>
                <w:lang w:val="de-DE"/>
              </w:rPr>
            </w:pPr>
            <w:r>
              <w:rPr>
                <w:lang w:val="de-DE"/>
              </w:rPr>
              <w:t>ESMA Level 2</w:t>
            </w:r>
          </w:p>
        </w:tc>
      </w:tr>
      <w:tr w:rsidR="00980CAF" w14:paraId="414D518C" w14:textId="77777777" w:rsidTr="00980CAF">
        <w:tc>
          <w:tcPr>
            <w:tcW w:w="4701" w:type="dxa"/>
          </w:tcPr>
          <w:p w14:paraId="6FABCB49" w14:textId="77777777" w:rsidR="00980CAF" w:rsidRDefault="00980CAF" w:rsidP="00980CAF"/>
          <w:p w14:paraId="2CA2A2D6" w14:textId="77777777" w:rsidR="00980CAF" w:rsidRDefault="00980CAF" w:rsidP="00980CAF">
            <w:r>
              <w:t>(a)</w:t>
            </w:r>
          </w:p>
          <w:p w14:paraId="764DB432" w14:textId="77777777" w:rsidR="00980CAF" w:rsidRDefault="00980CAF" w:rsidP="00980CAF">
            <w:r>
              <w:t>the prospective non-sophisticated investor’s past investments in transferable securities or past acquisitions of admitted instruments for crowdfunding purposes or loans, including in early or expansion stage businesses;</w:t>
            </w:r>
          </w:p>
          <w:p w14:paraId="1E06D4CF" w14:textId="77777777" w:rsidR="00980CAF" w:rsidRDefault="00980CAF" w:rsidP="00980CAF">
            <w:r>
              <w:t>(b)</w:t>
            </w:r>
          </w:p>
          <w:p w14:paraId="78BF5E08" w14:textId="071EB962" w:rsidR="00980CAF" w:rsidRDefault="00980CAF" w:rsidP="00980CAF">
            <w:r>
              <w:t>the prospective non-sophisticated investor’s understanding of the risks involved in granting loans, investing in transferable securities or acquiring admitted instruments for crowdfunding purposes through a crowdfunding platform, and professional experience in relation to crowdfunding investments.</w:t>
            </w:r>
          </w:p>
        </w:tc>
        <w:tc>
          <w:tcPr>
            <w:tcW w:w="4701" w:type="dxa"/>
          </w:tcPr>
          <w:p w14:paraId="167391E1" w14:textId="77777777" w:rsidR="00980CAF" w:rsidRDefault="00980CAF" w:rsidP="00980CAF">
            <w:r>
              <w:t>(a) the types of services, financial investments and, in particular, transferable securities, admitted instruments for crowdfunding purposes or loans, with which the non- sophisticated investor is familiar;</w:t>
            </w:r>
          </w:p>
          <w:p w14:paraId="6AB02FAA" w14:textId="77777777" w:rsidR="00980CAF" w:rsidRDefault="00980CAF" w:rsidP="00980CAF">
            <w:r>
              <w:t xml:space="preserve">(b) the nature, </w:t>
            </w:r>
            <w:r w:rsidRPr="00980CAF">
              <w:rPr>
                <w:strike/>
              </w:rPr>
              <w:t>volume and frequency</w:t>
            </w:r>
            <w:r>
              <w:t xml:space="preserve"> of the non-sophisticated investor's past transactions in transferable securities, admitted instruments for crowdfunding purposes or loans, including in early or expansion stage businesses, and the period over which they have been carried out; and</w:t>
            </w:r>
          </w:p>
          <w:p w14:paraId="60874ACC" w14:textId="04217F2D" w:rsidR="00980CAF" w:rsidRDefault="00980CAF" w:rsidP="00980CAF">
            <w:r>
              <w:t xml:space="preserve">(c) the </w:t>
            </w:r>
            <w:r w:rsidRPr="00980CAF">
              <w:rPr>
                <w:strike/>
              </w:rPr>
              <w:t>level of education, skills and</w:t>
            </w:r>
            <w:r>
              <w:t xml:space="preserve"> profession or relevant former profession of the non- sophisticated investor, including any professional experience in relation to crowdfunding investments.</w:t>
            </w:r>
          </w:p>
        </w:tc>
      </w:tr>
    </w:tbl>
    <w:p w14:paraId="37DAE881" w14:textId="77777777" w:rsidR="00980CAF" w:rsidRDefault="00980CAF" w:rsidP="00944334"/>
    <w:p w14:paraId="041883A8" w14:textId="0FB8401E" w:rsidR="00944334" w:rsidRPr="00980CAF" w:rsidRDefault="00944334" w:rsidP="00944334">
      <w:r>
        <w:t>We believe that prospective investors might be very reluctant to give this required information to the CSP.</w:t>
      </w:r>
      <w:r w:rsidR="00980CAF" w:rsidRPr="00980CAF">
        <w:rPr>
          <w:lang w:val="en-US"/>
        </w:rPr>
        <w:t xml:space="preserve"> </w:t>
      </w:r>
      <w:r w:rsidR="00980CAF" w:rsidRPr="00980CAF">
        <w:rPr>
          <w:lang w:val="en-US"/>
        </w:rPr>
        <w:t>Given the reduced complexity of instruments eligible to investors under the ECSP</w:t>
      </w:r>
      <w:r w:rsidR="00980CAF">
        <w:rPr>
          <w:lang w:val="en-US"/>
        </w:rPr>
        <w:t>-</w:t>
      </w:r>
      <w:r w:rsidR="00980CAF" w:rsidRPr="00980CAF">
        <w:rPr>
          <w:lang w:val="en-US"/>
        </w:rPr>
        <w:t xml:space="preserve">R, we propose to give even greater consideration to the proportionality principle. The comparable RTS in Art. 54(2) Regulation (EU) 2017/565 obliges investment firms to acquire all necessary information to ‘determine the extent of the information to be collected from clients in light of all the features of the investment advice or portfolio management services to be provided to those </w:t>
      </w:r>
      <w:proofErr w:type="gramStart"/>
      <w:r w:rsidR="00980CAF" w:rsidRPr="00980CAF">
        <w:rPr>
          <w:lang w:val="en-US"/>
        </w:rPr>
        <w:t>clients’</w:t>
      </w:r>
      <w:proofErr w:type="gramEnd"/>
      <w:r w:rsidR="00980CAF" w:rsidRPr="00980CAF">
        <w:rPr>
          <w:lang w:val="en-US"/>
        </w:rPr>
        <w:t>. Since the ECSPR solely allows the issuance of two classes of instruments, we propose to allow Crowdfunding Service Provider to waive at least some of the information requested in Art. 4(1) at their discretion if appropriate.</w:t>
      </w:r>
    </w:p>
    <w:p w14:paraId="3B7F70EA" w14:textId="77777777" w:rsidR="00944334" w:rsidRDefault="00944334" w:rsidP="00944334"/>
    <w:p w14:paraId="231B9348" w14:textId="4096F697" w:rsidR="00944334" w:rsidRPr="00980CAF" w:rsidRDefault="00944334" w:rsidP="00944334">
      <w:pPr>
        <w:rPr>
          <w:lang w:val="en-US"/>
        </w:rPr>
      </w:pPr>
      <w:r>
        <w:t xml:space="preserve">With regard to </w:t>
      </w:r>
      <w:r w:rsidRPr="00980CAF">
        <w:rPr>
          <w:b/>
          <w:bCs/>
        </w:rPr>
        <w:t>Art 59 of the RTS</w:t>
      </w:r>
      <w:r>
        <w:t>, we would ask ESMA to clarify the status of previous investors</w:t>
      </w:r>
      <w:r w:rsidR="00980CAF" w:rsidRPr="00980CAF">
        <w:rPr>
          <w:lang w:val="en-US"/>
        </w:rPr>
        <w:t>. T</w:t>
      </w:r>
      <w:r>
        <w:t xml:space="preserve">he German Crowdfunding association proposes that any investors on the platform which have registered </w:t>
      </w:r>
      <w:r w:rsidR="00980CAF" w:rsidRPr="00980CAF">
        <w:rPr>
          <w:lang w:val="en-US"/>
        </w:rPr>
        <w:t xml:space="preserve">and invested at least twice </w:t>
      </w:r>
      <w:r>
        <w:t>before the reception of the ECSP license by the platform should be given the status as sophisticated investor, as it can be safely assumed that they know how Crowdfunding works</w:t>
      </w:r>
      <w:r w:rsidR="00980CAF" w:rsidRPr="00980CAF">
        <w:rPr>
          <w:lang w:val="en-US"/>
        </w:rPr>
        <w:t>.</w:t>
      </w:r>
    </w:p>
    <w:p w14:paraId="73EDF590" w14:textId="77777777" w:rsidR="00944334" w:rsidRDefault="00944334" w:rsidP="00944334"/>
    <w:p w14:paraId="0AF28F4D" w14:textId="707F887F" w:rsidR="00944334" w:rsidRDefault="00944334" w:rsidP="00944334">
      <w:r>
        <w:t xml:space="preserve">With relevance to </w:t>
      </w:r>
      <w:r w:rsidRPr="00980CAF">
        <w:rPr>
          <w:b/>
          <w:bCs/>
        </w:rPr>
        <w:t>Art 56 of the RTS</w:t>
      </w:r>
      <w:r>
        <w:t xml:space="preserve">, the German Crowdfunding Association would like to express the view that Art. 3 (1) of Annex VIII goes beyond the text in Art 21 (5) ECSP-R. The level 1 text states that the entry knowledge test should take place "before giving prospective non-sophisticated investors full access to invest in crowdfunding projects on their crowdfunding platform". The RTS states that the entry knowledge test should take place ""prior to giving access to their crowdfunding platforms"". </w:t>
      </w:r>
    </w:p>
    <w:p w14:paraId="1670255D" w14:textId="77777777" w:rsidR="00944334" w:rsidRDefault="00944334" w:rsidP="00944334"/>
    <w:p w14:paraId="0C2D07BE" w14:textId="4BDE260C" w:rsidR="00980CAF" w:rsidRDefault="00944334" w:rsidP="00492B3A">
      <w:pPr>
        <w:rPr>
          <w:lang w:val="en-US"/>
        </w:rPr>
      </w:pPr>
      <w:r>
        <w:t>The market practice is that potential investors visit the CSP, click on a project description and read the project description, then click on an "Invest" button and then are on-boarded on the platform. During this on-boarding, the investor exploration can take place, but not before the visiting of the platform</w:t>
      </w:r>
      <w:r w:rsidR="00980CAF" w:rsidRPr="00980CAF">
        <w:rPr>
          <w:lang w:val="en-US"/>
        </w:rPr>
        <w:t>.</w:t>
      </w:r>
    </w:p>
    <w:permEnd w:id="21103909"/>
    <w:p w14:paraId="6C91EF19" w14:textId="431EB5B0" w:rsidR="00492B3A" w:rsidRDefault="00492B3A" w:rsidP="00492B3A">
      <w:r>
        <w:lastRenderedPageBreak/>
        <w:t>&lt;ESMA_QUESTION_</w:t>
      </w:r>
      <w:r w:rsidR="00A014B6">
        <w:t>ECSP</w:t>
      </w:r>
      <w:r>
        <w:t>_8&gt;</w:t>
      </w:r>
    </w:p>
    <w:p w14:paraId="358E7A29" w14:textId="77777777" w:rsidR="00492B3A" w:rsidRDefault="00492B3A" w:rsidP="00492B3A"/>
    <w:p w14:paraId="35F135E9" w14:textId="15460A10" w:rsidR="00492B3A" w:rsidRDefault="00A014B6" w:rsidP="00492B3A">
      <w:pPr>
        <w:pStyle w:val="Questionstyle"/>
      </w:pPr>
      <w:r w:rsidRPr="00A014B6">
        <w:t>Do you agree that requiring CSPs to make available to prospective non-sophisticated investors an online calculation tool will improve investor protection by simplifying the process of simulation of the ability to bear losses</w:t>
      </w:r>
      <w:r w:rsidR="00871D24">
        <w:t>?</w:t>
      </w:r>
    </w:p>
    <w:p w14:paraId="01ADFC46" w14:textId="30D333F7" w:rsidR="00492B3A" w:rsidRDefault="00492B3A" w:rsidP="00492B3A">
      <w:r>
        <w:t>&lt;ESMA_QUESTION_</w:t>
      </w:r>
      <w:r w:rsidR="00A014B6">
        <w:t>ECSP</w:t>
      </w:r>
      <w:r>
        <w:t>_9&gt;</w:t>
      </w:r>
    </w:p>
    <w:p w14:paraId="5F92674F" w14:textId="4B656D21" w:rsidR="00D7256D" w:rsidRDefault="00D7256D" w:rsidP="00492B3A">
      <w:pPr>
        <w:rPr>
          <w:lang w:val="en-US"/>
        </w:rPr>
      </w:pPr>
      <w:permStart w:id="70807355" w:edGrp="everyone"/>
      <w:r w:rsidRPr="00D7256D">
        <w:t>The German Crowdfunding Association appreciates that the ESMA clarifies how the tool is set up and how a potential loss can be simulated. However, we also think that the practical value of the online tool will be negligable</w:t>
      </w:r>
      <w:r w:rsidRPr="00D7256D">
        <w:rPr>
          <w:lang w:val="en-US"/>
        </w:rPr>
        <w:t>.</w:t>
      </w:r>
    </w:p>
    <w:p w14:paraId="0D18620F" w14:textId="1110CB20" w:rsidR="00D7256D" w:rsidRDefault="00D7256D" w:rsidP="00492B3A">
      <w:pPr>
        <w:rPr>
          <w:lang w:val="en-US"/>
        </w:rPr>
      </w:pPr>
    </w:p>
    <w:p w14:paraId="4C4D51BB" w14:textId="478DB2C2" w:rsidR="00D7256D" w:rsidRPr="00D7256D" w:rsidRDefault="00D7256D" w:rsidP="00492B3A">
      <w:r>
        <w:rPr>
          <w:lang w:val="en-US"/>
        </w:rPr>
        <w:t xml:space="preserve">We would also like to point to </w:t>
      </w:r>
      <w:r w:rsidRPr="00D7256D">
        <w:rPr>
          <w:lang w:val="en-US"/>
        </w:rPr>
        <w:t>a</w:t>
      </w:r>
      <w:r>
        <w:rPr>
          <w:lang w:val="en-US"/>
        </w:rPr>
        <w:t xml:space="preserve">n </w:t>
      </w:r>
      <w:r w:rsidRPr="00D7256D">
        <w:t xml:space="preserve">inconsistency between point 4 of the preamble and </w:t>
      </w:r>
      <w:r w:rsidRPr="00D7256D">
        <w:rPr>
          <w:lang w:val="en-US"/>
        </w:rPr>
        <w:t>Art</w:t>
      </w:r>
      <w:r w:rsidRPr="00D7256D">
        <w:t xml:space="preserve"> 6</w:t>
      </w:r>
      <w:r w:rsidRPr="00D7256D">
        <w:rPr>
          <w:lang w:val="en-US"/>
        </w:rPr>
        <w:t xml:space="preserve"> </w:t>
      </w:r>
      <w:r>
        <w:rPr>
          <w:lang w:val="en-US"/>
        </w:rPr>
        <w:t>(5</w:t>
      </w:r>
      <w:proofErr w:type="gramStart"/>
      <w:r>
        <w:rPr>
          <w:lang w:val="en-US"/>
        </w:rPr>
        <w:t xml:space="preserve">) </w:t>
      </w:r>
      <w:r w:rsidRPr="00D7256D">
        <w:t>.</w:t>
      </w:r>
      <w:proofErr w:type="gramEnd"/>
      <w:r w:rsidRPr="00D7256D">
        <w:t xml:space="preserve"> </w:t>
      </w:r>
      <w:r w:rsidRPr="00D7256D">
        <w:rPr>
          <w:lang w:val="en-US"/>
        </w:rPr>
        <w:t>According to</w:t>
      </w:r>
      <w:r>
        <w:rPr>
          <w:lang w:val="en-US"/>
        </w:rPr>
        <w:t xml:space="preserve"> </w:t>
      </w:r>
      <w:r w:rsidRPr="00D7256D">
        <w:rPr>
          <w:lang w:val="en-US"/>
        </w:rPr>
        <w:t>the Level-1</w:t>
      </w:r>
      <w:r>
        <w:rPr>
          <w:lang w:val="en-US"/>
        </w:rPr>
        <w:t>-text</w:t>
      </w:r>
      <w:r w:rsidR="007F011C">
        <w:rPr>
          <w:lang w:val="en-US"/>
        </w:rPr>
        <w:t xml:space="preserve"> in Art. 21</w:t>
      </w:r>
      <w:r>
        <w:rPr>
          <w:lang w:val="en-US"/>
        </w:rPr>
        <w:t xml:space="preserve">, </w:t>
      </w:r>
      <w:r w:rsidRPr="00D7256D">
        <w:t xml:space="preserve">the platform </w:t>
      </w:r>
      <w:r w:rsidR="007F011C" w:rsidRPr="007F011C">
        <w:rPr>
          <w:lang w:val="en-US"/>
        </w:rPr>
        <w:t>shall</w:t>
      </w:r>
      <w:r w:rsidRPr="00D7256D">
        <w:t xml:space="preserve"> provide the potential unsophisticated investor with </w:t>
      </w:r>
      <w:r w:rsidRPr="00D7256D">
        <w:rPr>
          <w:lang w:val="en-US"/>
        </w:rPr>
        <w:t xml:space="preserve">the tool </w:t>
      </w:r>
      <w:r>
        <w:rPr>
          <w:lang w:val="en-US"/>
        </w:rPr>
        <w:t>to calculate the losses</w:t>
      </w:r>
      <w:r w:rsidR="007F011C">
        <w:rPr>
          <w:lang w:val="en-US"/>
        </w:rPr>
        <w:t>, but it can also offer this opportunity without using the tool</w:t>
      </w:r>
      <w:r>
        <w:rPr>
          <w:lang w:val="en-US"/>
        </w:rPr>
        <w:t xml:space="preserve">. </w:t>
      </w:r>
      <w:r w:rsidRPr="00D7256D">
        <w:t xml:space="preserve">The term used </w:t>
      </w:r>
      <w:r w:rsidRPr="00D7256D">
        <w:rPr>
          <w:lang w:val="en-US"/>
        </w:rPr>
        <w:t>in the RTS</w:t>
      </w:r>
      <w:r w:rsidRPr="00D7256D">
        <w:t xml:space="preserve"> in </w:t>
      </w:r>
      <w:r w:rsidR="007F011C" w:rsidRPr="007F011C">
        <w:rPr>
          <w:lang w:val="en-US"/>
        </w:rPr>
        <w:t xml:space="preserve">recital 4  of the </w:t>
      </w:r>
      <w:r w:rsidRPr="00D7256D">
        <w:t>preamble is "should", while Article 6 states "may". We suggest that ESMA replace the term "should" in the preamble with the word "may".</w:t>
      </w:r>
    </w:p>
    <w:permEnd w:id="70807355"/>
    <w:p w14:paraId="293286B0" w14:textId="220F986A" w:rsidR="00492B3A" w:rsidRDefault="00492B3A" w:rsidP="00492B3A">
      <w:r>
        <w:t>&lt;ESMA_QUESTION_</w:t>
      </w:r>
      <w:r w:rsidR="00A014B6">
        <w:t>ECSP</w:t>
      </w:r>
      <w:r>
        <w:t>_9&gt;</w:t>
      </w:r>
    </w:p>
    <w:p w14:paraId="1265C514" w14:textId="77777777" w:rsidR="00492B3A" w:rsidRDefault="00492B3A" w:rsidP="00492B3A"/>
    <w:p w14:paraId="65464EDE" w14:textId="3798EC55" w:rsidR="00492B3A" w:rsidRDefault="00A014B6" w:rsidP="00492B3A">
      <w:pPr>
        <w:pStyle w:val="Questionstyle"/>
      </w:pPr>
      <w:r w:rsidRPr="00A014B6">
        <w:t>Do you agree with the suggested method to calculate the non-sophisticated investor</w:t>
      </w:r>
      <w:r w:rsidR="00871D24">
        <w:t>’s</w:t>
      </w:r>
      <w:r w:rsidRPr="00A014B6">
        <w:t xml:space="preserve"> net worth?</w:t>
      </w:r>
    </w:p>
    <w:p w14:paraId="554C7E7D" w14:textId="00884275" w:rsidR="00492B3A" w:rsidRDefault="00492B3A" w:rsidP="00492B3A">
      <w:r>
        <w:t>&lt;ESMA_QUESTION_</w:t>
      </w:r>
      <w:r w:rsidR="00A014B6">
        <w:t>ECSP</w:t>
      </w:r>
      <w:r>
        <w:t>_10&gt;</w:t>
      </w:r>
    </w:p>
    <w:p w14:paraId="19B0F354" w14:textId="35400DE2" w:rsidR="007F011C" w:rsidRDefault="007F011C" w:rsidP="00492B3A">
      <w:permStart w:id="1969951227" w:edGrp="everyone"/>
      <w:r w:rsidRPr="007F011C">
        <w:t xml:space="preserve">The German Crowdfunding association agrees with the suggest method to calculate the non-sophisticated investor's net worth. </w:t>
      </w:r>
      <w:r>
        <w:rPr>
          <w:lang w:val="en-US"/>
        </w:rPr>
        <w:t>However, in light of data protection and data storage, we regard</w:t>
      </w:r>
      <w:r w:rsidR="001F5081">
        <w:rPr>
          <w:lang w:val="en-US"/>
        </w:rPr>
        <w:t xml:space="preserve"> it as </w:t>
      </w:r>
      <w:r w:rsidRPr="007F011C">
        <w:t xml:space="preserve">too intrusive to ask potential investors to declare in </w:t>
      </w:r>
      <w:r w:rsidR="001F5081" w:rsidRPr="001F5081">
        <w:rPr>
          <w:lang w:val="en-US"/>
        </w:rPr>
        <w:t xml:space="preserve">great </w:t>
      </w:r>
      <w:r w:rsidRPr="007F011C">
        <w:t>detail</w:t>
      </w:r>
      <w:r w:rsidR="001F5081" w:rsidRPr="001F5081">
        <w:rPr>
          <w:lang w:val="en-US"/>
        </w:rPr>
        <w:t xml:space="preserve"> their assets</w:t>
      </w:r>
      <w:r w:rsidRPr="007F011C">
        <w:t>.</w:t>
      </w:r>
    </w:p>
    <w:p w14:paraId="534012E8" w14:textId="77777777" w:rsidR="007F011C" w:rsidRDefault="007F011C" w:rsidP="00492B3A"/>
    <w:p w14:paraId="0E1CA2CD" w14:textId="1564FA6F" w:rsidR="007F011C" w:rsidRDefault="007F011C" w:rsidP="00492B3A">
      <w:r w:rsidRPr="007F011C">
        <w:t>We would like to point out that some elements are less clear than others. For instance,  Art 10 (1) lit f) refers to payments for subscription services, which could in theory relate to all kinds of costs, for instance a Spotify or Netflix subscription. We propose to delete lit f) as these payments for subscription services are in general not long-term financial commitments</w:t>
      </w:r>
    </w:p>
    <w:p w14:paraId="1CD8F45C" w14:textId="6E74B3A5" w:rsidR="00492B3A" w:rsidRDefault="007F011C" w:rsidP="00492B3A">
      <w:r w:rsidRPr="007F011C">
        <w:t>.</w:t>
      </w:r>
      <w:permEnd w:id="1969951227"/>
      <w:r w:rsidR="00492B3A">
        <w:t>&lt;ESMA_QUESTION_</w:t>
      </w:r>
      <w:r w:rsidR="00A014B6">
        <w:t>ECSP</w:t>
      </w:r>
      <w:r w:rsidR="00492B3A">
        <w:t>_10&gt;</w:t>
      </w:r>
    </w:p>
    <w:p w14:paraId="4A233221" w14:textId="77777777" w:rsidR="00492B3A" w:rsidRDefault="00492B3A" w:rsidP="00492B3A"/>
    <w:p w14:paraId="43470B7B" w14:textId="649ADADC" w:rsidR="00492B3A" w:rsidRDefault="00A014B6" w:rsidP="00492B3A">
      <w:pPr>
        <w:pStyle w:val="Questionstyle"/>
      </w:pPr>
      <w:r w:rsidRPr="00A014B6">
        <w:t>Do you agree with the extent of the provisions that ESMA proposes to specify the ECSPR’s requirements for the KIIS model? Please also state the reasons for your answer.</w:t>
      </w:r>
    </w:p>
    <w:p w14:paraId="17905251" w14:textId="47FB8986" w:rsidR="00492B3A" w:rsidRDefault="00492B3A" w:rsidP="00492B3A">
      <w:r>
        <w:t>&lt;ESMA_QUESTION_</w:t>
      </w:r>
      <w:r w:rsidR="00A014B6">
        <w:t>ECSP</w:t>
      </w:r>
      <w:r>
        <w:t>_11&gt;</w:t>
      </w:r>
    </w:p>
    <w:p w14:paraId="3D029182" w14:textId="7A1277C4" w:rsidR="00F404A3" w:rsidRPr="00F404A3" w:rsidRDefault="00F404A3" w:rsidP="00F404A3">
      <w:pPr>
        <w:rPr>
          <w:sz w:val="22"/>
          <w:szCs w:val="22"/>
        </w:rPr>
      </w:pPr>
      <w:permStart w:id="947678092" w:edGrp="everyone"/>
      <w:r w:rsidRPr="00F404A3">
        <w:rPr>
          <w:b/>
          <w:bCs/>
          <w:color w:val="000000"/>
          <w:sz w:val="22"/>
          <w:szCs w:val="22"/>
        </w:rPr>
        <w:t>Overview of the offer:</w:t>
      </w:r>
      <w:r w:rsidRPr="00F404A3">
        <w:rPr>
          <w:rStyle w:val="apple-converted-space"/>
          <w:color w:val="000000"/>
          <w:sz w:val="22"/>
          <w:szCs w:val="22"/>
        </w:rPr>
        <w:t> </w:t>
      </w:r>
      <w:r w:rsidRPr="00F404A3">
        <w:rPr>
          <w:color w:val="000000"/>
          <w:sz w:val="22"/>
          <w:szCs w:val="22"/>
        </w:rPr>
        <w:t>We appreciate ESMAs intention to improve transparency and comparability of crowdfunding projects. Thus, we support the additional overview of the offer prior to the mandatory information set out in Art. 23 and Annex I ECSPR for the KIIS.</w:t>
      </w:r>
      <w:r w:rsidRPr="00F404A3">
        <w:rPr>
          <w:rStyle w:val="apple-converted-space"/>
          <w:color w:val="000000"/>
          <w:sz w:val="22"/>
          <w:szCs w:val="22"/>
        </w:rPr>
        <w:t> </w:t>
      </w:r>
      <w:r w:rsidRPr="00F404A3">
        <w:rPr>
          <w:color w:val="000000"/>
          <w:sz w:val="22"/>
          <w:szCs w:val="22"/>
        </w:rPr>
        <w:br/>
      </w:r>
      <w:r w:rsidRPr="00F404A3">
        <w:rPr>
          <w:color w:val="000000"/>
          <w:sz w:val="22"/>
          <w:szCs w:val="22"/>
        </w:rPr>
        <w:br/>
        <w:t>However, we want to point out that even better comparability of offers could be accomplished for potential investors, if additional key information would be part of the overview. We would imagine that information on the interest rate / yield, the term of the instrument or the investment sector (e.g. corporate financing, reneewable energy, sustainability projects or real estate investments) would give investors even better possiblity to compare investments that could be of interest.</w:t>
      </w:r>
      <w:r w:rsidRPr="00F404A3">
        <w:rPr>
          <w:color w:val="000000"/>
          <w:sz w:val="22"/>
          <w:szCs w:val="22"/>
        </w:rPr>
        <w:br/>
      </w:r>
      <w:r w:rsidRPr="00F404A3">
        <w:rPr>
          <w:color w:val="000000"/>
          <w:sz w:val="22"/>
          <w:szCs w:val="22"/>
        </w:rPr>
        <w:br/>
      </w:r>
      <w:r w:rsidRPr="00F404A3">
        <w:rPr>
          <w:b/>
          <w:bCs/>
          <w:color w:val="000000"/>
          <w:sz w:val="22"/>
          <w:szCs w:val="22"/>
        </w:rPr>
        <w:t>Pre-Contractual Reflection Period:</w:t>
      </w:r>
      <w:r w:rsidRPr="00F404A3">
        <w:rPr>
          <w:rStyle w:val="apple-converted-space"/>
          <w:color w:val="000000"/>
          <w:sz w:val="22"/>
          <w:szCs w:val="22"/>
        </w:rPr>
        <w:t> </w:t>
      </w:r>
      <w:r w:rsidRPr="00F404A3">
        <w:rPr>
          <w:color w:val="000000"/>
          <w:sz w:val="22"/>
          <w:szCs w:val="22"/>
        </w:rPr>
        <w:t>On page 134 within the third box, the draft RTS adresses the pre-</w:t>
      </w:r>
      <w:r w:rsidRPr="00F404A3">
        <w:rPr>
          <w:color w:val="000000"/>
          <w:sz w:val="22"/>
          <w:szCs w:val="22"/>
        </w:rPr>
        <w:lastRenderedPageBreak/>
        <w:t>contractual reflection period for non-sophisticated investors set forth in Art. 22 and Annex I Part B lit. g) ECSPR. This pre-contractual reflection period is functionally equivalent to other revocation rights granted to investors by other EU legislature (e.g. by Directive 2002/65/EG concerning the distance marketing of consumer financial services). However, the Draft RTS in Annex XI only takes into account the stipulations set forth in the ECSPR. The relation to other revocation rights vested in investors is not accounted for.</w:t>
      </w:r>
      <w:r w:rsidRPr="00F404A3">
        <w:rPr>
          <w:rStyle w:val="apple-converted-space"/>
          <w:color w:val="000000"/>
          <w:sz w:val="22"/>
          <w:szCs w:val="22"/>
        </w:rPr>
        <w:t> </w:t>
      </w:r>
      <w:r w:rsidRPr="00F404A3">
        <w:rPr>
          <w:color w:val="000000"/>
          <w:sz w:val="22"/>
          <w:szCs w:val="22"/>
        </w:rPr>
        <w:br/>
      </w:r>
      <w:r w:rsidRPr="00F404A3">
        <w:rPr>
          <w:color w:val="000000"/>
          <w:sz w:val="22"/>
          <w:szCs w:val="22"/>
        </w:rPr>
        <w:br/>
        <w:t>The KIIS is not part of a necessary permissions procedure involving BaFin or ESMA, but rather falls into the sole responsibility of the CSP. Therefore a clarification by ESMA regarding the relation to other functional equivalents to this pre-contractual reflection period based on EU law would be very much appreciated.</w:t>
      </w:r>
      <w:r w:rsidRPr="00F404A3">
        <w:rPr>
          <w:rStyle w:val="apple-converted-space"/>
          <w:color w:val="000000"/>
          <w:sz w:val="22"/>
          <w:szCs w:val="22"/>
        </w:rPr>
        <w:t> </w:t>
      </w:r>
      <w:r w:rsidRPr="00F404A3">
        <w:rPr>
          <w:color w:val="000000"/>
          <w:sz w:val="22"/>
          <w:szCs w:val="22"/>
        </w:rPr>
        <w:br/>
      </w:r>
      <w:r w:rsidRPr="00F404A3">
        <w:rPr>
          <w:color w:val="000000"/>
          <w:sz w:val="22"/>
          <w:szCs w:val="22"/>
        </w:rPr>
        <w:br/>
        <w:t>We would like to propose the following text block for this field:</w:t>
      </w:r>
      <w:r w:rsidRPr="00F404A3">
        <w:rPr>
          <w:rStyle w:val="apple-converted-space"/>
          <w:color w:val="000000"/>
          <w:sz w:val="22"/>
          <w:szCs w:val="22"/>
        </w:rPr>
        <w:t> </w:t>
      </w:r>
      <w:r w:rsidRPr="00F404A3">
        <w:rPr>
          <w:color w:val="000000"/>
          <w:sz w:val="22"/>
          <w:szCs w:val="22"/>
        </w:rPr>
        <w:br/>
        <w:t>- Short text module: Other revocation rights based on national / EU law are not affected by this pre-contractual reflection period.</w:t>
      </w:r>
      <w:r w:rsidRPr="00F404A3">
        <w:rPr>
          <w:rStyle w:val="apple-converted-space"/>
          <w:color w:val="000000"/>
          <w:sz w:val="22"/>
          <w:szCs w:val="22"/>
        </w:rPr>
        <w:t> </w:t>
      </w:r>
      <w:r w:rsidRPr="00F404A3">
        <w:rPr>
          <w:color w:val="000000"/>
          <w:sz w:val="22"/>
          <w:szCs w:val="22"/>
        </w:rPr>
        <w:br/>
      </w:r>
      <w:r w:rsidRPr="00F404A3">
        <w:rPr>
          <w:color w:val="000000"/>
          <w:sz w:val="22"/>
          <w:szCs w:val="22"/>
        </w:rPr>
        <w:br/>
      </w:r>
      <w:r w:rsidRPr="00F404A3">
        <w:rPr>
          <w:b/>
          <w:bCs/>
          <w:color w:val="000000"/>
          <w:sz w:val="22"/>
          <w:szCs w:val="22"/>
        </w:rPr>
        <w:t>A a) Ownership:</w:t>
      </w:r>
      <w:r w:rsidRPr="00F404A3">
        <w:rPr>
          <w:rStyle w:val="apple-converted-space"/>
          <w:b/>
          <w:bCs/>
          <w:color w:val="000000"/>
          <w:sz w:val="22"/>
          <w:szCs w:val="22"/>
        </w:rPr>
        <w:t> </w:t>
      </w:r>
      <w:r w:rsidRPr="00F404A3">
        <w:rPr>
          <w:color w:val="000000"/>
          <w:sz w:val="22"/>
          <w:szCs w:val="22"/>
        </w:rPr>
        <w:t>Part A lit. a) stipulates a "brief description of the ownership structure". Given the informative character of such a description it would be appreciated if ESMA would clarify that not every shareholder needs to be accounted for in this description. Rather the Project Owner should be obliged to render account on its major shareholders or those holding a blocking minority, i.e. shareholders with 25 % or more. Other minority shareholders may be cumulatively refer</w:t>
      </w:r>
      <w:r w:rsidR="00B30475" w:rsidRPr="00B30475">
        <w:rPr>
          <w:color w:val="000000"/>
          <w:sz w:val="22"/>
          <w:szCs w:val="22"/>
          <w:lang w:val="en-US"/>
        </w:rPr>
        <w:t>r</w:t>
      </w:r>
      <w:r w:rsidRPr="00F404A3">
        <w:rPr>
          <w:color w:val="000000"/>
          <w:sz w:val="22"/>
          <w:szCs w:val="22"/>
        </w:rPr>
        <w:t>ed to as such.</w:t>
      </w:r>
      <w:r w:rsidRPr="00F404A3">
        <w:rPr>
          <w:color w:val="000000"/>
          <w:sz w:val="22"/>
          <w:szCs w:val="22"/>
        </w:rPr>
        <w:br/>
      </w:r>
      <w:r w:rsidRPr="00F404A3">
        <w:rPr>
          <w:color w:val="000000"/>
          <w:sz w:val="22"/>
          <w:szCs w:val="22"/>
        </w:rPr>
        <w:br/>
      </w:r>
      <w:r w:rsidRPr="00F404A3">
        <w:rPr>
          <w:b/>
          <w:bCs/>
          <w:color w:val="000000"/>
          <w:sz w:val="22"/>
          <w:szCs w:val="22"/>
        </w:rPr>
        <w:t>A a) Conflict of interest</w:t>
      </w:r>
      <w:r w:rsidRPr="00F404A3">
        <w:rPr>
          <w:rStyle w:val="apple-converted-space"/>
          <w:color w:val="000000"/>
          <w:sz w:val="22"/>
          <w:szCs w:val="22"/>
        </w:rPr>
        <w:t> </w:t>
      </w:r>
      <w:r w:rsidRPr="00F404A3">
        <w:rPr>
          <w:color w:val="000000"/>
          <w:sz w:val="22"/>
          <w:szCs w:val="22"/>
        </w:rPr>
        <w:t>Part A lit. a) of the draft RTS allows for a description of potential conflict of interests, that was not provided for in the Level 1-texts of the ECSPR. We understand this provision to be optional due to its wording ""if so, please descibe"".</w:t>
      </w:r>
      <w:r w:rsidRPr="00F404A3">
        <w:rPr>
          <w:rStyle w:val="apple-converted-space"/>
          <w:color w:val="000000"/>
          <w:sz w:val="22"/>
          <w:szCs w:val="22"/>
        </w:rPr>
        <w:t> </w:t>
      </w:r>
      <w:r w:rsidRPr="00F404A3">
        <w:rPr>
          <w:color w:val="000000"/>
          <w:sz w:val="22"/>
          <w:szCs w:val="22"/>
        </w:rPr>
        <w:br/>
      </w:r>
      <w:r w:rsidRPr="00F404A3">
        <w:rPr>
          <w:color w:val="000000"/>
          <w:sz w:val="22"/>
          <w:szCs w:val="22"/>
        </w:rPr>
        <w:br/>
        <w:t>However, as being part of the information on the project owner and the crowdfunding project we interpret that this information refers to a potential conflict of interests to necessarily arise between the project owner and the investors. We cannot think of a scenario where this would apply and therefore appreciate if ESMA could clarify what situations it had on mind for this provision, or delete this provision entirely.</w:t>
      </w:r>
      <w:r w:rsidRPr="00F404A3">
        <w:rPr>
          <w:rStyle w:val="apple-converted-space"/>
          <w:color w:val="000000"/>
          <w:sz w:val="22"/>
          <w:szCs w:val="22"/>
        </w:rPr>
        <w:t> </w:t>
      </w:r>
      <w:r w:rsidRPr="00F404A3">
        <w:rPr>
          <w:color w:val="000000"/>
          <w:sz w:val="22"/>
          <w:szCs w:val="22"/>
        </w:rPr>
        <w:br/>
      </w:r>
      <w:r w:rsidRPr="00F404A3">
        <w:rPr>
          <w:color w:val="000000"/>
          <w:sz w:val="22"/>
          <w:szCs w:val="22"/>
        </w:rPr>
        <w:br/>
      </w:r>
      <w:r w:rsidRPr="00F404A3">
        <w:rPr>
          <w:b/>
          <w:bCs/>
          <w:color w:val="000000"/>
          <w:sz w:val="22"/>
          <w:szCs w:val="22"/>
        </w:rPr>
        <w:t>B a) Number of offers</w:t>
      </w:r>
      <w:r w:rsidRPr="00F404A3">
        <w:rPr>
          <w:rStyle w:val="apple-converted-space"/>
          <w:b/>
          <w:bCs/>
          <w:color w:val="000000"/>
          <w:sz w:val="22"/>
          <w:szCs w:val="22"/>
        </w:rPr>
        <w:t> </w:t>
      </w:r>
      <w:r w:rsidRPr="00F404A3">
        <w:rPr>
          <w:b/>
          <w:bCs/>
          <w:color w:val="000000"/>
          <w:sz w:val="22"/>
          <w:szCs w:val="22"/>
        </w:rPr>
        <w:t>already completed for this crowdfunding project</w:t>
      </w:r>
      <w:r w:rsidRPr="00F404A3">
        <w:rPr>
          <w:color w:val="000000"/>
          <w:sz w:val="22"/>
          <w:szCs w:val="22"/>
        </w:rPr>
        <w:t>: Part B lit. a) provides for the project owner to disclose any number of offers with regard to the crowdfunding project that have already been completed. The provision distinguishes between publicly and nonpublicly made offers but does not define the terms themselves. In order to minimise the uncertainty for crodfunding service providers and project owners it would be appreciated if ESMA clarified its understanding of the terms of a "public" and "non-public" offer.</w:t>
      </w:r>
      <w:r w:rsidRPr="00F404A3">
        <w:rPr>
          <w:rStyle w:val="apple-converted-space"/>
          <w:color w:val="000000"/>
          <w:sz w:val="22"/>
          <w:szCs w:val="22"/>
        </w:rPr>
        <w:t> </w:t>
      </w:r>
      <w:r w:rsidRPr="00F404A3">
        <w:rPr>
          <w:color w:val="000000"/>
          <w:sz w:val="22"/>
          <w:szCs w:val="22"/>
        </w:rPr>
        <w:br/>
      </w:r>
      <w:r w:rsidRPr="00F404A3">
        <w:rPr>
          <w:color w:val="000000"/>
          <w:sz w:val="22"/>
          <w:szCs w:val="22"/>
        </w:rPr>
        <w:br/>
        <w:t>We do not understand the provision in a way that - in case of a general corporate financing - individually negotiated investments or participation agreements would need to be disclosed. This would otherwise lead to a second disclosure of a cap table which has already been described in Part A lit. a) as part of the ownership. It would be very much appreciated if ESMA would confirm this interpretation.</w:t>
      </w:r>
      <w:r w:rsidRPr="00F404A3">
        <w:rPr>
          <w:color w:val="000000"/>
          <w:sz w:val="22"/>
          <w:szCs w:val="22"/>
        </w:rPr>
        <w:br/>
      </w:r>
      <w:r w:rsidRPr="00F404A3">
        <w:rPr>
          <w:color w:val="000000"/>
          <w:sz w:val="22"/>
          <w:szCs w:val="22"/>
        </w:rPr>
        <w:br/>
      </w:r>
      <w:r w:rsidRPr="00F404A3">
        <w:rPr>
          <w:b/>
          <w:bCs/>
          <w:color w:val="000000"/>
          <w:sz w:val="22"/>
          <w:szCs w:val="22"/>
        </w:rPr>
        <w:t>B e) Amount of own funds committed by the project owner:</w:t>
      </w:r>
      <w:r w:rsidRPr="00F404A3">
        <w:rPr>
          <w:rStyle w:val="apple-converted-space"/>
          <w:b/>
          <w:bCs/>
          <w:color w:val="000000"/>
          <w:sz w:val="22"/>
          <w:szCs w:val="22"/>
        </w:rPr>
        <w:t> </w:t>
      </w:r>
      <w:r w:rsidRPr="00F404A3">
        <w:rPr>
          <w:color w:val="000000"/>
          <w:sz w:val="22"/>
          <w:szCs w:val="22"/>
        </w:rPr>
        <w:t>Part B lit. e) provides for the project owner to indicate the intension of its major shareholders or members of the management, supervisory or administrative bodies to subscribe in the offered instruments and the amount thereof.</w:t>
      </w:r>
      <w:r w:rsidRPr="00F404A3">
        <w:rPr>
          <w:rStyle w:val="apple-converted-space"/>
          <w:color w:val="000000"/>
          <w:sz w:val="22"/>
          <w:szCs w:val="22"/>
        </w:rPr>
        <w:t> </w:t>
      </w:r>
      <w:r w:rsidRPr="00F404A3">
        <w:rPr>
          <w:color w:val="000000"/>
          <w:sz w:val="22"/>
          <w:szCs w:val="22"/>
        </w:rPr>
        <w:br/>
      </w:r>
      <w:r w:rsidRPr="00F404A3">
        <w:rPr>
          <w:color w:val="000000"/>
          <w:sz w:val="22"/>
          <w:szCs w:val="22"/>
        </w:rPr>
        <w:br/>
        <w:t>We understand it is ESMAs intension to provide for transparency, so investors do not get the impression a certain crowdfunding project is popular among investors and well funded, when instead a major contribution by the persons mentioned above has been made to the project.</w:t>
      </w:r>
      <w:r w:rsidRPr="00F404A3">
        <w:rPr>
          <w:rStyle w:val="apple-converted-space"/>
          <w:color w:val="000000"/>
          <w:sz w:val="22"/>
          <w:szCs w:val="22"/>
        </w:rPr>
        <w:t> </w:t>
      </w:r>
      <w:r w:rsidRPr="00F404A3">
        <w:rPr>
          <w:color w:val="000000"/>
          <w:sz w:val="22"/>
          <w:szCs w:val="22"/>
        </w:rPr>
        <w:br/>
      </w:r>
      <w:r w:rsidRPr="00F404A3">
        <w:rPr>
          <w:color w:val="000000"/>
          <w:sz w:val="22"/>
          <w:szCs w:val="22"/>
        </w:rPr>
        <w:br/>
      </w:r>
      <w:r w:rsidRPr="00F404A3">
        <w:rPr>
          <w:color w:val="000000"/>
          <w:sz w:val="22"/>
          <w:szCs w:val="22"/>
        </w:rPr>
        <w:lastRenderedPageBreak/>
        <w:t>However, it is not clear how to define the "intention" of people. It would be appreciated if ESMA could clarify which criteria are relevant to determine the term „intention“, what measures it expects project owners to take in order to learn about the intention of people. Since inten</w:t>
      </w:r>
      <w:r w:rsidR="00106882" w:rsidRPr="00106882">
        <w:rPr>
          <w:color w:val="000000"/>
          <w:sz w:val="22"/>
          <w:szCs w:val="22"/>
          <w:lang w:val="en-US"/>
        </w:rPr>
        <w:t>t</w:t>
      </w:r>
      <w:r w:rsidRPr="00F404A3">
        <w:rPr>
          <w:color w:val="000000"/>
          <w:sz w:val="22"/>
          <w:szCs w:val="22"/>
        </w:rPr>
        <w:t>ion is a very subjective term and vague term and the investor does not directly benefit from the information about intentions, we would suggest deleting that requirement entirely.</w:t>
      </w:r>
      <w:r w:rsidRPr="00F404A3">
        <w:rPr>
          <w:color w:val="000000"/>
          <w:sz w:val="22"/>
          <w:szCs w:val="22"/>
        </w:rPr>
        <w:br/>
      </w:r>
      <w:r w:rsidRPr="00F404A3">
        <w:rPr>
          <w:color w:val="000000"/>
          <w:sz w:val="22"/>
          <w:szCs w:val="22"/>
        </w:rPr>
        <w:br/>
        <w:t>Also, the provision is not clear on the exact point in time, the information needs to be given. As a mandatory information, to our understanding, the information has to be kept up to date and thus the KIIS to be updated whenever this "intention" changes. This implies a duty of the project owner to constantly, but at least regularly monitor and survey its major shareholders and members of the management, supervisory or administrative bodies to comply with this provision. Therefore again we propose to delete this provision.</w:t>
      </w:r>
      <w:r w:rsidRPr="00F404A3">
        <w:rPr>
          <w:color w:val="000000"/>
          <w:sz w:val="22"/>
          <w:szCs w:val="22"/>
        </w:rPr>
        <w:br/>
      </w:r>
      <w:r w:rsidRPr="00F404A3">
        <w:rPr>
          <w:color w:val="000000"/>
          <w:sz w:val="22"/>
          <w:szCs w:val="22"/>
        </w:rPr>
        <w:br/>
        <w:t>Proposition:</w:t>
      </w:r>
      <w:r w:rsidRPr="00F404A3">
        <w:rPr>
          <w:rStyle w:val="apple-converted-space"/>
          <w:color w:val="000000"/>
          <w:sz w:val="22"/>
          <w:szCs w:val="22"/>
        </w:rPr>
        <w:t> </w:t>
      </w:r>
      <w:r w:rsidRPr="00F404A3">
        <w:rPr>
          <w:color w:val="000000"/>
          <w:sz w:val="22"/>
          <w:szCs w:val="22"/>
        </w:rPr>
        <w:br/>
        <w:t>- Disclosure of acutal investments of persons</w:t>
      </w:r>
      <w:r w:rsidRPr="00F404A3">
        <w:rPr>
          <w:color w:val="000000"/>
          <w:sz w:val="22"/>
          <w:szCs w:val="22"/>
        </w:rPr>
        <w:br/>
        <w:t>- Indication of project owners own funds to be committed to the project in addition to the crowd funds.</w:t>
      </w:r>
      <w:r w:rsidRPr="00F404A3">
        <w:rPr>
          <w:color w:val="000000"/>
          <w:sz w:val="22"/>
          <w:szCs w:val="22"/>
        </w:rPr>
        <w:br/>
      </w:r>
      <w:r w:rsidRPr="00F404A3">
        <w:rPr>
          <w:color w:val="000000"/>
          <w:sz w:val="22"/>
          <w:szCs w:val="22"/>
        </w:rPr>
        <w:br/>
        <w:t>This way, investors see that the project owner or other people have „skin in the game“.</w:t>
      </w:r>
      <w:r w:rsidRPr="00F404A3">
        <w:rPr>
          <w:color w:val="000000"/>
          <w:sz w:val="22"/>
          <w:szCs w:val="22"/>
        </w:rPr>
        <w:br/>
      </w:r>
      <w:r w:rsidRPr="00F404A3">
        <w:rPr>
          <w:color w:val="000000"/>
          <w:sz w:val="22"/>
          <w:szCs w:val="22"/>
        </w:rPr>
        <w:br/>
      </w:r>
      <w:r w:rsidRPr="00F404A3">
        <w:rPr>
          <w:b/>
          <w:bCs/>
          <w:color w:val="000000"/>
          <w:sz w:val="22"/>
          <w:szCs w:val="22"/>
        </w:rPr>
        <w:t>D a)redundancies:</w:t>
      </w:r>
      <w:r w:rsidRPr="00F404A3">
        <w:rPr>
          <w:rStyle w:val="apple-converted-space"/>
          <w:b/>
          <w:bCs/>
          <w:color w:val="000000"/>
          <w:sz w:val="22"/>
          <w:szCs w:val="22"/>
        </w:rPr>
        <w:t> </w:t>
      </w:r>
      <w:r w:rsidRPr="00F404A3">
        <w:rPr>
          <w:color w:val="000000"/>
          <w:sz w:val="22"/>
          <w:szCs w:val="22"/>
        </w:rPr>
        <w:t>The Level-1 texts provide for Part D lit. a) the disclosure of the total amount and type of transferable securities or other admitted insturments for crowdfunding purposes to be offered.</w:t>
      </w:r>
      <w:r w:rsidRPr="00F404A3">
        <w:rPr>
          <w:rStyle w:val="apple-converted-space"/>
          <w:color w:val="000000"/>
          <w:sz w:val="22"/>
          <w:szCs w:val="22"/>
        </w:rPr>
        <w:t> </w:t>
      </w:r>
      <w:r w:rsidRPr="00F404A3">
        <w:rPr>
          <w:color w:val="000000"/>
          <w:sz w:val="22"/>
          <w:szCs w:val="22"/>
        </w:rPr>
        <w:br/>
      </w:r>
      <w:r w:rsidRPr="00F404A3">
        <w:rPr>
          <w:color w:val="000000"/>
          <w:sz w:val="22"/>
          <w:szCs w:val="22"/>
        </w:rPr>
        <w:br/>
        <w:t>ESMAs draft RTS then additionally provides for the specification of (a) the issuers name and indication whether the project owner itself or an SPV acts as issuer. In (c) the draft RTS provides for a specification of the term of the offered instruments and as (d) a description of the relative seniority of the instruments with regard to the issuer's capital structure in the event of insolvency.</w:t>
      </w:r>
      <w:r w:rsidRPr="00F404A3">
        <w:rPr>
          <w:rStyle w:val="apple-converted-space"/>
          <w:color w:val="000000"/>
          <w:sz w:val="22"/>
          <w:szCs w:val="22"/>
        </w:rPr>
        <w:t> </w:t>
      </w:r>
      <w:r w:rsidRPr="00F404A3">
        <w:rPr>
          <w:color w:val="000000"/>
          <w:sz w:val="22"/>
          <w:szCs w:val="22"/>
        </w:rPr>
        <w:br/>
      </w:r>
      <w:r w:rsidRPr="00F404A3">
        <w:rPr>
          <w:color w:val="000000"/>
          <w:sz w:val="22"/>
          <w:szCs w:val="22"/>
        </w:rPr>
        <w:br/>
        <w:t>We agree with ESMA that all these information are necessary for the investor to fully assess its investment decision and therefore need to be given at some point in the KIIS. However, to better reflect the structure set out in Annex I to the ECSPR, we propose that the indication, whether the project owner itself or a SPV acts as issuer of the transferable securities should be part of Part A lit. f), the description on the crowdfunding project, its purpose and main features.</w:t>
      </w:r>
      <w:r w:rsidRPr="00F404A3">
        <w:rPr>
          <w:color w:val="000000"/>
          <w:sz w:val="22"/>
          <w:szCs w:val="22"/>
        </w:rPr>
        <w:br/>
      </w:r>
      <w:r w:rsidRPr="00F404A3">
        <w:rPr>
          <w:color w:val="000000"/>
          <w:sz w:val="22"/>
          <w:szCs w:val="22"/>
        </w:rPr>
        <w:br/>
        <w:t>Regarding the specification on the term of the instrument set out in (c), Part D lit. h) already provides for this information with regard to non-equity instruments based on the Level-1 Text of the ECSPR itself. Thus, the additional specification based on the Draft RTS would be redundant; per se equity instruments do not have a term.</w:t>
      </w:r>
      <w:r w:rsidRPr="00F404A3">
        <w:rPr>
          <w:color w:val="000000"/>
          <w:sz w:val="22"/>
          <w:szCs w:val="22"/>
        </w:rPr>
        <w:br/>
      </w:r>
      <w:r w:rsidRPr="00F404A3">
        <w:rPr>
          <w:color w:val="000000"/>
          <w:sz w:val="22"/>
          <w:szCs w:val="22"/>
        </w:rPr>
        <w:br/>
        <w:t>From our German perspective, the description of key rights attached to the transferable security regularly includes a description of the securities' ranking in case of the issuer's insolvency, cf. lit. (d). Therefore we propose to transfer this specification to Part F lit. a) where those key rights attached to the securities are described and provided for by the level-1 texts.</w:t>
      </w:r>
    </w:p>
    <w:p w14:paraId="16B29EBB" w14:textId="1E5EFC52" w:rsidR="00492B3A" w:rsidRDefault="00492B3A" w:rsidP="00492B3A"/>
    <w:permEnd w:id="947678092"/>
    <w:p w14:paraId="5D803357" w14:textId="4B36AE28" w:rsidR="00492B3A" w:rsidRDefault="00492B3A" w:rsidP="00492B3A">
      <w:r>
        <w:t>&lt;ESMA_QUESTION_</w:t>
      </w:r>
      <w:r w:rsidR="00A014B6">
        <w:t>ECSP</w:t>
      </w:r>
      <w:r>
        <w:t>_11&gt;</w:t>
      </w:r>
    </w:p>
    <w:p w14:paraId="1A3E6E6B" w14:textId="77777777" w:rsidR="00492B3A" w:rsidRDefault="00492B3A" w:rsidP="00492B3A"/>
    <w:p w14:paraId="681EC23B" w14:textId="027065A6" w:rsidR="00492B3A" w:rsidRDefault="00A014B6" w:rsidP="00492B3A">
      <w:pPr>
        <w:pStyle w:val="Questionstyle"/>
      </w:pPr>
      <w:r w:rsidRPr="00A014B6">
        <w:t>How could the KIIS be alternatively structured to foster its provision by project owners, while ensuring investor protection? Please provide specific examples, if possible.</w:t>
      </w:r>
    </w:p>
    <w:p w14:paraId="7F0E3695" w14:textId="7D7ECC20" w:rsidR="00492B3A" w:rsidRDefault="00492B3A" w:rsidP="00492B3A">
      <w:r>
        <w:t>&lt;ESMA_QUESTION_</w:t>
      </w:r>
      <w:r w:rsidR="00A014B6">
        <w:t>ECSP</w:t>
      </w:r>
      <w:r>
        <w:t>_12&gt;</w:t>
      </w:r>
    </w:p>
    <w:p w14:paraId="40A9AA66" w14:textId="4314E98A" w:rsidR="00492B3A" w:rsidRDefault="00F404A3" w:rsidP="00492B3A">
      <w:permStart w:id="575285207" w:edGrp="everyone"/>
      <w:r w:rsidRPr="00F404A3">
        <w:lastRenderedPageBreak/>
        <w:t>Since the structure of the KIIS is provided by the Level 1 Text, we do not see any alternative structure.</w:t>
      </w:r>
      <w:permEnd w:id="575285207"/>
      <w:r w:rsidR="00492B3A">
        <w:t>&lt;ESMA_QUESTION_</w:t>
      </w:r>
      <w:r w:rsidR="00A014B6">
        <w:t>ECSP</w:t>
      </w:r>
      <w:r w:rsidR="00492B3A">
        <w:t>_12&gt;</w:t>
      </w:r>
    </w:p>
    <w:p w14:paraId="47FAF275" w14:textId="77777777" w:rsidR="00492B3A" w:rsidRDefault="00492B3A" w:rsidP="00492B3A"/>
    <w:p w14:paraId="01343F76" w14:textId="434B2FC7" w:rsidR="00492B3A" w:rsidRDefault="00A014B6" w:rsidP="00492B3A">
      <w:pPr>
        <w:pStyle w:val="Questionstyle"/>
      </w:pPr>
      <w:r w:rsidRPr="00A014B6">
        <w:t>Based on your experience with investor information documents required under your national regulatory framework on crowdfunding: Have you seen good practices of information disclosure which could help investors to better understand risks, benefits and other key features related to crowdfunding offers under the ECSPR? Please provide specific examples, if possible.</w:t>
      </w:r>
    </w:p>
    <w:p w14:paraId="4C7333E2" w14:textId="28900D98" w:rsidR="00492B3A" w:rsidRDefault="00492B3A" w:rsidP="00492B3A">
      <w:r>
        <w:t>&lt;ESMA_QUESTION_</w:t>
      </w:r>
      <w:r w:rsidR="00A014B6">
        <w:t>ECSP</w:t>
      </w:r>
      <w:r>
        <w:t>_13&gt;</w:t>
      </w:r>
    </w:p>
    <w:p w14:paraId="0D19A1E9" w14:textId="6A9027D6" w:rsidR="00492B3A" w:rsidRDefault="00F404A3" w:rsidP="00492B3A">
      <w:permStart w:id="384379543" w:edGrp="everyone"/>
      <w:r w:rsidRPr="00F404A3">
        <w:t>The German Crowdfunding Association is working on providing a template for prospective issuers, based on the Level-1 and Level-2 text. We would appreciate if ESMA could ask NCAs to actively support national crowdfunding associations and fintech associations to develop templates for the issuers and give them feedback on the text templates.</w:t>
      </w:r>
      <w:permEnd w:id="384379543"/>
      <w:r w:rsidR="00492B3A">
        <w:t>&lt;ESMA_QUESTION_</w:t>
      </w:r>
      <w:r w:rsidR="00A014B6">
        <w:t>ECSP</w:t>
      </w:r>
      <w:r w:rsidR="00492B3A">
        <w:t>_13&gt;</w:t>
      </w:r>
    </w:p>
    <w:p w14:paraId="2B65235D" w14:textId="77777777" w:rsidR="00492B3A" w:rsidRDefault="00492B3A" w:rsidP="00492B3A"/>
    <w:p w14:paraId="620A77B5" w14:textId="0E97E3BE" w:rsidR="00492B3A" w:rsidRDefault="00A014B6" w:rsidP="00492B3A">
      <w:pPr>
        <w:pStyle w:val="Questionstyle"/>
      </w:pPr>
      <w:r w:rsidRPr="00A014B6">
        <w:t>What, if any, additional costs and/or benefits do you envisage arising from the proposed approach taken for the KIIS? Please quantify and provide details.</w:t>
      </w:r>
    </w:p>
    <w:p w14:paraId="469F3B30" w14:textId="77BFC061" w:rsidR="00492B3A" w:rsidRDefault="00492B3A" w:rsidP="00492B3A">
      <w:r>
        <w:t>&lt;ESMA_QUESTION_</w:t>
      </w:r>
      <w:r w:rsidR="00A014B6">
        <w:t>ECSP</w:t>
      </w:r>
      <w:r>
        <w:t>_14&gt;</w:t>
      </w:r>
    </w:p>
    <w:p w14:paraId="7E94B7BF" w14:textId="77777777" w:rsidR="00AA57CF" w:rsidRPr="00AA57CF" w:rsidRDefault="00F404A3" w:rsidP="00F404A3">
      <w:pPr>
        <w:rPr>
          <w:color w:val="000000"/>
          <w:sz w:val="22"/>
          <w:szCs w:val="22"/>
          <w:lang w:val="en-US"/>
        </w:rPr>
      </w:pPr>
      <w:permStart w:id="1844913490" w:edGrp="everyone"/>
      <w:r w:rsidRPr="00AA57CF">
        <w:rPr>
          <w:color w:val="000000"/>
          <w:sz w:val="22"/>
          <w:szCs w:val="22"/>
        </w:rPr>
        <w:t xml:space="preserve">The German Crowdfunding Association </w:t>
      </w:r>
      <w:r w:rsidRPr="00AA57CF">
        <w:rPr>
          <w:color w:val="000000"/>
          <w:sz w:val="22"/>
          <w:szCs w:val="22"/>
          <w:lang w:val="en-US"/>
        </w:rPr>
        <w:t>would like to express that the cost of the KI</w:t>
      </w:r>
      <w:r w:rsidR="00AA57CF" w:rsidRPr="00AA57CF">
        <w:rPr>
          <w:color w:val="000000"/>
          <w:sz w:val="22"/>
          <w:szCs w:val="22"/>
          <w:lang w:val="en-US"/>
        </w:rPr>
        <w:t xml:space="preserve">IS depends on the restrictions imposed by the member states, especially when it comes to the liability regime in Art. 23 (9) ECSP-R. </w:t>
      </w:r>
    </w:p>
    <w:p w14:paraId="5EE01769" w14:textId="2E1814A2" w:rsidR="00AA57CF" w:rsidRPr="00AA57CF" w:rsidRDefault="00AA57CF" w:rsidP="00F404A3">
      <w:pPr>
        <w:rPr>
          <w:color w:val="000000"/>
          <w:sz w:val="22"/>
          <w:szCs w:val="22"/>
          <w:lang w:val="en-US"/>
        </w:rPr>
      </w:pPr>
    </w:p>
    <w:p w14:paraId="6CDC69C9" w14:textId="6A9D1CBE" w:rsidR="00AA57CF" w:rsidRPr="00AA57CF" w:rsidRDefault="00AA57CF" w:rsidP="00F404A3">
      <w:pPr>
        <w:rPr>
          <w:color w:val="000000"/>
          <w:sz w:val="22"/>
          <w:szCs w:val="22"/>
          <w:lang w:val="en-US"/>
        </w:rPr>
      </w:pPr>
      <w:r w:rsidRPr="00AA57CF">
        <w:rPr>
          <w:color w:val="000000"/>
          <w:sz w:val="22"/>
          <w:szCs w:val="22"/>
          <w:lang w:val="en-US"/>
        </w:rPr>
        <w:t xml:space="preserve">At the moment, the German issuers have to draft a three-page information sheet for securities below 8m EUR per year. The cost of such as KIIS are around 5.000 EUR per issuer.  However, with the new liability regime imposed by the German government, which contradicts the policy goals of the ECSP-R, we assume that the legal firms drafting the KIIS have to undertake more due diligence, therefore the cost of the KIIS will be at least 15.000 EUR or higher. </w:t>
      </w:r>
    </w:p>
    <w:p w14:paraId="2864A4B4" w14:textId="380F54A6" w:rsidR="00AA57CF" w:rsidRPr="00AA57CF" w:rsidRDefault="00AA57CF" w:rsidP="00F404A3">
      <w:pPr>
        <w:rPr>
          <w:color w:val="000000"/>
          <w:sz w:val="22"/>
          <w:szCs w:val="22"/>
          <w:lang w:val="en-US"/>
        </w:rPr>
      </w:pPr>
    </w:p>
    <w:p w14:paraId="503D6B1F" w14:textId="1BEC916A" w:rsidR="00F404A3" w:rsidRPr="00AA57CF" w:rsidRDefault="00AA57CF" w:rsidP="00F404A3">
      <w:pPr>
        <w:rPr>
          <w:color w:val="000000"/>
          <w:sz w:val="22"/>
          <w:szCs w:val="22"/>
          <w:lang w:val="en-US"/>
        </w:rPr>
      </w:pPr>
      <w:r w:rsidRPr="00AA57CF">
        <w:rPr>
          <w:color w:val="000000"/>
          <w:sz w:val="22"/>
          <w:szCs w:val="22"/>
          <w:lang w:val="en-US"/>
        </w:rPr>
        <w:t xml:space="preserve">Because of that point, we would suggest </w:t>
      </w:r>
      <w:proofErr w:type="gramStart"/>
      <w:r w:rsidRPr="00AA57CF">
        <w:rPr>
          <w:color w:val="000000"/>
          <w:sz w:val="22"/>
          <w:szCs w:val="22"/>
          <w:lang w:val="en-US"/>
        </w:rPr>
        <w:t>to urge</w:t>
      </w:r>
      <w:proofErr w:type="gramEnd"/>
      <w:r w:rsidRPr="00AA57CF">
        <w:rPr>
          <w:color w:val="000000"/>
          <w:sz w:val="22"/>
          <w:szCs w:val="22"/>
          <w:lang w:val="en-US"/>
        </w:rPr>
        <w:t xml:space="preserve"> the member states to refrain from adding additional requirements to the KIIS, because that would simply increase the costs for the issuers.</w:t>
      </w:r>
    </w:p>
    <w:permEnd w:id="1844913490"/>
    <w:p w14:paraId="70457698" w14:textId="5E8BFF59" w:rsidR="00492B3A" w:rsidRDefault="00492B3A" w:rsidP="00492B3A">
      <w:r>
        <w:t>&lt;ESMA_QUESTION_</w:t>
      </w:r>
      <w:r w:rsidR="00A014B6">
        <w:t>ECSP</w:t>
      </w:r>
      <w:r>
        <w:t>_14&gt;</w:t>
      </w:r>
    </w:p>
    <w:p w14:paraId="33E3946A" w14:textId="77777777" w:rsidR="00492B3A" w:rsidRDefault="00492B3A" w:rsidP="00492B3A"/>
    <w:p w14:paraId="3CC16F44" w14:textId="5E944E73" w:rsidR="00492B3A" w:rsidRDefault="00A014B6" w:rsidP="00492B3A">
      <w:pPr>
        <w:pStyle w:val="Questionstyle"/>
      </w:pPr>
      <w:r w:rsidRPr="00A014B6">
        <w:t>Do you agree with the proposals with respect to standards, formats, templates and procedures for the provision of data by crowdfunding service providers to competent authorities?</w:t>
      </w:r>
    </w:p>
    <w:p w14:paraId="63D6457D" w14:textId="31D90EA5" w:rsidR="00492B3A" w:rsidRDefault="00492B3A" w:rsidP="00492B3A">
      <w:r>
        <w:t>&lt;ESMA_QUESTION_</w:t>
      </w:r>
      <w:r w:rsidR="00A014B6">
        <w:t>ECSP</w:t>
      </w:r>
      <w:r>
        <w:t>_15&gt;</w:t>
      </w:r>
    </w:p>
    <w:p w14:paraId="379DD71C" w14:textId="59B5F681" w:rsidR="00492B3A" w:rsidRDefault="00AA57CF" w:rsidP="00492B3A">
      <w:permStart w:id="1403017900" w:edGrp="everyone"/>
      <w:r w:rsidRPr="00AA57CF">
        <w:t>The German Crowdfunding Association appreciates that the reporting to the NCA is identical to the reporting to ESMA. We would appreciate if ESMA could ensure that NCAs do not impose additional reporting requirements on CSPs.</w:t>
      </w:r>
      <w:permEnd w:id="1403017900"/>
      <w:r w:rsidR="00492B3A">
        <w:t>&lt;ESMA_QUESTION_</w:t>
      </w:r>
      <w:r w:rsidR="00A014B6">
        <w:t>ECSP</w:t>
      </w:r>
      <w:r w:rsidR="00492B3A">
        <w:t>_15&gt;</w:t>
      </w:r>
    </w:p>
    <w:p w14:paraId="3D52163A" w14:textId="77777777" w:rsidR="00492B3A" w:rsidRDefault="00492B3A" w:rsidP="00492B3A"/>
    <w:p w14:paraId="112B8CBC" w14:textId="054A2D1D" w:rsidR="00492B3A" w:rsidRDefault="00A014B6" w:rsidP="00492B3A">
      <w:pPr>
        <w:pStyle w:val="Questionstyle"/>
      </w:pPr>
      <w:r w:rsidRPr="00A014B6">
        <w:t>Do you consider that the format for the submission of the information to competent authorities should be further specified in the final draft ITS? Which technical format (e.g. CSV, others) should be considered by ESMA?</w:t>
      </w:r>
    </w:p>
    <w:p w14:paraId="4EC2BDB8" w14:textId="70D06100" w:rsidR="00492B3A" w:rsidRDefault="00492B3A" w:rsidP="00492B3A">
      <w:r>
        <w:t>&lt;ESMA_QUESTION_</w:t>
      </w:r>
      <w:r w:rsidR="00A014B6">
        <w:t>ECSP</w:t>
      </w:r>
      <w:r>
        <w:t>_16&gt;</w:t>
      </w:r>
    </w:p>
    <w:p w14:paraId="1B3BEA7F" w14:textId="0A8B08D9" w:rsidR="00492B3A" w:rsidRDefault="00AA57CF" w:rsidP="00492B3A">
      <w:permStart w:id="1046510351" w:edGrp="everyone"/>
      <w:r w:rsidRPr="00AA57CF">
        <w:lastRenderedPageBreak/>
        <w:t>The German Crowdfunding Association would appreciate if ESMA could provide a template for the reporting in the form of an Excel-File, which can be used by the CSPs for reporting, however it should not be made mandatory.</w:t>
      </w:r>
      <w:permEnd w:id="1046510351"/>
      <w:r w:rsidR="00492B3A">
        <w:t>&lt;ESMA_QUESTION_</w:t>
      </w:r>
      <w:r w:rsidR="00A014B6">
        <w:t>ECSP</w:t>
      </w:r>
      <w:r w:rsidR="00492B3A">
        <w:t>_16&gt;</w:t>
      </w:r>
    </w:p>
    <w:p w14:paraId="649FBBBD" w14:textId="77777777" w:rsidR="00492B3A" w:rsidRDefault="00492B3A" w:rsidP="00492B3A"/>
    <w:p w14:paraId="5EF224F0" w14:textId="6285CCCE" w:rsidR="00492B3A" w:rsidRDefault="00A014B6" w:rsidP="00492B3A">
      <w:pPr>
        <w:pStyle w:val="Questionstyle"/>
      </w:pPr>
      <w:r w:rsidRPr="00A014B6">
        <w:t>Do you envisage any impacts of the proposals with respect to provision of data by competent authorities to ESMA, and in particular on the anonymisation methods that should be used when transmitting information by competent authorities to ESMA? Which specific anonymisation methods would be appropriate to fulfil the reporting requirements?</w:t>
      </w:r>
    </w:p>
    <w:p w14:paraId="0A7FFEE1" w14:textId="1BF2EF66" w:rsidR="00492B3A" w:rsidRDefault="00492B3A" w:rsidP="00492B3A">
      <w:r>
        <w:t>&lt;ESMA_QUESTION_</w:t>
      </w:r>
      <w:r w:rsidR="00A014B6">
        <w:t>ECSP</w:t>
      </w:r>
      <w:r>
        <w:t>_17&gt;</w:t>
      </w:r>
    </w:p>
    <w:p w14:paraId="6B61C298" w14:textId="06D62195" w:rsidR="00492B3A" w:rsidRDefault="00AA57CF" w:rsidP="00492B3A">
      <w:permStart w:id="1692017174" w:edGrp="everyone"/>
      <w:r w:rsidRPr="00AA57CF">
        <w:t>We do not envisage any impact due to the anonymisation method.</w:t>
      </w:r>
    </w:p>
    <w:permEnd w:id="1692017174"/>
    <w:p w14:paraId="20733EA7" w14:textId="3AB33142" w:rsidR="00492B3A" w:rsidRDefault="00492B3A" w:rsidP="00492B3A">
      <w:r>
        <w:t>&lt;ESMA_QUESTION_</w:t>
      </w:r>
      <w:r w:rsidR="00A014B6">
        <w:t>ECSP</w:t>
      </w:r>
      <w:r>
        <w:t>_17&gt;</w:t>
      </w:r>
    </w:p>
    <w:p w14:paraId="003742D8" w14:textId="77777777" w:rsidR="00492B3A" w:rsidRDefault="00492B3A" w:rsidP="00492B3A"/>
    <w:p w14:paraId="630C1875" w14:textId="3DD5F10E" w:rsidR="00492B3A" w:rsidRDefault="00A014B6" w:rsidP="00492B3A">
      <w:pPr>
        <w:pStyle w:val="Questionstyle"/>
      </w:pPr>
      <w:r w:rsidRPr="00A014B6">
        <w:t>Do you agree with the information on the national laws, regulations and administrative provisions applicable to marketing communications of CSPs that is being requested from CAs in the two templates? If not, which items should be added or deleted and for which reasons? Please provide a detailed answer.</w:t>
      </w:r>
    </w:p>
    <w:p w14:paraId="62131EFD" w14:textId="4197F9E7" w:rsidR="00492B3A" w:rsidRDefault="00492B3A" w:rsidP="00492B3A">
      <w:r>
        <w:t>&lt;ESMA_QUESTION_</w:t>
      </w:r>
      <w:r w:rsidR="00A014B6">
        <w:t>ECSP</w:t>
      </w:r>
      <w:r>
        <w:t>_18&gt;</w:t>
      </w:r>
    </w:p>
    <w:p w14:paraId="0824C05D" w14:textId="039ED3C5" w:rsidR="00492B3A" w:rsidRDefault="002C2A5B" w:rsidP="00492B3A">
      <w:permStart w:id="2067675786" w:edGrp="everyone"/>
      <w:r w:rsidRPr="002C2A5B">
        <w:t>The German Crowdfunding association sees the information on the national laws applicate to marketing communications as sufficient. This form should also be used for any other laws that make it difficult for CSPs to provide a unified product across the European Union, for instance liability regimes, pre-contractual reflection periods, thresholds in Art. 49, admitted instruments</w:t>
      </w:r>
      <w:r w:rsidRPr="002C2A5B">
        <w:rPr>
          <w:lang w:val="en-US"/>
        </w:rPr>
        <w:t xml:space="preserve"> </w:t>
      </w:r>
      <w:r>
        <w:rPr>
          <w:lang w:val="en-US"/>
        </w:rPr>
        <w:t>– please see our proposal for that in Question 20</w:t>
      </w:r>
      <w:r w:rsidRPr="002C2A5B">
        <w:t>.</w:t>
      </w:r>
      <w:permEnd w:id="2067675786"/>
      <w:r w:rsidR="00492B3A">
        <w:t>&lt;ESMA_QUESTION_</w:t>
      </w:r>
      <w:r w:rsidR="00A014B6">
        <w:t>ECSP</w:t>
      </w:r>
      <w:r w:rsidR="00492B3A">
        <w:t>_18&gt;</w:t>
      </w:r>
    </w:p>
    <w:p w14:paraId="04F456E7" w14:textId="77777777" w:rsidR="00492B3A" w:rsidRDefault="00492B3A" w:rsidP="00492B3A"/>
    <w:p w14:paraId="2CB6885A" w14:textId="4DDDCD81" w:rsidR="00492B3A" w:rsidRDefault="00A014B6" w:rsidP="00492B3A">
      <w:pPr>
        <w:pStyle w:val="Questionstyle"/>
      </w:pPr>
      <w:r w:rsidRPr="00A014B6">
        <w:t>Do you agree with the cost benefit analysis as it has been described in Annex II?</w:t>
      </w:r>
    </w:p>
    <w:p w14:paraId="7199B384" w14:textId="1B78CC0E" w:rsidR="00492B3A" w:rsidRDefault="00492B3A" w:rsidP="00492B3A">
      <w:r>
        <w:t>&lt;ESMA_QUESTION_</w:t>
      </w:r>
      <w:r w:rsidR="00A014B6">
        <w:t>ECSP</w:t>
      </w:r>
      <w:r>
        <w:t>_19&gt;</w:t>
      </w:r>
    </w:p>
    <w:p w14:paraId="0BFE7D97" w14:textId="050DF5E4" w:rsidR="00492B3A" w:rsidRDefault="00B30475" w:rsidP="00492B3A">
      <w:permStart w:id="1373325572" w:edGrp="everyone"/>
      <w:r w:rsidRPr="00B30475">
        <w:t>The German Crowdfunding Association would kindly point out that the cost of the implementation of the ECSP-R and the Level-2 clarifications are significant higher than the costs of obtaining a German Crowdfunding license, partially due to the increased requirements in Art. 12 and Art. 23, but also because of costs for insurance to satisfy Art 11 ECSP-R.</w:t>
      </w:r>
      <w:r w:rsidRPr="00B30475">
        <w:rPr>
          <w:lang w:val="en-US"/>
        </w:rPr>
        <w:t xml:space="preserve"> Surely this is balanced by the wider opp</w:t>
      </w:r>
      <w:r>
        <w:rPr>
          <w:lang w:val="en-US"/>
        </w:rPr>
        <w:t>ortunities provided by the ECSP-R, however we would urge ESMA that the clarifications of the Level 1 text should be done with the policy goal in mind in decreasing the cost of complying with the provisions set forth in the ECSP-R.</w:t>
      </w:r>
      <w:r w:rsidRPr="00B30475">
        <w:t xml:space="preserve"> </w:t>
      </w:r>
      <w:permEnd w:id="1373325572"/>
      <w:r w:rsidR="00492B3A">
        <w:t>&lt;ESMA_QUESTION_</w:t>
      </w:r>
      <w:r w:rsidR="00A014B6">
        <w:t>ECSP</w:t>
      </w:r>
      <w:r w:rsidR="00492B3A">
        <w:t>_19&gt;</w:t>
      </w:r>
    </w:p>
    <w:p w14:paraId="3D24CE57" w14:textId="77777777" w:rsidR="00492B3A" w:rsidRDefault="00492B3A" w:rsidP="00492B3A"/>
    <w:p w14:paraId="480CBA32" w14:textId="40BA3744" w:rsidR="00492B3A" w:rsidRDefault="00470356" w:rsidP="00492B3A">
      <w:pPr>
        <w:pStyle w:val="Questionstyle"/>
      </w:pPr>
      <w:r w:rsidRPr="00470356">
        <w:t>Are there any additional comments that you would like to raise and/or information that you would like to provide?</w:t>
      </w:r>
    </w:p>
    <w:p w14:paraId="2B4FDACB" w14:textId="7D8037EC" w:rsidR="00492B3A" w:rsidRDefault="00492B3A" w:rsidP="00492B3A">
      <w:r>
        <w:t>&lt;ESMA_QUESTION_</w:t>
      </w:r>
      <w:r w:rsidR="00A014B6">
        <w:t>ECSP</w:t>
      </w:r>
      <w:r>
        <w:t>_20&gt;</w:t>
      </w:r>
    </w:p>
    <w:p w14:paraId="14625E3F" w14:textId="25981CCC" w:rsidR="00106882" w:rsidRDefault="00106882" w:rsidP="00106882">
      <w:permStart w:id="1139373962" w:edGrp="everyone"/>
      <w:r>
        <w:t xml:space="preserve">The German Crowdfunding Association would like to encourage both the European Commission and ESMA to ensure that the regulation is uniformly applied in Europe, and where there are differences in the member states, CSPs </w:t>
      </w:r>
      <w:r w:rsidRPr="00106882">
        <w:rPr>
          <w:lang w:val="en-US"/>
        </w:rPr>
        <w:t>should be able to</w:t>
      </w:r>
      <w:r>
        <w:t xml:space="preserve"> easily access information about the </w:t>
      </w:r>
      <w:r w:rsidRPr="00106882">
        <w:rPr>
          <w:lang w:val="en-US"/>
        </w:rPr>
        <w:t xml:space="preserve">legal </w:t>
      </w:r>
      <w:r>
        <w:t xml:space="preserve">situation in each member state. We would urge both ESMA and the European Commission to </w:t>
      </w:r>
      <w:r>
        <w:lastRenderedPageBreak/>
        <w:t>indicate to member states that the success of the ECSP-R depends on a harmonized regime, which works for CSPs in all member states</w:t>
      </w:r>
      <w:r w:rsidRPr="00106882">
        <w:rPr>
          <w:lang w:val="en-US"/>
        </w:rPr>
        <w:t xml:space="preserve"> as a „level playing field“</w:t>
      </w:r>
      <w:r>
        <w:t>.</w:t>
      </w:r>
    </w:p>
    <w:p w14:paraId="1CC6445F" w14:textId="77777777" w:rsidR="00106882" w:rsidRDefault="00106882" w:rsidP="00106882"/>
    <w:p w14:paraId="7D39ADCD" w14:textId="089EE3BA" w:rsidR="00106882" w:rsidRPr="00106882" w:rsidRDefault="00106882" w:rsidP="00106882">
      <w:pPr>
        <w:rPr>
          <w:lang w:val="en-US"/>
        </w:rPr>
      </w:pPr>
      <w:r>
        <w:t xml:space="preserve">With great concern we noticed that in some member states, the governments are considering deviations from the harmonized regime, or have already implemented laws which counteract the policy goal of the ECSP-R. The policy goal of the ECSP-R is to make it easier for SMEs to mobilize funding across the European Union. We have expressed in our statements to the German Parliament and the German Government that the planned liability </w:t>
      </w:r>
      <w:r w:rsidRPr="00106882">
        <w:rPr>
          <w:lang w:val="en-US"/>
        </w:rPr>
        <w:t>regime</w:t>
      </w:r>
      <w:r>
        <w:t xml:space="preserve"> for the information in the KI</w:t>
      </w:r>
      <w:r w:rsidRPr="00106882">
        <w:rPr>
          <w:lang w:val="en-US"/>
        </w:rPr>
        <w:t>I</w:t>
      </w:r>
      <w:r>
        <w:t xml:space="preserve">S goes against the goal of making it easier for SMEs to use crowdfunding across Europe, will result in a fragmentation of the European crowdfunding market and make it more difficult for CSPs from outside of Germany to reach out to German investors. With reference to the </w:t>
      </w:r>
      <w:r w:rsidRPr="00106882">
        <w:rPr>
          <w:lang w:val="en-US"/>
        </w:rPr>
        <w:t xml:space="preserve">2013 </w:t>
      </w:r>
      <w:r>
        <w:t xml:space="preserve">ESMA report on the divergence of the liability regimes under the Prospectus Directive, we potentially see the threat of the liability regimes across Europe being so substantially diverging from each other that platforms and </w:t>
      </w:r>
      <w:r w:rsidRPr="00106882">
        <w:rPr>
          <w:lang w:val="en-US"/>
        </w:rPr>
        <w:t>project own</w:t>
      </w:r>
      <w:r>
        <w:rPr>
          <w:lang w:val="en-US"/>
        </w:rPr>
        <w:t>ers</w:t>
      </w:r>
      <w:r>
        <w:t xml:space="preserve"> alike would</w:t>
      </w:r>
      <w:r w:rsidRPr="00106882">
        <w:rPr>
          <w:lang w:val="en-US"/>
        </w:rPr>
        <w:t xml:space="preserve"> occur serious legal risks of inadvert</w:t>
      </w:r>
      <w:r>
        <w:rPr>
          <w:lang w:val="en-US"/>
        </w:rPr>
        <w:t xml:space="preserve">ently and unintentionally </w:t>
      </w:r>
      <w:r w:rsidRPr="00106882">
        <w:rPr>
          <w:lang w:val="en-US"/>
        </w:rPr>
        <w:t xml:space="preserve">violate </w:t>
      </w:r>
      <w:r>
        <w:rPr>
          <w:lang w:val="en-US"/>
        </w:rPr>
        <w:t>liability regimes in other member states.</w:t>
      </w:r>
    </w:p>
    <w:p w14:paraId="28CD81A4" w14:textId="77777777" w:rsidR="00106882" w:rsidRDefault="00106882" w:rsidP="00106882"/>
    <w:p w14:paraId="6EF34745" w14:textId="77777777" w:rsidR="00106882" w:rsidRDefault="00106882" w:rsidP="00106882">
      <w:r>
        <w:t>Therefore, we would strongly encourage member states not to reduce the investment thresholds of Art. 1 ECSP-R, even if it is only limited for a short time as foreseen in Art. 49 ECSP-R. Different investment thresholds would make it more difficult for CSPs to assess the correct investment thresholds for the group of investors from a particular country. We understand Art. 1 ECSP-R in such a way that the platform would have to identify the investors from a particular country and limit their total investment threshold to the limit set by the member state, thus not affecting the total investment threshold of the project. However, it would be burdensome to research thresholds if ESMA would not provide a single landing-page for all information on the thresholds.</w:t>
      </w:r>
    </w:p>
    <w:p w14:paraId="060201FA" w14:textId="77777777" w:rsidR="00106882" w:rsidRDefault="00106882" w:rsidP="00106882"/>
    <w:p w14:paraId="16129A7B" w14:textId="4F1EA53A" w:rsidR="00106882" w:rsidRDefault="00106882" w:rsidP="00106882">
      <w:r>
        <w:t xml:space="preserve">We therefore </w:t>
      </w:r>
      <w:r w:rsidRPr="00106882">
        <w:rPr>
          <w:lang w:val="en-US"/>
        </w:rPr>
        <w:t>ask</w:t>
      </w:r>
      <w:r>
        <w:t xml:space="preserve"> ESMA to provide a single-landing page for CSPs which lists the following information:</w:t>
      </w:r>
    </w:p>
    <w:p w14:paraId="62BD1F2C" w14:textId="5F391284" w:rsidR="00106882" w:rsidRDefault="00106882" w:rsidP="00106882">
      <w:pPr>
        <w:pStyle w:val="ListParagraph"/>
        <w:numPr>
          <w:ilvl w:val="0"/>
          <w:numId w:val="47"/>
        </w:numPr>
      </w:pPr>
      <w:r>
        <w:t>Contact points at the National Competent Authority (NCA), including links to the licensing forms, in accordance with Art. 1 ECSP-R</w:t>
      </w:r>
    </w:p>
    <w:p w14:paraId="0C61C78F" w14:textId="732B6582" w:rsidR="00106882" w:rsidRDefault="00106882" w:rsidP="00106882">
      <w:pPr>
        <w:pStyle w:val="ListParagraph"/>
        <w:numPr>
          <w:ilvl w:val="0"/>
          <w:numId w:val="47"/>
        </w:numPr>
      </w:pPr>
      <w:r>
        <w:t>Admitted Instruments, in accordance with Art. 1 ECSP-R</w:t>
      </w:r>
    </w:p>
    <w:p w14:paraId="6A3BB635" w14:textId="776E3AFA" w:rsidR="00106882" w:rsidRDefault="00106882" w:rsidP="00106882">
      <w:pPr>
        <w:pStyle w:val="ListParagraph"/>
        <w:numPr>
          <w:ilvl w:val="0"/>
          <w:numId w:val="47"/>
        </w:numPr>
      </w:pPr>
      <w:r>
        <w:t>Liability Laws, in accordance with Art. 23 ECSP-R</w:t>
      </w:r>
    </w:p>
    <w:p w14:paraId="0FC9EE6B" w14:textId="59D4ECC0" w:rsidR="00106882" w:rsidRDefault="00106882" w:rsidP="00106882">
      <w:pPr>
        <w:pStyle w:val="ListParagraph"/>
        <w:numPr>
          <w:ilvl w:val="0"/>
          <w:numId w:val="47"/>
        </w:numPr>
      </w:pPr>
      <w:r>
        <w:t>Communication Laws, in accordance with Art. 27 ECSP-R</w:t>
      </w:r>
    </w:p>
    <w:p w14:paraId="11DDC482" w14:textId="77777777" w:rsidR="00106882" w:rsidRDefault="00106882" w:rsidP="00106882">
      <w:pPr>
        <w:pStyle w:val="ListParagraph"/>
        <w:numPr>
          <w:ilvl w:val="0"/>
          <w:numId w:val="47"/>
        </w:numPr>
      </w:pPr>
      <w:r>
        <w:t>Thresholds, in accordance with Article 49 ECSP-R</w:t>
      </w:r>
    </w:p>
    <w:p w14:paraId="50CC2635" w14:textId="65A7B466" w:rsidR="00106882" w:rsidRDefault="00106882" w:rsidP="00106882">
      <w:pPr>
        <w:pStyle w:val="ListParagraph"/>
        <w:numPr>
          <w:ilvl w:val="0"/>
          <w:numId w:val="47"/>
        </w:numPr>
      </w:pPr>
      <w:r>
        <w:t>Any other laws affecting CSPs in that member state and which would prevent CSPs to provide services cross border</w:t>
      </w:r>
    </w:p>
    <w:p w14:paraId="42E2A6F4" w14:textId="77777777" w:rsidR="00106882" w:rsidRDefault="00106882" w:rsidP="00106882"/>
    <w:p w14:paraId="0C2BC778" w14:textId="72FF6E3D" w:rsidR="00106882" w:rsidRDefault="00106882" w:rsidP="00106882">
      <w:r>
        <w:t>In addition, we would encourage both ESMA and DG FISMA to identify and clarify possible conflicts of legal regimes if project owner, investor and CSP reside in different jurisdictions within the European Union.</w:t>
      </w:r>
      <w:r w:rsidRPr="00106882">
        <w:rPr>
          <w:lang w:val="en-US"/>
        </w:rPr>
        <w:t xml:space="preserve"> This is especially relevant if project owner, investor and CS</w:t>
      </w:r>
      <w:r>
        <w:rPr>
          <w:lang w:val="en-US"/>
        </w:rPr>
        <w:t>P are covered by a different liability regime, since the project owner is legally responsible for the KIIS, the platform has to ensure its completeness and correctness.</w:t>
      </w:r>
    </w:p>
    <w:p w14:paraId="068FFE7E" w14:textId="77777777" w:rsidR="00106882" w:rsidRDefault="00106882" w:rsidP="00106882"/>
    <w:p w14:paraId="5D22EE94" w14:textId="363C35D8" w:rsidR="00106882" w:rsidRDefault="00106882" w:rsidP="00106882">
      <w:pPr>
        <w:rPr>
          <w:lang w:val="en-US"/>
        </w:rPr>
      </w:pPr>
      <w:r w:rsidRPr="00106882">
        <w:rPr>
          <w:lang w:val="en-US"/>
        </w:rPr>
        <w:t>Last but not least</w:t>
      </w:r>
      <w:r>
        <w:t xml:space="preserve">, we would like to stress that the Q&amp;A on SPVs provided by ESMA needs additional clarification. Art. 1 and Art. 2 of the ECSP-R provide separate definitions for project owner and issuers. It is common market practice for platforms to manage and administrate the SPVs on behalf of the investors. The SPVs are only vessels of the investor rights, not having any </w:t>
      </w:r>
      <w:r>
        <w:lastRenderedPageBreak/>
        <w:t xml:space="preserve">economic purpose of their own. Therefore </w:t>
      </w:r>
      <w:r w:rsidRPr="00106882">
        <w:rPr>
          <w:lang w:val="en-US"/>
        </w:rPr>
        <w:t xml:space="preserve"> in our opinion, </w:t>
      </w:r>
      <w:r>
        <w:t xml:space="preserve">Art. 8 ECSP-R does not apply, since the SPV as the issuer of the securities is not the same as the project owner. </w:t>
      </w:r>
    </w:p>
    <w:p w14:paraId="21905BB0" w14:textId="3A1A2F14" w:rsidR="00106882" w:rsidRDefault="00106882" w:rsidP="00106882">
      <w:pPr>
        <w:rPr>
          <w:lang w:val="en-US"/>
        </w:rPr>
      </w:pPr>
    </w:p>
    <w:p w14:paraId="260C62FF" w14:textId="77777777" w:rsidR="00106882" w:rsidRPr="00106882" w:rsidRDefault="00106882" w:rsidP="00106882">
      <w:pPr>
        <w:rPr>
          <w:lang w:val="en-US"/>
        </w:rPr>
      </w:pPr>
      <w:r w:rsidRPr="00106882">
        <w:rPr>
          <w:lang w:val="en-US"/>
        </w:rPr>
        <w:t>Art. 3 (6) of the ECSP-R applies for SPVs used for the provision of crowdfunding services. From our understanding this means that Art. 3 (6) would apply to the situation described above in which the platform manages and administrates the SPV, but not if an SPV is managed and administrated by the project owner. We would urge ESMA to clarify this issue in the next version of the Q&amp;A on SPVs.</w:t>
      </w:r>
    </w:p>
    <w:p w14:paraId="443EA6BB" w14:textId="77777777" w:rsidR="00106882" w:rsidRPr="00106882" w:rsidRDefault="00106882" w:rsidP="00106882">
      <w:pPr>
        <w:rPr>
          <w:lang w:val="en-US"/>
        </w:rPr>
      </w:pPr>
      <w:r w:rsidRPr="00106882">
        <w:rPr>
          <w:lang w:val="en-US"/>
        </w:rPr>
        <w:t xml:space="preserve"> </w:t>
      </w:r>
    </w:p>
    <w:p w14:paraId="328F2276" w14:textId="2E214D5E" w:rsidR="00106882" w:rsidRPr="00106882" w:rsidRDefault="00106882" w:rsidP="00106882">
      <w:pPr>
        <w:rPr>
          <w:lang w:val="en-US"/>
        </w:rPr>
      </w:pPr>
      <w:r>
        <w:rPr>
          <w:lang w:val="en-US"/>
        </w:rPr>
        <w:t xml:space="preserve">We would also like ESMA to </w:t>
      </w:r>
      <w:proofErr w:type="spellStart"/>
      <w:r>
        <w:rPr>
          <w:lang w:val="en-US"/>
        </w:rPr>
        <w:t>considere</w:t>
      </w:r>
      <w:proofErr w:type="spellEnd"/>
      <w:r>
        <w:rPr>
          <w:lang w:val="en-US"/>
        </w:rPr>
        <w:t xml:space="preserve"> the case where a</w:t>
      </w:r>
      <w:r w:rsidRPr="00106882">
        <w:rPr>
          <w:lang w:val="en-US"/>
        </w:rPr>
        <w:t xml:space="preserve"> project owner raises several crowdfunding </w:t>
      </w:r>
      <w:r>
        <w:rPr>
          <w:lang w:val="en-US"/>
        </w:rPr>
        <w:t>offers</w:t>
      </w:r>
      <w:r w:rsidRPr="00106882">
        <w:rPr>
          <w:lang w:val="en-US"/>
        </w:rPr>
        <w:t xml:space="preserve"> using one single SPV </w:t>
      </w:r>
      <w:r>
        <w:rPr>
          <w:lang w:val="en-US"/>
        </w:rPr>
        <w:t>which</w:t>
      </w:r>
      <w:r w:rsidRPr="00106882">
        <w:rPr>
          <w:lang w:val="en-US"/>
        </w:rPr>
        <w:t xml:space="preserve"> is affiliated with the project owner. </w:t>
      </w:r>
      <w:r>
        <w:rPr>
          <w:lang w:val="en-US"/>
        </w:rPr>
        <w:t xml:space="preserve">Having to establish a separate </w:t>
      </w:r>
      <w:r w:rsidRPr="00106882">
        <w:rPr>
          <w:lang w:val="en-US"/>
        </w:rPr>
        <w:t>SPV</w:t>
      </w:r>
      <w:r>
        <w:rPr>
          <w:lang w:val="en-US"/>
        </w:rPr>
        <w:t xml:space="preserve"> for each crowdfunding offer would not increase the transparency for the investor and it would lead to high transaction costs of having to</w:t>
      </w:r>
      <w:r w:rsidRPr="00106882">
        <w:rPr>
          <w:lang w:val="en-US"/>
        </w:rPr>
        <w:t xml:space="preserve"> manage multiple SPVs. We would urge ESMA to clarify that Art. 3 (6) of the ECSP-R does not apply for SPVs managed by the project owner.</w:t>
      </w:r>
    </w:p>
    <w:p w14:paraId="2027968F" w14:textId="77777777" w:rsidR="00106882" w:rsidRDefault="00106882" w:rsidP="00106882"/>
    <w:p w14:paraId="013F0CDC" w14:textId="29C7A9EB" w:rsidR="00492B3A" w:rsidRDefault="00106882" w:rsidP="00492B3A">
      <w:r>
        <w:t>"</w:t>
      </w:r>
      <w:permEnd w:id="1139373962"/>
      <w:r w:rsidR="00492B3A">
        <w:t>&lt;ESMA_QUESTION_</w:t>
      </w:r>
      <w:r w:rsidR="00A014B6">
        <w:t>ECSP</w:t>
      </w:r>
      <w:r w:rsidR="00492B3A">
        <w:t>_20&gt;</w:t>
      </w:r>
    </w:p>
    <w:p w14:paraId="6ADCFC75"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58827" w14:textId="77777777" w:rsidR="00A97D4E" w:rsidRDefault="00A97D4E">
      <w:r>
        <w:separator/>
      </w:r>
    </w:p>
    <w:p w14:paraId="6CC4F058" w14:textId="77777777" w:rsidR="00A97D4E" w:rsidRDefault="00A97D4E"/>
  </w:endnote>
  <w:endnote w:type="continuationSeparator" w:id="0">
    <w:p w14:paraId="31597763" w14:textId="77777777" w:rsidR="00A97D4E" w:rsidRDefault="00A97D4E">
      <w:r>
        <w:continuationSeparator/>
      </w:r>
    </w:p>
    <w:p w14:paraId="5045DCA4" w14:textId="77777777" w:rsidR="00A97D4E" w:rsidRDefault="00A97D4E"/>
  </w:endnote>
  <w:endnote w:type="continuationNotice" w:id="1">
    <w:p w14:paraId="46C9D148" w14:textId="77777777" w:rsidR="00A97D4E" w:rsidRDefault="00A97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
    <w:panose1 w:val="020B0600040502020204"/>
    <w:charset w:val="00"/>
    <w:family w:val="swiss"/>
    <w:pitch w:val="variable"/>
    <w:sig w:usb0="E1000AEF" w:usb1="5000A1FF" w:usb2="00000000" w:usb3="00000000" w:csb0="000001BF" w:csb1="00000000"/>
  </w:font>
  <w:font w:name="EUAlbertina">
    <w:altName w:val="Cambri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0DA7F" w14:textId="77777777" w:rsidR="00A97D4E" w:rsidRDefault="00A97D4E">
      <w:r>
        <w:separator/>
      </w:r>
    </w:p>
    <w:p w14:paraId="363B1E77" w14:textId="77777777" w:rsidR="00A97D4E" w:rsidRDefault="00A97D4E"/>
  </w:footnote>
  <w:footnote w:type="continuationSeparator" w:id="0">
    <w:p w14:paraId="1FFEB6DC" w14:textId="77777777" w:rsidR="00A97D4E" w:rsidRDefault="00A97D4E">
      <w:r>
        <w:continuationSeparator/>
      </w:r>
    </w:p>
    <w:p w14:paraId="09B9CBE0" w14:textId="77777777" w:rsidR="00A97D4E" w:rsidRDefault="00A97D4E"/>
  </w:footnote>
  <w:footnote w:type="continuationNotice" w:id="1">
    <w:p w14:paraId="1A91A25B" w14:textId="77777777" w:rsidR="00A97D4E" w:rsidRDefault="00A97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5B400EE"/>
    <w:multiLevelType w:val="hybridMultilevel"/>
    <w:tmpl w:val="C8B4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40"/>
  </w:num>
  <w:num w:numId="22">
    <w:abstractNumId w:val="26"/>
  </w:num>
  <w:num w:numId="23">
    <w:abstractNumId w:val="7"/>
  </w:num>
  <w:num w:numId="24">
    <w:abstractNumId w:val="31"/>
  </w:num>
  <w:num w:numId="25">
    <w:abstractNumId w:val="30"/>
  </w:num>
  <w:num w:numId="26">
    <w:abstractNumId w:val="20"/>
  </w:num>
  <w:num w:numId="27">
    <w:abstractNumId w:val="36"/>
  </w:num>
  <w:num w:numId="28">
    <w:abstractNumId w:val="43"/>
  </w:num>
  <w:num w:numId="29">
    <w:abstractNumId w:val="5"/>
  </w:num>
  <w:num w:numId="30">
    <w:abstractNumId w:val="2"/>
  </w:num>
  <w:num w:numId="31">
    <w:abstractNumId w:val="22"/>
  </w:num>
  <w:num w:numId="32">
    <w:abstractNumId w:val="21"/>
  </w:num>
  <w:num w:numId="33">
    <w:abstractNumId w:val="39"/>
  </w:num>
  <w:num w:numId="34">
    <w:abstractNumId w:val="38"/>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2"/>
  </w:num>
  <w:num w:numId="43">
    <w:abstractNumId w:val="37"/>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 w:numId="5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9rPfNwJOGfOWwiWaHhEOojeEHaksGLOR3dtp9+ZnMJiImJVVSHfjKpOwIrmhTs4cEaTVPc5AJHgJgB7k0Xtsg==" w:salt="JlwXc+SUYE80HWIyEJzZJ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DCC"/>
    <w:rsid w:val="000C1FBC"/>
    <w:rsid w:val="000C2B6A"/>
    <w:rsid w:val="000C2BB4"/>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6882"/>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081"/>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A5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17FA"/>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2DB3"/>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089"/>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3AFB"/>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5394"/>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11C"/>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334"/>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0CAF"/>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265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97D4E"/>
    <w:rsid w:val="00AA003B"/>
    <w:rsid w:val="00AA016B"/>
    <w:rsid w:val="00AA15DD"/>
    <w:rsid w:val="00AA1C09"/>
    <w:rsid w:val="00AA2F67"/>
    <w:rsid w:val="00AA3569"/>
    <w:rsid w:val="00AA57CF"/>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201E"/>
    <w:rsid w:val="00AF38AF"/>
    <w:rsid w:val="00AF3C29"/>
    <w:rsid w:val="00AF4401"/>
    <w:rsid w:val="00AF4463"/>
    <w:rsid w:val="00AF53CB"/>
    <w:rsid w:val="00AF65C5"/>
    <w:rsid w:val="00B01173"/>
    <w:rsid w:val="00B03CE2"/>
    <w:rsid w:val="00B059A9"/>
    <w:rsid w:val="00B06544"/>
    <w:rsid w:val="00B105F2"/>
    <w:rsid w:val="00B10991"/>
    <w:rsid w:val="00B12128"/>
    <w:rsid w:val="00B12945"/>
    <w:rsid w:val="00B12C1E"/>
    <w:rsid w:val="00B14364"/>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475"/>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5633"/>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256D"/>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4A3"/>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D5C"/>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2AD3"/>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089"/>
    <w:rPr>
      <w:sz w:val="24"/>
      <w:szCs w:val="24"/>
      <w:lang w:val="en-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style>
  <w:style w:type="paragraph" w:styleId="Heading8">
    <w:name w:val="heading 8"/>
    <w:basedOn w:val="Normal"/>
    <w:next w:val="Normal"/>
    <w:link w:val="Heading8Char"/>
    <w:qFormat/>
    <w:rsid w:val="003609B6"/>
    <w:pPr>
      <w:numPr>
        <w:ilvl w:val="7"/>
        <w:numId w:val="4"/>
      </w:numPr>
      <w:spacing w:before="240" w:after="60"/>
      <w:outlineLvl w:val="7"/>
    </w:pPr>
    <w:rPr>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szCs w:val="20"/>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rPr>
  </w:style>
  <w:style w:type="paragraph" w:customStyle="1" w:styleId="Tiret1">
    <w:name w:val="Tiret 1"/>
    <w:basedOn w:val="Normal"/>
    <w:rsid w:val="002D6E1A"/>
    <w:pPr>
      <w:numPr>
        <w:numId w:val="10"/>
      </w:numPr>
      <w:spacing w:before="120" w:after="120"/>
      <w:jc w:val="both"/>
    </w:pPr>
    <w:rPr>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lang w:eastAsia="en-US"/>
    </w:rPr>
  </w:style>
  <w:style w:type="paragraph" w:customStyle="1" w:styleId="Institutionquisigne">
    <w:name w:val="Institution qui signe"/>
    <w:basedOn w:val="Normal"/>
    <w:next w:val="Normal"/>
    <w:rsid w:val="000D2D0B"/>
    <w:pPr>
      <w:keepNext/>
      <w:tabs>
        <w:tab w:val="left" w:pos="4252"/>
      </w:tabs>
      <w:spacing w:before="720"/>
      <w:jc w:val="both"/>
    </w:pPr>
    <w:rPr>
      <w:i/>
      <w:lang w:eastAsia="en-US"/>
    </w:rPr>
  </w:style>
  <w:style w:type="paragraph" w:customStyle="1" w:styleId="Paragrafoelenco1">
    <w:name w:val="Paragrafo elenco1"/>
    <w:basedOn w:val="Normal"/>
    <w:rsid w:val="000D2D0B"/>
    <w:pPr>
      <w:ind w:left="720"/>
      <w:contextualSpacing/>
    </w:pPr>
    <w:rPr>
      <w:rFonts w:ascii="Cambria" w:hAnsi="Cambria"/>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szCs w:val="20"/>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b/>
      <w:caps/>
      <w:szCs w:val="20"/>
    </w:rPr>
  </w:style>
  <w:style w:type="paragraph" w:customStyle="1" w:styleId="Applicationdirecte">
    <w:name w:val="Application directe"/>
    <w:basedOn w:val="Normal"/>
    <w:next w:val="Fait"/>
    <w:rsid w:val="000D2D0B"/>
    <w:pPr>
      <w:spacing w:before="480" w:after="120"/>
      <w:jc w:val="both"/>
    </w:pPr>
    <w:rPr>
      <w:lang w:eastAsia="en-US"/>
    </w:rPr>
  </w:style>
  <w:style w:type="paragraph" w:customStyle="1" w:styleId="Fait">
    <w:name w:val="Fait à"/>
    <w:basedOn w:val="Normal"/>
    <w:next w:val="Institutionquisigne"/>
    <w:rsid w:val="000D2D0B"/>
    <w:pPr>
      <w:keepNext/>
      <w:spacing w:before="120"/>
      <w:jc w:val="both"/>
    </w:pPr>
    <w:rPr>
      <w:lang w:eastAsia="en-US"/>
    </w:rPr>
  </w:style>
  <w:style w:type="paragraph" w:customStyle="1" w:styleId="Formuledadoption">
    <w:name w:val="Formule d'adoption"/>
    <w:basedOn w:val="Normal"/>
    <w:next w:val="Titrearticle"/>
    <w:rsid w:val="000D2D0B"/>
    <w:pPr>
      <w:keepNext/>
      <w:spacing w:before="120" w:after="120"/>
      <w:jc w:val="both"/>
    </w:pPr>
    <w:rPr>
      <w:lang w:eastAsia="en-US"/>
    </w:rPr>
  </w:style>
  <w:style w:type="paragraph" w:customStyle="1" w:styleId="Personnequisigne">
    <w:name w:val="Personne qui signe"/>
    <w:basedOn w:val="Normal"/>
    <w:next w:val="Institutionquisigne"/>
    <w:rsid w:val="000D2D0B"/>
    <w:pPr>
      <w:tabs>
        <w:tab w:val="left" w:pos="4252"/>
      </w:tabs>
    </w:pPr>
    <w:rPr>
      <w:i/>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i/>
      <w:lang w:val="x-none" w:eastAsia="x-none"/>
    </w:rPr>
  </w:style>
  <w:style w:type="paragraph" w:customStyle="1" w:styleId="Titreobjet">
    <w:name w:val="Titre objet"/>
    <w:basedOn w:val="Normal"/>
    <w:next w:val="Normal"/>
    <w:rsid w:val="000D2D0B"/>
    <w:pPr>
      <w:spacing w:before="360" w:after="360"/>
      <w:jc w:val="center"/>
    </w:pPr>
    <w:rPr>
      <w:b/>
      <w:lang w:eastAsia="en-US"/>
    </w:rPr>
  </w:style>
  <w:style w:type="paragraph" w:customStyle="1" w:styleId="Typedudocument">
    <w:name w:val="Type du document"/>
    <w:basedOn w:val="Normal"/>
    <w:next w:val="Titreobjet"/>
    <w:rsid w:val="000D2D0B"/>
    <w:pPr>
      <w:spacing w:before="360"/>
      <w:jc w:val="center"/>
    </w:pPr>
    <w:rPr>
      <w:b/>
      <w:lang w:eastAsia="en-US"/>
    </w:rPr>
  </w:style>
  <w:style w:type="paragraph" w:customStyle="1" w:styleId="HeaderLandscape">
    <w:name w:val="HeaderLandscape"/>
    <w:basedOn w:val="Normal"/>
    <w:rsid w:val="000D2D0B"/>
    <w:pPr>
      <w:tabs>
        <w:tab w:val="center" w:pos="7285"/>
        <w:tab w:val="right" w:pos="14003"/>
      </w:tabs>
      <w:spacing w:before="120" w:after="120"/>
      <w:jc w:val="both"/>
    </w:pPr>
    <w:rPr>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lang w:eastAsia="en-US"/>
    </w:rPr>
  </w:style>
  <w:style w:type="paragraph" w:customStyle="1" w:styleId="Text1">
    <w:name w:val="Text 1"/>
    <w:basedOn w:val="Normal"/>
    <w:rsid w:val="000D2D0B"/>
    <w:pPr>
      <w:spacing w:before="120" w:after="120"/>
      <w:ind w:left="850"/>
      <w:jc w:val="both"/>
    </w:pPr>
    <w:rPr>
      <w:lang w:eastAsia="en-US"/>
    </w:rPr>
  </w:style>
  <w:style w:type="paragraph" w:customStyle="1" w:styleId="Text2">
    <w:name w:val="Text 2"/>
    <w:basedOn w:val="Normal"/>
    <w:rsid w:val="000D2D0B"/>
    <w:pPr>
      <w:spacing w:before="120" w:after="120"/>
      <w:ind w:left="1417"/>
      <w:jc w:val="both"/>
    </w:pPr>
    <w:rPr>
      <w:lang w:eastAsia="en-US"/>
    </w:rPr>
  </w:style>
  <w:style w:type="paragraph" w:customStyle="1" w:styleId="Text3">
    <w:name w:val="Text 3"/>
    <w:basedOn w:val="Normal"/>
    <w:rsid w:val="000D2D0B"/>
    <w:pPr>
      <w:spacing w:before="120" w:after="120"/>
      <w:ind w:left="1984"/>
      <w:jc w:val="both"/>
    </w:pPr>
    <w:rPr>
      <w:lang w:eastAsia="en-US"/>
    </w:rPr>
  </w:style>
  <w:style w:type="paragraph" w:customStyle="1" w:styleId="Text4">
    <w:name w:val="Text 4"/>
    <w:basedOn w:val="Normal"/>
    <w:rsid w:val="000D2D0B"/>
    <w:pPr>
      <w:spacing w:before="120" w:after="120"/>
      <w:ind w:left="2551"/>
      <w:jc w:val="both"/>
    </w:pPr>
    <w:rPr>
      <w:lang w:eastAsia="en-US"/>
    </w:rPr>
  </w:style>
  <w:style w:type="paragraph" w:customStyle="1" w:styleId="NormalCentered">
    <w:name w:val="Normal Centered"/>
    <w:basedOn w:val="Normal"/>
    <w:rsid w:val="000D2D0B"/>
    <w:pPr>
      <w:spacing w:before="120" w:after="120"/>
      <w:jc w:val="center"/>
    </w:pPr>
    <w:rPr>
      <w:lang w:eastAsia="en-US"/>
    </w:rPr>
  </w:style>
  <w:style w:type="paragraph" w:customStyle="1" w:styleId="NormalLeft">
    <w:name w:val="Normal Left"/>
    <w:basedOn w:val="Normal"/>
    <w:rsid w:val="000D2D0B"/>
    <w:pPr>
      <w:spacing w:before="120" w:after="120"/>
    </w:pPr>
    <w:rPr>
      <w:lang w:eastAsia="en-US"/>
    </w:rPr>
  </w:style>
  <w:style w:type="paragraph" w:customStyle="1" w:styleId="NormalRight">
    <w:name w:val="Normal Right"/>
    <w:basedOn w:val="Normal"/>
    <w:rsid w:val="000D2D0B"/>
    <w:pPr>
      <w:spacing w:before="120" w:after="120"/>
      <w:jc w:val="right"/>
    </w:pPr>
    <w:rPr>
      <w:lang w:eastAsia="en-US"/>
    </w:rPr>
  </w:style>
  <w:style w:type="paragraph" w:customStyle="1" w:styleId="QuotedText">
    <w:name w:val="Quoted Text"/>
    <w:basedOn w:val="Normal"/>
    <w:rsid w:val="000D2D0B"/>
    <w:pPr>
      <w:spacing w:before="120" w:after="120"/>
      <w:ind w:left="1417"/>
      <w:jc w:val="both"/>
    </w:pPr>
    <w:rPr>
      <w:lang w:eastAsia="en-US"/>
    </w:rPr>
  </w:style>
  <w:style w:type="paragraph" w:customStyle="1" w:styleId="Point0">
    <w:name w:val="Point 0"/>
    <w:basedOn w:val="Normal"/>
    <w:rsid w:val="000D2D0B"/>
    <w:pPr>
      <w:spacing w:before="120" w:after="120"/>
      <w:ind w:left="850" w:hanging="850"/>
      <w:jc w:val="both"/>
    </w:pPr>
    <w:rPr>
      <w:lang w:eastAsia="en-US"/>
    </w:rPr>
  </w:style>
  <w:style w:type="paragraph" w:customStyle="1" w:styleId="Point1">
    <w:name w:val="Point 1"/>
    <w:basedOn w:val="Normal"/>
    <w:rsid w:val="000D2D0B"/>
    <w:pPr>
      <w:spacing w:before="120" w:after="120"/>
      <w:ind w:left="1417" w:hanging="567"/>
      <w:jc w:val="both"/>
    </w:pPr>
    <w:rPr>
      <w:lang w:eastAsia="en-US"/>
    </w:rPr>
  </w:style>
  <w:style w:type="paragraph" w:customStyle="1" w:styleId="Point2">
    <w:name w:val="Point 2"/>
    <w:basedOn w:val="Normal"/>
    <w:rsid w:val="000D2D0B"/>
    <w:pPr>
      <w:spacing w:before="120" w:after="120"/>
      <w:ind w:left="1984" w:hanging="567"/>
      <w:jc w:val="both"/>
    </w:pPr>
    <w:rPr>
      <w:lang w:eastAsia="en-US"/>
    </w:rPr>
  </w:style>
  <w:style w:type="paragraph" w:customStyle="1" w:styleId="Point3">
    <w:name w:val="Point 3"/>
    <w:basedOn w:val="Normal"/>
    <w:rsid w:val="000D2D0B"/>
    <w:pPr>
      <w:spacing w:before="120" w:after="120"/>
      <w:ind w:left="2551" w:hanging="567"/>
      <w:jc w:val="both"/>
    </w:pPr>
    <w:rPr>
      <w:lang w:eastAsia="en-US"/>
    </w:rPr>
  </w:style>
  <w:style w:type="paragraph" w:customStyle="1" w:styleId="Point4">
    <w:name w:val="Point 4"/>
    <w:basedOn w:val="Normal"/>
    <w:rsid w:val="000D2D0B"/>
    <w:pPr>
      <w:spacing w:before="120" w:after="120"/>
      <w:ind w:left="3118" w:hanging="567"/>
      <w:jc w:val="both"/>
    </w:pPr>
    <w:rPr>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lang w:eastAsia="en-US"/>
    </w:rPr>
  </w:style>
  <w:style w:type="paragraph" w:customStyle="1" w:styleId="PointDouble1">
    <w:name w:val="PointDouble 1"/>
    <w:basedOn w:val="Normal"/>
    <w:rsid w:val="000D2D0B"/>
    <w:pPr>
      <w:tabs>
        <w:tab w:val="left" w:pos="1417"/>
      </w:tabs>
      <w:spacing w:before="120" w:after="120"/>
      <w:ind w:left="1984" w:hanging="1134"/>
      <w:jc w:val="both"/>
    </w:pPr>
    <w:rPr>
      <w:lang w:eastAsia="en-US"/>
    </w:rPr>
  </w:style>
  <w:style w:type="paragraph" w:customStyle="1" w:styleId="PointDouble2">
    <w:name w:val="PointDouble 2"/>
    <w:basedOn w:val="Normal"/>
    <w:rsid w:val="000D2D0B"/>
    <w:pPr>
      <w:tabs>
        <w:tab w:val="left" w:pos="1984"/>
      </w:tabs>
      <w:spacing w:before="120" w:after="120"/>
      <w:ind w:left="2551" w:hanging="1134"/>
      <w:jc w:val="both"/>
    </w:pPr>
    <w:rPr>
      <w:lang w:eastAsia="en-US"/>
    </w:rPr>
  </w:style>
  <w:style w:type="paragraph" w:customStyle="1" w:styleId="PointDouble3">
    <w:name w:val="PointDouble 3"/>
    <w:basedOn w:val="Normal"/>
    <w:rsid w:val="000D2D0B"/>
    <w:pPr>
      <w:tabs>
        <w:tab w:val="left" w:pos="2551"/>
      </w:tabs>
      <w:spacing w:before="120" w:after="120"/>
      <w:ind w:left="3118" w:hanging="1134"/>
      <w:jc w:val="both"/>
    </w:pPr>
    <w:rPr>
      <w:lang w:eastAsia="en-US"/>
    </w:rPr>
  </w:style>
  <w:style w:type="paragraph" w:customStyle="1" w:styleId="PointDouble4">
    <w:name w:val="PointDouble 4"/>
    <w:basedOn w:val="Normal"/>
    <w:rsid w:val="000D2D0B"/>
    <w:pPr>
      <w:tabs>
        <w:tab w:val="left" w:pos="3118"/>
      </w:tabs>
      <w:spacing w:before="120" w:after="120"/>
      <w:ind w:left="3685" w:hanging="1134"/>
      <w:jc w:val="both"/>
    </w:pPr>
    <w:rPr>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lang w:eastAsia="en-US"/>
    </w:rPr>
  </w:style>
  <w:style w:type="paragraph" w:customStyle="1" w:styleId="NumPar1">
    <w:name w:val="NumPar 1"/>
    <w:basedOn w:val="Normal"/>
    <w:next w:val="Text1"/>
    <w:rsid w:val="000D2D0B"/>
    <w:pPr>
      <w:numPr>
        <w:numId w:val="21"/>
      </w:numPr>
      <w:spacing w:before="120" w:after="120"/>
      <w:jc w:val="both"/>
    </w:pPr>
    <w:rPr>
      <w:lang w:eastAsia="en-US"/>
    </w:rPr>
  </w:style>
  <w:style w:type="paragraph" w:customStyle="1" w:styleId="NumPar2">
    <w:name w:val="NumPar 2"/>
    <w:basedOn w:val="Normal"/>
    <w:next w:val="Text1"/>
    <w:rsid w:val="000D2D0B"/>
    <w:pPr>
      <w:numPr>
        <w:ilvl w:val="1"/>
        <w:numId w:val="21"/>
      </w:numPr>
      <w:spacing w:before="120" w:after="120"/>
      <w:jc w:val="both"/>
    </w:pPr>
    <w:rPr>
      <w:lang w:eastAsia="en-US"/>
    </w:rPr>
  </w:style>
  <w:style w:type="paragraph" w:customStyle="1" w:styleId="NumPar3">
    <w:name w:val="NumPar 3"/>
    <w:basedOn w:val="Normal"/>
    <w:next w:val="Text1"/>
    <w:rsid w:val="000D2D0B"/>
    <w:pPr>
      <w:numPr>
        <w:ilvl w:val="2"/>
        <w:numId w:val="21"/>
      </w:numPr>
      <w:spacing w:before="120" w:after="120"/>
      <w:jc w:val="both"/>
    </w:pPr>
    <w:rPr>
      <w:lang w:eastAsia="en-US"/>
    </w:rPr>
  </w:style>
  <w:style w:type="paragraph" w:customStyle="1" w:styleId="NumPar4">
    <w:name w:val="NumPar 4"/>
    <w:basedOn w:val="Normal"/>
    <w:next w:val="Text1"/>
    <w:rsid w:val="000D2D0B"/>
    <w:pPr>
      <w:numPr>
        <w:ilvl w:val="3"/>
        <w:numId w:val="21"/>
      </w:numPr>
      <w:spacing w:before="120" w:after="120"/>
      <w:jc w:val="both"/>
    </w:pPr>
    <w:rPr>
      <w:lang w:eastAsia="en-US"/>
    </w:rPr>
  </w:style>
  <w:style w:type="paragraph" w:customStyle="1" w:styleId="ManualNumPar2">
    <w:name w:val="Manual NumPar 2"/>
    <w:basedOn w:val="Normal"/>
    <w:next w:val="Text1"/>
    <w:rsid w:val="000D2D0B"/>
    <w:pPr>
      <w:spacing w:before="120" w:after="120"/>
      <w:ind w:left="850" w:hanging="850"/>
      <w:jc w:val="both"/>
    </w:pPr>
    <w:rPr>
      <w:lang w:eastAsia="en-US"/>
    </w:rPr>
  </w:style>
  <w:style w:type="paragraph" w:customStyle="1" w:styleId="ManualNumPar3">
    <w:name w:val="Manual NumPar 3"/>
    <w:basedOn w:val="Normal"/>
    <w:next w:val="Text1"/>
    <w:rsid w:val="000D2D0B"/>
    <w:pPr>
      <w:spacing w:before="120" w:after="120"/>
      <w:ind w:left="850" w:hanging="850"/>
      <w:jc w:val="both"/>
    </w:pPr>
    <w:rPr>
      <w:lang w:eastAsia="en-US"/>
    </w:rPr>
  </w:style>
  <w:style w:type="paragraph" w:customStyle="1" w:styleId="ManualNumPar4">
    <w:name w:val="Manual NumPar 4"/>
    <w:basedOn w:val="Normal"/>
    <w:next w:val="Text1"/>
    <w:rsid w:val="000D2D0B"/>
    <w:pPr>
      <w:spacing w:before="120" w:after="120"/>
      <w:ind w:left="850" w:hanging="850"/>
      <w:jc w:val="both"/>
    </w:pPr>
    <w:rPr>
      <w:lang w:eastAsia="en-US"/>
    </w:rPr>
  </w:style>
  <w:style w:type="paragraph" w:customStyle="1" w:styleId="QuotedNumPar">
    <w:name w:val="Quoted NumPar"/>
    <w:basedOn w:val="Normal"/>
    <w:rsid w:val="000D2D0B"/>
    <w:pPr>
      <w:spacing w:before="120" w:after="120"/>
      <w:ind w:left="1417" w:hanging="567"/>
      <w:jc w:val="both"/>
    </w:pPr>
    <w:rPr>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b/>
      <w:smallCaps/>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b/>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i/>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lang w:eastAsia="en-US"/>
    </w:rPr>
  </w:style>
  <w:style w:type="paragraph" w:customStyle="1" w:styleId="ChapterTitle">
    <w:name w:val="ChapterTitle"/>
    <w:basedOn w:val="Normal"/>
    <w:next w:val="Normal"/>
    <w:rsid w:val="000D2D0B"/>
    <w:pPr>
      <w:keepNext/>
      <w:spacing w:before="120" w:after="360"/>
      <w:jc w:val="center"/>
    </w:pPr>
    <w:rPr>
      <w:b/>
      <w:sz w:val="32"/>
      <w:lang w:eastAsia="en-US"/>
    </w:rPr>
  </w:style>
  <w:style w:type="paragraph" w:customStyle="1" w:styleId="PartTitle">
    <w:name w:val="PartTitle"/>
    <w:basedOn w:val="Normal"/>
    <w:next w:val="ChapterTitle"/>
    <w:rsid w:val="000D2D0B"/>
    <w:pPr>
      <w:keepNext/>
      <w:pageBreakBefore/>
      <w:spacing w:before="120" w:after="360"/>
      <w:jc w:val="center"/>
    </w:pPr>
    <w:rPr>
      <w:b/>
      <w:sz w:val="36"/>
      <w:lang w:eastAsia="en-US"/>
    </w:rPr>
  </w:style>
  <w:style w:type="paragraph" w:customStyle="1" w:styleId="SectionTitle">
    <w:name w:val="SectionTitle"/>
    <w:basedOn w:val="Normal"/>
    <w:next w:val="Heading1"/>
    <w:rsid w:val="000D2D0B"/>
    <w:pPr>
      <w:keepNext/>
      <w:spacing w:before="120" w:after="360"/>
      <w:jc w:val="center"/>
    </w:pPr>
    <w:rPr>
      <w:b/>
      <w:smallCaps/>
      <w:sz w:val="28"/>
      <w:lang w:eastAsia="en-US"/>
    </w:rPr>
  </w:style>
  <w:style w:type="paragraph" w:customStyle="1" w:styleId="TableTitle">
    <w:name w:val="Table Title"/>
    <w:basedOn w:val="Normal"/>
    <w:next w:val="Normal"/>
    <w:rsid w:val="000D2D0B"/>
    <w:pPr>
      <w:spacing w:before="120" w:after="120"/>
      <w:jc w:val="center"/>
    </w:pPr>
    <w:rPr>
      <w:b/>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lang w:eastAsia="en-US"/>
    </w:rPr>
  </w:style>
  <w:style w:type="paragraph" w:customStyle="1" w:styleId="Point1number">
    <w:name w:val="Point 1 (number)"/>
    <w:basedOn w:val="Normal"/>
    <w:rsid w:val="000D2D0B"/>
    <w:pPr>
      <w:numPr>
        <w:ilvl w:val="2"/>
        <w:numId w:val="28"/>
      </w:numPr>
      <w:spacing w:before="120" w:after="120"/>
      <w:jc w:val="both"/>
    </w:pPr>
    <w:rPr>
      <w:lang w:eastAsia="en-US"/>
    </w:rPr>
  </w:style>
  <w:style w:type="paragraph" w:customStyle="1" w:styleId="Point2number">
    <w:name w:val="Point 2 (number)"/>
    <w:basedOn w:val="Normal"/>
    <w:rsid w:val="000D2D0B"/>
    <w:pPr>
      <w:numPr>
        <w:ilvl w:val="4"/>
        <w:numId w:val="28"/>
      </w:numPr>
      <w:spacing w:before="120" w:after="120"/>
      <w:jc w:val="both"/>
    </w:pPr>
    <w:rPr>
      <w:lang w:eastAsia="en-US"/>
    </w:rPr>
  </w:style>
  <w:style w:type="paragraph" w:customStyle="1" w:styleId="Point3number">
    <w:name w:val="Point 3 (number)"/>
    <w:basedOn w:val="Normal"/>
    <w:rsid w:val="000D2D0B"/>
    <w:pPr>
      <w:numPr>
        <w:ilvl w:val="6"/>
        <w:numId w:val="28"/>
      </w:numPr>
      <w:spacing w:before="120" w:after="120"/>
      <w:jc w:val="both"/>
    </w:pPr>
    <w:rPr>
      <w:lang w:eastAsia="en-US"/>
    </w:rPr>
  </w:style>
  <w:style w:type="paragraph" w:customStyle="1" w:styleId="Point0letter">
    <w:name w:val="Point 0 (letter)"/>
    <w:basedOn w:val="Normal"/>
    <w:rsid w:val="000D2D0B"/>
    <w:pPr>
      <w:numPr>
        <w:ilvl w:val="1"/>
        <w:numId w:val="28"/>
      </w:numPr>
      <w:spacing w:before="120" w:after="120"/>
      <w:jc w:val="both"/>
    </w:pPr>
    <w:rPr>
      <w:lang w:eastAsia="en-US"/>
    </w:rPr>
  </w:style>
  <w:style w:type="paragraph" w:customStyle="1" w:styleId="Point1letter">
    <w:name w:val="Point 1 (letter)"/>
    <w:basedOn w:val="Normal"/>
    <w:rsid w:val="000D2D0B"/>
    <w:pPr>
      <w:numPr>
        <w:ilvl w:val="3"/>
        <w:numId w:val="28"/>
      </w:numPr>
      <w:spacing w:before="120" w:after="120"/>
      <w:jc w:val="both"/>
    </w:pPr>
    <w:rPr>
      <w:lang w:eastAsia="en-US"/>
    </w:rPr>
  </w:style>
  <w:style w:type="paragraph" w:customStyle="1" w:styleId="Point2letter">
    <w:name w:val="Point 2 (letter)"/>
    <w:basedOn w:val="Normal"/>
    <w:rsid w:val="000D2D0B"/>
    <w:pPr>
      <w:numPr>
        <w:ilvl w:val="5"/>
        <w:numId w:val="28"/>
      </w:numPr>
      <w:spacing w:before="120" w:after="120"/>
      <w:jc w:val="both"/>
    </w:pPr>
    <w:rPr>
      <w:lang w:eastAsia="en-US"/>
    </w:rPr>
  </w:style>
  <w:style w:type="paragraph" w:customStyle="1" w:styleId="Point3letter">
    <w:name w:val="Point 3 (letter)"/>
    <w:basedOn w:val="Normal"/>
    <w:rsid w:val="000D2D0B"/>
    <w:pPr>
      <w:numPr>
        <w:ilvl w:val="7"/>
        <w:numId w:val="28"/>
      </w:numPr>
      <w:spacing w:before="120" w:after="120"/>
      <w:jc w:val="both"/>
    </w:pPr>
    <w:rPr>
      <w:lang w:eastAsia="en-US"/>
    </w:rPr>
  </w:style>
  <w:style w:type="paragraph" w:customStyle="1" w:styleId="Point4letter">
    <w:name w:val="Point 4 (letter)"/>
    <w:basedOn w:val="Normal"/>
    <w:rsid w:val="000D2D0B"/>
    <w:pPr>
      <w:numPr>
        <w:ilvl w:val="8"/>
        <w:numId w:val="28"/>
      </w:numPr>
      <w:spacing w:before="120" w:after="120"/>
      <w:jc w:val="both"/>
    </w:pPr>
    <w:rPr>
      <w:lang w:eastAsia="en-US"/>
    </w:rPr>
  </w:style>
  <w:style w:type="paragraph" w:customStyle="1" w:styleId="Bullet0">
    <w:name w:val="Bullet 0"/>
    <w:basedOn w:val="Normal"/>
    <w:rsid w:val="000D2D0B"/>
    <w:pPr>
      <w:numPr>
        <w:numId w:val="22"/>
      </w:numPr>
      <w:spacing w:before="120" w:after="120"/>
      <w:jc w:val="both"/>
    </w:pPr>
    <w:rPr>
      <w:lang w:eastAsia="en-US"/>
    </w:rPr>
  </w:style>
  <w:style w:type="paragraph" w:customStyle="1" w:styleId="Bullet1">
    <w:name w:val="Bullet 1"/>
    <w:basedOn w:val="Normal"/>
    <w:rsid w:val="000D2D0B"/>
    <w:pPr>
      <w:numPr>
        <w:numId w:val="23"/>
      </w:numPr>
      <w:spacing w:before="120" w:after="120"/>
      <w:jc w:val="both"/>
    </w:pPr>
    <w:rPr>
      <w:lang w:eastAsia="en-US"/>
    </w:rPr>
  </w:style>
  <w:style w:type="paragraph" w:customStyle="1" w:styleId="Bullet2">
    <w:name w:val="Bullet 2"/>
    <w:basedOn w:val="Normal"/>
    <w:rsid w:val="000D2D0B"/>
    <w:pPr>
      <w:numPr>
        <w:numId w:val="24"/>
      </w:numPr>
      <w:spacing w:before="120" w:after="120"/>
      <w:jc w:val="both"/>
    </w:pPr>
    <w:rPr>
      <w:lang w:eastAsia="en-US"/>
    </w:rPr>
  </w:style>
  <w:style w:type="paragraph" w:customStyle="1" w:styleId="Bullet3">
    <w:name w:val="Bullet 3"/>
    <w:basedOn w:val="Normal"/>
    <w:rsid w:val="000D2D0B"/>
    <w:pPr>
      <w:numPr>
        <w:numId w:val="25"/>
      </w:numPr>
      <w:spacing w:before="120" w:after="120"/>
      <w:jc w:val="both"/>
    </w:pPr>
    <w:rPr>
      <w:lang w:eastAsia="en-US"/>
    </w:rPr>
  </w:style>
  <w:style w:type="paragraph" w:customStyle="1" w:styleId="Bullet4">
    <w:name w:val="Bullet 4"/>
    <w:basedOn w:val="Normal"/>
    <w:rsid w:val="000D2D0B"/>
    <w:pPr>
      <w:numPr>
        <w:numId w:val="26"/>
      </w:numPr>
      <w:spacing w:before="120" w:after="120"/>
      <w:jc w:val="both"/>
    </w:pPr>
    <w:rPr>
      <w:lang w:eastAsia="en-US"/>
    </w:rPr>
  </w:style>
  <w:style w:type="paragraph" w:customStyle="1" w:styleId="Annexetitreexpos">
    <w:name w:val="Annexe titre (exposé)"/>
    <w:basedOn w:val="Normal"/>
    <w:next w:val="Normal"/>
    <w:rsid w:val="000D2D0B"/>
    <w:pPr>
      <w:spacing w:before="120" w:after="120"/>
      <w:jc w:val="center"/>
    </w:pPr>
    <w:rPr>
      <w:b/>
      <w:u w:val="single"/>
      <w:lang w:eastAsia="en-US"/>
    </w:rPr>
  </w:style>
  <w:style w:type="paragraph" w:customStyle="1" w:styleId="Annexetitre">
    <w:name w:val="Annexe titre"/>
    <w:basedOn w:val="Normal"/>
    <w:next w:val="Normal"/>
    <w:rsid w:val="000D2D0B"/>
    <w:pPr>
      <w:spacing w:before="120" w:after="120"/>
      <w:jc w:val="center"/>
    </w:pPr>
    <w:rPr>
      <w:b/>
      <w:u w:val="single"/>
      <w:lang w:eastAsia="en-US"/>
    </w:rPr>
  </w:style>
  <w:style w:type="paragraph" w:customStyle="1" w:styleId="Annexetitrefichefinancire">
    <w:name w:val="Annexe titre (fiche financière)"/>
    <w:basedOn w:val="Normal"/>
    <w:next w:val="Normal"/>
    <w:rsid w:val="000D2D0B"/>
    <w:pPr>
      <w:spacing w:before="120" w:after="120"/>
      <w:jc w:val="center"/>
    </w:pPr>
    <w:rPr>
      <w:b/>
      <w:u w:val="single"/>
      <w:lang w:eastAsia="en-US"/>
    </w:rPr>
  </w:style>
  <w:style w:type="paragraph" w:customStyle="1" w:styleId="Avertissementtitre">
    <w:name w:val="Avertissement titre"/>
    <w:basedOn w:val="Normal"/>
    <w:next w:val="Normal"/>
    <w:rsid w:val="000D2D0B"/>
    <w:pPr>
      <w:keepNext/>
      <w:spacing w:before="480" w:after="120"/>
      <w:jc w:val="both"/>
    </w:pPr>
    <w:rPr>
      <w:u w:val="single"/>
      <w:lang w:eastAsia="en-US"/>
    </w:rPr>
  </w:style>
  <w:style w:type="paragraph" w:customStyle="1" w:styleId="Confidence">
    <w:name w:val="Confidence"/>
    <w:basedOn w:val="Normal"/>
    <w:next w:val="Normal"/>
    <w:rsid w:val="000D2D0B"/>
    <w:pPr>
      <w:spacing w:before="360" w:after="120"/>
      <w:jc w:val="center"/>
    </w:pPr>
    <w:rPr>
      <w:lang w:eastAsia="en-US"/>
    </w:rPr>
  </w:style>
  <w:style w:type="paragraph" w:customStyle="1" w:styleId="Confidentialit">
    <w:name w:val="Confidentialité"/>
    <w:basedOn w:val="Normal"/>
    <w:next w:val="TypedudocumentPagedecouverture"/>
    <w:rsid w:val="000D2D0B"/>
    <w:pPr>
      <w:spacing w:before="240" w:after="240"/>
      <w:ind w:left="5103"/>
      <w:jc w:val="both"/>
    </w:pPr>
    <w:rPr>
      <w:u w:val="single"/>
      <w:lang w:eastAsia="en-US"/>
    </w:rPr>
  </w:style>
  <w:style w:type="paragraph" w:customStyle="1" w:styleId="Corrigendum">
    <w:name w:val="Corrigendum"/>
    <w:basedOn w:val="Normal"/>
    <w:next w:val="Normal"/>
    <w:rsid w:val="000D2D0B"/>
    <w:pPr>
      <w:spacing w:after="240"/>
    </w:pPr>
    <w:rPr>
      <w:lang w:eastAsia="en-US"/>
    </w:rPr>
  </w:style>
  <w:style w:type="paragraph" w:customStyle="1" w:styleId="Datedadoption">
    <w:name w:val="Date d'adoption"/>
    <w:basedOn w:val="Normal"/>
    <w:next w:val="Titreobjet"/>
    <w:rsid w:val="000D2D0B"/>
    <w:pPr>
      <w:spacing w:before="360"/>
      <w:jc w:val="center"/>
    </w:pPr>
    <w:rPr>
      <w:b/>
      <w:lang w:eastAsia="en-US"/>
    </w:rPr>
  </w:style>
  <w:style w:type="paragraph" w:customStyle="1" w:styleId="Emission">
    <w:name w:val="Emission"/>
    <w:basedOn w:val="Normal"/>
    <w:next w:val="Rfrenceinstitutionnelle"/>
    <w:rsid w:val="000D2D0B"/>
    <w:pPr>
      <w:ind w:left="5103"/>
    </w:pPr>
    <w:rPr>
      <w:lang w:eastAsia="en-US"/>
    </w:rPr>
  </w:style>
  <w:style w:type="paragraph" w:customStyle="1" w:styleId="Exposdesmotifstitre">
    <w:name w:val="Exposé des motifs titre"/>
    <w:basedOn w:val="Normal"/>
    <w:next w:val="Normal"/>
    <w:rsid w:val="000D2D0B"/>
    <w:pPr>
      <w:spacing w:before="120" w:after="120"/>
      <w:jc w:val="center"/>
    </w:pPr>
    <w:rPr>
      <w:b/>
      <w:u w:val="single"/>
      <w:lang w:eastAsia="en-US"/>
    </w:rPr>
  </w:style>
  <w:style w:type="paragraph" w:customStyle="1" w:styleId="Institutionquiagit">
    <w:name w:val="Institution qui agit"/>
    <w:basedOn w:val="Normal"/>
    <w:next w:val="Normal"/>
    <w:rsid w:val="000D2D0B"/>
    <w:pPr>
      <w:keepNext/>
      <w:spacing w:before="600" w:after="120"/>
      <w:jc w:val="both"/>
    </w:pPr>
    <w:rPr>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b/>
      <w:caps/>
      <w:lang w:eastAsia="en-US"/>
    </w:rPr>
  </w:style>
  <w:style w:type="paragraph" w:customStyle="1" w:styleId="ManualConsidrant">
    <w:name w:val="Manual Considérant"/>
    <w:basedOn w:val="Normal"/>
    <w:rsid w:val="000D2D0B"/>
    <w:pPr>
      <w:spacing w:before="120" w:after="120"/>
      <w:ind w:left="709" w:hanging="709"/>
      <w:jc w:val="both"/>
    </w:pPr>
    <w:rPr>
      <w:lang w:eastAsia="en-US"/>
    </w:rPr>
  </w:style>
  <w:style w:type="paragraph" w:customStyle="1" w:styleId="Nomdelinstitution">
    <w:name w:val="Nom de l'institution"/>
    <w:basedOn w:val="Normal"/>
    <w:next w:val="Emission"/>
    <w:rsid w:val="000D2D0B"/>
    <w:rPr>
      <w:rFonts w:cs="Arial"/>
      <w:lang w:eastAsia="en-US"/>
    </w:rPr>
  </w:style>
  <w:style w:type="paragraph" w:customStyle="1" w:styleId="Rfrenceinstitutionnelle">
    <w:name w:val="Référence institutionnelle"/>
    <w:basedOn w:val="Normal"/>
    <w:next w:val="Confidentialit"/>
    <w:rsid w:val="000D2D0B"/>
    <w:pPr>
      <w:spacing w:after="240"/>
      <w:ind w:left="5103"/>
    </w:pPr>
    <w:rPr>
      <w:lang w:eastAsia="en-US"/>
    </w:rPr>
  </w:style>
  <w:style w:type="paragraph" w:customStyle="1" w:styleId="Rfrenceinterinstitutionnelle">
    <w:name w:val="Référence interinstitutionnelle"/>
    <w:basedOn w:val="Normal"/>
    <w:next w:val="Statut"/>
    <w:rsid w:val="000D2D0B"/>
    <w:pPr>
      <w:ind w:left="5103"/>
    </w:pPr>
    <w:rPr>
      <w:lang w:eastAsia="en-US"/>
    </w:rPr>
  </w:style>
  <w:style w:type="paragraph" w:customStyle="1" w:styleId="Rfrenceinterne">
    <w:name w:val="Référence interne"/>
    <w:basedOn w:val="Normal"/>
    <w:next w:val="Rfrenceinterinstitutionnelle"/>
    <w:rsid w:val="000D2D0B"/>
    <w:pPr>
      <w:ind w:left="5103"/>
    </w:pPr>
    <w:rPr>
      <w:lang w:eastAsia="en-US"/>
    </w:rPr>
  </w:style>
  <w:style w:type="paragraph" w:customStyle="1" w:styleId="Sous-titreobjet">
    <w:name w:val="Sous-titre objet"/>
    <w:basedOn w:val="Normal"/>
    <w:rsid w:val="000D2D0B"/>
    <w:pPr>
      <w:jc w:val="center"/>
    </w:pPr>
    <w:rPr>
      <w:b/>
      <w:lang w:eastAsia="en-US"/>
    </w:rPr>
  </w:style>
  <w:style w:type="paragraph" w:customStyle="1" w:styleId="Statut">
    <w:name w:val="Statut"/>
    <w:basedOn w:val="Normal"/>
    <w:next w:val="Typedudocument"/>
    <w:rsid w:val="000D2D0B"/>
    <w:pPr>
      <w:spacing w:before="360"/>
      <w:jc w:val="center"/>
    </w:pPr>
    <w:rPr>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lang w:eastAsia="en-US"/>
    </w:rPr>
  </w:style>
  <w:style w:type="paragraph" w:customStyle="1" w:styleId="Objetexterne">
    <w:name w:val="Objet externe"/>
    <w:basedOn w:val="Normal"/>
    <w:next w:val="Normal"/>
    <w:rsid w:val="000D2D0B"/>
    <w:pPr>
      <w:spacing w:before="120" w:after="120"/>
      <w:jc w:val="both"/>
    </w:pPr>
    <w:rPr>
      <w:i/>
      <w:caps/>
      <w:lang w:eastAsia="en-US"/>
    </w:rPr>
  </w:style>
  <w:style w:type="paragraph" w:customStyle="1" w:styleId="Pagedecouverture">
    <w:name w:val="Page de couverture"/>
    <w:basedOn w:val="Normal"/>
    <w:next w:val="Normal"/>
    <w:rsid w:val="000D2D0B"/>
    <w:pPr>
      <w:spacing w:before="120" w:after="120"/>
      <w:jc w:val="both"/>
    </w:pPr>
    <w:rPr>
      <w:lang w:eastAsia="en-US"/>
    </w:rPr>
  </w:style>
  <w:style w:type="paragraph" w:customStyle="1" w:styleId="Supertitre">
    <w:name w:val="Supertitre"/>
    <w:basedOn w:val="Normal"/>
    <w:next w:val="Normal"/>
    <w:rsid w:val="000D2D0B"/>
    <w:pPr>
      <w:spacing w:after="600"/>
      <w:jc w:val="center"/>
    </w:pPr>
    <w:rPr>
      <w:b/>
      <w:lang w:eastAsia="en-US"/>
    </w:rPr>
  </w:style>
  <w:style w:type="paragraph" w:customStyle="1" w:styleId="Languesfaisantfoi">
    <w:name w:val="Langues faisant foi"/>
    <w:basedOn w:val="Normal"/>
    <w:next w:val="Normal"/>
    <w:rsid w:val="000D2D0B"/>
    <w:pPr>
      <w:spacing w:before="360"/>
      <w:jc w:val="center"/>
    </w:pPr>
    <w:rPr>
      <w:lang w:eastAsia="en-US"/>
    </w:rPr>
  </w:style>
  <w:style w:type="paragraph" w:customStyle="1" w:styleId="Rfrencecroise">
    <w:name w:val="Référence croisée"/>
    <w:basedOn w:val="Normal"/>
    <w:rsid w:val="000D2D0B"/>
    <w:pPr>
      <w:jc w:val="center"/>
    </w:pPr>
    <w:rPr>
      <w:lang w:eastAsia="en-US"/>
    </w:rPr>
  </w:style>
  <w:style w:type="paragraph" w:customStyle="1" w:styleId="Fichefinanciretitre">
    <w:name w:val="Fiche financière titre"/>
    <w:basedOn w:val="Normal"/>
    <w:next w:val="Normal"/>
    <w:rsid w:val="000D2D0B"/>
    <w:pPr>
      <w:spacing w:before="120" w:after="120"/>
      <w:jc w:val="center"/>
    </w:pPr>
    <w:rPr>
      <w:b/>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b/>
      <w:i/>
      <w:lang w:eastAsia="en-US"/>
    </w:rPr>
  </w:style>
  <w:style w:type="paragraph" w:customStyle="1" w:styleId="Typeacteprincipal">
    <w:name w:val="Type acte principal"/>
    <w:basedOn w:val="Normal"/>
    <w:next w:val="Objetacteprincipal"/>
    <w:rsid w:val="000D2D0B"/>
    <w:pPr>
      <w:spacing w:after="240"/>
      <w:jc w:val="center"/>
    </w:pPr>
    <w:rPr>
      <w:b/>
      <w:lang w:eastAsia="en-US"/>
    </w:rPr>
  </w:style>
  <w:style w:type="paragraph" w:customStyle="1" w:styleId="Objetacteprincipal">
    <w:name w:val="Objet acte principal"/>
    <w:basedOn w:val="Normal"/>
    <w:next w:val="Titrearticle"/>
    <w:rsid w:val="000D2D0B"/>
    <w:pPr>
      <w:spacing w:after="360"/>
      <w:jc w:val="center"/>
    </w:pPr>
    <w:rPr>
      <w:b/>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lang w:eastAsia="en-US"/>
    </w:rPr>
  </w:style>
  <w:style w:type="paragraph" w:styleId="ListNumber2">
    <w:name w:val="List Number 2"/>
    <w:basedOn w:val="Normal"/>
    <w:rsid w:val="000D2D0B"/>
    <w:pPr>
      <w:tabs>
        <w:tab w:val="num" w:pos="643"/>
      </w:tabs>
      <w:spacing w:before="120" w:after="120"/>
      <w:ind w:left="643" w:hanging="360"/>
      <w:jc w:val="both"/>
    </w:pPr>
    <w:rPr>
      <w:lang w:eastAsia="en-US"/>
    </w:rPr>
  </w:style>
  <w:style w:type="paragraph" w:styleId="ListNumber3">
    <w:name w:val="List Number 3"/>
    <w:basedOn w:val="Normal"/>
    <w:rsid w:val="000D2D0B"/>
    <w:pPr>
      <w:tabs>
        <w:tab w:val="num" w:pos="926"/>
      </w:tabs>
      <w:spacing w:before="120" w:after="120"/>
      <w:ind w:left="926" w:hanging="360"/>
      <w:jc w:val="both"/>
    </w:pPr>
    <w:rPr>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lang w:eastAsia="en-US"/>
    </w:rPr>
  </w:style>
  <w:style w:type="paragraph" w:styleId="ListBullet2">
    <w:name w:val="List Bullet 2"/>
    <w:basedOn w:val="Normal"/>
    <w:rsid w:val="000D2D0B"/>
    <w:pPr>
      <w:tabs>
        <w:tab w:val="num" w:pos="643"/>
        <w:tab w:val="num" w:pos="851"/>
      </w:tabs>
      <w:spacing w:before="120" w:after="120"/>
      <w:ind w:left="643" w:hanging="360"/>
      <w:jc w:val="both"/>
    </w:pPr>
    <w:rPr>
      <w:lang w:eastAsia="en-US"/>
    </w:rPr>
  </w:style>
  <w:style w:type="paragraph" w:styleId="ListBullet3">
    <w:name w:val="List Bullet 3"/>
    <w:basedOn w:val="Normal"/>
    <w:rsid w:val="000D2D0B"/>
    <w:pPr>
      <w:numPr>
        <w:numId w:val="16"/>
      </w:numPr>
      <w:tabs>
        <w:tab w:val="num" w:pos="926"/>
      </w:tabs>
      <w:spacing w:before="120" w:after="120"/>
      <w:ind w:left="926"/>
      <w:jc w:val="both"/>
    </w:pPr>
    <w:rPr>
      <w:lang w:eastAsia="en-US"/>
    </w:rPr>
  </w:style>
  <w:style w:type="paragraph" w:styleId="ListBullet4">
    <w:name w:val="List Bullet 4"/>
    <w:basedOn w:val="Normal"/>
    <w:rsid w:val="000D2D0B"/>
    <w:pPr>
      <w:numPr>
        <w:numId w:val="17"/>
      </w:numPr>
      <w:tabs>
        <w:tab w:val="num" w:pos="1209"/>
      </w:tabs>
      <w:spacing w:before="120" w:after="120"/>
      <w:ind w:left="1209"/>
      <w:jc w:val="both"/>
    </w:pPr>
    <w:rPr>
      <w:lang w:eastAsia="en-US"/>
    </w:rPr>
  </w:style>
  <w:style w:type="paragraph" w:styleId="TableofFigures">
    <w:name w:val="table of figures"/>
    <w:basedOn w:val="Normal"/>
    <w:next w:val="Normal"/>
    <w:rsid w:val="000D2D0B"/>
    <w:pPr>
      <w:spacing w:before="120" w:after="120"/>
      <w:jc w:val="both"/>
    </w:pPr>
    <w:rPr>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lang w:val="en-US" w:eastAsia="en-US"/>
    </w:rPr>
  </w:style>
  <w:style w:type="paragraph" w:customStyle="1" w:styleId="Listeavsnitt1">
    <w:name w:val="Listeavsnitt1"/>
    <w:basedOn w:val="Normal"/>
    <w:rsid w:val="000D2D0B"/>
    <w:pPr>
      <w:spacing w:line="252" w:lineRule="auto"/>
      <w:ind w:left="720"/>
      <w:contextualSpacing/>
    </w:pPr>
    <w:rPr>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lang w:eastAsia="en-US"/>
    </w:rPr>
  </w:style>
  <w:style w:type="paragraph" w:customStyle="1" w:styleId="Paragrafoelenco2">
    <w:name w:val="Paragrafo elenco2"/>
    <w:basedOn w:val="Normal"/>
    <w:uiPriority w:val="99"/>
    <w:rsid w:val="000D2D0B"/>
    <w:pPr>
      <w:ind w:left="720"/>
      <w:contextualSpacing/>
    </w:pPr>
    <w:rPr>
      <w:rFonts w:ascii="Cambria" w:hAnsi="Cambria"/>
      <w:lang w:val="en-US" w:eastAsia="en-US"/>
    </w:rPr>
  </w:style>
  <w:style w:type="paragraph" w:customStyle="1" w:styleId="ListParagraph2">
    <w:name w:val="List Paragraph2"/>
    <w:basedOn w:val="Normal"/>
    <w:rsid w:val="000D2D0B"/>
    <w:pPr>
      <w:spacing w:line="252" w:lineRule="auto"/>
      <w:ind w:left="720"/>
      <w:contextualSpacing/>
    </w:pPr>
    <w:rPr>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szCs w:val="22"/>
      <w:lang w:val="fr-FR"/>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szCs w:val="20"/>
      <w:lang w:val="fr-FR"/>
    </w:rPr>
  </w:style>
  <w:style w:type="paragraph" w:customStyle="1" w:styleId="TableContents">
    <w:name w:val="Table Contents"/>
    <w:basedOn w:val="Normal"/>
    <w:rsid w:val="000D2D0B"/>
    <w:pPr>
      <w:widowControl w:val="0"/>
      <w:suppressLineNumbers/>
      <w:suppressAutoHyphens/>
    </w:pPr>
    <w:rPr>
      <w:rFonts w:ascii="Liberation Serif" w:hAnsi="Liberation Serif"/>
      <w:kern w:val="1"/>
    </w:rPr>
  </w:style>
  <w:style w:type="paragraph" w:customStyle="1" w:styleId="Listeavsnitt">
    <w:name w:val="Listeavsnitt"/>
    <w:basedOn w:val="Normal"/>
    <w:uiPriority w:val="34"/>
    <w:qFormat/>
    <w:rsid w:val="000D2D0B"/>
    <w:pPr>
      <w:ind w:left="720"/>
      <w:contextualSpacing/>
    </w:pPr>
  </w:style>
  <w:style w:type="paragraph" w:customStyle="1" w:styleId="Listenabsatz4">
    <w:name w:val="Listenabsatz4"/>
    <w:basedOn w:val="Normal"/>
    <w:qFormat/>
    <w:rsid w:val="000D2D0B"/>
    <w:pPr>
      <w:ind w:left="720"/>
      <w:contextualSpacing/>
    </w:p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8793883">
      <w:bodyDiv w:val="1"/>
      <w:marLeft w:val="0"/>
      <w:marRight w:val="0"/>
      <w:marTop w:val="0"/>
      <w:marBottom w:val="0"/>
      <w:divBdr>
        <w:top w:val="none" w:sz="0" w:space="0" w:color="auto"/>
        <w:left w:val="none" w:sz="0" w:space="0" w:color="auto"/>
        <w:bottom w:val="none" w:sz="0" w:space="0" w:color="auto"/>
        <w:right w:val="none" w:sz="0" w:space="0" w:color="auto"/>
      </w:divBdr>
    </w:div>
    <w:div w:id="15126183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100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0202846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27059598">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4266018">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36645581">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362955">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07238333">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22890418">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19874858">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21433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58283042">
      <w:bodyDiv w:val="1"/>
      <w:marLeft w:val="0"/>
      <w:marRight w:val="0"/>
      <w:marTop w:val="0"/>
      <w:marBottom w:val="0"/>
      <w:divBdr>
        <w:top w:val="none" w:sz="0" w:space="0" w:color="auto"/>
        <w:left w:val="none" w:sz="0" w:space="0" w:color="auto"/>
        <w:bottom w:val="none" w:sz="0" w:space="0" w:color="auto"/>
        <w:right w:val="none" w:sz="0" w:space="0" w:color="auto"/>
      </w:divBdr>
    </w:div>
    <w:div w:id="1063455633">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296721097">
      <w:bodyDiv w:val="1"/>
      <w:marLeft w:val="0"/>
      <w:marRight w:val="0"/>
      <w:marTop w:val="0"/>
      <w:marBottom w:val="0"/>
      <w:divBdr>
        <w:top w:val="none" w:sz="0" w:space="0" w:color="auto"/>
        <w:left w:val="none" w:sz="0" w:space="0" w:color="auto"/>
        <w:bottom w:val="none" w:sz="0" w:space="0" w:color="auto"/>
        <w:right w:val="none" w:sz="0" w:space="0" w:color="auto"/>
      </w:divBdr>
    </w:div>
    <w:div w:id="1318462483">
      <w:bodyDiv w:val="1"/>
      <w:marLeft w:val="0"/>
      <w:marRight w:val="0"/>
      <w:marTop w:val="0"/>
      <w:marBottom w:val="0"/>
      <w:divBdr>
        <w:top w:val="none" w:sz="0" w:space="0" w:color="auto"/>
        <w:left w:val="none" w:sz="0" w:space="0" w:color="auto"/>
        <w:bottom w:val="none" w:sz="0" w:space="0" w:color="auto"/>
        <w:right w:val="none" w:sz="0" w:space="0" w:color="auto"/>
      </w:divBdr>
    </w:div>
    <w:div w:id="1348021584">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69987460">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06049499">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82340867">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46551267">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28492023">
      <w:bodyDiv w:val="1"/>
      <w:marLeft w:val="0"/>
      <w:marRight w:val="0"/>
      <w:marTop w:val="0"/>
      <w:marBottom w:val="0"/>
      <w:divBdr>
        <w:top w:val="none" w:sz="0" w:space="0" w:color="auto"/>
        <w:left w:val="none" w:sz="0" w:space="0" w:color="auto"/>
        <w:bottom w:val="none" w:sz="0" w:space="0" w:color="auto"/>
        <w:right w:val="none" w:sz="0" w:space="0" w:color="auto"/>
      </w:divBdr>
    </w:div>
    <w:div w:id="1959489311">
      <w:bodyDiv w:val="1"/>
      <w:marLeft w:val="0"/>
      <w:marRight w:val="0"/>
      <w:marTop w:val="0"/>
      <w:marBottom w:val="0"/>
      <w:divBdr>
        <w:top w:val="none" w:sz="0" w:space="0" w:color="auto"/>
        <w:left w:val="none" w:sz="0" w:space="0" w:color="auto"/>
        <w:bottom w:val="none" w:sz="0" w:space="0" w:color="auto"/>
        <w:right w:val="none" w:sz="0" w:space="0" w:color="auto"/>
      </w:divBdr>
      <w:divsChild>
        <w:div w:id="190261571">
          <w:marLeft w:val="0"/>
          <w:marRight w:val="0"/>
          <w:marTop w:val="0"/>
          <w:marBottom w:val="0"/>
          <w:divBdr>
            <w:top w:val="none" w:sz="0" w:space="0" w:color="auto"/>
            <w:left w:val="none" w:sz="0" w:space="0" w:color="auto"/>
            <w:bottom w:val="none" w:sz="0" w:space="0" w:color="auto"/>
            <w:right w:val="none" w:sz="0" w:space="0" w:color="auto"/>
          </w:divBdr>
          <w:divsChild>
            <w:div w:id="1619946043">
              <w:marLeft w:val="0"/>
              <w:marRight w:val="0"/>
              <w:marTop w:val="0"/>
              <w:marBottom w:val="0"/>
              <w:divBdr>
                <w:top w:val="none" w:sz="0" w:space="0" w:color="auto"/>
                <w:left w:val="none" w:sz="0" w:space="0" w:color="auto"/>
                <w:bottom w:val="none" w:sz="0" w:space="0" w:color="auto"/>
                <w:right w:val="none" w:sz="0" w:space="0" w:color="auto"/>
              </w:divBdr>
              <w:divsChild>
                <w:div w:id="2766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5784">
      <w:bodyDiv w:val="1"/>
      <w:marLeft w:val="0"/>
      <w:marRight w:val="0"/>
      <w:marTop w:val="0"/>
      <w:marBottom w:val="0"/>
      <w:divBdr>
        <w:top w:val="none" w:sz="0" w:space="0" w:color="auto"/>
        <w:left w:val="none" w:sz="0" w:space="0" w:color="auto"/>
        <w:bottom w:val="none" w:sz="0" w:space="0" w:color="auto"/>
        <w:right w:val="none" w:sz="0" w:space="0" w:color="auto"/>
      </w:divBdr>
    </w:div>
    <w:div w:id="2053767894">
      <w:bodyDiv w:val="1"/>
      <w:marLeft w:val="0"/>
      <w:marRight w:val="0"/>
      <w:marTop w:val="0"/>
      <w:marBottom w:val="0"/>
      <w:divBdr>
        <w:top w:val="none" w:sz="0" w:space="0" w:color="auto"/>
        <w:left w:val="none" w:sz="0" w:space="0" w:color="auto"/>
        <w:bottom w:val="none" w:sz="0" w:space="0" w:color="auto"/>
        <w:right w:val="none" w:sz="0" w:space="0" w:color="auto"/>
      </w:divBdr>
    </w:div>
    <w:div w:id="205974240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246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5.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6.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17</Pages>
  <Words>6547</Words>
  <Characters>37323</Characters>
  <Application>Microsoft Office Word</Application>
  <DocSecurity>8</DocSecurity>
  <Lines>311</Lines>
  <Paragraphs>87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43783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Karsten Wenzlaff</cp:lastModifiedBy>
  <cp:revision>6</cp:revision>
  <cp:lastPrinted>2015-02-18T11:01:00Z</cp:lastPrinted>
  <dcterms:created xsi:type="dcterms:W3CDTF">2021-03-26T15:04:00Z</dcterms:created>
  <dcterms:modified xsi:type="dcterms:W3CDTF">2021-05-28T13:32:00Z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