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18B17AA8" w:rsidR="00B327E9" w:rsidRPr="00AB6D88" w:rsidRDefault="00B1080F" w:rsidP="00F136AD">
                <w:pPr>
                  <w:rPr>
                    <w:rStyle w:val="PlaceholderText"/>
                    <w:rFonts w:cs="Arial"/>
                  </w:rPr>
                </w:pPr>
                <w:r>
                  <w:rPr>
                    <w:rStyle w:val="PlaceholderText"/>
                    <w:rFonts w:cs="Arial"/>
                  </w:rPr>
                  <w:t>Eurofiling Foundation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88E66E2" w:rsidR="00B327E9" w:rsidRPr="00AB6D88" w:rsidRDefault="0012194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1080F">
                  <w:rPr>
                    <w:rFonts w:cs="Arial"/>
                  </w:rPr>
                  <w:t>Government, Regulatory and Enforcement</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1F18DA82" w:rsidR="00B327E9" w:rsidRPr="00AB6D88" w:rsidRDefault="00B1080F"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2272E3A" w:rsidR="00B327E9" w:rsidRPr="00AB6D88" w:rsidRDefault="00B1080F"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74FCA5EB" w14:textId="041D85EA" w:rsidR="00D13983" w:rsidRDefault="00D13983" w:rsidP="00D13983">
      <w:permStart w:id="411981036" w:edGrp="everyone"/>
      <w:r>
        <w:t>We would suggest opening more opportunities for quantitative analysis and comparability, in line with ESEF (European Single Electronic Format)</w:t>
      </w:r>
    </w:p>
    <w:p w14:paraId="1B762DBF" w14:textId="77777777" w:rsidR="00D13983" w:rsidRDefault="00D13983" w:rsidP="00D13983">
      <w:r>
        <w:t xml:space="preserve">Of course, the metrics for quantitative reporting are vastly different company by company, sector by sector and product by product. This is also the same case than ESEF, in which each sector and even each product line has different financial metrics. The extensibility of ESEF allows to each company use the tag more convenient, well as a predefined IFRS concept, well as a company-level concept (extension). </w:t>
      </w:r>
    </w:p>
    <w:p w14:paraId="1FC5B827" w14:textId="77777777" w:rsidR="00D13983" w:rsidRDefault="00D13983" w:rsidP="00D13983">
      <w:r>
        <w:t xml:space="preserve">Even more. While the modern financial reporting standards goes back to Luca </w:t>
      </w:r>
      <w:proofErr w:type="spellStart"/>
      <w:r>
        <w:t>Pacioli</w:t>
      </w:r>
      <w:proofErr w:type="spellEnd"/>
      <w:r>
        <w:t xml:space="preserve"> (1494), the environmental reporting standards are still in development. The Efficient Capital Markets Theory (Eugene </w:t>
      </w:r>
      <w:proofErr w:type="spellStart"/>
      <w:r>
        <w:t>Fama</w:t>
      </w:r>
      <w:proofErr w:type="spellEnd"/>
      <w:r>
        <w:t>, 1970) has a prerequisite the information. Financial or environmental, the published data must be accessed and processed to get information.</w:t>
      </w:r>
    </w:p>
    <w:p w14:paraId="7F3679BE" w14:textId="77777777" w:rsidR="00D13983" w:rsidRDefault="00D13983" w:rsidP="00D13983">
      <w:r>
        <w:t xml:space="preserve">The empirical evidence in academic research is mainly oriented to quantitative comparations, prone to computer processing. Qualitative comparations requires Artificial Intelligence developments, Machine Learning tools, and other sophisticated artifacts as well. For the average investors, media and public, simple figures provide an immediate term of comparability. </w:t>
      </w:r>
    </w:p>
    <w:p w14:paraId="67E97C76" w14:textId="77777777" w:rsidR="00D13983" w:rsidRDefault="00D13983" w:rsidP="00D13983">
      <w:r>
        <w:t>In aeronautics, the CO2 generated by passenger/kilometre is routinely printed in the environmental respectful boarding pass. This is an example of easy comparability. A quantitative figure that can be presented in the Company´s environmental report. And of immediate computability.</w:t>
      </w:r>
    </w:p>
    <w:p w14:paraId="0358A040" w14:textId="77777777" w:rsidR="00D13983" w:rsidRDefault="00D13983" w:rsidP="00D13983">
      <w:r>
        <w:t xml:space="preserve">The publication of environmental metrics, prone to be used by European companies, including the corresponding ESEF-like taxonomies, should be promoted by the </w:t>
      </w:r>
      <w:proofErr w:type="gramStart"/>
      <w:r>
        <w:t>ESAs</w:t>
      </w:r>
      <w:proofErr w:type="gramEnd"/>
    </w:p>
    <w:p w14:paraId="242CCA70" w14:textId="77777777" w:rsidR="00D13983" w:rsidRDefault="00D13983" w:rsidP="00B327E9">
      <w:r>
        <w:t>The risk for qualitative reporting, in our experience, is a marketing-like literature, extremely beautiful, extremely difficult to compare, and extremely prone to greenwashing.</w:t>
      </w:r>
    </w:p>
    <w:permEnd w:id="411981036"/>
    <w:p w14:paraId="6A3CB062" w14:textId="2E91A32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58D1CBF" w:rsidR="003E573C" w:rsidRDefault="00D04185" w:rsidP="003E573C">
      <w:pPr>
        <w:rPr>
          <w:rFonts w:cs="Arial"/>
        </w:rPr>
      </w:pPr>
      <w:bookmarkStart w:id="1" w:name="_Hlk71727265"/>
      <w:permStart w:id="1221819945" w:edGrp="everyone"/>
      <w:r>
        <w:rPr>
          <w:rFonts w:cs="Arial"/>
        </w:rPr>
        <w:t xml:space="preserve">A new set of draft RTS probably requires long time. Better start right now and </w:t>
      </w:r>
      <w:proofErr w:type="spellStart"/>
      <w:r>
        <w:rPr>
          <w:rFonts w:cs="Arial"/>
        </w:rPr>
        <w:t>lear</w:t>
      </w:r>
      <w:proofErr w:type="spellEnd"/>
      <w:r>
        <w:rPr>
          <w:rFonts w:cs="Arial"/>
        </w:rPr>
        <w:t xml:space="preserve"> with the experience</w:t>
      </w:r>
    </w:p>
    <w:bookmarkEnd w:id="1"/>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20397D" w:rsidR="003E573C" w:rsidRDefault="003E573C" w:rsidP="003E573C">
      <w:pPr>
        <w:rPr>
          <w:rFonts w:cs="Arial"/>
        </w:rPr>
      </w:pPr>
      <w:permStart w:id="729947415" w:edGrp="everyone"/>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2783E36B" w:rsidR="003E573C" w:rsidRDefault="003E573C" w:rsidP="003E573C">
      <w:pPr>
        <w:rPr>
          <w:rFonts w:cs="Arial"/>
        </w:rPr>
      </w:pPr>
      <w:permStart w:id="677205538" w:edGrp="everyone"/>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AC91A2D" w:rsidR="003E573C" w:rsidRDefault="003E573C" w:rsidP="003E573C">
      <w:pPr>
        <w:rPr>
          <w:rFonts w:cs="Arial"/>
        </w:rPr>
      </w:pPr>
      <w:permStart w:id="1220688604" w:edGrp="everyone"/>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62DA0ECC" w:rsidR="003E573C" w:rsidRDefault="003E573C" w:rsidP="003E573C">
      <w:pPr>
        <w:rPr>
          <w:rFonts w:cs="Arial"/>
        </w:rPr>
      </w:pPr>
      <w:permStart w:id="209390932" w:edGrp="everyone"/>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1FF05ADA" w:rsidR="003E573C" w:rsidRDefault="003E573C" w:rsidP="003E573C">
      <w:pPr>
        <w:rPr>
          <w:rFonts w:cs="Arial"/>
        </w:rPr>
      </w:pPr>
      <w:permStart w:id="418122716" w:edGrp="everyone"/>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lastRenderedPageBreak/>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269E3F55" w:rsidR="003E573C" w:rsidRDefault="003E573C" w:rsidP="003E573C">
      <w:pPr>
        <w:rPr>
          <w:rFonts w:cs="Arial"/>
        </w:rPr>
      </w:pPr>
      <w:permStart w:id="569465455" w:edGrp="everyone"/>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05DDBCBD" w:rsidR="003E573C" w:rsidRDefault="003E573C" w:rsidP="003E573C">
      <w:pPr>
        <w:rPr>
          <w:rFonts w:cs="Arial"/>
        </w:rPr>
      </w:pPr>
      <w:permStart w:id="1713528049" w:edGrp="everyone"/>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36CA319A" w:rsidR="003E573C" w:rsidRDefault="003E573C" w:rsidP="003E573C">
      <w:pPr>
        <w:rPr>
          <w:rFonts w:cs="Arial"/>
        </w:rPr>
      </w:pPr>
      <w:permStart w:id="221670941" w:edGrp="everyone"/>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2" w:name="_Hlk18829484"/>
      <w:r>
        <w:t xml:space="preserve">: </w:t>
      </w:r>
      <w:bookmarkEnd w:id="2"/>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45187B41" w14:textId="77777777" w:rsidR="00D13983" w:rsidRDefault="00D13983" w:rsidP="003E573C">
      <w:pPr>
        <w:rPr>
          <w:rFonts w:cs="Arial"/>
        </w:rPr>
      </w:pPr>
      <w:permStart w:id="610013876" w:edGrp="everyone"/>
      <w:r w:rsidRPr="00D13983">
        <w:rPr>
          <w:rFonts w:cs="Arial"/>
        </w:rPr>
        <w:t>Yes. Flexibility and extensibility are crucial until Best Practices (equivalent to GAAP) became commonly accepted.</w:t>
      </w:r>
    </w:p>
    <w:permEnd w:id="610013876"/>
    <w:p w14:paraId="40F05C94" w14:textId="16FB632D"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005406F" w14:textId="77777777" w:rsidR="00D13983" w:rsidRDefault="00D13983" w:rsidP="003E573C">
      <w:pPr>
        <w:rPr>
          <w:rFonts w:cs="Arial"/>
        </w:rPr>
      </w:pPr>
      <w:permStart w:id="790175202" w:edGrp="everyone"/>
      <w:r w:rsidRPr="00D13983">
        <w:rPr>
          <w:rFonts w:cs="Arial"/>
        </w:rPr>
        <w:t xml:space="preserve">Yes. Social objectives are intrinsically part of non-financial (ESG) </w:t>
      </w:r>
      <w:proofErr w:type="gramStart"/>
      <w:r w:rsidRPr="00D13983">
        <w:rPr>
          <w:rFonts w:cs="Arial"/>
        </w:rPr>
        <w:t>reporting</w:t>
      </w:r>
      <w:proofErr w:type="gramEnd"/>
    </w:p>
    <w:permEnd w:id="790175202"/>
    <w:p w14:paraId="140C09C0" w14:textId="7C1F18BF"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4854B58D" w:rsidR="00AA1B9D" w:rsidRDefault="00D13983" w:rsidP="00AA1B9D">
      <w:pPr>
        <w:rPr>
          <w:rFonts w:cs="Arial"/>
        </w:rPr>
      </w:pPr>
      <w:bookmarkStart w:id="3" w:name="_Hlk71727495"/>
      <w:permStart w:id="1771197561" w:edGrp="everyone"/>
      <w:r w:rsidRPr="00D13983">
        <w:rPr>
          <w:rFonts w:cs="Arial"/>
        </w:rPr>
        <w:t xml:space="preserve">The empirical experience in ESEF reporting do not show </w:t>
      </w:r>
      <w:proofErr w:type="gramStart"/>
      <w:r w:rsidRPr="00D13983">
        <w:rPr>
          <w:rFonts w:cs="Arial"/>
        </w:rPr>
        <w:t>particular expensive</w:t>
      </w:r>
      <w:proofErr w:type="gramEnd"/>
      <w:r w:rsidRPr="00D13983">
        <w:rPr>
          <w:rFonts w:cs="Arial"/>
        </w:rPr>
        <w:t xml:space="preserve"> costs. As Europe is a market big enough, economies of scale are easy obtained whatever the options chosen.</w:t>
      </w:r>
    </w:p>
    <w:bookmarkEnd w:id="3"/>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49B9" w14:textId="77777777" w:rsidR="00121945" w:rsidRDefault="00121945">
      <w:r>
        <w:separator/>
      </w:r>
    </w:p>
    <w:p w14:paraId="5D91E77E" w14:textId="77777777" w:rsidR="00121945" w:rsidRDefault="00121945"/>
  </w:endnote>
  <w:endnote w:type="continuationSeparator" w:id="0">
    <w:p w14:paraId="34024126" w14:textId="77777777" w:rsidR="00121945" w:rsidRDefault="00121945">
      <w:r>
        <w:continuationSeparator/>
      </w:r>
    </w:p>
    <w:p w14:paraId="558A1071" w14:textId="77777777" w:rsidR="00121945" w:rsidRDefault="00121945"/>
  </w:endnote>
  <w:endnote w:type="continuationNotice" w:id="1">
    <w:p w14:paraId="6893ACBD" w14:textId="77777777" w:rsidR="00121945" w:rsidRDefault="00121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96E4" w14:textId="77777777" w:rsidR="00121945" w:rsidRDefault="00121945">
      <w:r>
        <w:separator/>
      </w:r>
    </w:p>
    <w:p w14:paraId="1FC47302" w14:textId="77777777" w:rsidR="00121945" w:rsidRDefault="00121945"/>
  </w:footnote>
  <w:footnote w:type="continuationSeparator" w:id="0">
    <w:p w14:paraId="28AFF0FD" w14:textId="77777777" w:rsidR="00121945" w:rsidRDefault="00121945">
      <w:r>
        <w:continuationSeparator/>
      </w:r>
    </w:p>
    <w:p w14:paraId="00BCE691" w14:textId="77777777" w:rsidR="00121945" w:rsidRDefault="00121945"/>
  </w:footnote>
  <w:footnote w:type="continuationNotice" w:id="1">
    <w:p w14:paraId="35FBE1DF" w14:textId="77777777" w:rsidR="00121945" w:rsidRDefault="00121945"/>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59EC"/>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945"/>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73C"/>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93D"/>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05DFC"/>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80F"/>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185"/>
    <w:rsid w:val="00D045CE"/>
    <w:rsid w:val="00D05082"/>
    <w:rsid w:val="00D06163"/>
    <w:rsid w:val="00D07AFD"/>
    <w:rsid w:val="00D11749"/>
    <w:rsid w:val="00D12A7D"/>
    <w:rsid w:val="00D13983"/>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Props1.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4.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1401</Words>
  <Characters>7992</Characters>
  <Application>Microsoft Office Word</Application>
  <DocSecurity>8</DocSecurity>
  <Lines>66</Lines>
  <Paragraphs>18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9375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Ignacio Boixo</cp:lastModifiedBy>
  <cp:revision>3</cp:revision>
  <cp:lastPrinted>2015-02-18T11:01:00Z</cp:lastPrinted>
  <dcterms:created xsi:type="dcterms:W3CDTF">2021-03-17T09:27:00Z</dcterms:created>
  <dcterms:modified xsi:type="dcterms:W3CDTF">2021-05-12T14:09:00Z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