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Kop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permStart w:id="1493633476" w:edGrp="everyone" w:displacedByCustomXml="prev"/>
            <w:tc>
              <w:tcPr>
                <w:tcW w:w="5595" w:type="dxa"/>
                <w:shd w:val="clear" w:color="auto" w:fill="auto"/>
              </w:tcPr>
              <w:p w14:paraId="23C2C921" w14:textId="1D44E36A" w:rsidR="00B327E9" w:rsidRPr="00AB6D88" w:rsidRDefault="00D21032" w:rsidP="00F136AD">
                <w:pPr>
                  <w:rPr>
                    <w:rStyle w:val="Tekstvantijdelijkeaanduiding"/>
                    <w:rFonts w:cs="Arial"/>
                  </w:rPr>
                </w:pPr>
                <w:r>
                  <w:rPr>
                    <w:rStyle w:val="Tekstvantijdelijkeaanduiding"/>
                    <w:rFonts w:cs="Arial"/>
                  </w:rPr>
                  <w:t>K</w:t>
                </w:r>
                <w:r w:rsidR="00397531">
                  <w:rPr>
                    <w:rStyle w:val="Tekstvantijdelijkeaanduiding"/>
                    <w:rFonts w:cs="Arial"/>
                  </w:rPr>
                  <w:t>eijser V</w:t>
                </w:r>
                <w:r w:rsidR="00C17028">
                  <w:rPr>
                    <w:rStyle w:val="Tekstvantijdelijkeaanduiding"/>
                    <w:rFonts w:cs="Arial"/>
                  </w:rPr>
                  <w:t>an der Velden advocaten</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E8E719F" w:rsidR="00B327E9" w:rsidRPr="00AB6D88" w:rsidRDefault="00397531"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D21032">
                  <w:rPr>
                    <w:rFonts w:cs="Arial"/>
                  </w:rPr>
                  <w:t>Legal and Accountancy</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5D07EBAA" w:rsidR="00B327E9" w:rsidRPr="00AB6D88" w:rsidRDefault="00D21032"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65640F3" w:rsidR="00B327E9" w:rsidRPr="00AB6D88" w:rsidRDefault="006374D9" w:rsidP="00F136AD">
                <w:pPr>
                  <w:rPr>
                    <w:rFonts w:cs="Arial"/>
                  </w:rPr>
                </w:pPr>
                <w:r>
                  <w:rPr>
                    <w:rFonts w:cs="Arial"/>
                  </w:rPr>
                  <w:t>Netherlands</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Kop1"/>
        <w:numPr>
          <w:ilvl w:val="0"/>
          <w:numId w:val="0"/>
        </w:numPr>
        <w:ind w:left="431" w:hanging="431"/>
      </w:pPr>
      <w:r>
        <w:t>Introduction</w:t>
      </w:r>
    </w:p>
    <w:p w14:paraId="3C83C634" w14:textId="77777777" w:rsidR="00B327E9" w:rsidRPr="00E40A5C" w:rsidRDefault="00B327E9" w:rsidP="00FE6577">
      <w:pPr>
        <w:rPr>
          <w:rStyle w:val="Intensievebenadrukking"/>
          <w:sz w:val="22"/>
        </w:rPr>
      </w:pPr>
      <w:r w:rsidRPr="00E40A5C">
        <w:rPr>
          <w:rStyle w:val="Intensievebenadrukking"/>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3EC00E6D" w14:textId="77777777" w:rsidR="00B327E9" w:rsidRDefault="00B327E9" w:rsidP="00FE6577">
      <w:permStart w:id="44765448" w:edGrp="everyone"/>
      <w:r>
        <w:t>TYPE YOUR TEXT HERE</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Kop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3730066" w:rsidR="00492B3A" w:rsidRPr="00492B3A" w:rsidRDefault="00A014B6" w:rsidP="00492B3A">
      <w:pPr>
        <w:pStyle w:val="Questionstyle"/>
        <w:numPr>
          <w:ilvl w:val="0"/>
          <w:numId w:val="49"/>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741FADC4" w14:textId="7A7C230D" w:rsidR="00492B3A" w:rsidRDefault="00492B3A" w:rsidP="00492B3A">
      <w:permStart w:id="1576605906" w:edGrp="everyone"/>
      <w:r>
        <w:t>TYPE YOUR TEXT HERE</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45694F8F" w14:textId="77777777" w:rsidR="00492B3A" w:rsidRDefault="00492B3A" w:rsidP="00492B3A">
      <w:permStart w:id="1123047147" w:edGrp="everyone"/>
      <w:r>
        <w:t>TYPE YOUR TEXT HERE</w:t>
      </w:r>
    </w:p>
    <w:permEnd w:id="1123047147"/>
    <w:p w14:paraId="741E001B" w14:textId="5331B16E" w:rsidR="00492B3A" w:rsidRDefault="00492B3A" w:rsidP="00492B3A">
      <w:r>
        <w:t>&lt;ESMA_QUESTION_</w:t>
      </w:r>
      <w:r w:rsidR="00A014B6">
        <w:t>ECSP</w:t>
      </w:r>
      <w:r>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6FD778B3" w14:textId="77777777" w:rsidR="00492B3A" w:rsidRDefault="00492B3A" w:rsidP="00492B3A">
      <w:permStart w:id="1823616926" w:edGrp="everyone"/>
      <w:r>
        <w:t>TYPE YOUR TEXT HERE</w:t>
      </w:r>
    </w:p>
    <w:permEnd w:id="1823616926"/>
    <w:p w14:paraId="383E5893" w14:textId="06016ED3" w:rsidR="00492B3A" w:rsidRDefault="00492B3A" w:rsidP="00492B3A">
      <w:r>
        <w:t>&lt;ESMA_QUESTION_</w:t>
      </w:r>
      <w:r w:rsidR="00A014B6">
        <w:t>ECSP</w:t>
      </w:r>
      <w:r>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4975BC77" w14:textId="77777777" w:rsidR="00492B3A" w:rsidRDefault="00492B3A" w:rsidP="00492B3A">
      <w:permStart w:id="910372547" w:edGrp="everyone"/>
      <w:r>
        <w:t>TYPE YOUR TEXT HERE</w:t>
      </w:r>
    </w:p>
    <w:permEnd w:id="910372547"/>
    <w:p w14:paraId="44CC0988" w14:textId="07927AF1" w:rsidR="00492B3A" w:rsidRDefault="00492B3A" w:rsidP="00492B3A">
      <w:r>
        <w:t>&lt;ESMA_QUESTION_</w:t>
      </w:r>
      <w:r w:rsidR="00A014B6">
        <w:t>ECSP</w:t>
      </w:r>
      <w:r>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709F0B8A" w14:textId="77777777" w:rsidR="00492B3A" w:rsidRDefault="00492B3A" w:rsidP="00492B3A">
      <w:permStart w:id="1454397300" w:edGrp="everyone"/>
      <w:r>
        <w:t>TYPE YOUR TEXT HERE</w:t>
      </w:r>
    </w:p>
    <w:permEnd w:id="1454397300"/>
    <w:p w14:paraId="208A9476" w14:textId="7571FAFE" w:rsidR="00492B3A" w:rsidRDefault="00492B3A" w:rsidP="00492B3A">
      <w:r>
        <w:t>&lt;ESMA_QUESTION_</w:t>
      </w:r>
      <w:r w:rsidR="00A014B6">
        <w:t>ECSP</w:t>
      </w:r>
      <w:r>
        <w:t>_5&gt;</w:t>
      </w:r>
    </w:p>
    <w:p w14:paraId="7F6E38EC" w14:textId="77777777" w:rsidR="00492B3A" w:rsidRDefault="00492B3A" w:rsidP="00492B3A"/>
    <w:p w14:paraId="428AAF91" w14:textId="5CE2CDC0" w:rsidR="00492B3A" w:rsidRDefault="00A014B6" w:rsidP="00492B3A">
      <w:pPr>
        <w:pStyle w:val="Questionstyle"/>
      </w:pPr>
      <w:r w:rsidRPr="00A014B6">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4DC42D59" w14:textId="77777777" w:rsidR="00492B3A" w:rsidRDefault="00492B3A" w:rsidP="00492B3A">
      <w:permStart w:id="164587406" w:edGrp="everyone"/>
      <w:r>
        <w:t>TYPE YOUR TEXT HERE</w:t>
      </w:r>
    </w:p>
    <w:permEnd w:id="164587406"/>
    <w:p w14:paraId="7A0C7BD5" w14:textId="02473B19" w:rsidR="00492B3A" w:rsidRDefault="00492B3A" w:rsidP="00492B3A">
      <w:r>
        <w:t>&lt;ESMA_QUESTION_</w:t>
      </w:r>
      <w:r w:rsidR="00A014B6">
        <w:t>ECSP</w:t>
      </w:r>
      <w:r>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0F6B4017" w14:textId="77777777" w:rsidR="00492B3A" w:rsidRDefault="00492B3A" w:rsidP="00492B3A">
      <w:permStart w:id="1191210126" w:edGrp="everyone"/>
      <w:r>
        <w:t>TYPE YOUR TEXT HERE</w:t>
      </w:r>
    </w:p>
    <w:permEnd w:id="1191210126"/>
    <w:p w14:paraId="20867D23" w14:textId="4FDB6F5C" w:rsidR="00492B3A" w:rsidRDefault="00492B3A" w:rsidP="00492B3A">
      <w:r>
        <w:t>&lt;ESMA_QUESTION_</w:t>
      </w:r>
      <w:r w:rsidR="00A014B6">
        <w:t>ECSP</w:t>
      </w:r>
      <w:r>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lastRenderedPageBreak/>
        <w:t>&lt;ESMA_QUESTION_</w:t>
      </w:r>
      <w:r w:rsidR="00A014B6">
        <w:t>ECSP</w:t>
      </w:r>
      <w:r>
        <w:t>_8&gt;</w:t>
      </w:r>
    </w:p>
    <w:p w14:paraId="6B8BC859" w14:textId="77777777" w:rsidR="00492B3A" w:rsidRDefault="00492B3A" w:rsidP="00492B3A">
      <w:permStart w:id="21103909" w:edGrp="everyone"/>
      <w:r>
        <w:t>TYPE YOUR TEXT HERE</w:t>
      </w:r>
    </w:p>
    <w:permEnd w:id="21103909"/>
    <w:p w14:paraId="6C91EF19" w14:textId="6202D475" w:rsidR="00492B3A" w:rsidRDefault="00492B3A" w:rsidP="00492B3A">
      <w:r>
        <w:t>&lt;ESMA_QUESTION_</w:t>
      </w:r>
      <w:r w:rsidR="00A014B6">
        <w:t>ECSP</w:t>
      </w:r>
      <w:r>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0AB3A7A1" w14:textId="77777777" w:rsidR="00492B3A" w:rsidRDefault="00492B3A" w:rsidP="00492B3A">
      <w:permStart w:id="70807355" w:edGrp="everyone"/>
      <w:r>
        <w:t>TYPE YOUR TEXT HERE</w:t>
      </w:r>
    </w:p>
    <w:permEnd w:id="70807355"/>
    <w:p w14:paraId="293286B0" w14:textId="328806B6" w:rsidR="00492B3A" w:rsidRDefault="00492B3A" w:rsidP="00492B3A">
      <w:r>
        <w:t>&lt;ESMA_QUESTION_</w:t>
      </w:r>
      <w:r w:rsidR="00A014B6">
        <w:t>ECSP</w:t>
      </w:r>
      <w:r>
        <w:t>_9&gt;</w:t>
      </w:r>
    </w:p>
    <w:p w14:paraId="1265C514" w14:textId="77777777" w:rsidR="00492B3A" w:rsidRDefault="00492B3A" w:rsidP="00492B3A"/>
    <w:p w14:paraId="65464EDE" w14:textId="3798EC55" w:rsidR="00492B3A" w:rsidRDefault="00A014B6" w:rsidP="00492B3A">
      <w:pPr>
        <w:pStyle w:val="Questionstyle"/>
      </w:pPr>
      <w:r w:rsidRPr="00A014B6">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729D6FDA" w14:textId="77777777" w:rsidR="00492B3A" w:rsidRDefault="00492B3A" w:rsidP="00492B3A">
      <w:permStart w:id="1969951227" w:edGrp="everyone"/>
      <w:r>
        <w:t>TYPE YOUR TEXT HERE</w:t>
      </w:r>
    </w:p>
    <w:permEnd w:id="1969951227"/>
    <w:p w14:paraId="1CD8F45C" w14:textId="3189482C" w:rsidR="00492B3A" w:rsidRDefault="00492B3A" w:rsidP="00492B3A">
      <w:r>
        <w:t>&lt;ESMA_QUESTION_</w:t>
      </w:r>
      <w:r w:rsidR="00A014B6">
        <w:t>ECSP</w:t>
      </w:r>
      <w:r>
        <w:t>_10&gt;</w:t>
      </w:r>
    </w:p>
    <w:p w14:paraId="4A233221" w14:textId="77777777" w:rsidR="00492B3A" w:rsidRDefault="00492B3A" w:rsidP="00492B3A"/>
    <w:p w14:paraId="43470B7B" w14:textId="649ADADC" w:rsidR="00492B3A" w:rsidRDefault="00A014B6" w:rsidP="00492B3A">
      <w:pPr>
        <w:pStyle w:val="Questionstyle"/>
      </w:pPr>
      <w:r w:rsidRPr="00A014B6">
        <w:t>Do you agree with the extent of the provisions that ESMA proposes to specify the ECSPR’s requirements for the KIIS model? Please also state the reasons for your answer.</w:t>
      </w:r>
    </w:p>
    <w:p w14:paraId="17905251" w14:textId="47FB8986" w:rsidR="00492B3A" w:rsidRDefault="00492B3A" w:rsidP="00492B3A">
      <w:r>
        <w:t>&lt;ESMA_QUESTION_</w:t>
      </w:r>
      <w:r w:rsidR="00A014B6">
        <w:t>ECSP</w:t>
      </w:r>
      <w:r>
        <w:t>_11&gt;</w:t>
      </w:r>
    </w:p>
    <w:p w14:paraId="16B29EBB" w14:textId="77777777" w:rsidR="00492B3A" w:rsidRDefault="00492B3A" w:rsidP="00492B3A">
      <w:permStart w:id="947678092" w:edGrp="everyone"/>
      <w:r>
        <w:t>TYPE YOUR TEXT HERE</w:t>
      </w:r>
    </w:p>
    <w:permEnd w:id="947678092"/>
    <w:p w14:paraId="5D803357" w14:textId="4B36AE28" w:rsidR="00492B3A" w:rsidRDefault="00492B3A" w:rsidP="00492B3A">
      <w:r>
        <w:t>&lt;ESMA_QUESTION_</w:t>
      </w:r>
      <w:r w:rsidR="00A014B6">
        <w:t>ECSP</w:t>
      </w:r>
      <w:r>
        <w:t>_11&gt;</w:t>
      </w:r>
    </w:p>
    <w:p w14:paraId="1A3E6E6B" w14:textId="77777777" w:rsidR="00492B3A" w:rsidRDefault="00492B3A" w:rsidP="00492B3A"/>
    <w:p w14:paraId="681EC23B" w14:textId="027065A6" w:rsidR="00492B3A" w:rsidRDefault="00A014B6" w:rsidP="00492B3A">
      <w:pPr>
        <w:pStyle w:val="Questionstyle"/>
      </w:pPr>
      <w:r w:rsidRPr="00A014B6">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5F50FA92" w14:textId="77777777" w:rsidR="00492B3A" w:rsidRDefault="00492B3A" w:rsidP="00492B3A">
      <w:permStart w:id="575285207" w:edGrp="everyone"/>
      <w:r>
        <w:t>TYPE YOUR TEXT HERE</w:t>
      </w:r>
    </w:p>
    <w:permEnd w:id="575285207"/>
    <w:p w14:paraId="40A9AA66" w14:textId="6DFB013E" w:rsidR="00492B3A" w:rsidRDefault="00492B3A" w:rsidP="00492B3A">
      <w:r>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7A9A50C5" w14:textId="77777777" w:rsidR="00492B3A" w:rsidRDefault="00492B3A" w:rsidP="00492B3A">
      <w:permStart w:id="384379543" w:edGrp="everyone"/>
      <w:r>
        <w:t>TYPE YOUR TEXT HERE</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65AE7182" w14:textId="77777777" w:rsidR="00492B3A" w:rsidRDefault="00492B3A" w:rsidP="00492B3A">
      <w:permStart w:id="1844913490" w:edGrp="everyone"/>
      <w:r>
        <w:t>TYPE YOUR TEXT HERE</w:t>
      </w:r>
    </w:p>
    <w:permEnd w:id="1844913490"/>
    <w:p w14:paraId="70457698" w14:textId="5E8BFF59"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lastRenderedPageBreak/>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2E34B8AF" w14:textId="77777777" w:rsidR="00492B3A" w:rsidRDefault="00492B3A" w:rsidP="00492B3A">
      <w:permStart w:id="1403017900" w:edGrp="everyone"/>
      <w:r>
        <w:t>TYPE YOUR TEXT HERE</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1FF5293E" w14:textId="77777777" w:rsidR="00492B3A" w:rsidRDefault="00492B3A" w:rsidP="00492B3A">
      <w:permStart w:id="1046510351" w:edGrp="everyone"/>
      <w:r>
        <w:t>TYPE YOUR TEXT HERE</w:t>
      </w:r>
    </w:p>
    <w:permEnd w:id="1046510351"/>
    <w:p w14:paraId="1B3BEA7F" w14:textId="2693CAD0" w:rsidR="00492B3A" w:rsidRDefault="00492B3A" w:rsidP="00492B3A">
      <w:r>
        <w:t>&lt;ESMA_QUESTION_</w:t>
      </w:r>
      <w:r w:rsidR="00A014B6">
        <w:t>ECSP</w:t>
      </w:r>
      <w:r>
        <w:t>_16&gt;</w:t>
      </w:r>
    </w:p>
    <w:p w14:paraId="649FBBBD" w14:textId="77777777" w:rsidR="00492B3A" w:rsidRDefault="00492B3A" w:rsidP="00492B3A"/>
    <w:p w14:paraId="5EF224F0" w14:textId="6285CCCE" w:rsidR="00492B3A" w:rsidRDefault="00A014B6" w:rsidP="00492B3A">
      <w:pPr>
        <w:pStyle w:val="Questionstyle"/>
      </w:pPr>
      <w:r w:rsidRPr="00A014B6">
        <w:t>Do you envisage any impacts of the proposals with respect to provision of data by competent authorities to ESMA, and in particular on the anonymisation methods that should be 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6B61C298" w14:textId="77777777" w:rsidR="00492B3A" w:rsidRDefault="00492B3A" w:rsidP="00492B3A">
      <w:permStart w:id="1692017174" w:edGrp="everyone"/>
      <w:r>
        <w:t>TYPE YOUR TEXT HERE</w:t>
      </w:r>
    </w:p>
    <w:permEnd w:id="1692017174"/>
    <w:p w14:paraId="20733EA7" w14:textId="3AB33142"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Do you agree with the information on the national laws, regulations and administrative provisions applicable to marketing communications of CSPs that is being requested from CAs in the two templates? If not, which items should be added or deleted and for which reasons? Please provide a detailed answer.</w:t>
      </w:r>
    </w:p>
    <w:p w14:paraId="62131EFD" w14:textId="4197F9E7" w:rsidR="00492B3A" w:rsidRDefault="00492B3A" w:rsidP="00492B3A">
      <w:r>
        <w:t>&lt;ESMA_QUESTION_</w:t>
      </w:r>
      <w:r w:rsidR="00A014B6">
        <w:t>ECSP</w:t>
      </w:r>
      <w:r>
        <w:t>_18&gt;</w:t>
      </w:r>
    </w:p>
    <w:p w14:paraId="1298BA03" w14:textId="77777777" w:rsidR="00492B3A" w:rsidRDefault="00492B3A" w:rsidP="00492B3A">
      <w:permStart w:id="2067675786" w:edGrp="everyone"/>
      <w:r>
        <w:t>TYPE YOUR TEXT HERE</w:t>
      </w:r>
    </w:p>
    <w:permEnd w:id="2067675786"/>
    <w:p w14:paraId="0824C05D" w14:textId="006209DA" w:rsidR="00492B3A" w:rsidRDefault="00492B3A" w:rsidP="00492B3A">
      <w:r>
        <w:t>&lt;ESMA_QUESTION_</w:t>
      </w:r>
      <w:r w:rsidR="00A014B6">
        <w:t>ECSP</w:t>
      </w:r>
      <w:r>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3088D274" w14:textId="77777777" w:rsidR="00492B3A" w:rsidRDefault="00492B3A" w:rsidP="00492B3A">
      <w:permStart w:id="1373325572" w:edGrp="everyone"/>
      <w:r>
        <w:t>TYPE YOUR TEXT HERE</w:t>
      </w:r>
    </w:p>
    <w:permEnd w:id="1373325572"/>
    <w:p w14:paraId="0BFE7D97" w14:textId="1AC239FF" w:rsidR="00492B3A" w:rsidRDefault="00492B3A" w:rsidP="00492B3A">
      <w:r>
        <w:t>&lt;ESMA_QUESTION_</w:t>
      </w:r>
      <w:r w:rsidR="00A014B6">
        <w:t>ECSP</w:t>
      </w:r>
      <w:r>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28C8A5EC" w14:textId="77777777" w:rsidR="00D21032" w:rsidRDefault="00D21032" w:rsidP="00D21032">
      <w:pPr>
        <w:rPr>
          <w:lang w:val="en-US"/>
        </w:rPr>
      </w:pPr>
      <w:permStart w:id="1139373962" w:edGrp="everyone"/>
      <w:r>
        <w:rPr>
          <w:rFonts w:ascii="Calibri Light" w:hAnsi="Calibri Light"/>
          <w:sz w:val="24"/>
          <w:lang w:val="en-US"/>
        </w:rPr>
        <w:t>With respect to the provisions on complaint handling as set out in Annex III, I want to raise a question regarding the meaning of the word ‘admissible’ in connection with the obligation of a CSP to inform a complainant of the timeframe within which a decision will be notified to him.</w:t>
      </w:r>
    </w:p>
    <w:p w14:paraId="349219D0" w14:textId="77777777" w:rsidR="00D21032" w:rsidRDefault="00D21032" w:rsidP="00D21032">
      <w:pPr>
        <w:rPr>
          <w:lang w:val="en-US"/>
        </w:rPr>
      </w:pPr>
      <w:r>
        <w:rPr>
          <w:rFonts w:ascii="Calibri Light" w:hAnsi="Calibri Light"/>
          <w:sz w:val="24"/>
        </w:rPr>
        <w:t> </w:t>
      </w:r>
    </w:p>
    <w:p w14:paraId="63F51A8D" w14:textId="77777777" w:rsidR="00D21032" w:rsidRDefault="00D21032" w:rsidP="00D21032">
      <w:pPr>
        <w:rPr>
          <w:lang w:val="en-US"/>
        </w:rPr>
      </w:pPr>
      <w:r>
        <w:rPr>
          <w:rFonts w:ascii="Calibri Light" w:hAnsi="Calibri Light"/>
          <w:sz w:val="24"/>
          <w:lang w:val="en-US"/>
        </w:rPr>
        <w:lastRenderedPageBreak/>
        <w:t xml:space="preserve">According to article 3 (1) CSPs shall confirm within 10 working days (1) the receipt of a complaint and (2) whether or not the complaint is admissible. The acknowledgement of a receipt of a complaint has to contain a reference to the timeframe as mentioned in article 1(2) point (f). </w:t>
      </w:r>
    </w:p>
    <w:p w14:paraId="4D0872D5" w14:textId="77777777" w:rsidR="00D21032" w:rsidRDefault="00D21032" w:rsidP="00D21032">
      <w:pPr>
        <w:rPr>
          <w:lang w:val="en-US"/>
        </w:rPr>
      </w:pPr>
      <w:r>
        <w:rPr>
          <w:rFonts w:ascii="Calibri Light" w:hAnsi="Calibri Light"/>
          <w:sz w:val="24"/>
          <w:lang w:val="en-US"/>
        </w:rPr>
        <w:t>For a complaint to be admissible, it does not have to be clear or complete (see article 4 (1)). However, the circumstance that a complaint is ‘not clear or complete’, might have a direct effect on the timeframe within which a decision on such complaint can be given. Where in article 5 (3) is stated that a delay in the timeframe is possible, it also states that this is only the case ‘</w:t>
      </w:r>
      <w:r>
        <w:rPr>
          <w:rFonts w:ascii="Calibri Light" w:hAnsi="Calibri Light"/>
          <w:i/>
          <w:iCs/>
          <w:sz w:val="24"/>
          <w:lang w:val="en-US"/>
        </w:rPr>
        <w:t>in exceptional situations’</w:t>
      </w:r>
      <w:r>
        <w:rPr>
          <w:rFonts w:ascii="Calibri Light" w:hAnsi="Calibri Light"/>
          <w:sz w:val="24"/>
          <w:lang w:val="en-US"/>
        </w:rPr>
        <w:t xml:space="preserve">. It seems to me that the circumstance that complaints that are not clear or incomplete, is not likely to qualify as such </w:t>
      </w:r>
      <w:r>
        <w:rPr>
          <w:rFonts w:ascii="Calibri Light" w:hAnsi="Calibri Light"/>
          <w:i/>
          <w:iCs/>
          <w:sz w:val="24"/>
          <w:lang w:val="en-US"/>
        </w:rPr>
        <w:t>‘exceptional situations’</w:t>
      </w:r>
      <w:r>
        <w:rPr>
          <w:rFonts w:ascii="Calibri Light" w:hAnsi="Calibri Light"/>
          <w:sz w:val="24"/>
          <w:lang w:val="en-US"/>
        </w:rPr>
        <w:t xml:space="preserve">. </w:t>
      </w:r>
    </w:p>
    <w:p w14:paraId="582A2686" w14:textId="77777777" w:rsidR="00D21032" w:rsidRDefault="00D21032" w:rsidP="00D21032">
      <w:pPr>
        <w:rPr>
          <w:lang w:val="en-US"/>
        </w:rPr>
      </w:pPr>
      <w:r>
        <w:rPr>
          <w:rFonts w:ascii="Calibri Light" w:hAnsi="Calibri Light"/>
          <w:sz w:val="24"/>
          <w:lang w:val="en-US"/>
        </w:rPr>
        <w:t> </w:t>
      </w:r>
    </w:p>
    <w:p w14:paraId="6414D804" w14:textId="77777777" w:rsidR="00D21032" w:rsidRDefault="00D21032" w:rsidP="00D21032">
      <w:pPr>
        <w:rPr>
          <w:lang w:val="en-US"/>
        </w:rPr>
      </w:pPr>
      <w:r>
        <w:rPr>
          <w:rFonts w:ascii="Calibri Light" w:hAnsi="Calibri Light"/>
          <w:sz w:val="24"/>
          <w:lang w:val="en-US"/>
        </w:rPr>
        <w:t xml:space="preserve">This raises the following question: </w:t>
      </w:r>
    </w:p>
    <w:p w14:paraId="0EAFFC87" w14:textId="77777777" w:rsidR="00D21032" w:rsidRDefault="00D21032" w:rsidP="00D21032">
      <w:pPr>
        <w:pStyle w:val="Lijstalinea"/>
        <w:ind w:hanging="360"/>
        <w:rPr>
          <w:lang w:val="en-US"/>
        </w:rPr>
      </w:pPr>
      <w:r>
        <w:rPr>
          <w:rFonts w:ascii="Calibri Light" w:hAnsi="Calibri Light"/>
          <w:sz w:val="24"/>
        </w:rPr>
        <w:t>1.</w:t>
      </w:r>
      <w:r>
        <w:rPr>
          <w:rFonts w:ascii="Times New Roman" w:hAnsi="Times New Roman"/>
          <w:sz w:val="14"/>
          <w:szCs w:val="14"/>
        </w:rPr>
        <w:t xml:space="preserve">      </w:t>
      </w:r>
      <w:r>
        <w:rPr>
          <w:rFonts w:ascii="Calibri Light" w:hAnsi="Calibri Light"/>
          <w:sz w:val="24"/>
          <w:lang w:val="en-US"/>
        </w:rPr>
        <w:t xml:space="preserve">Is it correct to assume that the timeframe as mentioned in the complaint handling procedures of the CSPs gives room for CSPs to implement different timeframes </w:t>
      </w:r>
      <w:r w:rsidRPr="00CE4876">
        <w:rPr>
          <w:rFonts w:ascii="Calibri Light" w:hAnsi="Calibri Light"/>
          <w:sz w:val="24"/>
          <w:lang w:val="en-US"/>
        </w:rPr>
        <w:t xml:space="preserve">depending on whether </w:t>
      </w:r>
      <w:r>
        <w:rPr>
          <w:rFonts w:ascii="Calibri Light" w:hAnsi="Calibri Light"/>
          <w:sz w:val="24"/>
          <w:lang w:val="en-US"/>
        </w:rPr>
        <w:t>a complaint is (not) clear and/or (not) complete?</w:t>
      </w:r>
    </w:p>
    <w:p w14:paraId="1077902D" w14:textId="77777777" w:rsidR="00D21032" w:rsidRDefault="00D21032" w:rsidP="00D21032">
      <w:pPr>
        <w:rPr>
          <w:lang w:val="en-US"/>
        </w:rPr>
      </w:pPr>
      <w:r>
        <w:rPr>
          <w:rFonts w:ascii="Calibri Light" w:hAnsi="Calibri Light"/>
          <w:sz w:val="24"/>
        </w:rPr>
        <w:t> </w:t>
      </w:r>
    </w:p>
    <w:p w14:paraId="55E2CC9D" w14:textId="77777777" w:rsidR="00D21032" w:rsidRDefault="00D21032" w:rsidP="00D21032">
      <w:pPr>
        <w:rPr>
          <w:lang w:val="en-US"/>
        </w:rPr>
      </w:pPr>
      <w:r>
        <w:rPr>
          <w:rFonts w:ascii="Calibri Light" w:hAnsi="Calibri Light"/>
          <w:sz w:val="24"/>
          <w:lang w:val="en-US"/>
        </w:rPr>
        <w:t>The definition of 'client' is very broad and includes prospective investors. Since every visitor of the platform can be considered as a prospective investor, this implies that everyone could be a client and therefore a potential complainant. The fact that a CSP has to decide whether a complaint is admissible, suggests there are complaints that are not admissible.  </w:t>
      </w:r>
    </w:p>
    <w:p w14:paraId="78D07AB3" w14:textId="77777777" w:rsidR="00D21032" w:rsidRDefault="00D21032" w:rsidP="00D21032">
      <w:pPr>
        <w:rPr>
          <w:lang w:val="en-US"/>
        </w:rPr>
      </w:pPr>
      <w:r>
        <w:rPr>
          <w:rFonts w:ascii="Calibri Light" w:hAnsi="Calibri Light"/>
          <w:sz w:val="24"/>
          <w:lang w:val="en-US"/>
        </w:rPr>
        <w:t xml:space="preserve">This raises the following question: </w:t>
      </w:r>
    </w:p>
    <w:p w14:paraId="710012CB" w14:textId="77777777" w:rsidR="00D21032" w:rsidRDefault="00D21032" w:rsidP="00D21032">
      <w:pPr>
        <w:pStyle w:val="Lijstalinea"/>
        <w:ind w:hanging="360"/>
        <w:rPr>
          <w:lang w:val="en-US"/>
        </w:rPr>
      </w:pPr>
      <w:r>
        <w:rPr>
          <w:rFonts w:ascii="Calibri Light" w:hAnsi="Calibri Light"/>
          <w:sz w:val="24"/>
        </w:rPr>
        <w:t>2.</w:t>
      </w:r>
      <w:r>
        <w:rPr>
          <w:rFonts w:ascii="Times New Roman" w:hAnsi="Times New Roman"/>
          <w:sz w:val="14"/>
          <w:szCs w:val="14"/>
        </w:rPr>
        <w:t xml:space="preserve">      </w:t>
      </w:r>
      <w:r>
        <w:rPr>
          <w:rFonts w:ascii="Calibri Light" w:hAnsi="Calibri Light"/>
          <w:sz w:val="24"/>
          <w:lang w:val="en-US"/>
        </w:rPr>
        <w:t xml:space="preserve">When is a complaint deemed ‘admissible’? -&gt; </w:t>
      </w:r>
      <w:r w:rsidRPr="00CE4876">
        <w:rPr>
          <w:rFonts w:ascii="Calibri Light" w:hAnsi="Calibri Light"/>
          <w:sz w:val="24"/>
          <w:lang w:val="en-US"/>
        </w:rPr>
        <w:t>Such qualification shall also be relevant to determine the starting point to take a decision on the complaint and subsequently notifying the complainant of such decision (se</w:t>
      </w:r>
      <w:r>
        <w:rPr>
          <w:rFonts w:ascii="Calibri Light" w:hAnsi="Calibri Light"/>
          <w:sz w:val="24"/>
          <w:lang w:val="en-US"/>
        </w:rPr>
        <w:t xml:space="preserve">e question 1). </w:t>
      </w:r>
    </w:p>
    <w:p w14:paraId="3189744A" w14:textId="1EBA6E85" w:rsidR="00492B3A" w:rsidRPr="00D21032" w:rsidRDefault="00492B3A" w:rsidP="00492B3A">
      <w:pPr>
        <w:rPr>
          <w:lang w:val="en-US"/>
        </w:rPr>
      </w:pPr>
    </w:p>
    <w:permEnd w:id="1139373962"/>
    <w:p w14:paraId="013F0CDC" w14:textId="634A12C8" w:rsidR="00492B3A" w:rsidRDefault="00492B3A" w:rsidP="00492B3A">
      <w:r>
        <w:t>&lt;ESMA_QUESTION_</w:t>
      </w:r>
      <w:r w:rsidR="00A014B6">
        <w:t>ECSP</w:t>
      </w:r>
      <w:r>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0065" w14:textId="77777777" w:rsidR="005F6F7F" w:rsidRDefault="005F6F7F">
      <w:r>
        <w:separator/>
      </w:r>
    </w:p>
    <w:p w14:paraId="49191ACD" w14:textId="77777777" w:rsidR="005F6F7F" w:rsidRDefault="005F6F7F"/>
  </w:endnote>
  <w:endnote w:type="continuationSeparator" w:id="0">
    <w:p w14:paraId="457D375B" w14:textId="77777777" w:rsidR="005F6F7F" w:rsidRDefault="005F6F7F">
      <w:r>
        <w:continuationSeparator/>
      </w:r>
    </w:p>
    <w:p w14:paraId="6FC16610" w14:textId="77777777" w:rsidR="005F6F7F" w:rsidRDefault="005F6F7F"/>
  </w:endnote>
  <w:endnote w:type="continuationNotice" w:id="1">
    <w:p w14:paraId="57640C7B" w14:textId="77777777" w:rsidR="005F6F7F" w:rsidRDefault="005F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2B23CF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97531">
            <w:rPr>
              <w:rFonts w:cs="Arial"/>
              <w:noProof/>
              <w:sz w:val="22"/>
              <w:szCs w:val="22"/>
            </w:rPr>
            <w:t>4</w:t>
          </w:r>
          <w:r w:rsidRPr="00616B9B">
            <w:rPr>
              <w:rFonts w:cs="Arial"/>
              <w:noProof/>
              <w:sz w:val="22"/>
              <w:szCs w:val="22"/>
            </w:rPr>
            <w:fldChar w:fldCharType="end"/>
          </w:r>
        </w:p>
      </w:tc>
    </w:tr>
  </w:tbl>
  <w:p w14:paraId="08C7C785" w14:textId="77777777" w:rsidR="00811EDA" w:rsidRDefault="00811E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6AEC" w14:textId="77777777" w:rsidR="00811EDA" w:rsidRDefault="00811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6953" w14:textId="77777777" w:rsidR="005F6F7F" w:rsidRDefault="005F6F7F">
      <w:r>
        <w:separator/>
      </w:r>
    </w:p>
    <w:p w14:paraId="214074B0" w14:textId="77777777" w:rsidR="005F6F7F" w:rsidRDefault="005F6F7F"/>
  </w:footnote>
  <w:footnote w:type="continuationSeparator" w:id="0">
    <w:p w14:paraId="05C6A7FF" w14:textId="77777777" w:rsidR="005F6F7F" w:rsidRDefault="005F6F7F">
      <w:r>
        <w:continuationSeparator/>
      </w:r>
    </w:p>
    <w:p w14:paraId="3127A5F9" w14:textId="77777777" w:rsidR="005F6F7F" w:rsidRDefault="005F6F7F"/>
  </w:footnote>
  <w:footnote w:type="continuationNotice" w:id="1">
    <w:p w14:paraId="64851B0A" w14:textId="77777777" w:rsidR="005F6F7F" w:rsidRDefault="005F6F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FC29" w14:textId="77777777" w:rsidR="00811EDA" w:rsidRDefault="00DE66EB">
    <w:pPr>
      <w:pStyle w:val="Koptekst"/>
    </w:pPr>
    <w:r>
      <w:rPr>
        <w:noProof/>
        <w:lang w:val="nl-NL" w:eastAsia="nl-NL"/>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EF13" w14:textId="77777777" w:rsidR="00811EDA" w:rsidRDefault="00DE66EB" w:rsidP="00013CCE">
    <w:pPr>
      <w:pStyle w:val="Koptekst"/>
      <w:jc w:val="right"/>
    </w:pPr>
    <w:r>
      <w:rPr>
        <w:noProof/>
        <w:lang w:val="nl-NL" w:eastAsia="nl-NL"/>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Koptekst"/>
      <w:rPr>
        <w:lang w:val="fr-FR"/>
      </w:rPr>
    </w:pPr>
  </w:p>
  <w:p w14:paraId="0F1BB730" w14:textId="77777777" w:rsidR="00811EDA" w:rsidRPr="002F4496" w:rsidRDefault="00811EDA" w:rsidP="000C06C9">
    <w:pPr>
      <w:pStyle w:val="Koptekst"/>
      <w:tabs>
        <w:tab w:val="clear" w:pos="4536"/>
        <w:tab w:val="clear" w:pos="9072"/>
        <w:tab w:val="left" w:pos="8227"/>
      </w:tabs>
      <w:rPr>
        <w:lang w:val="fr-FR"/>
      </w:rPr>
    </w:pPr>
  </w:p>
  <w:p w14:paraId="354F7019" w14:textId="77777777" w:rsidR="00811EDA" w:rsidRPr="002F4496" w:rsidRDefault="00811EDA" w:rsidP="000C06C9">
    <w:pPr>
      <w:pStyle w:val="Koptekst"/>
      <w:tabs>
        <w:tab w:val="clear" w:pos="4536"/>
        <w:tab w:val="clear" w:pos="9072"/>
        <w:tab w:val="left" w:pos="8227"/>
      </w:tabs>
      <w:rPr>
        <w:lang w:val="fr-FR"/>
      </w:rPr>
    </w:pPr>
  </w:p>
  <w:p w14:paraId="438C49BF" w14:textId="77777777" w:rsidR="00811EDA" w:rsidRPr="002F4496" w:rsidRDefault="00811EDA">
    <w:pPr>
      <w:pStyle w:val="Koptekst"/>
      <w:rPr>
        <w:lang w:val="fr-FR"/>
      </w:rPr>
    </w:pPr>
  </w:p>
  <w:p w14:paraId="77F5F5FB" w14:textId="77777777" w:rsidR="00811EDA" w:rsidRPr="002F4496" w:rsidRDefault="00811EDA">
    <w:pPr>
      <w:pStyle w:val="Koptekst"/>
      <w:rPr>
        <w:lang w:val="fr-FR"/>
      </w:rPr>
    </w:pPr>
  </w:p>
  <w:p w14:paraId="31EA96F8" w14:textId="77777777" w:rsidR="00811EDA" w:rsidRPr="002F4496" w:rsidRDefault="00811EDA">
    <w:pPr>
      <w:pStyle w:val="Koptekst"/>
      <w:rPr>
        <w:lang w:val="fr-FR"/>
      </w:rPr>
    </w:pPr>
  </w:p>
  <w:p w14:paraId="0FAE7A71" w14:textId="77777777" w:rsidR="00811EDA" w:rsidRPr="002F4496" w:rsidRDefault="00811EDA">
    <w:pPr>
      <w:pStyle w:val="Koptekst"/>
      <w:rPr>
        <w:lang w:val="fr-FR"/>
      </w:rPr>
    </w:pPr>
  </w:p>
  <w:p w14:paraId="339C0C6E" w14:textId="77777777" w:rsidR="00811EDA" w:rsidRPr="002F4496" w:rsidRDefault="00811EDA">
    <w:pPr>
      <w:pStyle w:val="Koptekst"/>
      <w:rPr>
        <w:highlight w:val="yellow"/>
        <w:lang w:val="fr-FR"/>
      </w:rPr>
    </w:pPr>
  </w:p>
  <w:p w14:paraId="0495A777" w14:textId="77777777" w:rsidR="00811EDA" w:rsidRDefault="00DE66EB">
    <w:pPr>
      <w:pStyle w:val="Koptekst"/>
    </w:pPr>
    <w:r>
      <w:rPr>
        <w:noProof/>
        <w:lang w:val="nl-NL" w:eastAsia="nl-NL"/>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14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97531"/>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374D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028"/>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1032"/>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3EAD"/>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31A2"/>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492B3A"/>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ardalinea-lettertype"/>
    <w:link w:val="myNormal0"/>
    <w:locked/>
    <w:rsid w:val="00AF38AF"/>
    <w:rPr>
      <w:rFonts w:ascii="Georgia" w:hAnsi="Georgia"/>
      <w:lang w:eastAsia="de-DE"/>
    </w:rPr>
  </w:style>
  <w:style w:type="paragraph" w:customStyle="1" w:styleId="myNormal0">
    <w:name w:val="myNormal"/>
    <w:basedOn w:val="Standa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purl.org/dc/elements/1.1/"/>
    <ds:schemaRef ds:uri="3b122f42-3680-41b8-abdb-8f838d66b94f"/>
    <ds:schemaRef ds:uri="http://www.w3.org/XML/1998/namespace"/>
    <ds:schemaRef ds:uri="http://purl.org/dc/dcmityp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6D9492-C813-4760-A373-087F8053F1DC}">
  <ds:schemaRefs>
    <ds:schemaRef ds:uri="http://schemas.openxmlformats.org/officeDocument/2006/bibliography"/>
  </ds:schemaRefs>
</ds:datastoreItem>
</file>

<file path=customXml/itemProps6.xml><?xml version="1.0" encoding="utf-8"?>
<ds:datastoreItem xmlns:ds="http://schemas.openxmlformats.org/officeDocument/2006/customXml" ds:itemID="{2ACE559A-CB5F-432B-B797-E9855E60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1618</Words>
  <Characters>8903</Characters>
  <Application>Microsoft Office Word</Application>
  <DocSecurity>8</DocSecurity>
  <Lines>74</Lines>
  <Paragraphs>20</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10501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Dorothé Melchers</cp:lastModifiedBy>
  <cp:revision>6</cp:revision>
  <cp:lastPrinted>2015-02-18T11:01:00Z</cp:lastPrinted>
  <dcterms:created xsi:type="dcterms:W3CDTF">2021-05-27T17:42:00Z</dcterms:created>
  <dcterms:modified xsi:type="dcterms:W3CDTF">2021-05-27T17:52:00Z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