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Diskretbetoning"/>
          <w:b w:val="0"/>
          <w:bCs/>
          <w:sz w:val="22"/>
        </w:rPr>
      </w:pPr>
      <w:r w:rsidRPr="005F6BE3">
        <w:rPr>
          <w:rStyle w:val="Diskretbetoning"/>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Diskretbetoning"/>
          <w:b w:val="0"/>
          <w:bCs/>
          <w:sz w:val="22"/>
        </w:rPr>
        <w:t xml:space="preserve"> </w:t>
      </w:r>
      <w:r w:rsidR="00754AC4" w:rsidRPr="00754AC4">
        <w:rPr>
          <w:rStyle w:val="Diskretbetoning"/>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Diskretbetoning"/>
          <w:b w:val="0"/>
          <w:bCs/>
          <w:sz w:val="22"/>
        </w:rPr>
      </w:pPr>
      <w:r w:rsidRPr="00754AC4">
        <w:rPr>
          <w:rStyle w:val="Diskretbetoning"/>
          <w:b w:val="0"/>
          <w:bCs/>
          <w:sz w:val="22"/>
        </w:rPr>
        <w:t>Comments are most helpful if they:</w:t>
      </w:r>
    </w:p>
    <w:p w14:paraId="443F1C2C" w14:textId="77777777" w:rsidR="00754AC4" w:rsidRPr="00754AC4" w:rsidRDefault="00754AC4" w:rsidP="00666A17">
      <w:pPr>
        <w:pStyle w:val="Liststycke"/>
        <w:numPr>
          <w:ilvl w:val="0"/>
          <w:numId w:val="39"/>
        </w:numPr>
        <w:spacing w:after="240"/>
        <w:jc w:val="both"/>
        <w:rPr>
          <w:rStyle w:val="Diskretbetoning"/>
          <w:b w:val="0"/>
          <w:bCs/>
          <w:sz w:val="22"/>
        </w:rPr>
      </w:pPr>
      <w:r w:rsidRPr="00754AC4">
        <w:rPr>
          <w:rStyle w:val="Diskretbetoning"/>
          <w:b w:val="0"/>
          <w:bCs/>
          <w:sz w:val="22"/>
        </w:rPr>
        <w:t>contain a clear rationale; and</w:t>
      </w:r>
    </w:p>
    <w:p w14:paraId="44288AF1" w14:textId="77777777" w:rsidR="00754AC4" w:rsidRPr="00754AC4" w:rsidRDefault="00754AC4" w:rsidP="00666A17">
      <w:pPr>
        <w:pStyle w:val="Liststycke"/>
        <w:numPr>
          <w:ilvl w:val="0"/>
          <w:numId w:val="39"/>
        </w:numPr>
        <w:spacing w:after="240"/>
        <w:jc w:val="both"/>
        <w:rPr>
          <w:rStyle w:val="Diskretbetoning"/>
          <w:b w:val="0"/>
          <w:bCs/>
          <w:sz w:val="22"/>
        </w:rPr>
      </w:pPr>
      <w:r w:rsidRPr="00754AC4">
        <w:rPr>
          <w:rStyle w:val="Diskretbetoning"/>
          <w:b w:val="0"/>
          <w:bCs/>
          <w:sz w:val="22"/>
        </w:rPr>
        <w:t>describe any alternatives the ESAs should consider.</w:t>
      </w:r>
    </w:p>
    <w:p w14:paraId="122FDDB2" w14:textId="5647B0AF" w:rsidR="00C86E1C" w:rsidRDefault="00C86E1C" w:rsidP="00754AC4">
      <w:pPr>
        <w:spacing w:after="240"/>
        <w:jc w:val="both"/>
        <w:rPr>
          <w:rStyle w:val="Diskretbetoning"/>
          <w:b w:val="0"/>
          <w:bCs/>
          <w:sz w:val="22"/>
        </w:rPr>
      </w:pPr>
      <w:r>
        <w:rPr>
          <w:rStyle w:val="Diskretbetoning"/>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Diskretbetoning"/>
          <w:b w:val="0"/>
          <w:sz w:val="22"/>
        </w:rPr>
      </w:pPr>
    </w:p>
    <w:p w14:paraId="6A3CB03F" w14:textId="77777777" w:rsidR="009A3017" w:rsidRPr="00E40A5C" w:rsidRDefault="009A3017" w:rsidP="009A3017">
      <w:pPr>
        <w:spacing w:after="120"/>
        <w:jc w:val="both"/>
        <w:rPr>
          <w:rStyle w:val="Diskretbetoning"/>
          <w:sz w:val="22"/>
        </w:rPr>
      </w:pPr>
      <w:r w:rsidRPr="00E40A5C">
        <w:rPr>
          <w:rStyle w:val="Diskretbetoning"/>
          <w:sz w:val="22"/>
        </w:rPr>
        <w:t>Instructions</w:t>
      </w:r>
    </w:p>
    <w:p w14:paraId="6A3CB040" w14:textId="77777777" w:rsidR="009A3017" w:rsidRPr="00E40A5C" w:rsidRDefault="009A3017" w:rsidP="009A3017">
      <w:pPr>
        <w:spacing w:after="240"/>
        <w:jc w:val="both"/>
        <w:rPr>
          <w:rStyle w:val="Diskretbetoning"/>
          <w:b w:val="0"/>
          <w:sz w:val="22"/>
        </w:rPr>
      </w:pPr>
      <w:r w:rsidRPr="00E40A5C">
        <w:rPr>
          <w:rStyle w:val="Diskretbetoni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stycke"/>
        <w:numPr>
          <w:ilvl w:val="0"/>
          <w:numId w:val="36"/>
        </w:numPr>
        <w:spacing w:after="240" w:line="276" w:lineRule="auto"/>
        <w:ind w:left="567" w:hanging="567"/>
        <w:contextualSpacing w:val="0"/>
        <w:jc w:val="both"/>
        <w:rPr>
          <w:rStyle w:val="Diskretbetoning"/>
          <w:b w:val="0"/>
          <w:sz w:val="22"/>
        </w:rPr>
      </w:pPr>
      <w:r w:rsidRPr="00E40A5C">
        <w:rPr>
          <w:rStyle w:val="Diskretbetoning"/>
          <w:b w:val="0"/>
          <w:sz w:val="22"/>
        </w:rPr>
        <w:t xml:space="preserve">Insert your responses to the questions in the Consultation Paper in </w:t>
      </w:r>
      <w:r w:rsidR="00963D60">
        <w:rPr>
          <w:rStyle w:val="Diskretbetoning"/>
          <w:b w:val="0"/>
          <w:sz w:val="22"/>
        </w:rPr>
        <w:t>the present</w:t>
      </w:r>
      <w:r w:rsidR="00963D60" w:rsidRPr="00E40A5C">
        <w:rPr>
          <w:rStyle w:val="Diskretbetoning"/>
          <w:b w:val="0"/>
          <w:sz w:val="22"/>
        </w:rPr>
        <w:t xml:space="preserve"> </w:t>
      </w:r>
      <w:r w:rsidR="00315895">
        <w:rPr>
          <w:rStyle w:val="Diskretbetoning"/>
          <w:b w:val="0"/>
          <w:sz w:val="22"/>
        </w:rPr>
        <w:t xml:space="preserve">response </w:t>
      </w:r>
      <w:r w:rsidRPr="00E40A5C">
        <w:rPr>
          <w:rStyle w:val="Diskretbetoning"/>
          <w:b w:val="0"/>
          <w:sz w:val="22"/>
        </w:rPr>
        <w:t>form</w:t>
      </w:r>
      <w:r w:rsidR="00963D60">
        <w:rPr>
          <w:rStyle w:val="Diskretbetoning"/>
          <w:b w:val="0"/>
          <w:sz w:val="22"/>
        </w:rPr>
        <w:t>.</w:t>
      </w:r>
      <w:r w:rsidRPr="00E40A5C">
        <w:rPr>
          <w:rStyle w:val="Diskretbetoning"/>
          <w:b w:val="0"/>
          <w:sz w:val="22"/>
        </w:rPr>
        <w:t xml:space="preserve"> </w:t>
      </w:r>
    </w:p>
    <w:p w14:paraId="6A3CB042" w14:textId="7681A708" w:rsidR="009A3017" w:rsidRPr="00E40A5C" w:rsidRDefault="009A3017" w:rsidP="00666A17">
      <w:pPr>
        <w:pStyle w:val="Liststycke"/>
        <w:numPr>
          <w:ilvl w:val="0"/>
          <w:numId w:val="36"/>
        </w:numPr>
        <w:spacing w:after="240" w:line="276" w:lineRule="auto"/>
        <w:ind w:left="567" w:hanging="567"/>
        <w:contextualSpacing w:val="0"/>
        <w:jc w:val="both"/>
        <w:rPr>
          <w:rStyle w:val="Diskretbetoning"/>
          <w:b w:val="0"/>
          <w:sz w:val="22"/>
        </w:rPr>
      </w:pPr>
      <w:r w:rsidRPr="00E40A5C">
        <w:rPr>
          <w:rStyle w:val="Diskretbetoning"/>
          <w:b w:val="0"/>
          <w:sz w:val="22"/>
        </w:rPr>
        <w:t>Please do not remove tags of the type &lt;ESA_QUESTION_</w:t>
      </w:r>
      <w:r w:rsidR="00C86E1C">
        <w:rPr>
          <w:rStyle w:val="Diskretbetoning"/>
          <w:b w:val="0"/>
          <w:sz w:val="22"/>
        </w:rPr>
        <w:t>ESG</w:t>
      </w:r>
      <w:r w:rsidRPr="00E40A5C">
        <w:rPr>
          <w:rStyle w:val="Diskretbetoning"/>
          <w:b w:val="0"/>
          <w:sz w:val="22"/>
        </w:rPr>
        <w:t>_1&gt;. Your response to each question has to be framed by the two tags corresponding to the question.</w:t>
      </w:r>
    </w:p>
    <w:p w14:paraId="6A3CB043" w14:textId="77777777" w:rsidR="009A3017" w:rsidRPr="00E40A5C" w:rsidRDefault="009A3017" w:rsidP="00666A17">
      <w:pPr>
        <w:pStyle w:val="Liststycke"/>
        <w:numPr>
          <w:ilvl w:val="0"/>
          <w:numId w:val="36"/>
        </w:numPr>
        <w:spacing w:after="240" w:line="276" w:lineRule="auto"/>
        <w:ind w:left="567" w:hanging="567"/>
        <w:contextualSpacing w:val="0"/>
        <w:jc w:val="both"/>
        <w:rPr>
          <w:rStyle w:val="Diskretbetoning"/>
          <w:b w:val="0"/>
          <w:sz w:val="22"/>
        </w:rPr>
      </w:pPr>
      <w:r w:rsidRPr="00E40A5C">
        <w:rPr>
          <w:rStyle w:val="Diskretbetoning"/>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stycke"/>
        <w:numPr>
          <w:ilvl w:val="0"/>
          <w:numId w:val="36"/>
        </w:numPr>
        <w:spacing w:after="240" w:line="276" w:lineRule="auto"/>
        <w:ind w:left="567" w:hanging="567"/>
        <w:contextualSpacing w:val="0"/>
        <w:jc w:val="both"/>
        <w:rPr>
          <w:rStyle w:val="Diskretbetoning"/>
          <w:b w:val="0"/>
          <w:sz w:val="22"/>
        </w:rPr>
      </w:pPr>
      <w:r w:rsidRPr="00E40A5C">
        <w:rPr>
          <w:rStyle w:val="Diskretbetoning"/>
          <w:b w:val="0"/>
          <w:sz w:val="22"/>
        </w:rPr>
        <w:t>When you have drafted your response, name your response form according to the following convention: ESA_</w:t>
      </w:r>
      <w:r w:rsidR="00C86E1C">
        <w:rPr>
          <w:rStyle w:val="Diskretbetoning"/>
          <w:b w:val="0"/>
          <w:sz w:val="22"/>
        </w:rPr>
        <w:t>ESG</w:t>
      </w:r>
      <w:r w:rsidRPr="00E40A5C">
        <w:rPr>
          <w:rStyle w:val="Diskretbetoning"/>
          <w:b w:val="0"/>
          <w:sz w:val="22"/>
        </w:rPr>
        <w:t>_nameofrespondent_RESPONSEFORM. For example, for a respondent named ABCD, the response form would be entitled ESA_</w:t>
      </w:r>
      <w:r w:rsidR="00C86E1C">
        <w:rPr>
          <w:rStyle w:val="Diskretbetoning"/>
          <w:b w:val="0"/>
          <w:sz w:val="22"/>
        </w:rPr>
        <w:t>ESG</w:t>
      </w:r>
      <w:r w:rsidRPr="00E40A5C">
        <w:rPr>
          <w:rStyle w:val="Diskretbetoning"/>
          <w:b w:val="0"/>
          <w:sz w:val="22"/>
        </w:rPr>
        <w:t>_ABCD_RESPONSEFORM.</w:t>
      </w:r>
    </w:p>
    <w:p w14:paraId="180C2205" w14:textId="03F3D16A" w:rsidR="00197794" w:rsidRPr="00197794" w:rsidRDefault="00197794" w:rsidP="00666A17">
      <w:pPr>
        <w:pStyle w:val="Liststycke"/>
        <w:numPr>
          <w:ilvl w:val="0"/>
          <w:numId w:val="36"/>
        </w:numPr>
        <w:spacing w:after="240" w:line="276" w:lineRule="auto"/>
        <w:ind w:left="567" w:hanging="567"/>
        <w:contextualSpacing w:val="0"/>
        <w:jc w:val="both"/>
        <w:rPr>
          <w:rStyle w:val="Diskretbetoning"/>
          <w:b w:val="0"/>
          <w:sz w:val="22"/>
        </w:rPr>
      </w:pPr>
      <w:r w:rsidRPr="00197794">
        <w:rPr>
          <w:rStyle w:val="Diskretbetoning"/>
          <w:b w:val="0"/>
          <w:sz w:val="22"/>
        </w:rPr>
        <w:t>The consultation paper is available on the websites of the three ESAs</w:t>
      </w:r>
      <w:r w:rsidR="00764042">
        <w:rPr>
          <w:rStyle w:val="Diskretbetoning"/>
          <w:b w:val="0"/>
          <w:sz w:val="22"/>
        </w:rPr>
        <w:t xml:space="preserve"> and the Joint Committee</w:t>
      </w:r>
      <w:r w:rsidRPr="00197794">
        <w:rPr>
          <w:rStyle w:val="Diskretbetoning"/>
          <w:b w:val="0"/>
          <w:sz w:val="22"/>
        </w:rPr>
        <w:t xml:space="preserve">. Comments on this consultation paper can be sent using the response form, via the </w:t>
      </w:r>
      <w:hyperlink r:id="rId18" w:history="1">
        <w:r w:rsidRPr="00197794">
          <w:rPr>
            <w:rStyle w:val="Hyperlnk"/>
            <w:rFonts w:cs="Arial"/>
            <w:sz w:val="22"/>
          </w:rPr>
          <w:t>ESMA website</w:t>
        </w:r>
      </w:hyperlink>
      <w:r w:rsidRPr="00197794">
        <w:rPr>
          <w:rStyle w:val="Diskretbetoning"/>
          <w:b w:val="0"/>
          <w:sz w:val="24"/>
        </w:rPr>
        <w:t xml:space="preserve"> </w:t>
      </w:r>
      <w:r w:rsidRPr="00197794">
        <w:rPr>
          <w:rStyle w:val="Diskretbetoning"/>
          <w:b w:val="0"/>
          <w:sz w:val="22"/>
        </w:rPr>
        <w:t>under the heading ‘Your input - Consultations’ by</w:t>
      </w:r>
      <w:r w:rsidR="005F6BE3">
        <w:rPr>
          <w:rStyle w:val="Diskretbetoning"/>
          <w:b w:val="0"/>
          <w:sz w:val="22"/>
        </w:rPr>
        <w:t xml:space="preserve"> </w:t>
      </w:r>
      <w:r w:rsidR="00AA1B9D">
        <w:rPr>
          <w:rStyle w:val="Diskretbetoning"/>
          <w:b w:val="0"/>
          <w:sz w:val="22"/>
        </w:rPr>
        <w:t>12 May 2021</w:t>
      </w:r>
      <w:r w:rsidRPr="00197794">
        <w:rPr>
          <w:rStyle w:val="Diskretbetoning"/>
          <w:b w:val="0"/>
          <w:sz w:val="22"/>
        </w:rPr>
        <w:t>.</w:t>
      </w:r>
    </w:p>
    <w:p w14:paraId="2481E1E6" w14:textId="67CDDA3F" w:rsidR="00197794" w:rsidRDefault="00197794" w:rsidP="00666A17">
      <w:pPr>
        <w:pStyle w:val="Liststycke"/>
        <w:numPr>
          <w:ilvl w:val="0"/>
          <w:numId w:val="36"/>
        </w:numPr>
        <w:spacing w:after="240" w:line="276" w:lineRule="auto"/>
        <w:ind w:left="567" w:hanging="567"/>
        <w:contextualSpacing w:val="0"/>
        <w:jc w:val="both"/>
        <w:rPr>
          <w:rStyle w:val="Diskretbetoning"/>
          <w:b w:val="0"/>
          <w:sz w:val="22"/>
        </w:rPr>
      </w:pPr>
      <w:r w:rsidRPr="00197794">
        <w:rPr>
          <w:rStyle w:val="Diskretbetoning"/>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Diskretbetoning"/>
          <w:b w:val="0"/>
          <w:sz w:val="22"/>
        </w:rPr>
      </w:pPr>
    </w:p>
    <w:p w14:paraId="5E94D042" w14:textId="77777777" w:rsidR="00D5594A" w:rsidRPr="00197794" w:rsidRDefault="00D5594A" w:rsidP="00197794">
      <w:pPr>
        <w:spacing w:after="240" w:line="276" w:lineRule="auto"/>
        <w:jc w:val="both"/>
        <w:rPr>
          <w:rStyle w:val="Diskretbetoning"/>
          <w:b w:val="0"/>
          <w:sz w:val="22"/>
        </w:rPr>
      </w:pPr>
    </w:p>
    <w:p w14:paraId="6A3CB046" w14:textId="77777777" w:rsidR="00210E59" w:rsidRPr="00210E59" w:rsidRDefault="00210E59" w:rsidP="00210E59">
      <w:pPr>
        <w:spacing w:after="120"/>
        <w:jc w:val="both"/>
        <w:rPr>
          <w:rStyle w:val="Diskretbetoning"/>
          <w:sz w:val="22"/>
        </w:rPr>
      </w:pPr>
      <w:r w:rsidRPr="00210E59">
        <w:rPr>
          <w:rStyle w:val="Diskretbetoning"/>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Diskretbetoning"/>
          <w:sz w:val="22"/>
          <w:lang w:eastAsia="en-GB"/>
        </w:rPr>
      </w:pPr>
    </w:p>
    <w:p w14:paraId="3561D6A6" w14:textId="77777777" w:rsidR="00197794" w:rsidRDefault="00197794" w:rsidP="004E6AE4">
      <w:pPr>
        <w:rPr>
          <w:rStyle w:val="Diskretbetoning"/>
          <w:sz w:val="22"/>
          <w:lang w:eastAsia="en-GB"/>
        </w:rPr>
      </w:pPr>
    </w:p>
    <w:p w14:paraId="6A3CB048" w14:textId="1D432EA9" w:rsidR="009A3017" w:rsidRPr="00E40A5C" w:rsidRDefault="009A3017" w:rsidP="004E6AE4">
      <w:pPr>
        <w:rPr>
          <w:rStyle w:val="Diskretbetoning"/>
          <w:sz w:val="22"/>
          <w:lang w:eastAsia="en-GB"/>
        </w:rPr>
      </w:pPr>
      <w:r w:rsidRPr="00E40A5C">
        <w:rPr>
          <w:rStyle w:val="Diskretbetoni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tnotsreferens"/>
          <w:rFonts w:cs="Arial"/>
          <w:sz w:val="22"/>
        </w:rPr>
        <w:footnoteReference w:id="2"/>
      </w:r>
      <w:r w:rsidRPr="00197794">
        <w:rPr>
          <w:rFonts w:cs="Arial"/>
          <w:sz w:val="22"/>
        </w:rPr>
        <w:t xml:space="preserve">. Further information on data protection can be found under the </w:t>
      </w:r>
      <w:hyperlink r:id="rId19" w:history="1">
        <w:r w:rsidRPr="00197794">
          <w:rPr>
            <w:rStyle w:val="Hyperlnk"/>
            <w:rFonts w:cs="Arial"/>
            <w:sz w:val="22"/>
          </w:rPr>
          <w:t>Legal notice</w:t>
        </w:r>
      </w:hyperlink>
      <w:r w:rsidRPr="00197794">
        <w:rPr>
          <w:rFonts w:cs="Arial"/>
          <w:sz w:val="22"/>
        </w:rPr>
        <w:t xml:space="preserve"> section of the EBA website and under the </w:t>
      </w:r>
      <w:hyperlink r:id="rId20" w:history="1">
        <w:r w:rsidRPr="00197794">
          <w:rPr>
            <w:rStyle w:val="Hyperlnk"/>
            <w:rFonts w:cs="Arial"/>
            <w:sz w:val="22"/>
          </w:rPr>
          <w:t>Legal notice</w:t>
        </w:r>
      </w:hyperlink>
      <w:r w:rsidRPr="00197794">
        <w:rPr>
          <w:rFonts w:cs="Arial"/>
          <w:sz w:val="22"/>
        </w:rPr>
        <w:t xml:space="preserve"> section of the EIOPA website and under the </w:t>
      </w:r>
      <w:hyperlink r:id="rId21" w:history="1">
        <w:r w:rsidRPr="00197794">
          <w:rPr>
            <w:rStyle w:val="Hyperl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Diskretbetoni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Rubrik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tshllartext"/>
              <w:rFonts w:cs="Arial"/>
            </w:rPr>
            <w:id w:val="-1905066999"/>
            <w:text/>
          </w:sdtPr>
          <w:sdtEndPr>
            <w:rPr>
              <w:rStyle w:val="Platshllartext"/>
            </w:rPr>
          </w:sdtEndPr>
          <w:sdtContent>
            <w:tc>
              <w:tcPr>
                <w:tcW w:w="5595" w:type="dxa"/>
                <w:shd w:val="clear" w:color="auto" w:fill="auto"/>
              </w:tcPr>
              <w:p w14:paraId="6A3CB051" w14:textId="06B0EF0E" w:rsidR="00B327E9" w:rsidRPr="00AB6D88" w:rsidRDefault="00071E82" w:rsidP="00F136AD">
                <w:pPr>
                  <w:rPr>
                    <w:rStyle w:val="Platshllartext"/>
                    <w:rFonts w:cs="Arial"/>
                  </w:rPr>
                </w:pPr>
                <w:r>
                  <w:rPr>
                    <w:rStyle w:val="Platshllartext"/>
                    <w:rFonts w:cs="Arial"/>
                  </w:rPr>
                  <w:t>Swedish Securities Markets Association</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422D644" w:rsidR="00B327E9" w:rsidRPr="00AB6D88" w:rsidRDefault="00D762F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2104C">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B675611" w:rsidR="00B327E9" w:rsidRPr="00AB6D88" w:rsidRDefault="00281E71"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E136887" w:rsidR="00B327E9" w:rsidRPr="00AB6D88" w:rsidRDefault="0022104C" w:rsidP="00F136AD">
                <w:pPr>
                  <w:rPr>
                    <w:rFonts w:cs="Arial"/>
                  </w:rPr>
                </w:pPr>
                <w:r>
                  <w:rPr>
                    <w:rFonts w:cs="Arial"/>
                  </w:rPr>
                  <w:t>Sweden</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Rubrik1"/>
        <w:numPr>
          <w:ilvl w:val="0"/>
          <w:numId w:val="0"/>
        </w:numPr>
        <w:ind w:left="431" w:hanging="431"/>
      </w:pPr>
      <w:r>
        <w:t>Introduction</w:t>
      </w:r>
    </w:p>
    <w:p w14:paraId="6A3CB05E" w14:textId="77777777" w:rsidR="00B327E9" w:rsidRPr="00E40A5C" w:rsidRDefault="00B327E9" w:rsidP="00B327E9">
      <w:pPr>
        <w:rPr>
          <w:rStyle w:val="Starkbetoning"/>
          <w:sz w:val="22"/>
        </w:rPr>
      </w:pPr>
      <w:r w:rsidRPr="00E40A5C">
        <w:rPr>
          <w:rStyle w:val="Starkbetoning"/>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Diskretbetoning"/>
          <w:b w:val="0"/>
          <w:sz w:val="22"/>
        </w:rPr>
        <w:t>ESG</w:t>
      </w:r>
      <w:r w:rsidRPr="006F4535">
        <w:t>_1&gt;</w:t>
      </w:r>
    </w:p>
    <w:p w14:paraId="4EEF6224" w14:textId="77777777" w:rsidR="00B17E95" w:rsidRPr="00F20114" w:rsidRDefault="00B17E95" w:rsidP="00B17E95">
      <w:pPr>
        <w:rPr>
          <w:rFonts w:cs="Arial"/>
          <w:b/>
          <w:bCs/>
          <w:szCs w:val="20"/>
          <w:lang w:val="en-US"/>
        </w:rPr>
      </w:pPr>
      <w:permStart w:id="411981036" w:edGrp="everyone"/>
      <w:r w:rsidRPr="00F20114">
        <w:rPr>
          <w:rFonts w:cs="Arial"/>
          <w:bCs/>
          <w:szCs w:val="20"/>
          <w:lang w:val="en-US"/>
        </w:rPr>
        <w:t xml:space="preserve">The Swedish Securities Market Association (“SSMA”) welcomes the opportunity to provide comments to ESAs consultation on taxonomy-related sustainability disclosures. </w:t>
      </w:r>
    </w:p>
    <w:p w14:paraId="5094CBE1" w14:textId="77777777" w:rsidR="00B17E95" w:rsidRPr="00F20114" w:rsidRDefault="00B17E95" w:rsidP="00B17E95">
      <w:pPr>
        <w:rPr>
          <w:rFonts w:cs="Arial"/>
          <w:b/>
          <w:bCs/>
          <w:szCs w:val="20"/>
          <w:lang w:val="en-US"/>
        </w:rPr>
      </w:pPr>
    </w:p>
    <w:p w14:paraId="775E578B" w14:textId="77777777" w:rsidR="00B17E95" w:rsidRPr="00F20114" w:rsidRDefault="00B17E95" w:rsidP="00F20114">
      <w:pPr>
        <w:spacing w:after="332" w:line="259" w:lineRule="auto"/>
        <w:rPr>
          <w:rFonts w:cs="Arial"/>
          <w:szCs w:val="20"/>
          <w:u w:val="single"/>
          <w:lang w:val="en-US"/>
        </w:rPr>
      </w:pPr>
      <w:r w:rsidRPr="00F20114">
        <w:rPr>
          <w:rFonts w:cs="Arial"/>
          <w:szCs w:val="20"/>
          <w:u w:val="single"/>
          <w:lang w:val="en-US"/>
        </w:rPr>
        <w:t>General comments:</w:t>
      </w:r>
    </w:p>
    <w:p w14:paraId="79516368" w14:textId="77777777" w:rsidR="00B17E95" w:rsidRPr="00217A3E" w:rsidRDefault="00B17E95" w:rsidP="00B17E95">
      <w:pPr>
        <w:spacing w:after="160"/>
        <w:rPr>
          <w:rFonts w:cstheme="minorHAnsi"/>
          <w:b/>
          <w:bCs/>
          <w:lang w:val="en-US"/>
        </w:rPr>
      </w:pPr>
      <w:r>
        <w:rPr>
          <w:rFonts w:cstheme="minorHAnsi"/>
          <w:bCs/>
          <w:lang w:val="en-US"/>
        </w:rPr>
        <w:t xml:space="preserve">Firstly, </w:t>
      </w:r>
      <w:r w:rsidRPr="00217A3E">
        <w:rPr>
          <w:rFonts w:cstheme="minorHAnsi"/>
          <w:bCs/>
          <w:lang w:val="en-US"/>
        </w:rPr>
        <w:t xml:space="preserve">the SSMA would like to underline the need for a number of clarifications as regards the application of SFDR to “a portfolio”: </w:t>
      </w:r>
    </w:p>
    <w:p w14:paraId="425F8CFC" w14:textId="09FECB0A" w:rsidR="00B17E95" w:rsidRPr="000B2CCE" w:rsidRDefault="00B17E95" w:rsidP="00B17E95">
      <w:pPr>
        <w:pStyle w:val="Liststycke"/>
        <w:numPr>
          <w:ilvl w:val="0"/>
          <w:numId w:val="41"/>
        </w:numPr>
        <w:spacing w:after="160" w:line="259" w:lineRule="auto"/>
        <w:rPr>
          <w:rFonts w:cstheme="minorHAnsi"/>
          <w:b/>
          <w:bCs/>
          <w:lang w:val="en-US"/>
        </w:rPr>
      </w:pPr>
      <w:r w:rsidRPr="00217A3E">
        <w:rPr>
          <w:rFonts w:cstheme="minorHAnsi"/>
          <w:bCs/>
          <w:lang w:val="en-US"/>
        </w:rPr>
        <w:t xml:space="preserve">As mentioned in the ESAs letter to the European Commission on 7 January 2021, it should be clarified whether the disclosure-rules in SFDR shall be applied on an individual portfolio level and/or on a model portfolio level. </w:t>
      </w:r>
      <w:r>
        <w:rPr>
          <w:rFonts w:cstheme="minorHAnsi"/>
          <w:bCs/>
          <w:lang w:val="en-US"/>
        </w:rPr>
        <w:t xml:space="preserve">Further, we suggest that tailor made portfolios should be either exempt from the disclosures under article 10 SFDR or be disclosed in manner only accessible to the client. </w:t>
      </w:r>
      <w:r w:rsidRPr="00217A3E">
        <w:rPr>
          <w:rFonts w:cstheme="minorHAnsi"/>
          <w:bCs/>
          <w:lang w:val="en-US"/>
        </w:rPr>
        <w:t xml:space="preserve">In our opinion, it is very important that firms can apply the requirements in article 10 SFDR, considering that it would be in contravention with bank secrecy rules to publish information </w:t>
      </w:r>
      <w:r>
        <w:rPr>
          <w:rFonts w:cstheme="minorHAnsi"/>
          <w:bCs/>
          <w:lang w:val="en-US"/>
        </w:rPr>
        <w:t>regarding</w:t>
      </w:r>
      <w:r w:rsidRPr="00217A3E">
        <w:rPr>
          <w:rFonts w:cstheme="minorHAnsi"/>
          <w:bCs/>
          <w:lang w:val="en-US"/>
        </w:rPr>
        <w:t xml:space="preserve"> individual clients’ portfolios </w:t>
      </w:r>
      <w:r>
        <w:rPr>
          <w:rFonts w:cstheme="minorHAnsi"/>
          <w:bCs/>
          <w:lang w:val="en-US"/>
        </w:rPr>
        <w:t>on</w:t>
      </w:r>
      <w:r w:rsidRPr="00217A3E">
        <w:rPr>
          <w:rFonts w:cstheme="minorHAnsi"/>
          <w:bCs/>
          <w:lang w:val="en-US"/>
        </w:rPr>
        <w:t xml:space="preserve"> an open website. </w:t>
      </w:r>
    </w:p>
    <w:p w14:paraId="0EBFEBD1" w14:textId="77777777" w:rsidR="000B2CCE" w:rsidRDefault="000B2CCE" w:rsidP="000B2CCE">
      <w:pPr>
        <w:pStyle w:val="Liststycke"/>
        <w:spacing w:after="160" w:line="259" w:lineRule="auto"/>
        <w:rPr>
          <w:rFonts w:cstheme="minorHAnsi"/>
          <w:b/>
          <w:bCs/>
          <w:lang w:val="en-US"/>
        </w:rPr>
      </w:pPr>
    </w:p>
    <w:p w14:paraId="66B0714B" w14:textId="3D0E8392" w:rsidR="00B17E95" w:rsidRPr="000B2CCE" w:rsidRDefault="00B17E95" w:rsidP="00B17E95">
      <w:pPr>
        <w:pStyle w:val="Liststycke"/>
        <w:numPr>
          <w:ilvl w:val="0"/>
          <w:numId w:val="41"/>
        </w:numPr>
        <w:spacing w:after="160" w:line="259" w:lineRule="auto"/>
        <w:rPr>
          <w:rFonts w:cstheme="minorHAnsi"/>
          <w:b/>
          <w:bCs/>
          <w:lang w:val="en-US"/>
        </w:rPr>
      </w:pPr>
      <w:r w:rsidRPr="00217A3E">
        <w:rPr>
          <w:rFonts w:cstheme="minorHAnsi"/>
          <w:bCs/>
          <w:lang w:val="en-US"/>
        </w:rPr>
        <w:t xml:space="preserve">The SSMA understands that for a portfolio, </w:t>
      </w:r>
      <w:r>
        <w:rPr>
          <w:rFonts w:cstheme="minorHAnsi"/>
          <w:bCs/>
          <w:lang w:val="en-US"/>
        </w:rPr>
        <w:t xml:space="preserve">pre-contractual </w:t>
      </w:r>
      <w:r w:rsidRPr="00217A3E">
        <w:rPr>
          <w:rFonts w:cstheme="minorHAnsi"/>
          <w:bCs/>
          <w:lang w:val="en-US"/>
        </w:rPr>
        <w:t>information will be provided in the portfolio management agreement, with accompanying documents.</w:t>
      </w:r>
      <w:r>
        <w:rPr>
          <w:rFonts w:cstheme="minorHAnsi"/>
          <w:bCs/>
          <w:lang w:val="en-US"/>
        </w:rPr>
        <w:t xml:space="preserve"> We have no objections per se but note that </w:t>
      </w:r>
      <w:r w:rsidRPr="00217A3E">
        <w:rPr>
          <w:rFonts w:cstheme="minorHAnsi"/>
          <w:bCs/>
          <w:lang w:val="en-US"/>
        </w:rPr>
        <w:t xml:space="preserve">depending on the mandate from clients and the investment strategy, </w:t>
      </w:r>
      <w:r>
        <w:rPr>
          <w:rFonts w:cstheme="minorHAnsi"/>
          <w:bCs/>
          <w:lang w:val="en-US"/>
        </w:rPr>
        <w:t xml:space="preserve">a </w:t>
      </w:r>
      <w:r w:rsidRPr="00217A3E">
        <w:rPr>
          <w:rFonts w:cstheme="minorHAnsi"/>
          <w:bCs/>
          <w:lang w:val="en-US"/>
        </w:rPr>
        <w:t xml:space="preserve">portfolio management agreement may </w:t>
      </w:r>
      <w:r>
        <w:rPr>
          <w:rFonts w:cstheme="minorHAnsi"/>
          <w:bCs/>
          <w:lang w:val="en-US"/>
        </w:rPr>
        <w:t xml:space="preserve">actually </w:t>
      </w:r>
      <w:r w:rsidRPr="00217A3E">
        <w:rPr>
          <w:rFonts w:cstheme="minorHAnsi"/>
          <w:bCs/>
          <w:lang w:val="en-US"/>
        </w:rPr>
        <w:t xml:space="preserve">cover </w:t>
      </w:r>
      <w:r>
        <w:rPr>
          <w:rFonts w:cstheme="minorHAnsi"/>
          <w:bCs/>
          <w:lang w:val="en-US"/>
        </w:rPr>
        <w:t xml:space="preserve">several </w:t>
      </w:r>
      <w:r w:rsidRPr="00217A3E">
        <w:rPr>
          <w:rFonts w:cstheme="minorHAnsi"/>
          <w:bCs/>
          <w:lang w:val="en-US"/>
        </w:rPr>
        <w:t xml:space="preserve"> “portfolios”</w:t>
      </w:r>
      <w:r>
        <w:rPr>
          <w:rFonts w:cstheme="minorHAnsi"/>
          <w:bCs/>
          <w:lang w:val="en-US"/>
        </w:rPr>
        <w:t xml:space="preserve"> which from an SFDR perspective need to be treated as separate financial products. </w:t>
      </w:r>
    </w:p>
    <w:p w14:paraId="04A05E1A" w14:textId="77777777" w:rsidR="000B2CCE" w:rsidRPr="000B2CCE" w:rsidRDefault="000B2CCE" w:rsidP="000B2CCE">
      <w:pPr>
        <w:pStyle w:val="Liststycke"/>
        <w:rPr>
          <w:rFonts w:cstheme="minorHAnsi"/>
          <w:b/>
          <w:bCs/>
          <w:lang w:val="en-US"/>
        </w:rPr>
      </w:pPr>
    </w:p>
    <w:p w14:paraId="19F72A9B" w14:textId="77777777" w:rsidR="00B17E95" w:rsidRDefault="00B17E95" w:rsidP="00B17E95">
      <w:pPr>
        <w:pStyle w:val="Liststycke"/>
        <w:numPr>
          <w:ilvl w:val="0"/>
          <w:numId w:val="41"/>
        </w:numPr>
        <w:spacing w:after="160" w:line="259" w:lineRule="auto"/>
        <w:rPr>
          <w:rFonts w:cstheme="minorHAnsi"/>
          <w:b/>
          <w:bCs/>
          <w:lang w:val="en-US"/>
        </w:rPr>
      </w:pPr>
      <w:r w:rsidRPr="00217A3E">
        <w:rPr>
          <w:rFonts w:cstheme="minorHAnsi"/>
          <w:bCs/>
          <w:lang w:val="en-US"/>
        </w:rPr>
        <w:t xml:space="preserve">It is unclear how some of the more detailed information requirements in SFDR are to be applied for a portfolio, considering that investment decisions are made by the manager on a discretionary basis and the underlying investments are not known from the outset. </w:t>
      </w:r>
      <w:r>
        <w:rPr>
          <w:rFonts w:cstheme="minorHAnsi"/>
          <w:bCs/>
          <w:lang w:val="en-US"/>
        </w:rPr>
        <w:t xml:space="preserve">For instance, </w:t>
      </w:r>
      <w:r w:rsidRPr="00217A3E">
        <w:rPr>
          <w:rFonts w:cstheme="minorHAnsi"/>
          <w:bCs/>
          <w:lang w:val="en-US"/>
        </w:rPr>
        <w:t xml:space="preserve">how </w:t>
      </w:r>
      <w:r>
        <w:rPr>
          <w:rFonts w:cstheme="minorHAnsi"/>
          <w:bCs/>
          <w:lang w:val="en-US"/>
        </w:rPr>
        <w:t xml:space="preserve">are </w:t>
      </w:r>
      <w:r w:rsidRPr="00217A3E">
        <w:rPr>
          <w:rFonts w:cstheme="minorHAnsi"/>
          <w:bCs/>
          <w:lang w:val="en-US"/>
        </w:rPr>
        <w:t>firms</w:t>
      </w:r>
      <w:r>
        <w:rPr>
          <w:rFonts w:cstheme="minorHAnsi"/>
          <w:bCs/>
          <w:lang w:val="en-US"/>
        </w:rPr>
        <w:t xml:space="preserve"> </w:t>
      </w:r>
      <w:r w:rsidRPr="00217A3E">
        <w:rPr>
          <w:rFonts w:cstheme="minorHAnsi"/>
          <w:bCs/>
          <w:lang w:val="en-US"/>
        </w:rPr>
        <w:t xml:space="preserve">expected to obtain necessary data </w:t>
      </w:r>
      <w:r>
        <w:rPr>
          <w:rFonts w:cstheme="minorHAnsi"/>
          <w:bCs/>
          <w:lang w:val="en-US"/>
        </w:rPr>
        <w:t xml:space="preserve">from investee companies </w:t>
      </w:r>
      <w:r w:rsidRPr="00217A3E">
        <w:rPr>
          <w:rFonts w:cstheme="minorHAnsi"/>
          <w:bCs/>
          <w:lang w:val="en-US"/>
        </w:rPr>
        <w:t xml:space="preserve">and provide </w:t>
      </w:r>
      <w:r w:rsidRPr="000D7F52">
        <w:rPr>
          <w:bCs/>
        </w:rPr>
        <w:t xml:space="preserve">information in the pre-contractual information before any investment decisions have been taken </w:t>
      </w:r>
      <w:r w:rsidRPr="00FA1AEA">
        <w:rPr>
          <w:bCs/>
          <w:lang w:val="en-US"/>
        </w:rPr>
        <w:t>e.g. art 16(a)(1)(a)(ii)(iii), art 16(a)(2)(b)</w:t>
      </w:r>
      <w:r w:rsidRPr="000D7F52">
        <w:rPr>
          <w:bCs/>
        </w:rPr>
        <w:t>. Guidance on this point in the</w:t>
      </w:r>
      <w:r>
        <w:rPr>
          <w:rFonts w:cstheme="minorHAnsi"/>
          <w:bCs/>
          <w:lang w:val="en-US"/>
        </w:rPr>
        <w:t xml:space="preserve"> final report is important. </w:t>
      </w:r>
    </w:p>
    <w:p w14:paraId="2106CFC4" w14:textId="77777777" w:rsidR="00B17E95" w:rsidRPr="00DD0827" w:rsidRDefault="00B17E95" w:rsidP="00B17E95">
      <w:pPr>
        <w:spacing w:after="160"/>
        <w:rPr>
          <w:rFonts w:cstheme="minorHAnsi"/>
          <w:b/>
          <w:bCs/>
          <w:lang w:val="en-US"/>
        </w:rPr>
      </w:pPr>
      <w:r>
        <w:rPr>
          <w:rFonts w:cstheme="minorHAnsi"/>
          <w:bCs/>
          <w:lang w:val="en-US"/>
        </w:rPr>
        <w:t xml:space="preserve">Secondly, as regards </w:t>
      </w:r>
      <w:r w:rsidRPr="00DD0827">
        <w:rPr>
          <w:rFonts w:cstheme="minorHAnsi"/>
          <w:bCs/>
          <w:lang w:val="en-US"/>
        </w:rPr>
        <w:t xml:space="preserve">sustainability regulations on financial products: </w:t>
      </w:r>
    </w:p>
    <w:p w14:paraId="21353422" w14:textId="77777777" w:rsidR="00B17E95" w:rsidRDefault="00B17E95" w:rsidP="00B17E95">
      <w:pPr>
        <w:pStyle w:val="Liststycke"/>
        <w:numPr>
          <w:ilvl w:val="0"/>
          <w:numId w:val="41"/>
        </w:numPr>
        <w:spacing w:after="160" w:line="259" w:lineRule="auto"/>
        <w:rPr>
          <w:rFonts w:cstheme="minorHAnsi"/>
          <w:b/>
          <w:bCs/>
          <w:lang w:val="en-US"/>
        </w:rPr>
      </w:pPr>
      <w:r w:rsidRPr="00217A3E">
        <w:rPr>
          <w:rFonts w:cstheme="minorHAnsi"/>
          <w:bCs/>
          <w:lang w:val="en-US"/>
        </w:rPr>
        <w:t>The definition of “sustainability preferences” in article 2 of the delegated regulation to MiFID II refers to financial instruments rather than financial products under SFDR. Since “a portfolio” is not a financial instrument</w:t>
      </w:r>
      <w:r>
        <w:rPr>
          <w:rFonts w:cstheme="minorHAnsi"/>
          <w:bCs/>
          <w:lang w:val="en-US"/>
        </w:rPr>
        <w:t xml:space="preserve"> under MiFID II</w:t>
      </w:r>
      <w:r w:rsidRPr="00217A3E">
        <w:rPr>
          <w:rFonts w:cstheme="minorHAnsi"/>
          <w:bCs/>
          <w:lang w:val="en-US"/>
        </w:rPr>
        <w:t>, it needs to be clarified how firms should apply the rules regarding suitability preferences when providing portfolio management services. In our opinion, since the suitability assessment under MiFID II can be made at a portfolio level,</w:t>
      </w:r>
      <w:r w:rsidRPr="00217A3E">
        <w:rPr>
          <w:rStyle w:val="Fotnotsreferens"/>
          <w:rFonts w:cstheme="minorHAnsi"/>
          <w:bCs/>
          <w:lang w:val="en-US"/>
        </w:rPr>
        <w:footnoteReference w:id="3"/>
      </w:r>
      <w:r w:rsidRPr="00217A3E">
        <w:rPr>
          <w:rFonts w:cstheme="minorHAnsi"/>
          <w:bCs/>
          <w:lang w:val="en-US"/>
        </w:rPr>
        <w:t xml:space="preserve"> the same must apply for the collection and assessment of a client’s sustainability preferences. </w:t>
      </w:r>
    </w:p>
    <w:p w14:paraId="111DADF5" w14:textId="77777777" w:rsidR="00B17E95" w:rsidRPr="00697BE4" w:rsidRDefault="00B17E95" w:rsidP="00B17E95">
      <w:pPr>
        <w:pStyle w:val="Liststycke"/>
        <w:numPr>
          <w:ilvl w:val="0"/>
          <w:numId w:val="41"/>
        </w:numPr>
        <w:spacing w:after="160" w:line="259" w:lineRule="auto"/>
        <w:rPr>
          <w:rFonts w:cstheme="minorHAnsi"/>
          <w:b/>
          <w:bCs/>
          <w:lang w:val="en-US"/>
        </w:rPr>
      </w:pPr>
      <w:r w:rsidRPr="00697BE4">
        <w:rPr>
          <w:bCs/>
          <w:lang w:val="en-US"/>
        </w:rPr>
        <w:lastRenderedPageBreak/>
        <w:t>The templates refer</w:t>
      </w:r>
      <w:r>
        <w:rPr>
          <w:bCs/>
          <w:lang w:val="en-US"/>
        </w:rPr>
        <w:t>s</w:t>
      </w:r>
      <w:r w:rsidRPr="00697BE4">
        <w:rPr>
          <w:bCs/>
          <w:lang w:val="en-US"/>
        </w:rPr>
        <w:t xml:space="preserve"> to pre contractual information for article 8 and 9 financial products according to SFDR as well as for article 5 and 6 financial products according to the Taxonomy regulation. In the proposed updates of MiFID investment firms are obligated to take the investors sustainability preferences into account when providing investment advice as well as portfolio management of financial instruments. The investors sustainability preferences shall be divided into</w:t>
      </w:r>
      <w:r>
        <w:rPr>
          <w:bCs/>
          <w:lang w:val="en-US"/>
        </w:rPr>
        <w:t xml:space="preserve"> one of</w:t>
      </w:r>
      <w:r w:rsidRPr="00697BE4">
        <w:rPr>
          <w:bCs/>
          <w:lang w:val="en-US"/>
        </w:rPr>
        <w:t xml:space="preserve"> four categories, not completely aligned with the four above mentioned categories of financial products. Since some financial instruments (e.g</w:t>
      </w:r>
      <w:r>
        <w:rPr>
          <w:bCs/>
          <w:lang w:val="en-US"/>
        </w:rPr>
        <w:t>.</w:t>
      </w:r>
      <w:r w:rsidRPr="00697BE4">
        <w:rPr>
          <w:bCs/>
          <w:lang w:val="en-US"/>
        </w:rPr>
        <w:t xml:space="preserve"> UCITS, AIF) also is</w:t>
      </w:r>
      <w:r>
        <w:rPr>
          <w:bCs/>
          <w:lang w:val="en-US"/>
        </w:rPr>
        <w:t xml:space="preserve"> a</w:t>
      </w:r>
      <w:r w:rsidRPr="00697BE4">
        <w:rPr>
          <w:bCs/>
          <w:lang w:val="en-US"/>
        </w:rPr>
        <w:t xml:space="preserve"> financial product it will i</w:t>
      </w:r>
      <w:r w:rsidRPr="00697BE4">
        <w:rPr>
          <w:rFonts w:cstheme="minorHAnsi"/>
          <w:bCs/>
          <w:lang w:val="en-US"/>
        </w:rPr>
        <w:t xml:space="preserve">n our opinion be extremely difficult for an average retail client to understand the sustainability related differences and similarities </w:t>
      </w:r>
      <w:r w:rsidRPr="003B3878">
        <w:rPr>
          <w:rFonts w:cstheme="minorHAnsi"/>
          <w:bCs/>
          <w:lang w:val="en-US"/>
        </w:rPr>
        <w:t>between</w:t>
      </w:r>
      <w:r w:rsidRPr="00FF0746">
        <w:rPr>
          <w:rFonts w:cstheme="minorHAnsi"/>
          <w:bCs/>
          <w:lang w:val="en-US"/>
        </w:rPr>
        <w:t xml:space="preserve"> different financial pr</w:t>
      </w:r>
      <w:r w:rsidRPr="00697BE4">
        <w:rPr>
          <w:rFonts w:cstheme="minorHAnsi"/>
          <w:bCs/>
          <w:lang w:val="en-US"/>
        </w:rPr>
        <w:t>oducts and financial instruments. And the client is likely to be overwhelmed by the different information and categorization required by SFDR, Taxonomy regulation and Mi</w:t>
      </w:r>
      <w:r>
        <w:rPr>
          <w:rFonts w:cstheme="minorHAnsi"/>
          <w:bCs/>
          <w:lang w:val="en-US"/>
        </w:rPr>
        <w:t>FID</w:t>
      </w:r>
      <w:r w:rsidRPr="00697BE4">
        <w:rPr>
          <w:rFonts w:cstheme="minorHAnsi"/>
          <w:bCs/>
          <w:lang w:val="en-US"/>
        </w:rPr>
        <w:t xml:space="preserve">. In our view it is important that the ESAs try to simplify as much as possible and follow up the categorizations with additional consumer testing. </w:t>
      </w:r>
      <w:r>
        <w:rPr>
          <w:rFonts w:cstheme="minorHAnsi"/>
          <w:bCs/>
          <w:lang w:val="en-US"/>
        </w:rPr>
        <w:t>T</w:t>
      </w:r>
      <w:r w:rsidRPr="00697BE4">
        <w:rPr>
          <w:bCs/>
          <w:lang w:val="en-US"/>
        </w:rPr>
        <w:t>he SSMA strongly encourages ESAs to have a dialogue with the European Commission in order to ensure a more reasonable implementation of the RTS and mandatory templates together with the implementation of sustainability related updates of MiFID</w:t>
      </w:r>
      <w:r>
        <w:rPr>
          <w:bCs/>
          <w:lang w:val="en-US"/>
        </w:rPr>
        <w:t>.</w:t>
      </w:r>
    </w:p>
    <w:p w14:paraId="3AA74CEC" w14:textId="77777777" w:rsidR="00B17E95" w:rsidRPr="00217A3E" w:rsidRDefault="00B17E95" w:rsidP="00B17E95">
      <w:pPr>
        <w:pStyle w:val="Liststycke"/>
        <w:spacing w:after="160"/>
        <w:rPr>
          <w:rFonts w:cstheme="minorHAnsi"/>
          <w:b/>
          <w:bCs/>
          <w:lang w:val="en-US"/>
        </w:rPr>
      </w:pPr>
    </w:p>
    <w:p w14:paraId="3F3EC710" w14:textId="77777777" w:rsidR="00B17E95" w:rsidRPr="004E07E1" w:rsidRDefault="00B17E95" w:rsidP="00B17E95">
      <w:pPr>
        <w:spacing w:after="160"/>
        <w:rPr>
          <w:rFonts w:cstheme="minorHAnsi"/>
          <w:b/>
          <w:bCs/>
          <w:lang w:val="en-US"/>
        </w:rPr>
      </w:pPr>
      <w:r>
        <w:rPr>
          <w:rFonts w:cstheme="minorHAnsi"/>
          <w:bCs/>
          <w:lang w:val="en-US"/>
        </w:rPr>
        <w:t>Thirdly, t</w:t>
      </w:r>
      <w:r w:rsidRPr="00217A3E">
        <w:rPr>
          <w:rFonts w:cstheme="minorHAnsi"/>
          <w:bCs/>
          <w:lang w:val="en-US"/>
        </w:rPr>
        <w:t>he SSMA is concerned with implementation time</w:t>
      </w:r>
      <w:r>
        <w:rPr>
          <w:rFonts w:cstheme="minorHAnsi"/>
          <w:bCs/>
          <w:lang w:val="en-US"/>
        </w:rPr>
        <w:t xml:space="preserve">lines </w:t>
      </w:r>
      <w:r w:rsidRPr="00217A3E">
        <w:rPr>
          <w:rFonts w:cstheme="minorHAnsi"/>
          <w:bCs/>
          <w:lang w:val="en-US"/>
        </w:rPr>
        <w:t>and</w:t>
      </w:r>
      <w:r>
        <w:rPr>
          <w:rFonts w:cstheme="minorHAnsi"/>
          <w:bCs/>
          <w:lang w:val="en-US"/>
        </w:rPr>
        <w:t xml:space="preserve"> the risk of information </w:t>
      </w:r>
      <w:r w:rsidRPr="004E07E1">
        <w:rPr>
          <w:rFonts w:cstheme="minorHAnsi"/>
          <w:bCs/>
          <w:lang w:val="en-US"/>
        </w:rPr>
        <w:t xml:space="preserve">overload </w:t>
      </w:r>
      <w:r w:rsidRPr="00C522E4">
        <w:rPr>
          <w:rFonts w:cstheme="minorHAnsi"/>
          <w:bCs/>
          <w:lang w:val="en-US"/>
        </w:rPr>
        <w:t xml:space="preserve">for </w:t>
      </w:r>
      <w:r w:rsidRPr="004E07E1">
        <w:rPr>
          <w:rFonts w:cstheme="minorHAnsi"/>
          <w:bCs/>
          <w:lang w:val="en-US"/>
        </w:rPr>
        <w:t xml:space="preserve">retail clients. In particular: </w:t>
      </w:r>
    </w:p>
    <w:p w14:paraId="3AB2B017" w14:textId="5B4A6AC3" w:rsidR="00B17E95" w:rsidRPr="000B2CCE" w:rsidRDefault="00B17E95" w:rsidP="00E64C19">
      <w:pPr>
        <w:pStyle w:val="Liststycke"/>
        <w:numPr>
          <w:ilvl w:val="0"/>
          <w:numId w:val="41"/>
        </w:numPr>
        <w:spacing w:after="160" w:line="259" w:lineRule="auto"/>
        <w:rPr>
          <w:b/>
          <w:bCs/>
          <w:lang w:val="en-US"/>
        </w:rPr>
      </w:pPr>
      <w:r w:rsidRPr="00605933">
        <w:rPr>
          <w:bCs/>
          <w:lang w:val="en-US"/>
        </w:rPr>
        <w:t xml:space="preserve">Considering the complexity of the rules, the necessary IT changes and the fact that the EU-legislation which ensures the availability of sustainability data is not yet in place (art 8 TR and revision of the NFRD/CSRD), the SSMA strongly encourages ESAs to have a dialogue with the European Commission in order to ensure a more reasonable  implementation of the RTS and mandatory templates. The SSMA would support a one year transition phase where a best effort approach is allowed, noting that this is also in line with the transitional rules proposed for article 8 in the Taxonomy Regulation (see Q 1). </w:t>
      </w:r>
    </w:p>
    <w:p w14:paraId="50EE9BDF" w14:textId="77777777" w:rsidR="000B2CCE" w:rsidRPr="00605933" w:rsidRDefault="000B2CCE" w:rsidP="000B2CCE">
      <w:pPr>
        <w:pStyle w:val="Liststycke"/>
        <w:spacing w:after="160" w:line="259" w:lineRule="auto"/>
        <w:rPr>
          <w:b/>
          <w:bCs/>
          <w:lang w:val="en-US"/>
        </w:rPr>
      </w:pPr>
    </w:p>
    <w:p w14:paraId="6A3CB061" w14:textId="5BCEDF22" w:rsidR="00B327E9" w:rsidRPr="00605933" w:rsidRDefault="00B17E95" w:rsidP="00B327E9">
      <w:pPr>
        <w:pStyle w:val="Liststycke"/>
        <w:numPr>
          <w:ilvl w:val="0"/>
          <w:numId w:val="41"/>
        </w:numPr>
        <w:spacing w:after="160" w:line="259" w:lineRule="auto"/>
        <w:rPr>
          <w:b/>
          <w:bCs/>
          <w:lang w:val="en-US"/>
        </w:rPr>
      </w:pPr>
      <w:r>
        <w:rPr>
          <w:bCs/>
          <w:lang w:val="en-US"/>
        </w:rPr>
        <w:t>I</w:t>
      </w:r>
      <w:r w:rsidRPr="00CD1797">
        <w:rPr>
          <w:rFonts w:cstheme="minorHAnsi"/>
          <w:bCs/>
          <w:lang w:val="en-US"/>
        </w:rPr>
        <w:t xml:space="preserve">n our opinion, </w:t>
      </w:r>
      <w:r>
        <w:rPr>
          <w:rFonts w:cstheme="minorHAnsi"/>
          <w:bCs/>
          <w:lang w:val="en-US"/>
        </w:rPr>
        <w:t xml:space="preserve">an </w:t>
      </w:r>
      <w:r w:rsidRPr="00CD1797">
        <w:rPr>
          <w:rFonts w:cstheme="minorHAnsi"/>
          <w:bCs/>
          <w:lang w:val="en-US"/>
        </w:rPr>
        <w:t xml:space="preserve">average retail client seeking to invest in “a sustainable product” is likely to be overwhelmed by the detailed information required by SFDR and will find it difficult to understand the distinctions between different types and sub-types of financial products. </w:t>
      </w:r>
      <w:r>
        <w:rPr>
          <w:rFonts w:cstheme="minorHAnsi"/>
          <w:bCs/>
          <w:lang w:val="en-US"/>
        </w:rPr>
        <w:t xml:space="preserve">In our view it is important that the ESAs try to simplify as much as possible and follow up the application of the templates with additional consumer testing.  </w:t>
      </w:r>
      <w:r w:rsidRPr="00CD1797">
        <w:rPr>
          <w:rFonts w:cstheme="minorHAnsi"/>
          <w:bCs/>
          <w:lang w:val="en-US"/>
        </w:rPr>
        <w:t xml:space="preserve">  </w:t>
      </w:r>
    </w:p>
    <w:permEnd w:id="411981036"/>
    <w:p w14:paraId="6A3CB062" w14:textId="67968787" w:rsidR="00B327E9" w:rsidRPr="00BF28DA" w:rsidRDefault="00B327E9" w:rsidP="00B327E9">
      <w:r w:rsidRPr="00BF28DA">
        <w:t>&lt;ESA_COMMENT_</w:t>
      </w:r>
      <w:r w:rsidR="00C86E1C">
        <w:rPr>
          <w:rStyle w:val="Diskretbetoning"/>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03303113" w14:textId="42B9E540" w:rsidR="00DB30AF" w:rsidRPr="00E71454" w:rsidRDefault="00DB30AF" w:rsidP="00DB30AF">
      <w:pPr>
        <w:spacing w:after="160"/>
        <w:rPr>
          <w:bCs/>
          <w:lang w:val="en-US"/>
        </w:rPr>
      </w:pPr>
      <w:permStart w:id="1221819945" w:edGrp="everyone"/>
      <w:r w:rsidRPr="00217A3E">
        <w:rPr>
          <w:bCs/>
          <w:lang w:val="en-US"/>
        </w:rPr>
        <w:t xml:space="preserve">The SSMA has no objections towards the proposal to amend the existing SFDR RTS instead of drafting a new RTS. However, if this approach means that the consolidated RTS, following adoption and expiration of the no-objection period of Parliament and Council, will be not be final until October 2021, it seems unreasonable to require that investment firms shall apply all requirements </w:t>
      </w:r>
      <w:r>
        <w:rPr>
          <w:bCs/>
          <w:lang w:val="en-US"/>
        </w:rPr>
        <w:t>by</w:t>
      </w:r>
      <w:r w:rsidRPr="00217A3E">
        <w:rPr>
          <w:bCs/>
          <w:lang w:val="en-US"/>
        </w:rPr>
        <w:t xml:space="preserve"> 1 January 2022. Considering that the delegated acts to the Taxonomy Regulation will apply from that same date, it seems highly unlikely that the investee companies will have made available the necessary data on taxonomy-related alignment. </w:t>
      </w:r>
    </w:p>
    <w:p w14:paraId="0F1F4245" w14:textId="52823763" w:rsidR="003E573C" w:rsidRDefault="00DB30AF" w:rsidP="003E573C">
      <w:pPr>
        <w:rPr>
          <w:rFonts w:cs="Arial"/>
        </w:rPr>
      </w:pPr>
      <w:r w:rsidRPr="00E110F0">
        <w:rPr>
          <w:bCs/>
          <w:lang w:val="en-US"/>
        </w:rPr>
        <w:t xml:space="preserve">Considering the complexity of the rules, the necessary IT changes and the fact that the EU-legislation which ensures the availability of sustainability data is not yet in place (art 8 TR and revision of the NFRD/CSRD), the SSMA strongly encourages ESAs to have a dialogue with the European Commission in order to ensure a more reasonable  implementation of the RTS and mandatory templates. </w:t>
      </w:r>
      <w:r w:rsidRPr="004E07E1">
        <w:rPr>
          <w:bCs/>
          <w:lang w:val="en-US"/>
        </w:rPr>
        <w:t xml:space="preserve">The SSMA would support a one year transition phase where a best effort approach is allowed, noting that this is also in line with the transitional rules </w:t>
      </w:r>
      <w:r w:rsidRPr="001E4C2C">
        <w:rPr>
          <w:bCs/>
          <w:lang w:val="en-US"/>
        </w:rPr>
        <w:t>proposed for art</w:t>
      </w:r>
      <w:r>
        <w:rPr>
          <w:bCs/>
          <w:lang w:val="en-US"/>
        </w:rPr>
        <w:t>icle</w:t>
      </w:r>
      <w:r w:rsidRPr="001E4C2C">
        <w:rPr>
          <w:bCs/>
          <w:lang w:val="en-US"/>
        </w:rPr>
        <w:t xml:space="preserve"> 8 </w:t>
      </w:r>
      <w:r w:rsidRPr="004E07E1">
        <w:rPr>
          <w:bCs/>
          <w:lang w:val="en-US"/>
        </w:rPr>
        <w:t>in the Taxonomy Regulation</w:t>
      </w:r>
      <w:permEnd w:id="1221819945"/>
      <w:r w:rsidR="003E573C">
        <w:rPr>
          <w:rFonts w:cs="Arial"/>
        </w:rPr>
        <w:t>&lt;ESA_QUESTION_</w:t>
      </w:r>
      <w:r w:rsidR="00C86E1C">
        <w:rPr>
          <w:rFonts w:cs="Arial"/>
        </w:rPr>
        <w:t>ESG</w:t>
      </w:r>
      <w:r w:rsidR="003E573C">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6415E03C" w14:textId="543C13C8" w:rsidR="003E573C" w:rsidRDefault="00B30718" w:rsidP="003E573C">
      <w:pPr>
        <w:rPr>
          <w:rFonts w:cs="Arial"/>
        </w:rPr>
      </w:pPr>
      <w:permStart w:id="729947415" w:edGrp="everyone"/>
      <w:r w:rsidRPr="00217A3E">
        <w:rPr>
          <w:bCs/>
          <w:lang w:val="en-US"/>
        </w:rPr>
        <w:t xml:space="preserve">To our understanding, </w:t>
      </w:r>
      <w:r>
        <w:rPr>
          <w:bCs/>
          <w:lang w:val="en-US"/>
        </w:rPr>
        <w:t xml:space="preserve">the </w:t>
      </w:r>
      <w:r w:rsidRPr="00217A3E">
        <w:rPr>
          <w:bCs/>
          <w:lang w:val="en-US"/>
        </w:rPr>
        <w:t xml:space="preserve">ESAs proposal intends to ensure that the same methodology (taxonomy-aligned turnover, capital expenditure or operational expenditure) shall be used per financial product and include all underlying investee companies. Such approach assumes that an investee company makes data for all three methodologies available to investment firms to choose from. The SSMA questions if this is a realistic expectation. Moreover, it should be considered that different methodologies are relevant for different types of </w:t>
      </w:r>
      <w:r w:rsidR="007C590F">
        <w:rPr>
          <w:bCs/>
          <w:lang w:val="en-US"/>
        </w:rPr>
        <w:t xml:space="preserve"> </w:t>
      </w:r>
      <w:r w:rsidRPr="00217A3E">
        <w:rPr>
          <w:bCs/>
          <w:lang w:val="en-US"/>
        </w:rPr>
        <w:t xml:space="preserve">financial instruments. We also see challenges for products which invest in other financial products such as fund-of-funds where the choice of one asset manager will be dependent on the choice made by several other underlying asset managers. </w:t>
      </w:r>
      <w:r>
        <w:rPr>
          <w:bCs/>
          <w:lang w:val="en-US"/>
        </w:rPr>
        <w:t xml:space="preserve">Based on these considerations, the SSMA </w:t>
      </w:r>
      <w:r w:rsidRPr="00217A3E">
        <w:rPr>
          <w:bCs/>
          <w:lang w:val="en-US"/>
        </w:rPr>
        <w:t>believe</w:t>
      </w:r>
      <w:r>
        <w:rPr>
          <w:bCs/>
          <w:lang w:val="en-US"/>
        </w:rPr>
        <w:t>s</w:t>
      </w:r>
      <w:r w:rsidRPr="00217A3E">
        <w:rPr>
          <w:bCs/>
          <w:lang w:val="en-US"/>
        </w:rPr>
        <w:t xml:space="preserve"> in a more flexible approach. </w:t>
      </w:r>
      <w:permEnd w:id="729947415"/>
      <w:r w:rsidR="003E573C">
        <w:rPr>
          <w:rFonts w:cs="Arial"/>
        </w:rPr>
        <w:t>&lt;ESA_QUESTION_</w:t>
      </w:r>
      <w:r w:rsidR="00C86E1C">
        <w:rPr>
          <w:rFonts w:cs="Arial"/>
        </w:rPr>
        <w:t>ESG</w:t>
      </w:r>
      <w:r w:rsidR="003E573C">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A297CD0" w:rsidR="003E573C" w:rsidRPr="00B401A9" w:rsidRDefault="00B401A9" w:rsidP="003E573C">
      <w:pPr>
        <w:rPr>
          <w:b/>
          <w:bCs/>
          <w:lang w:val="en-US"/>
        </w:rPr>
      </w:pPr>
      <w:permStart w:id="677205538" w:edGrp="everyone"/>
      <w:r w:rsidRPr="00217A3E">
        <w:rPr>
          <w:bCs/>
          <w:lang w:val="en-US"/>
        </w:rPr>
        <w:t>No comment at this stage.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08B1344D" w:rsidR="003E573C" w:rsidRDefault="00425D6B" w:rsidP="003E573C">
      <w:pPr>
        <w:rPr>
          <w:rFonts w:cs="Arial"/>
        </w:rPr>
      </w:pPr>
      <w:permStart w:id="1220688604" w:edGrp="everyone"/>
      <w:r w:rsidRPr="00217A3E">
        <w:rPr>
          <w:bCs/>
          <w:lang w:val="en-US"/>
        </w:rPr>
        <w:t>The SSMA understands if there is a concern that excluding derivatives from scope could lead to a risk of circumvention. However</w:t>
      </w:r>
      <w:r>
        <w:rPr>
          <w:bCs/>
          <w:lang w:val="en-US"/>
        </w:rPr>
        <w:t xml:space="preserve">, the question is complex considering the need to </w:t>
      </w:r>
      <w:r w:rsidRPr="00217A3E">
        <w:rPr>
          <w:bCs/>
          <w:lang w:val="en-US"/>
        </w:rPr>
        <w:t xml:space="preserve">distinguish between derivatives </w:t>
      </w:r>
      <w:r w:rsidRPr="00217A3E">
        <w:rPr>
          <w:bCs/>
          <w:lang w:val="en-US"/>
        </w:rPr>
        <w:lastRenderedPageBreak/>
        <w:t xml:space="preserve">used for investment purposes and derivatives used for </w:t>
      </w:r>
      <w:r>
        <w:rPr>
          <w:bCs/>
          <w:lang w:val="en-US"/>
        </w:rPr>
        <w:t xml:space="preserve">risk management. It is probably quite unusual to choose a derivative as an instrument to meet sustainability objectives and it can be questioned if data is available. Moreover, </w:t>
      </w:r>
      <w:r w:rsidRPr="00217A3E">
        <w:rPr>
          <w:bCs/>
          <w:lang w:val="en-US"/>
        </w:rPr>
        <w:t>consistency with other EU-rules</w:t>
      </w:r>
      <w:r>
        <w:rPr>
          <w:bCs/>
          <w:lang w:val="en-US"/>
        </w:rPr>
        <w:t xml:space="preserve"> must be </w:t>
      </w:r>
      <w:r w:rsidRPr="00AF6EDE">
        <w:rPr>
          <w:bCs/>
          <w:lang w:val="en-US"/>
        </w:rPr>
        <w:t>ensured</w:t>
      </w:r>
      <w:r>
        <w:rPr>
          <w:bCs/>
          <w:lang w:val="en-US"/>
        </w:rPr>
        <w:t xml:space="preserve"> (we </w:t>
      </w:r>
      <w:r w:rsidRPr="00AF6EDE">
        <w:rPr>
          <w:bCs/>
          <w:lang w:val="en-US"/>
        </w:rPr>
        <w:t>note that in the European Commission consultation on Article 8 of the Taxonomy Regulation, it is recommended that derivatives are excluded). If derivatives were to be included, a</w:t>
      </w:r>
      <w:r w:rsidRPr="00AF6EDE">
        <w:rPr>
          <w:rFonts w:cs="Arial"/>
          <w:bCs/>
        </w:rPr>
        <w:t xml:space="preserve"> suggestion would be to solely include derivatives where derivatives are used to attain the environmental or social characteristics or sustainable investment, using the same principles as already applied in the SFDR</w:t>
      </w:r>
      <w:r w:rsidRPr="00AF6EDE">
        <w:rPr>
          <w:rFonts w:cs="Arial"/>
        </w:rPr>
        <w:t xml:space="preserve">. </w:t>
      </w:r>
      <w:r w:rsidRPr="00AF6EDE">
        <w:rPr>
          <w:bCs/>
          <w:lang w:val="en-US"/>
        </w:rPr>
        <w:t>More guidance is needed in order for the SSMA to have</w:t>
      </w:r>
      <w:r w:rsidRPr="00217A3E">
        <w:rPr>
          <w:bCs/>
          <w:lang w:val="en-US"/>
        </w:rPr>
        <w:t xml:space="preserve"> a firm view on th</w:t>
      </w:r>
      <w:r>
        <w:rPr>
          <w:bCs/>
          <w:lang w:val="en-US"/>
        </w:rPr>
        <w:t>e extension to derivatives</w:t>
      </w:r>
      <w:r w:rsidRPr="00217A3E">
        <w:rPr>
          <w:bCs/>
          <w:lang w:val="en-US"/>
        </w:rPr>
        <w:t>.</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03064EB0" w:rsidR="003E573C" w:rsidRPr="00126EDF" w:rsidRDefault="00126EDF" w:rsidP="003E573C">
      <w:pPr>
        <w:rPr>
          <w:b/>
          <w:bCs/>
          <w:lang w:val="en-US"/>
        </w:rPr>
      </w:pPr>
      <w:permStart w:id="209390932" w:edGrp="everyone"/>
      <w:r w:rsidRPr="00217A3E">
        <w:rPr>
          <w:bCs/>
          <w:lang w:val="en-US"/>
        </w:rPr>
        <w:t>No comment at this stage.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29E77975" w14:textId="1C85BC6B" w:rsidR="003E573C" w:rsidRDefault="00B11CDB" w:rsidP="003E573C">
      <w:pPr>
        <w:rPr>
          <w:rFonts w:cs="Arial"/>
        </w:rPr>
      </w:pPr>
      <w:permStart w:id="418122716" w:edGrp="everyone"/>
      <w:r w:rsidRPr="00217A3E">
        <w:rPr>
          <w:rFonts w:cstheme="minorHAnsi"/>
          <w:bCs/>
          <w:lang w:val="en-US"/>
        </w:rPr>
        <w:t>If sovereign bonds and other assets that cannot be assessed for taxonomy-alignment is to be included in the denominator, SSMA considers that it would be useful with some free space in the template to provide more information to clients, where appropriate. For instance, f</w:t>
      </w:r>
      <w:r>
        <w:rPr>
          <w:rFonts w:cstheme="minorHAnsi"/>
          <w:bCs/>
          <w:lang w:val="en-US"/>
        </w:rPr>
        <w:t xml:space="preserve">irms may want to explain to retail clients </w:t>
      </w:r>
      <w:r w:rsidRPr="00217A3E">
        <w:rPr>
          <w:rFonts w:cstheme="minorHAnsi"/>
          <w:bCs/>
          <w:lang w:val="en-US"/>
        </w:rPr>
        <w:t xml:space="preserve">that </w:t>
      </w:r>
      <w:r>
        <w:rPr>
          <w:rFonts w:cstheme="minorHAnsi"/>
          <w:bCs/>
          <w:lang w:val="en-US"/>
        </w:rPr>
        <w:t xml:space="preserve">some </w:t>
      </w:r>
      <w:r w:rsidRPr="00217A3E">
        <w:rPr>
          <w:rFonts w:cstheme="minorHAnsi"/>
          <w:bCs/>
          <w:lang w:val="en-US"/>
        </w:rPr>
        <w:t xml:space="preserve">instruments which could be taxonomy aligned </w:t>
      </w:r>
      <w:r>
        <w:rPr>
          <w:rFonts w:cstheme="minorHAnsi"/>
          <w:bCs/>
          <w:lang w:val="en-US"/>
        </w:rPr>
        <w:t xml:space="preserve">cannot be classified as such </w:t>
      </w:r>
      <w:r w:rsidRPr="00217A3E">
        <w:rPr>
          <w:rFonts w:cstheme="minorHAnsi"/>
          <w:bCs/>
          <w:lang w:val="en-US"/>
        </w:rPr>
        <w:t xml:space="preserve">since the delegated acts on the four remaining objectives will not become applicable until 2023. </w:t>
      </w:r>
      <w:permEnd w:id="418122716"/>
      <w:r w:rsidR="003E573C">
        <w:rPr>
          <w:rFonts w:cs="Arial"/>
        </w:rPr>
        <w:t>&lt;ESA_QUESTION_</w:t>
      </w:r>
      <w:r w:rsidR="00C86E1C">
        <w:rPr>
          <w:rFonts w:cs="Arial"/>
        </w:rPr>
        <w:t>ESG</w:t>
      </w:r>
      <w:r w:rsidR="003E573C">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48584154" w14:textId="77777777" w:rsidR="008C72B9" w:rsidRDefault="008C72B9" w:rsidP="008C72B9">
      <w:pPr>
        <w:rPr>
          <w:bCs/>
          <w:lang w:val="en-US"/>
        </w:rPr>
      </w:pPr>
      <w:permStart w:id="569465455" w:edGrp="everyone"/>
      <w:r w:rsidRPr="00217A3E">
        <w:rPr>
          <w:bCs/>
          <w:lang w:val="en-US"/>
        </w:rPr>
        <w:t>Our interpretation of the proposal is that the assessment of a third party is not intended to be a mandatory requirement</w:t>
      </w:r>
      <w:r>
        <w:rPr>
          <w:bCs/>
          <w:lang w:val="en-US"/>
        </w:rPr>
        <w:t xml:space="preserve">. This is very </w:t>
      </w:r>
      <w:r w:rsidRPr="00217A3E">
        <w:rPr>
          <w:bCs/>
          <w:lang w:val="en-US"/>
        </w:rPr>
        <w:t>important considering the lack of available data. I</w:t>
      </w:r>
      <w:r>
        <w:rPr>
          <w:bCs/>
          <w:lang w:val="en-US"/>
        </w:rPr>
        <w:t xml:space="preserve">n our view it must be the data provider, i.e. </w:t>
      </w:r>
      <w:r w:rsidRPr="00217A3E">
        <w:rPr>
          <w:bCs/>
          <w:lang w:val="en-US"/>
        </w:rPr>
        <w:t xml:space="preserve">investee company </w:t>
      </w:r>
      <w:r>
        <w:rPr>
          <w:bCs/>
          <w:lang w:val="en-US"/>
        </w:rPr>
        <w:t xml:space="preserve">or third party provider, </w:t>
      </w:r>
      <w:r w:rsidRPr="00217A3E">
        <w:rPr>
          <w:bCs/>
          <w:lang w:val="en-US"/>
        </w:rPr>
        <w:t xml:space="preserve">and not the </w:t>
      </w:r>
      <w:r>
        <w:rPr>
          <w:bCs/>
          <w:lang w:val="en-US"/>
        </w:rPr>
        <w:t>FMP</w:t>
      </w:r>
      <w:r w:rsidRPr="00217A3E">
        <w:rPr>
          <w:bCs/>
          <w:lang w:val="en-US"/>
        </w:rPr>
        <w:t xml:space="preserve"> that </w:t>
      </w:r>
      <w:r>
        <w:rPr>
          <w:bCs/>
          <w:lang w:val="en-US"/>
        </w:rPr>
        <w:t xml:space="preserve">should obtain a statement and possibly have it assessed as they are the ones having the insight to the data.  </w:t>
      </w:r>
    </w:p>
    <w:p w14:paraId="0045DAFE" w14:textId="27216CD0" w:rsidR="008C72B9" w:rsidRPr="00217A3E" w:rsidRDefault="008C72B9" w:rsidP="008C72B9">
      <w:pPr>
        <w:rPr>
          <w:b/>
          <w:bCs/>
          <w:lang w:val="en-US"/>
        </w:rPr>
      </w:pPr>
      <w:r w:rsidRPr="00217A3E">
        <w:rPr>
          <w:bCs/>
          <w:lang w:val="en-US"/>
        </w:rPr>
        <w:t xml:space="preserve"> </w:t>
      </w:r>
    </w:p>
    <w:p w14:paraId="74EF7BA7" w14:textId="2CE0C59F" w:rsidR="003E573C" w:rsidRPr="008C72B9" w:rsidRDefault="008C72B9" w:rsidP="003E573C">
      <w:pPr>
        <w:rPr>
          <w:b/>
          <w:bCs/>
          <w:lang w:val="en-US"/>
        </w:rPr>
      </w:pPr>
      <w:r w:rsidRPr="00217A3E">
        <w:rPr>
          <w:bCs/>
          <w:lang w:val="en-US"/>
        </w:rPr>
        <w:t xml:space="preserve">We note that ESMA uses both “external” and third party” and wonder if any difference is intended. </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stycke"/>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stycke"/>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58900AC8" w14:textId="34AD47ED" w:rsidR="007A204A" w:rsidRDefault="007A204A" w:rsidP="007A204A">
      <w:pPr>
        <w:rPr>
          <w:bCs/>
          <w:lang w:val="en-US"/>
        </w:rPr>
      </w:pPr>
      <w:permStart w:id="1713528049" w:edGrp="everyone"/>
      <w:r w:rsidRPr="00217A3E">
        <w:rPr>
          <w:bCs/>
          <w:lang w:val="en-US"/>
        </w:rPr>
        <w:t xml:space="preserve">As a general remark, </w:t>
      </w:r>
      <w:r>
        <w:rPr>
          <w:bCs/>
          <w:lang w:val="en-US"/>
        </w:rPr>
        <w:t xml:space="preserve">the SSMA is </w:t>
      </w:r>
      <w:r w:rsidRPr="00217A3E">
        <w:rPr>
          <w:bCs/>
          <w:lang w:val="en-US"/>
        </w:rPr>
        <w:t xml:space="preserve">concerned with the proposed start of the periodic reporting period in 2022 which in our view is not realistic considering </w:t>
      </w:r>
      <w:r>
        <w:rPr>
          <w:bCs/>
          <w:lang w:val="en-US"/>
        </w:rPr>
        <w:t xml:space="preserve">as no data will be available. </w:t>
      </w:r>
      <w:r w:rsidRPr="00217A3E">
        <w:rPr>
          <w:bCs/>
          <w:lang w:val="en-US"/>
        </w:rPr>
        <w:t xml:space="preserve">For portfolio managers this matter is of particular importance considering that the reference to article 25(6) of MiFID II will require periodic reporting either on a monthly or quarterly basis. </w:t>
      </w:r>
    </w:p>
    <w:p w14:paraId="76AD1AEC" w14:textId="77777777" w:rsidR="007A204A" w:rsidRPr="00217A3E" w:rsidRDefault="007A204A" w:rsidP="007A204A">
      <w:pPr>
        <w:rPr>
          <w:b/>
          <w:bCs/>
          <w:lang w:val="en-US"/>
        </w:rPr>
      </w:pPr>
    </w:p>
    <w:p w14:paraId="20440D29" w14:textId="28FA8B5A" w:rsidR="003E573C" w:rsidRDefault="007A204A" w:rsidP="007A204A">
      <w:pPr>
        <w:rPr>
          <w:rFonts w:cs="Arial"/>
        </w:rPr>
      </w:pPr>
      <w:r>
        <w:rPr>
          <w:bCs/>
          <w:lang w:val="en-US"/>
        </w:rPr>
        <w:t xml:space="preserve">Moreover, </w:t>
      </w:r>
      <w:r w:rsidRPr="00217A3E">
        <w:rPr>
          <w:bCs/>
          <w:lang w:val="en-US"/>
        </w:rPr>
        <w:t>it would be useful with some guidance how the reference to sectorial legislation in MiFID II is to be understood in the light of MiFID Quick Fix changes</w:t>
      </w:r>
    </w:p>
    <w:permEnd w:id="1713528049"/>
    <w:p w14:paraId="6DB9AF7D" w14:textId="789B574E" w:rsidR="003E573C" w:rsidRDefault="003E573C" w:rsidP="003E573C">
      <w:pPr>
        <w:rPr>
          <w:rFonts w:cs="Arial"/>
        </w:rPr>
      </w:pPr>
      <w:r>
        <w:rPr>
          <w:rFonts w:cs="Arial"/>
        </w:rPr>
        <w:lastRenderedPageBreak/>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482FB779" w14:textId="6080B7D4" w:rsidR="00503E36" w:rsidRDefault="00503E36" w:rsidP="00503E36">
      <w:pPr>
        <w:jc w:val="both"/>
        <w:rPr>
          <w:rFonts w:cs="Arial"/>
          <w:bCs/>
        </w:rPr>
      </w:pPr>
      <w:permStart w:id="221670941" w:edGrp="everyone"/>
      <w:r>
        <w:rPr>
          <w:rFonts w:cs="Arial"/>
          <w:bCs/>
        </w:rPr>
        <w:t xml:space="preserve"> </w:t>
      </w:r>
      <w:bookmarkStart w:id="1" w:name="_Hlk70878397"/>
      <w:r>
        <w:rPr>
          <w:rFonts w:cs="Arial"/>
          <w:bCs/>
        </w:rPr>
        <w:t xml:space="preserve">In general, the pre-contractual and periodic templates will be hard to understand for customers; it is too detailed, too long and the meaning of the words used will not be understood by the majority of the customers. We understand that this is also aligned with the conclusions made from the consumer-testing. </w:t>
      </w:r>
    </w:p>
    <w:p w14:paraId="451921B9" w14:textId="77777777" w:rsidR="00503E36" w:rsidRDefault="00503E36" w:rsidP="00503E36">
      <w:pPr>
        <w:jc w:val="both"/>
        <w:rPr>
          <w:rFonts w:cs="Arial"/>
          <w:b/>
          <w:bCs/>
        </w:rPr>
      </w:pPr>
    </w:p>
    <w:p w14:paraId="3BB542D4" w14:textId="284F789D" w:rsidR="00503E36" w:rsidRPr="00E41EB7" w:rsidRDefault="00503E36" w:rsidP="00503E36">
      <w:pPr>
        <w:jc w:val="both"/>
        <w:rPr>
          <w:rFonts w:cs="Arial"/>
          <w:b/>
          <w:bCs/>
        </w:rPr>
      </w:pPr>
      <w:r>
        <w:rPr>
          <w:rFonts w:cs="Arial"/>
          <w:bCs/>
        </w:rPr>
        <w:t>As highlighted in the section on General comments, t</w:t>
      </w:r>
      <w:r w:rsidRPr="00E41EB7">
        <w:rPr>
          <w:rFonts w:cs="Arial"/>
          <w:bCs/>
        </w:rPr>
        <w:t>he proposed pre-contractual disclosure seems to be based on the fact that data on the assets of the financial product already exists, e.g. art 16(a)(1)(a)(ii)(iii), art 16(a)(2)(b)</w:t>
      </w:r>
      <w:r>
        <w:rPr>
          <w:rFonts w:cs="Arial"/>
          <w:bCs/>
        </w:rPr>
        <w:t>. H</w:t>
      </w:r>
      <w:r w:rsidRPr="00E41EB7">
        <w:rPr>
          <w:rFonts w:cs="Arial"/>
          <w:bCs/>
        </w:rPr>
        <w:t>owever</w:t>
      </w:r>
      <w:r>
        <w:rPr>
          <w:rFonts w:cs="Arial"/>
          <w:bCs/>
        </w:rPr>
        <w:t>,</w:t>
      </w:r>
      <w:r w:rsidRPr="00E41EB7">
        <w:rPr>
          <w:rFonts w:cs="Arial"/>
          <w:bCs/>
        </w:rPr>
        <w:t xml:space="preserve"> for some financial products, e.g. portfolio management services, no product exists when the pre-co</w:t>
      </w:r>
      <w:r>
        <w:rPr>
          <w:rFonts w:cs="Arial"/>
          <w:bCs/>
        </w:rPr>
        <w:t>n</w:t>
      </w:r>
      <w:r w:rsidRPr="00E41EB7">
        <w:rPr>
          <w:rFonts w:cs="Arial"/>
          <w:bCs/>
        </w:rPr>
        <w:t>tractual documentation is established. This information can therefore not be provided for.</w:t>
      </w:r>
    </w:p>
    <w:p w14:paraId="32FDE086" w14:textId="77777777" w:rsidR="00503E36" w:rsidRDefault="00503E36" w:rsidP="00503E36">
      <w:pPr>
        <w:jc w:val="both"/>
        <w:rPr>
          <w:rFonts w:cs="Arial"/>
          <w:bCs/>
        </w:rPr>
      </w:pPr>
    </w:p>
    <w:p w14:paraId="33D18E11" w14:textId="0BD2D9E5" w:rsidR="00503E36" w:rsidRDefault="00503E36" w:rsidP="00503E36">
      <w:pPr>
        <w:jc w:val="both"/>
        <w:rPr>
          <w:rFonts w:cs="Arial"/>
          <w:b/>
          <w:bCs/>
        </w:rPr>
      </w:pPr>
      <w:r w:rsidRPr="00E41EB7">
        <w:rPr>
          <w:rFonts w:cs="Arial"/>
          <w:bCs/>
        </w:rPr>
        <w:t xml:space="preserve">The fact that a minimum proportion of Taxonomy-aligned investments </w:t>
      </w:r>
      <w:r>
        <w:rPr>
          <w:rFonts w:cs="Arial"/>
          <w:bCs/>
        </w:rPr>
        <w:t>is</w:t>
      </w:r>
      <w:r w:rsidRPr="00E41EB7">
        <w:rPr>
          <w:rFonts w:cs="Arial"/>
          <w:bCs/>
        </w:rPr>
        <w:t xml:space="preserve"> set instead of </w:t>
      </w:r>
      <w:r>
        <w:rPr>
          <w:rFonts w:cs="Arial"/>
          <w:bCs/>
        </w:rPr>
        <w:t xml:space="preserve">for example </w:t>
      </w:r>
      <w:r w:rsidRPr="00E41EB7">
        <w:rPr>
          <w:rFonts w:cs="Arial"/>
          <w:bCs/>
        </w:rPr>
        <w:t>a target will lead to FMPs putting very low threshold, considering that data on taxonomy-aligned investments is lacking</w:t>
      </w:r>
      <w:r>
        <w:rPr>
          <w:rFonts w:cs="Arial"/>
          <w:bCs/>
        </w:rPr>
        <w:t xml:space="preserve"> and the scope of the Taxonomy is currently limited</w:t>
      </w:r>
      <w:r w:rsidRPr="00E41EB7">
        <w:rPr>
          <w:rFonts w:cs="Arial"/>
          <w:bCs/>
        </w:rPr>
        <w:t>.</w:t>
      </w:r>
      <w:r>
        <w:rPr>
          <w:rFonts w:cs="Arial"/>
          <w:bCs/>
        </w:rPr>
        <w:t xml:space="preserve"> The disclosure of a minimum proportion will therefore have very limited effect until the data on Taxonomy and the Taxonomy as such is more mature. </w:t>
      </w:r>
    </w:p>
    <w:p w14:paraId="55E9F5A1" w14:textId="77777777" w:rsidR="0014501D" w:rsidRDefault="0014501D" w:rsidP="00503E36">
      <w:pPr>
        <w:jc w:val="both"/>
        <w:rPr>
          <w:rFonts w:cs="Arial"/>
          <w:bCs/>
        </w:rPr>
      </w:pPr>
    </w:p>
    <w:p w14:paraId="70978C21" w14:textId="3CE26FDB" w:rsidR="00503E36" w:rsidRDefault="00503E36" w:rsidP="00503E36">
      <w:pPr>
        <w:jc w:val="both"/>
        <w:rPr>
          <w:rFonts w:cs="Arial"/>
          <w:bCs/>
        </w:rPr>
      </w:pPr>
      <w:r w:rsidRPr="00E41EB7">
        <w:rPr>
          <w:rFonts w:cs="Arial"/>
          <w:bCs/>
        </w:rPr>
        <w:t xml:space="preserve">We also question the suggestion to divide the minimum proportion into enabling and transitioning for multiple reasons. First, and linked to our argument on minimum proportion described above, </w:t>
      </w:r>
      <w:r>
        <w:rPr>
          <w:rFonts w:cs="Arial"/>
          <w:bCs/>
        </w:rPr>
        <w:t xml:space="preserve">this disclosure will have very limited effect until the data on Taxonomy and the Taxonomy as such is more mature. </w:t>
      </w:r>
      <w:r w:rsidRPr="00E41EB7">
        <w:rPr>
          <w:rFonts w:cs="Arial"/>
          <w:bCs/>
        </w:rPr>
        <w:t xml:space="preserve">Secondly, a customer will not understand what this means. Thirdly, the Taxonomy is based on three categorises, i.e. enabling, transitioning and sustainable in itself (no dedicated name). By defining only two of these, the third category will </w:t>
      </w:r>
      <w:r w:rsidRPr="006203E9">
        <w:rPr>
          <w:rFonts w:cs="Arial"/>
          <w:bCs/>
        </w:rPr>
        <w:t xml:space="preserve">not be visible for the customer. </w:t>
      </w:r>
    </w:p>
    <w:p w14:paraId="0943EDDB" w14:textId="509B4AF5" w:rsidR="00503E36" w:rsidRPr="006203E9" w:rsidRDefault="00503E36" w:rsidP="00503E36">
      <w:pPr>
        <w:jc w:val="both"/>
        <w:rPr>
          <w:rFonts w:cs="Arial"/>
          <w:b/>
          <w:bCs/>
        </w:rPr>
      </w:pPr>
      <w:r w:rsidRPr="006203E9">
        <w:rPr>
          <w:rFonts w:cs="Arial"/>
          <w:bCs/>
        </w:rPr>
        <w:t xml:space="preserve"> </w:t>
      </w:r>
      <w:bookmarkEnd w:id="1"/>
    </w:p>
    <w:p w14:paraId="0E08AF92" w14:textId="77777777" w:rsidR="00503E36" w:rsidRPr="0074756B" w:rsidRDefault="00503E36" w:rsidP="00503E36">
      <w:pPr>
        <w:spacing w:after="160"/>
        <w:jc w:val="both"/>
        <w:rPr>
          <w:b/>
          <w:bCs/>
          <w:lang w:val="en-US"/>
        </w:rPr>
      </w:pPr>
      <w:r w:rsidRPr="0074756B">
        <w:rPr>
          <w:bCs/>
          <w:lang w:val="en-US"/>
        </w:rPr>
        <w:t>The SSMA questions why the legal identifier (LEI) has to be listed next to the product name at the beginning of the templates. In our view, it would make more sense to disclose the ISIN (If the product manufacturer has to be listed here, this should be done in a separate point after the one with the product name).</w:t>
      </w:r>
    </w:p>
    <w:p w14:paraId="0A4368BF" w14:textId="46B03BDE" w:rsidR="003E573C" w:rsidRPr="0014501D" w:rsidRDefault="00503E36" w:rsidP="0014501D">
      <w:pPr>
        <w:spacing w:after="160"/>
        <w:jc w:val="both"/>
        <w:rPr>
          <w:b/>
          <w:bCs/>
          <w:lang w:val="en-US"/>
        </w:rPr>
      </w:pPr>
      <w:r w:rsidRPr="0074756B">
        <w:rPr>
          <w:bCs/>
          <w:lang w:val="en-US"/>
        </w:rPr>
        <w:t>Also, considering the Commission's proposal for amendments to the MiFID II delegated acts, it would be more appropriate to include the consideration of PAI right at the beginning in the yellow box of the product information.</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2" w:name="_Hlk18829484"/>
      <w:r>
        <w:t xml:space="preserve">: </w:t>
      </w:r>
      <w:bookmarkEnd w:id="2"/>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1B425895" w:rsidR="003E573C" w:rsidRPr="00146B56" w:rsidRDefault="00146B56" w:rsidP="003E573C">
      <w:pPr>
        <w:rPr>
          <w:b/>
          <w:bCs/>
          <w:lang w:val="en-US"/>
        </w:rPr>
      </w:pPr>
      <w:bookmarkStart w:id="3" w:name="_Hlk66781674"/>
      <w:permStart w:id="610013876" w:edGrp="everyone"/>
      <w:r w:rsidRPr="00217A3E">
        <w:rPr>
          <w:bCs/>
          <w:lang w:val="en-US"/>
        </w:rPr>
        <w:t>The SSMA supports using the same template for all SFDR products in order to avoid unnecessary complexity.</w:t>
      </w:r>
    </w:p>
    <w:bookmarkEnd w:id="3"/>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lastRenderedPageBreak/>
        <w:t>&lt;ESA_QUESTION_</w:t>
      </w:r>
      <w:r w:rsidR="00C86E1C">
        <w:rPr>
          <w:rFonts w:cs="Arial"/>
        </w:rPr>
        <w:t>ESG</w:t>
      </w:r>
      <w:r>
        <w:rPr>
          <w:rFonts w:cs="Arial"/>
        </w:rPr>
        <w:t>_11&gt;</w:t>
      </w:r>
    </w:p>
    <w:p w14:paraId="5C070307" w14:textId="787907AA" w:rsidR="003E573C" w:rsidRPr="00AE470D" w:rsidRDefault="00AE470D" w:rsidP="003E573C">
      <w:pPr>
        <w:rPr>
          <w:b/>
          <w:bCs/>
          <w:lang w:val="en-US"/>
        </w:rPr>
      </w:pPr>
      <w:permStart w:id="790175202" w:edGrp="everyone"/>
      <w:r w:rsidRPr="00217A3E">
        <w:rPr>
          <w:bCs/>
          <w:lang w:val="en-US"/>
        </w:rPr>
        <w:t xml:space="preserve">No comment at this stage. </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622A931F" w14:textId="5B23D648" w:rsidR="00AA1B9D" w:rsidRPr="00AE470D" w:rsidRDefault="00AE470D" w:rsidP="00AA1B9D">
      <w:pPr>
        <w:rPr>
          <w:b/>
          <w:bCs/>
          <w:lang w:val="en-US"/>
        </w:rPr>
      </w:pPr>
      <w:permStart w:id="1771197561" w:edGrp="everyone"/>
      <w:r w:rsidRPr="00217A3E">
        <w:rPr>
          <w:bCs/>
          <w:lang w:val="en-US"/>
        </w:rPr>
        <w:t xml:space="preserve">No comment at this stage. </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7649D" w14:textId="77777777" w:rsidR="003E5BAD" w:rsidRDefault="003E5BAD">
      <w:r>
        <w:separator/>
      </w:r>
    </w:p>
    <w:p w14:paraId="0E9BC570" w14:textId="77777777" w:rsidR="003E5BAD" w:rsidRDefault="003E5BAD"/>
  </w:endnote>
  <w:endnote w:type="continuationSeparator" w:id="0">
    <w:p w14:paraId="48885A96" w14:textId="77777777" w:rsidR="003E5BAD" w:rsidRDefault="003E5BAD">
      <w:r>
        <w:continuationSeparator/>
      </w:r>
    </w:p>
    <w:p w14:paraId="320800CA" w14:textId="77777777" w:rsidR="003E5BAD" w:rsidRDefault="003E5BAD"/>
  </w:endnote>
  <w:endnote w:type="continuationNotice" w:id="1">
    <w:p w14:paraId="0CDEAAB5"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EF036" w14:textId="77777777" w:rsidR="003E5BAD" w:rsidRDefault="003E5BAD">
      <w:r>
        <w:separator/>
      </w:r>
    </w:p>
    <w:p w14:paraId="5A721C0F" w14:textId="77777777" w:rsidR="003E5BAD" w:rsidRDefault="003E5BAD"/>
  </w:footnote>
  <w:footnote w:type="continuationSeparator" w:id="0">
    <w:p w14:paraId="57A16A9C" w14:textId="77777777" w:rsidR="003E5BAD" w:rsidRDefault="003E5BAD">
      <w:r>
        <w:continuationSeparator/>
      </w:r>
    </w:p>
    <w:p w14:paraId="6683BC49" w14:textId="77777777" w:rsidR="003E5BAD" w:rsidRDefault="003E5BAD"/>
  </w:footnote>
  <w:footnote w:type="continuationNotice" w:id="1">
    <w:p w14:paraId="7F5A090E" w14:textId="77777777" w:rsidR="003E5BAD" w:rsidRDefault="003E5BAD"/>
  </w:footnote>
  <w:footnote w:id="2">
    <w:p w14:paraId="52F26208" w14:textId="77777777" w:rsidR="00197794" w:rsidRDefault="00197794" w:rsidP="00197794">
      <w:pPr>
        <w:pStyle w:val="Fotnotstext"/>
      </w:pPr>
      <w:r>
        <w:rPr>
          <w:rStyle w:val="Fotnotsreferens"/>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29B2C7CF" w14:textId="77777777" w:rsidR="00B17E95" w:rsidRPr="00E36D64" w:rsidRDefault="00B17E95" w:rsidP="00B17E95">
      <w:pPr>
        <w:pStyle w:val="Fotnotstext"/>
        <w:rPr>
          <w:lang w:val="en-US"/>
        </w:rPr>
      </w:pPr>
      <w:r>
        <w:rPr>
          <w:rStyle w:val="Fotnotsreferens"/>
        </w:rPr>
        <w:footnoteRef/>
      </w:r>
      <w:r>
        <w:t xml:space="preserve"> </w:t>
      </w:r>
      <w:r w:rsidRPr="00E36D64">
        <w:rPr>
          <w:lang w:val="en-US"/>
        </w:rPr>
        <w:t xml:space="preserve">See </w:t>
      </w:r>
      <w:r>
        <w:rPr>
          <w:lang w:val="en-US"/>
        </w:rPr>
        <w:t xml:space="preserve">ESMA </w:t>
      </w:r>
      <w:r w:rsidRPr="00E36D64">
        <w:rPr>
          <w:lang w:val="en-US"/>
        </w:rPr>
        <w:t xml:space="preserve">Guidelines </w:t>
      </w:r>
      <w:r>
        <w:rPr>
          <w:lang w:val="en-US"/>
        </w:rPr>
        <w:t xml:space="preserve">on suitability, GL </w:t>
      </w:r>
      <w:r w:rsidRPr="00E36D64">
        <w:rPr>
          <w:lang w:val="en-US"/>
        </w:rPr>
        <w:t xml:space="preserve">3 point 80, </w:t>
      </w:r>
      <w:hyperlink r:id="rId1" w:history="1">
        <w:r w:rsidRPr="004A0BE9">
          <w:rPr>
            <w:rStyle w:val="Hyperlnk"/>
            <w:lang w:val="en-US"/>
          </w:rPr>
          <w:t>file:///C:/Users/sarmit/AppData/Local/Packages/Microsoft.MicrosoftEdge_8wekyb3d8bbwe/TempState/Downloads/esma35-43-869-_fr_on_guidelines_on_suitability%20(1).pdf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Sidhuvud"/>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63360"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A3E2F" id="Line 16" o:spid="_x0000_s1026" style="position:absolute;z-index:251663360;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Sidhuvud"/>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6192"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Sidhuvud"/>
      <w:rPr>
        <w:lang w:val="fr-FR"/>
      </w:rPr>
    </w:pPr>
  </w:p>
  <w:p w14:paraId="6A3CB0F8" w14:textId="77777777" w:rsidR="00811EDA" w:rsidRPr="002F4496" w:rsidRDefault="00811EDA" w:rsidP="000C06C9">
    <w:pPr>
      <w:pStyle w:val="Sidhuvud"/>
      <w:tabs>
        <w:tab w:val="clear" w:pos="4536"/>
        <w:tab w:val="clear" w:pos="9072"/>
        <w:tab w:val="left" w:pos="8227"/>
      </w:tabs>
      <w:rPr>
        <w:lang w:val="fr-FR"/>
      </w:rPr>
    </w:pPr>
  </w:p>
  <w:p w14:paraId="6A3CB0F9" w14:textId="77777777" w:rsidR="00811EDA" w:rsidRPr="002F4496" w:rsidRDefault="00811EDA" w:rsidP="000C06C9">
    <w:pPr>
      <w:pStyle w:val="Sidhuvud"/>
      <w:tabs>
        <w:tab w:val="clear" w:pos="4536"/>
        <w:tab w:val="clear" w:pos="9072"/>
        <w:tab w:val="left" w:pos="8227"/>
      </w:tabs>
      <w:rPr>
        <w:lang w:val="fr-FR"/>
      </w:rPr>
    </w:pPr>
  </w:p>
  <w:p w14:paraId="6A3CB0FA" w14:textId="77777777" w:rsidR="00811EDA" w:rsidRPr="002F4496" w:rsidRDefault="00811EDA">
    <w:pPr>
      <w:pStyle w:val="Sidhuvud"/>
      <w:rPr>
        <w:lang w:val="fr-FR"/>
      </w:rPr>
    </w:pPr>
  </w:p>
  <w:p w14:paraId="6A3CB0FB" w14:textId="77777777" w:rsidR="00811EDA" w:rsidRPr="002F4496" w:rsidRDefault="00811EDA">
    <w:pPr>
      <w:pStyle w:val="Sidhuvud"/>
      <w:rPr>
        <w:lang w:val="fr-FR"/>
      </w:rPr>
    </w:pPr>
  </w:p>
  <w:p w14:paraId="6A3CB0FC" w14:textId="77777777" w:rsidR="00811EDA" w:rsidRPr="002F4496" w:rsidRDefault="00811EDA">
    <w:pPr>
      <w:pStyle w:val="Sidhuvud"/>
      <w:rPr>
        <w:lang w:val="fr-FR"/>
      </w:rPr>
    </w:pPr>
  </w:p>
  <w:p w14:paraId="6A3CB0FD" w14:textId="77777777" w:rsidR="00811EDA" w:rsidRPr="002F4496" w:rsidRDefault="00811EDA">
    <w:pPr>
      <w:pStyle w:val="Sidhuvud"/>
      <w:rPr>
        <w:lang w:val="fr-FR"/>
      </w:rPr>
    </w:pPr>
  </w:p>
  <w:p w14:paraId="6A3CB0FE" w14:textId="77777777" w:rsidR="00811EDA" w:rsidRPr="002F4496" w:rsidRDefault="00811EDA">
    <w:pPr>
      <w:pStyle w:val="Sidhuvud"/>
      <w:rPr>
        <w:highlight w:val="yellow"/>
        <w:lang w:val="fr-FR"/>
      </w:rPr>
    </w:pPr>
  </w:p>
  <w:p w14:paraId="6A3CB0FF" w14:textId="05D5FF53" w:rsidR="00811EDA" w:rsidRDefault="00DE66EB">
    <w:pPr>
      <w:pStyle w:val="Sidhuvud"/>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9464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24313"/>
    <w:multiLevelType w:val="hybridMultilevel"/>
    <w:tmpl w:val="BE66DC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397E0D"/>
    <w:multiLevelType w:val="hybridMultilevel"/>
    <w:tmpl w:val="2D461E02"/>
    <w:lvl w:ilvl="0" w:tplc="9D7ACEB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8"/>
  </w:num>
  <w:num w:numId="22">
    <w:abstractNumId w:val="26"/>
  </w:num>
  <w:num w:numId="23">
    <w:abstractNumId w:val="7"/>
  </w:num>
  <w:num w:numId="24">
    <w:abstractNumId w:val="31"/>
  </w:num>
  <w:num w:numId="25">
    <w:abstractNumId w:val="30"/>
  </w:num>
  <w:num w:numId="26">
    <w:abstractNumId w:val="19"/>
  </w:num>
  <w:num w:numId="27">
    <w:abstractNumId w:val="35"/>
  </w:num>
  <w:num w:numId="28">
    <w:abstractNumId w:val="41"/>
  </w:num>
  <w:num w:numId="29">
    <w:abstractNumId w:val="5"/>
  </w:num>
  <w:num w:numId="30">
    <w:abstractNumId w:val="2"/>
  </w:num>
  <w:num w:numId="31">
    <w:abstractNumId w:val="22"/>
  </w:num>
  <w:num w:numId="32">
    <w:abstractNumId w:val="20"/>
  </w:num>
  <w:num w:numId="33">
    <w:abstractNumId w:val="37"/>
  </w:num>
  <w:num w:numId="34">
    <w:abstractNumId w:val="36"/>
  </w:num>
  <w:num w:numId="35">
    <w:abstractNumId w:val="9"/>
  </w:num>
  <w:num w:numId="36">
    <w:abstractNumId w:val="10"/>
  </w:num>
  <w:num w:numId="37">
    <w:abstractNumId w:val="12"/>
  </w:num>
  <w:num w:numId="38">
    <w:abstractNumId w:val="25"/>
  </w:num>
  <w:num w:numId="39">
    <w:abstractNumId w:val="21"/>
  </w:num>
  <w:num w:numId="40">
    <w:abstractNumId w:val="33"/>
  </w:num>
  <w:num w:numId="41">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82"/>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2CCE"/>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26EDF"/>
    <w:rsid w:val="00130F41"/>
    <w:rsid w:val="00130FAF"/>
    <w:rsid w:val="00135F2B"/>
    <w:rsid w:val="001372DD"/>
    <w:rsid w:val="001405BA"/>
    <w:rsid w:val="00141497"/>
    <w:rsid w:val="0014253A"/>
    <w:rsid w:val="001425C8"/>
    <w:rsid w:val="001431AE"/>
    <w:rsid w:val="00143B87"/>
    <w:rsid w:val="0014501D"/>
    <w:rsid w:val="001459E3"/>
    <w:rsid w:val="00146A0B"/>
    <w:rsid w:val="00146B56"/>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104C"/>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5D6B"/>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E36"/>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09C7"/>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4F2B"/>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5933"/>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04A"/>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0F"/>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C72B9"/>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2883"/>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70D"/>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4D86"/>
    <w:rsid w:val="00B059A9"/>
    <w:rsid w:val="00B063CF"/>
    <w:rsid w:val="00B06544"/>
    <w:rsid w:val="00B105F2"/>
    <w:rsid w:val="00B10991"/>
    <w:rsid w:val="00B11CDB"/>
    <w:rsid w:val="00B12128"/>
    <w:rsid w:val="00B12945"/>
    <w:rsid w:val="00B12C1E"/>
    <w:rsid w:val="00B155DF"/>
    <w:rsid w:val="00B156CF"/>
    <w:rsid w:val="00B1570E"/>
    <w:rsid w:val="00B176B9"/>
    <w:rsid w:val="00B17AD5"/>
    <w:rsid w:val="00B17DC8"/>
    <w:rsid w:val="00B17E1E"/>
    <w:rsid w:val="00B17E95"/>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718"/>
    <w:rsid w:val="00B309D2"/>
    <w:rsid w:val="00B30E4F"/>
    <w:rsid w:val="00B3124F"/>
    <w:rsid w:val="00B327E9"/>
    <w:rsid w:val="00B33294"/>
    <w:rsid w:val="00B33657"/>
    <w:rsid w:val="00B34885"/>
    <w:rsid w:val="00B34D68"/>
    <w:rsid w:val="00B36117"/>
    <w:rsid w:val="00B362E3"/>
    <w:rsid w:val="00B37C73"/>
    <w:rsid w:val="00B4009B"/>
    <w:rsid w:val="00B400A1"/>
    <w:rsid w:val="00B401A9"/>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2F0"/>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30AF"/>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1454"/>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114"/>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97C22"/>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9D"/>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uiPriority w:val="99"/>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uiPriority w:val="99"/>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Cha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uiPriority w:val="99"/>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Text,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7118EB"/>
    <w:rPr>
      <w:rFonts w:asciiTheme="minorHAnsi" w:eastAsiaTheme="minorEastAsia" w:hAnsiTheme="minorHAnsi" w:cstheme="minorBidi"/>
      <w:b/>
      <w:sz w:val="22"/>
      <w:lang w:eastAsia="en-US"/>
    </w:rPr>
  </w:style>
  <w:style w:type="paragraph" w:styleId="Underrubrik">
    <w:name w:val="Subtitle"/>
    <w:basedOn w:val="Normal"/>
    <w:next w:val="Normal"/>
    <w:link w:val="Underrubrik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rubrikChar">
    <w:name w:val="Underrubrik Char"/>
    <w:basedOn w:val="Standardstycketeckensnitt"/>
    <w:link w:val="Underrubrik"/>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styck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rdstycketeckensnit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rdstycketeckensnit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styck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tnotsreferens"/>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file:///C:/Users/sarmit/AppData/Local/Packages/Microsoft.MicrosoftEdge_8wekyb3d8bbwe/TempState/Downloads/esma35-43-869-_fr_on_guidelines_on_suitability%2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2" ma:contentTypeDescription="Create a new document." ma:contentTypeScope="" ma:versionID="6af5abb5d42f7f7bf135dd65353652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fff62209d293a55211fbe6a1c7776e09"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FA13AB71-A067-41ED-A778-B13F1FA7C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5BA4E-66DD-42F1-AB16-FCC70454E917}">
  <ds:schemaRefs>
    <ds:schemaRef ds:uri="http://schemas.openxmlformats.org/officeDocument/2006/bibliography"/>
  </ds:schemaRefs>
</ds:datastoreItem>
</file>

<file path=customXml/itemProps4.xml><?xml version="1.0" encoding="utf-8"?>
<ds:datastoreItem xmlns:ds="http://schemas.openxmlformats.org/officeDocument/2006/customXml" ds:itemID="{F5C0F0B1-A3F1-4B95-8DA2-61925826A351}">
  <ds:schemaRefs>
    <ds:schemaRef ds:uri="http://schemas.openxmlformats.org/officeDocument/2006/bibliography"/>
  </ds:schemaRefs>
</ds:datastoreItem>
</file>

<file path=customXml/itemProps5.xml><?xml version="1.0" encoding="utf-8"?>
<ds:datastoreItem xmlns:ds="http://schemas.openxmlformats.org/officeDocument/2006/customXml" ds:itemID="{A1823ED9-4C25-4A0F-AA35-0F2F3F3B90A3}">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2337fc17-2acf-4d77-80c9-45ed8debd66b"/>
    <ds:schemaRef ds:uri="http://schemas.openxmlformats.org/package/2006/metadata/core-properties"/>
    <ds:schemaRef ds:uri="c297726e-2378-4054-9597-3d45f8d54df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3063</Words>
  <Characters>16238</Characters>
  <Application>Microsoft Office Word</Application>
  <DocSecurity>8</DocSecurity>
  <Lines>135</Lines>
  <Paragraphs>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19263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Sara Mitelman</cp:lastModifiedBy>
  <cp:revision>2</cp:revision>
  <cp:lastPrinted>2015-02-18T11:01:00Z</cp:lastPrinted>
  <dcterms:created xsi:type="dcterms:W3CDTF">2021-05-12T15:09:00Z</dcterms:created>
  <dcterms:modified xsi:type="dcterms:W3CDTF">2021-05-12T15:09:00Z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