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13EA3FB5" w:rsidR="00B327E9" w:rsidRPr="00AB6D88" w:rsidRDefault="009857E6" w:rsidP="00F136AD">
                <w:pPr>
                  <w:rPr>
                    <w:rStyle w:val="PlaceholderText"/>
                    <w:rFonts w:cs="Arial"/>
                  </w:rPr>
                </w:pPr>
                <w:proofErr w:type="spellStart"/>
                <w:r>
                  <w:rPr>
                    <w:rStyle w:val="PlaceholderText"/>
                    <w:rFonts w:cs="Arial"/>
                  </w:rPr>
                  <w:t>ShareAction</w:t>
                </w:r>
                <w:proofErr w:type="spellEnd"/>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E5FB16A" w:rsidR="00B327E9" w:rsidRPr="00AB6D88" w:rsidRDefault="00A70D34"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857E6">
                  <w:rPr>
                    <w:rFonts w:cs="Arial"/>
                  </w:rPr>
                  <w:t>Non-financial counterparty</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0898B1E4" w:rsidR="00B327E9" w:rsidRPr="00AB6D88" w:rsidRDefault="009857E6"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3F09A8C1" w:rsidR="00B327E9" w:rsidRPr="00AB6D88" w:rsidRDefault="009857E6" w:rsidP="00F136AD">
                <w:pPr>
                  <w:rPr>
                    <w:rFonts w:cs="Arial"/>
                  </w:rPr>
                </w:pPr>
                <w:r>
                  <w:rPr>
                    <w:rFonts w:cs="Arial"/>
                  </w:rPr>
                  <w:t>Belgium</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6A3CB061" w14:textId="77777777" w:rsidR="00B327E9" w:rsidRDefault="00B327E9" w:rsidP="00B327E9">
      <w:permStart w:id="411981036" w:edGrp="everyone"/>
      <w:r>
        <w:t>TYPE YOUR TEXT HERE</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0019A8A3" w14:textId="77777777" w:rsidR="009857E6" w:rsidRPr="009857E6" w:rsidRDefault="009857E6" w:rsidP="009857E6">
      <w:pPr>
        <w:pStyle w:val="NormalWeb"/>
        <w:numPr>
          <w:ilvl w:val="0"/>
          <w:numId w:val="40"/>
        </w:numPr>
        <w:rPr>
          <w:rFonts w:ascii="Arial" w:hAnsi="Arial" w:cs="Arial"/>
          <w:color w:val="000000" w:themeColor="text1"/>
          <w:sz w:val="20"/>
          <w:szCs w:val="20"/>
        </w:rPr>
      </w:pPr>
      <w:permStart w:id="1221819945" w:edGrp="everyone"/>
      <w:proofErr w:type="spellStart"/>
      <w:r w:rsidRPr="009857E6">
        <w:rPr>
          <w:rFonts w:ascii="Arial" w:hAnsi="Arial" w:cs="Arial"/>
          <w:color w:val="000000" w:themeColor="text1"/>
          <w:sz w:val="20"/>
          <w:szCs w:val="20"/>
        </w:rPr>
        <w:t>ShareAction</w:t>
      </w:r>
      <w:proofErr w:type="spellEnd"/>
      <w:r w:rsidRPr="009857E6">
        <w:rPr>
          <w:rFonts w:ascii="Arial" w:hAnsi="Arial" w:cs="Arial"/>
          <w:color w:val="000000" w:themeColor="text1"/>
          <w:sz w:val="20"/>
          <w:szCs w:val="20"/>
        </w:rPr>
        <w:t xml:space="preserve"> supports the "single </w:t>
      </w:r>
      <w:proofErr w:type="spellStart"/>
      <w:r w:rsidRPr="009857E6">
        <w:rPr>
          <w:rFonts w:ascii="Arial" w:hAnsi="Arial" w:cs="Arial"/>
          <w:color w:val="000000" w:themeColor="text1"/>
          <w:sz w:val="20"/>
          <w:szCs w:val="20"/>
        </w:rPr>
        <w:t>rulebook</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approach</w:t>
      </w:r>
      <w:proofErr w:type="spellEnd"/>
      <w:r w:rsidRPr="009857E6">
        <w:rPr>
          <w:rFonts w:ascii="Arial" w:hAnsi="Arial" w:cs="Arial"/>
          <w:color w:val="000000" w:themeColor="text1"/>
          <w:sz w:val="20"/>
          <w:szCs w:val="20"/>
        </w:rPr>
        <w:t xml:space="preserve"> on </w:t>
      </w:r>
      <w:proofErr w:type="spellStart"/>
      <w:r w:rsidRPr="009857E6">
        <w:rPr>
          <w:rFonts w:ascii="Arial" w:hAnsi="Arial" w:cs="Arial"/>
          <w:color w:val="000000" w:themeColor="text1"/>
          <w:sz w:val="20"/>
          <w:szCs w:val="20"/>
        </w:rPr>
        <w:t>sustainability</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disclosures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We</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agree</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that</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it</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will</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simplify</w:t>
      </w:r>
      <w:proofErr w:type="spellEnd"/>
      <w:r w:rsidRPr="009857E6">
        <w:rPr>
          <w:rFonts w:ascii="Arial" w:hAnsi="Arial" w:cs="Arial"/>
          <w:color w:val="000000" w:themeColor="text1"/>
          <w:sz w:val="20"/>
          <w:szCs w:val="20"/>
        </w:rPr>
        <w:t xml:space="preserve"> the </w:t>
      </w:r>
      <w:proofErr w:type="spellStart"/>
      <w:r w:rsidRPr="009857E6">
        <w:rPr>
          <w:rFonts w:ascii="Arial" w:hAnsi="Arial" w:cs="Arial"/>
          <w:color w:val="000000" w:themeColor="text1"/>
          <w:sz w:val="20"/>
          <w:szCs w:val="20"/>
        </w:rPr>
        <w:t>complex</w:t>
      </w:r>
      <w:proofErr w:type="spellEnd"/>
      <w:r w:rsidRPr="009857E6">
        <w:rPr>
          <w:rFonts w:ascii="Arial" w:hAnsi="Arial" w:cs="Arial"/>
          <w:color w:val="000000" w:themeColor="text1"/>
          <w:sz w:val="20"/>
          <w:szCs w:val="20"/>
        </w:rPr>
        <w:t xml:space="preserve"> set of </w:t>
      </w:r>
      <w:proofErr w:type="spellStart"/>
      <w:r w:rsidRPr="009857E6">
        <w:rPr>
          <w:rFonts w:ascii="Arial" w:hAnsi="Arial" w:cs="Arial"/>
          <w:color w:val="000000" w:themeColor="text1"/>
          <w:sz w:val="20"/>
          <w:szCs w:val="20"/>
        </w:rPr>
        <w:t>disclosures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between</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these</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two</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regulations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which</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will</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also</w:t>
      </w:r>
      <w:proofErr w:type="spellEnd"/>
      <w:r w:rsidRPr="009857E6">
        <w:rPr>
          <w:rFonts w:ascii="Arial" w:hAnsi="Arial" w:cs="Arial"/>
          <w:color w:val="000000" w:themeColor="text1"/>
          <w:sz w:val="20"/>
          <w:szCs w:val="20"/>
        </w:rPr>
        <w:t xml:space="preserve"> help </w:t>
      </w:r>
      <w:proofErr w:type="spellStart"/>
      <w:r w:rsidRPr="009857E6">
        <w:rPr>
          <w:rFonts w:ascii="Arial" w:hAnsi="Arial" w:cs="Arial"/>
          <w:color w:val="000000" w:themeColor="text1"/>
          <w:sz w:val="20"/>
          <w:szCs w:val="20"/>
        </w:rPr>
        <w:t>smaller</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investors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falling</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under</w:t>
      </w:r>
      <w:proofErr w:type="spellEnd"/>
      <w:r w:rsidRPr="009857E6">
        <w:rPr>
          <w:rFonts w:ascii="Arial" w:hAnsi="Arial" w:cs="Arial"/>
          <w:color w:val="000000" w:themeColor="text1"/>
          <w:sz w:val="20"/>
          <w:szCs w:val="20"/>
        </w:rPr>
        <w:t xml:space="preserve"> scope as Financial </w:t>
      </w:r>
      <w:proofErr w:type="spellStart"/>
      <w:r w:rsidRPr="009857E6">
        <w:rPr>
          <w:rFonts w:ascii="Arial" w:hAnsi="Arial" w:cs="Arial"/>
          <w:color w:val="000000" w:themeColor="text1"/>
          <w:sz w:val="20"/>
          <w:szCs w:val="20"/>
        </w:rPr>
        <w:t>Market</w:t>
      </w:r>
      <w:proofErr w:type="spellEnd"/>
      <w:r w:rsidRPr="009857E6">
        <w:rPr>
          <w:rFonts w:ascii="Arial" w:hAnsi="Arial" w:cs="Arial"/>
          <w:color w:val="000000" w:themeColor="text1"/>
          <w:sz w:val="20"/>
          <w:szCs w:val="20"/>
        </w:rPr>
        <w:t xml:space="preserve"> Participants) </w:t>
      </w:r>
      <w:proofErr w:type="spellStart"/>
      <w:r w:rsidRPr="009857E6">
        <w:rPr>
          <w:rFonts w:ascii="Arial" w:hAnsi="Arial" w:cs="Arial"/>
          <w:color w:val="000000" w:themeColor="text1"/>
          <w:sz w:val="20"/>
          <w:szCs w:val="20"/>
        </w:rPr>
        <w:t>with</w:t>
      </w:r>
      <w:proofErr w:type="spellEnd"/>
      <w:r w:rsidRPr="009857E6">
        <w:rPr>
          <w:rFonts w:ascii="Arial" w:hAnsi="Arial" w:cs="Arial"/>
          <w:color w:val="000000" w:themeColor="text1"/>
          <w:sz w:val="20"/>
          <w:szCs w:val="20"/>
        </w:rPr>
        <w:t xml:space="preserve"> the </w:t>
      </w:r>
      <w:proofErr w:type="spellStart"/>
      <w:r w:rsidRPr="009857E6">
        <w:rPr>
          <w:rFonts w:ascii="Arial" w:hAnsi="Arial" w:cs="Arial"/>
          <w:color w:val="000000" w:themeColor="text1"/>
          <w:sz w:val="20"/>
          <w:szCs w:val="20"/>
        </w:rPr>
        <w:t>reporting</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exercise</w:t>
      </w:r>
      <w:proofErr w:type="spellEnd"/>
      <w:r w:rsidRPr="009857E6">
        <w:rPr>
          <w:rFonts w:ascii="Arial" w:hAnsi="Arial" w:cs="Arial"/>
          <w:color w:val="000000" w:themeColor="text1"/>
          <w:sz w:val="20"/>
          <w:szCs w:val="20"/>
        </w:rPr>
        <w:t xml:space="preserve"> and end </w:t>
      </w:r>
      <w:proofErr w:type="spellStart"/>
      <w:r w:rsidRPr="009857E6">
        <w:rPr>
          <w:rFonts w:ascii="Arial" w:hAnsi="Arial" w:cs="Arial"/>
          <w:color w:val="000000" w:themeColor="text1"/>
          <w:sz w:val="20"/>
          <w:szCs w:val="20"/>
        </w:rPr>
        <w:t>investors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seeking</w:t>
      </w:r>
      <w:proofErr w:type="spellEnd"/>
      <w:r w:rsidRPr="009857E6">
        <w:rPr>
          <w:rFonts w:ascii="Arial" w:hAnsi="Arial" w:cs="Arial"/>
          <w:color w:val="000000" w:themeColor="text1"/>
          <w:sz w:val="20"/>
          <w:szCs w:val="20"/>
        </w:rPr>
        <w:t xml:space="preserve"> to </w:t>
      </w:r>
      <w:proofErr w:type="spellStart"/>
      <w:r w:rsidRPr="009857E6">
        <w:rPr>
          <w:rFonts w:ascii="Arial" w:hAnsi="Arial" w:cs="Arial"/>
          <w:color w:val="000000" w:themeColor="text1"/>
          <w:sz w:val="20"/>
          <w:szCs w:val="20"/>
        </w:rPr>
        <w:t>understand</w:t>
      </w:r>
      <w:proofErr w:type="spellEnd"/>
      <w:r w:rsidRPr="009857E6">
        <w:rPr>
          <w:rFonts w:ascii="Arial" w:hAnsi="Arial" w:cs="Arial"/>
          <w:color w:val="000000" w:themeColor="text1"/>
          <w:sz w:val="20"/>
          <w:szCs w:val="20"/>
        </w:rPr>
        <w:t xml:space="preserve"> the impact of the </w:t>
      </w:r>
      <w:proofErr w:type="spellStart"/>
      <w:r w:rsidRPr="009857E6">
        <w:rPr>
          <w:rFonts w:ascii="Arial" w:hAnsi="Arial" w:cs="Arial"/>
          <w:color w:val="000000" w:themeColor="text1"/>
          <w:sz w:val="20"/>
          <w:szCs w:val="20"/>
        </w:rPr>
        <w:t>products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will</w:t>
      </w:r>
      <w:proofErr w:type="spellEnd"/>
      <w:r w:rsidRPr="009857E6">
        <w:rPr>
          <w:rFonts w:ascii="Arial" w:hAnsi="Arial" w:cs="Arial"/>
          <w:color w:val="000000" w:themeColor="text1"/>
          <w:sz w:val="20"/>
          <w:szCs w:val="20"/>
        </w:rPr>
        <w:t xml:space="preserve"> have one </w:t>
      </w:r>
      <w:proofErr w:type="spellStart"/>
      <w:r w:rsidRPr="009857E6">
        <w:rPr>
          <w:rFonts w:ascii="Arial" w:hAnsi="Arial" w:cs="Arial"/>
          <w:color w:val="000000" w:themeColor="text1"/>
          <w:sz w:val="20"/>
          <w:szCs w:val="20"/>
        </w:rPr>
        <w:t>framework</w:t>
      </w:r>
      <w:proofErr w:type="spellEnd"/>
      <w:r w:rsidRPr="009857E6">
        <w:rPr>
          <w:rFonts w:ascii="Arial" w:hAnsi="Arial" w:cs="Arial"/>
          <w:color w:val="000000" w:themeColor="text1"/>
          <w:sz w:val="20"/>
          <w:szCs w:val="20"/>
        </w:rPr>
        <w:t xml:space="preserve"> for </w:t>
      </w:r>
      <w:proofErr w:type="spellStart"/>
      <w:r w:rsidRPr="009857E6">
        <w:rPr>
          <w:rFonts w:ascii="Arial" w:hAnsi="Arial" w:cs="Arial"/>
          <w:color w:val="000000" w:themeColor="text1"/>
          <w:sz w:val="20"/>
          <w:szCs w:val="20"/>
        </w:rPr>
        <w:t>understanding</w:t>
      </w:r>
      <w:proofErr w:type="spellEnd"/>
      <w:r w:rsidRPr="009857E6">
        <w:rPr>
          <w:rFonts w:ascii="Arial" w:hAnsi="Arial" w:cs="Arial"/>
          <w:color w:val="000000" w:themeColor="text1"/>
          <w:sz w:val="20"/>
          <w:szCs w:val="20"/>
        </w:rPr>
        <w:t xml:space="preserve"> the impact of the </w:t>
      </w:r>
      <w:proofErr w:type="spellStart"/>
      <w:r w:rsidRPr="009857E6">
        <w:rPr>
          <w:rFonts w:ascii="Arial" w:hAnsi="Arial" w:cs="Arial"/>
          <w:color w:val="000000" w:themeColor="text1"/>
          <w:sz w:val="20"/>
          <w:szCs w:val="20"/>
        </w:rPr>
        <w:t>fund</w:t>
      </w:r>
      <w:proofErr w:type="spellEnd"/>
      <w:r w:rsidRPr="009857E6">
        <w:rPr>
          <w:rFonts w:ascii="Arial" w:hAnsi="Arial" w:cs="Arial"/>
          <w:color w:val="000000" w:themeColor="text1"/>
          <w:sz w:val="20"/>
          <w:szCs w:val="20"/>
        </w:rPr>
        <w:t xml:space="preserve">. </w:t>
      </w:r>
    </w:p>
    <w:p w14:paraId="73671415" w14:textId="77777777" w:rsidR="009857E6" w:rsidRPr="009857E6" w:rsidRDefault="009857E6" w:rsidP="009857E6">
      <w:pPr>
        <w:pStyle w:val="NormalWeb"/>
        <w:numPr>
          <w:ilvl w:val="0"/>
          <w:numId w:val="40"/>
        </w:numPr>
        <w:rPr>
          <w:rFonts w:ascii="Arial" w:hAnsi="Arial" w:cs="Arial"/>
          <w:color w:val="000000" w:themeColor="text1"/>
          <w:sz w:val="20"/>
          <w:szCs w:val="20"/>
        </w:rPr>
      </w:pPr>
      <w:r w:rsidRPr="009857E6">
        <w:rPr>
          <w:rFonts w:ascii="Arial" w:hAnsi="Arial" w:cs="Arial"/>
          <w:color w:val="000000" w:themeColor="text1"/>
          <w:sz w:val="20"/>
          <w:szCs w:val="20"/>
        </w:rPr>
        <w:t xml:space="preserve">It </w:t>
      </w:r>
      <w:proofErr w:type="spellStart"/>
      <w:r w:rsidRPr="009857E6">
        <w:rPr>
          <w:rFonts w:ascii="Arial" w:hAnsi="Arial" w:cs="Arial"/>
          <w:color w:val="000000" w:themeColor="text1"/>
          <w:sz w:val="20"/>
          <w:szCs w:val="20"/>
        </w:rPr>
        <w:t>is</w:t>
      </w:r>
      <w:proofErr w:type="spellEnd"/>
      <w:r w:rsidRPr="009857E6">
        <w:rPr>
          <w:rFonts w:ascii="Arial" w:hAnsi="Arial" w:cs="Arial"/>
          <w:color w:val="000000" w:themeColor="text1"/>
          <w:sz w:val="20"/>
          <w:szCs w:val="20"/>
        </w:rPr>
        <w:t xml:space="preserve"> important </w:t>
      </w:r>
      <w:proofErr w:type="spellStart"/>
      <w:r w:rsidRPr="009857E6">
        <w:rPr>
          <w:rFonts w:ascii="Arial" w:hAnsi="Arial" w:cs="Arial"/>
          <w:color w:val="000000" w:themeColor="text1"/>
          <w:sz w:val="20"/>
          <w:szCs w:val="20"/>
        </w:rPr>
        <w:t>that</w:t>
      </w:r>
      <w:proofErr w:type="spellEnd"/>
      <w:r w:rsidRPr="009857E6">
        <w:rPr>
          <w:rFonts w:ascii="Arial" w:hAnsi="Arial" w:cs="Arial"/>
          <w:color w:val="000000" w:themeColor="text1"/>
          <w:sz w:val="20"/>
          <w:szCs w:val="20"/>
        </w:rPr>
        <w:t xml:space="preserve"> the </w:t>
      </w:r>
      <w:proofErr w:type="spellStart"/>
      <w:r w:rsidRPr="009857E6">
        <w:rPr>
          <w:rFonts w:ascii="Arial" w:hAnsi="Arial" w:cs="Arial"/>
          <w:color w:val="000000" w:themeColor="text1"/>
          <w:sz w:val="20"/>
          <w:szCs w:val="20"/>
        </w:rPr>
        <w:t>co-legislators</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can</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scrutinize</w:t>
      </w:r>
      <w:proofErr w:type="spellEnd"/>
      <w:r w:rsidRPr="009857E6">
        <w:rPr>
          <w:rFonts w:ascii="Arial" w:hAnsi="Arial" w:cs="Arial"/>
          <w:color w:val="000000" w:themeColor="text1"/>
          <w:sz w:val="20"/>
          <w:szCs w:val="20"/>
        </w:rPr>
        <w:t xml:space="preserve"> and </w:t>
      </w:r>
      <w:proofErr w:type="spellStart"/>
      <w:r w:rsidRPr="009857E6">
        <w:rPr>
          <w:rFonts w:ascii="Arial" w:hAnsi="Arial" w:cs="Arial"/>
          <w:color w:val="000000" w:themeColor="text1"/>
          <w:sz w:val="20"/>
          <w:szCs w:val="20"/>
        </w:rPr>
        <w:t>reject</w:t>
      </w:r>
      <w:proofErr w:type="spellEnd"/>
      <w:r w:rsidRPr="009857E6">
        <w:rPr>
          <w:rFonts w:ascii="Arial" w:hAnsi="Arial" w:cs="Arial"/>
          <w:color w:val="000000" w:themeColor="text1"/>
          <w:sz w:val="20"/>
          <w:szCs w:val="20"/>
        </w:rPr>
        <w:t xml:space="preserve"> the </w:t>
      </w:r>
      <w:proofErr w:type="spellStart"/>
      <w:r w:rsidRPr="009857E6">
        <w:rPr>
          <w:rFonts w:ascii="Arial" w:hAnsi="Arial" w:cs="Arial"/>
          <w:color w:val="000000" w:themeColor="text1"/>
          <w:sz w:val="20"/>
          <w:szCs w:val="20"/>
        </w:rPr>
        <w:t>amended</w:t>
      </w:r>
      <w:proofErr w:type="spellEnd"/>
      <w:r w:rsidRPr="009857E6">
        <w:rPr>
          <w:rFonts w:ascii="Arial" w:hAnsi="Arial" w:cs="Arial"/>
          <w:color w:val="000000" w:themeColor="text1"/>
          <w:sz w:val="20"/>
          <w:szCs w:val="20"/>
        </w:rPr>
        <w:t xml:space="preserve"> provisions </w:t>
      </w:r>
      <w:proofErr w:type="spellStart"/>
      <w:r w:rsidRPr="009857E6">
        <w:rPr>
          <w:rFonts w:ascii="Arial" w:hAnsi="Arial" w:cs="Arial"/>
          <w:color w:val="000000" w:themeColor="text1"/>
          <w:sz w:val="20"/>
          <w:szCs w:val="20"/>
        </w:rPr>
        <w:t>without</w:t>
      </w:r>
      <w:proofErr w:type="spellEnd"/>
      <w:r w:rsidRPr="009857E6">
        <w:rPr>
          <w:rFonts w:ascii="Arial" w:hAnsi="Arial" w:cs="Arial"/>
          <w:color w:val="000000" w:themeColor="text1"/>
          <w:sz w:val="20"/>
          <w:szCs w:val="20"/>
        </w:rPr>
        <w:t xml:space="preserve"> </w:t>
      </w:r>
      <w:proofErr w:type="spellStart"/>
      <w:r w:rsidRPr="009857E6">
        <w:rPr>
          <w:rFonts w:ascii="Arial" w:hAnsi="Arial" w:cs="Arial"/>
          <w:color w:val="000000" w:themeColor="text1"/>
          <w:sz w:val="20"/>
          <w:szCs w:val="20"/>
        </w:rPr>
        <w:t>threatening</w:t>
      </w:r>
      <w:proofErr w:type="spellEnd"/>
      <w:r w:rsidRPr="009857E6">
        <w:rPr>
          <w:rFonts w:ascii="Arial" w:hAnsi="Arial" w:cs="Arial"/>
          <w:color w:val="000000" w:themeColor="text1"/>
          <w:sz w:val="20"/>
          <w:szCs w:val="20"/>
        </w:rPr>
        <w:t xml:space="preserve"> the application of the original RTS. </w:t>
      </w:r>
    </w:p>
    <w:p w14:paraId="547A638A" w14:textId="77777777" w:rsidR="009857E6" w:rsidRPr="009857E6" w:rsidRDefault="009857E6" w:rsidP="009857E6">
      <w:pPr>
        <w:pStyle w:val="ListParagraph"/>
        <w:numPr>
          <w:ilvl w:val="0"/>
          <w:numId w:val="40"/>
        </w:numPr>
        <w:spacing w:after="160" w:line="259" w:lineRule="auto"/>
        <w:rPr>
          <w:rFonts w:cs="Arial"/>
          <w:color w:val="000000" w:themeColor="text1"/>
          <w:szCs w:val="20"/>
        </w:rPr>
      </w:pPr>
      <w:r w:rsidRPr="009857E6">
        <w:rPr>
          <w:rFonts w:cs="Arial"/>
          <w:color w:val="000000" w:themeColor="text1"/>
          <w:szCs w:val="20"/>
        </w:rPr>
        <w:t>In general, we think that the ESAs and the Commission should be cautious with bundling RTS or other delegated legislation to avoid one part holding the remainder of the package hostage, as can be seen with the recent events on the taxonomy where single-sector issues had to be singled out by the Commission to avoid rejection of the entire package.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3398A160" w14:textId="77777777" w:rsidR="009857E6" w:rsidRPr="00FF0DDA" w:rsidRDefault="009857E6" w:rsidP="009857E6">
      <w:pPr>
        <w:pStyle w:val="ListParagraph"/>
        <w:numPr>
          <w:ilvl w:val="0"/>
          <w:numId w:val="41"/>
        </w:numPr>
        <w:spacing w:after="160" w:line="259" w:lineRule="auto"/>
        <w:rPr>
          <w:color w:val="000000" w:themeColor="text1"/>
        </w:rPr>
      </w:pPr>
      <w:permStart w:id="729947415" w:edGrp="everyone"/>
      <w:r w:rsidRPr="000D1F91">
        <w:rPr>
          <w:color w:val="000000" w:themeColor="text1"/>
        </w:rPr>
        <w:t xml:space="preserve">According to Article 8 TR “Transparency of undertakings in non-financial statements” all three indicators “Turnover, Capex and </w:t>
      </w:r>
      <w:proofErr w:type="spellStart"/>
      <w:r w:rsidRPr="000D1F91">
        <w:rPr>
          <w:color w:val="000000" w:themeColor="text1"/>
        </w:rPr>
        <w:t>Opex</w:t>
      </w:r>
      <w:proofErr w:type="spellEnd"/>
      <w:r w:rsidRPr="000D1F91">
        <w:rPr>
          <w:color w:val="000000" w:themeColor="text1"/>
        </w:rPr>
        <w:t xml:space="preserve">” </w:t>
      </w:r>
      <w:proofErr w:type="gramStart"/>
      <w:r w:rsidRPr="000D1F91">
        <w:rPr>
          <w:color w:val="000000" w:themeColor="text1"/>
        </w:rPr>
        <w:t>have to</w:t>
      </w:r>
      <w:proofErr w:type="gramEnd"/>
      <w:r w:rsidRPr="000D1F91">
        <w:rPr>
          <w:color w:val="000000" w:themeColor="text1"/>
        </w:rPr>
        <w:t xml:space="preserve"> be disclosed, it is not up to the undertaking’s own assessment to choose a specific indicator. </w:t>
      </w:r>
      <w:r w:rsidRPr="00126071">
        <w:rPr>
          <w:color w:val="000000" w:themeColor="text1"/>
        </w:rPr>
        <w:t>G</w:t>
      </w:r>
      <w:r w:rsidRPr="00126071">
        <w:t xml:space="preserve">iving flexibility to a financial market participant (FMP) to choose between three metrics (the taxonomy-aligned turnover, CAPEX or OPEX) in case of non-financial companies when calculating fund’s taxonomy-alignment ratio, could result in major greenwashing and insufficient comparability across funds for the end-investors. </w:t>
      </w:r>
      <w:r w:rsidRPr="00FF0DDA">
        <w:t xml:space="preserve">Instead, we suggest that for each non-financial company within a fund, an FMP calculates a </w:t>
      </w:r>
      <w:r w:rsidRPr="00FF0DDA">
        <w:rPr>
          <w:bCs/>
        </w:rPr>
        <w:t xml:space="preserve">weighted average </w:t>
      </w:r>
      <w:r w:rsidRPr="00FF0DDA">
        <w:t xml:space="preserve">ratio </w:t>
      </w:r>
      <w:r w:rsidRPr="00FF0DDA">
        <w:rPr>
          <w:bCs/>
        </w:rPr>
        <w:t xml:space="preserve">composed of </w:t>
      </w:r>
      <w:r w:rsidRPr="00FF0DDA">
        <w:t xml:space="preserve">the </w:t>
      </w:r>
      <w:r w:rsidRPr="00FF0DDA">
        <w:rPr>
          <w:bCs/>
        </w:rPr>
        <w:t>taxonomy-aligned turnover, CAPEX and OPEX</w:t>
      </w:r>
      <w:r w:rsidRPr="00FF0DDA">
        <w:t xml:space="preserve">. The respective weights should reflect the relative proportion of turnover, CAPEX and OPEX. </w:t>
      </w:r>
    </w:p>
    <w:p w14:paraId="0173AABC" w14:textId="77777777" w:rsidR="009857E6" w:rsidRDefault="009857E6" w:rsidP="009857E6">
      <w:pPr>
        <w:pStyle w:val="ListParagraph"/>
        <w:numPr>
          <w:ilvl w:val="0"/>
          <w:numId w:val="41"/>
        </w:numPr>
        <w:spacing w:after="160" w:line="259" w:lineRule="auto"/>
      </w:pPr>
      <w:r>
        <w:t>We agree that only the taxonomy alignment (and not any other indicators) should be displayed in a graphical (pie chart) format in addition to numerical data, to avoid creating unnecessary greenwashing incentives.</w:t>
      </w:r>
    </w:p>
    <w:p w14:paraId="4D698D04" w14:textId="77777777" w:rsidR="009857E6" w:rsidRDefault="009857E6" w:rsidP="009857E6">
      <w:pPr>
        <w:pStyle w:val="ListParagraph"/>
        <w:numPr>
          <w:ilvl w:val="0"/>
          <w:numId w:val="41"/>
        </w:numPr>
        <w:spacing w:after="160" w:line="259" w:lineRule="auto"/>
      </w:pPr>
      <w:r>
        <w:t xml:space="preserve">The same approach should apply to all investments, but we understand the limitations due to sectoral differences between credit institutions, </w:t>
      </w:r>
      <w:proofErr w:type="gramStart"/>
      <w:r>
        <w:t>insurers</w:t>
      </w:r>
      <w:proofErr w:type="gramEnd"/>
      <w:r>
        <w:t xml:space="preserve"> and asset managers. Data availability or the lack thereof should not be a reason to ignore parts of the portfolio when calculating the numerator/denominator of the proportion. This would provide the wrong incentives to portfolio managers right now and the wrong incentives to issuers in the future. Investments in instruments that cannot be judged against the taxonomy should </w:t>
      </w:r>
      <w:proofErr w:type="gramStart"/>
      <w:r>
        <w:t>by definition not</w:t>
      </w:r>
      <w:proofErr w:type="gramEnd"/>
      <w:r>
        <w:t xml:space="preserve"> be counted as taxonomy-</w:t>
      </w:r>
      <w:proofErr w:type="spellStart"/>
      <w:r>
        <w:t>eligble</w:t>
      </w:r>
      <w:proofErr w:type="spellEnd"/>
      <w:r>
        <w:t>. The SFDR fundamentally targets products that are light or dark green, helping investors who want to make a positive contribution to the taxonomy objectives and avoid greenwashing of such investments. From these investors' perspective, ignoring difficult to assess instruments such as sovereign bonds from the calculations could actually lead to greenwashing by ignoring those assets and basing the "greenness" on a potentially very limited subset of exposures (</w:t>
      </w:r>
      <w:proofErr w:type="gramStart"/>
      <w:r>
        <w:t>e.g.</w:t>
      </w:r>
      <w:proofErr w:type="gramEnd"/>
      <w:r>
        <w:t xml:space="preserve"> in case of a UCITS mixed fund with 50+% of its assets in government bonds).</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A8BA694" w14:textId="77777777" w:rsidR="009857E6" w:rsidRDefault="009857E6" w:rsidP="009857E6">
      <w:permStart w:id="677205538" w:edGrp="everyone"/>
      <w:r>
        <w:t>As all investee companies must disclose the three KPIs, we are concerned that it could be tempting for a fund manager to do the calculations on each of the three indicators and then apply the model that provides the greatest proportion of taxonomy alignment. We would therefore suggest not to apply this choice for individual products, but for all products that the FMP issues in a given asset class/regulatory regime (</w:t>
      </w:r>
      <w:proofErr w:type="gramStart"/>
      <w:r>
        <w:t>e.g.</w:t>
      </w:r>
      <w:proofErr w:type="gramEnd"/>
      <w:r>
        <w:t xml:space="preserve"> UCITS).</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3B00C63E" w14:textId="1516F398" w:rsidR="009857E6" w:rsidRPr="009857E6" w:rsidRDefault="009857E6" w:rsidP="009857E6">
      <w:pPr>
        <w:rPr>
          <w:rFonts w:cs="Arial"/>
          <w:szCs w:val="20"/>
        </w:rPr>
      </w:pPr>
      <w:permStart w:id="1220688604" w:edGrp="everyone"/>
      <w:r w:rsidRPr="009857E6">
        <w:rPr>
          <w:rFonts w:cs="Arial"/>
          <w:szCs w:val="20"/>
        </w:rPr>
        <w:t xml:space="preserve">No, we disagree. The purpose of the Taxonomy and SFDR Article 8 or 9 products is to shift funds from less sustainable to more sustainable investments. As derivatives and </w:t>
      </w:r>
      <w:proofErr w:type="spellStart"/>
      <w:r w:rsidRPr="009857E6">
        <w:rPr>
          <w:rFonts w:cs="Arial"/>
          <w:szCs w:val="20"/>
        </w:rPr>
        <w:t>CfDs</w:t>
      </w:r>
      <w:proofErr w:type="spellEnd"/>
      <w:r w:rsidRPr="009857E6">
        <w:rPr>
          <w:rFonts w:cs="Arial"/>
          <w:szCs w:val="20"/>
        </w:rPr>
        <w:t xml:space="preserve"> provide no additionality in terms of new sustainable investments, these exposures should not be considered equivalent to equity and debt instruments for the purpose of calculating the KPI. The taxonomy and its related disclosures are not about what is "good" and what is "bad", they are about what should be </w:t>
      </w:r>
      <w:r w:rsidRPr="009857E6">
        <w:rPr>
          <w:rFonts w:cs="Arial"/>
          <w:color w:val="000000" w:themeColor="text1"/>
          <w:szCs w:val="20"/>
        </w:rPr>
        <w:t>stimulated (nudged) given the positive returns of certain investments for society.</w:t>
      </w:r>
      <w:r w:rsidRPr="009857E6">
        <w:rPr>
          <w:rFonts w:cs="Arial"/>
          <w:color w:val="000000" w:themeColor="text1"/>
          <w:szCs w:val="20"/>
          <w:lang w:eastAsia="en-GB"/>
        </w:rPr>
        <w:t xml:space="preserve"> T</w:t>
      </w:r>
      <w:r w:rsidRPr="00172CEA">
        <w:rPr>
          <w:rFonts w:cs="Arial"/>
          <w:color w:val="000000" w:themeColor="text1"/>
          <w:szCs w:val="20"/>
          <w:lang w:eastAsia="en-GB"/>
        </w:rPr>
        <w:t>he net market value of derivatives</w:t>
      </w:r>
      <w:r w:rsidRPr="009857E6">
        <w:rPr>
          <w:rFonts w:cs="Arial"/>
          <w:color w:val="000000" w:themeColor="text1"/>
          <w:szCs w:val="20"/>
          <w:lang w:eastAsia="en-GB"/>
        </w:rPr>
        <w:t xml:space="preserve">, </w:t>
      </w:r>
      <w:r w:rsidRPr="009857E6">
        <w:rPr>
          <w:rFonts w:cs="Arial"/>
          <w:color w:val="000000" w:themeColor="text1"/>
          <w:szCs w:val="20"/>
          <w:lang w:val="en-BE"/>
        </w:rPr>
        <w:t>together with all other investments</w:t>
      </w:r>
      <w:r w:rsidRPr="009857E6">
        <w:rPr>
          <w:rFonts w:cs="Arial"/>
          <w:color w:val="000000" w:themeColor="text1"/>
          <w:szCs w:val="20"/>
          <w:lang w:val="en-US"/>
        </w:rPr>
        <w:t>,</w:t>
      </w:r>
      <w:r w:rsidRPr="009857E6">
        <w:rPr>
          <w:rFonts w:cs="Arial"/>
          <w:color w:val="000000" w:themeColor="text1"/>
          <w:szCs w:val="20"/>
          <w:lang w:val="en-BE"/>
        </w:rPr>
        <w:t xml:space="preserve"> should be included in the ratio’s denominator. </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5085216" w14:textId="77777777" w:rsidR="009857E6" w:rsidRPr="00D24BBA" w:rsidRDefault="009857E6" w:rsidP="009857E6">
      <w:pPr>
        <w:rPr>
          <w:highlight w:val="yellow"/>
        </w:rPr>
      </w:pPr>
      <w:permStart w:id="209390932" w:edGrp="everyone"/>
      <w:r w:rsidRPr="0017715F">
        <w:rPr>
          <w:color w:val="000000" w:themeColor="text1"/>
        </w:rPr>
        <w:t xml:space="preserve">In order to avoid confusion for the user of the information disclosed and to avoid greenwashing, it would be good if the guidance can clearly define </w:t>
      </w:r>
      <w:r>
        <w:rPr>
          <w:color w:val="000000" w:themeColor="text1"/>
        </w:rPr>
        <w:t xml:space="preserve">the scope of </w:t>
      </w:r>
      <w:r w:rsidRPr="0017715F">
        <w:rPr>
          <w:color w:val="000000" w:themeColor="text1"/>
        </w:rPr>
        <w:t xml:space="preserve">which </w:t>
      </w:r>
      <w:r>
        <w:rPr>
          <w:color w:val="000000" w:themeColor="text1"/>
        </w:rPr>
        <w:t xml:space="preserve">financial </w:t>
      </w:r>
      <w:r w:rsidRPr="0017715F">
        <w:rPr>
          <w:color w:val="000000" w:themeColor="text1"/>
        </w:rPr>
        <w:t xml:space="preserve">instruments are </w:t>
      </w:r>
      <w:r w:rsidRPr="2BD21406">
        <w:rPr>
          <w:color w:val="000000" w:themeColor="text1"/>
        </w:rPr>
        <w:t>included</w:t>
      </w:r>
      <w:r w:rsidRPr="0017715F">
        <w:rPr>
          <w:color w:val="000000" w:themeColor="text1"/>
        </w:rPr>
        <w:t xml:space="preserve"> and which are </w:t>
      </w:r>
      <w:proofErr w:type="gramStart"/>
      <w:r w:rsidRPr="0017715F">
        <w:rPr>
          <w:color w:val="000000" w:themeColor="text1"/>
        </w:rPr>
        <w:t>not, and</w:t>
      </w:r>
      <w:proofErr w:type="gramEnd"/>
      <w:r w:rsidRPr="0017715F">
        <w:rPr>
          <w:color w:val="000000" w:themeColor="text1"/>
        </w:rPr>
        <w:t xml:space="preserve"> provide a clear explanation of why this is the case, to ensure consistency with other disclosed parts. </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39067DD5" w14:textId="77777777" w:rsidR="009857E6" w:rsidRDefault="009857E6" w:rsidP="009857E6">
      <w:permStart w:id="418122716" w:edGrp="everyone"/>
      <w:r w:rsidRPr="00D24BBA">
        <w:t>As explained in our answer to Q2, given the "positive impact" objective of Article 8 and 9 SFDR products, all investments should be included</w:t>
      </w:r>
      <w:r>
        <w:t xml:space="preserve"> in the denominator. The d</w:t>
      </w:r>
      <w:r>
        <w:rPr>
          <w:color w:val="000000" w:themeColor="text1"/>
        </w:rPr>
        <w:t xml:space="preserve">enominator shall therefore include equity, debt (incl. bonds </w:t>
      </w:r>
      <w:proofErr w:type="gramStart"/>
      <w:r>
        <w:rPr>
          <w:color w:val="000000" w:themeColor="text1"/>
        </w:rPr>
        <w:t>and also</w:t>
      </w:r>
      <w:proofErr w:type="gramEnd"/>
      <w:r>
        <w:rPr>
          <w:color w:val="000000" w:themeColor="text1"/>
        </w:rPr>
        <w:t xml:space="preserve"> sovereign bonds) and derivatives</w:t>
      </w:r>
      <w:r>
        <w:t>.</w:t>
      </w:r>
    </w:p>
    <w:p w14:paraId="49163689" w14:textId="77777777" w:rsidR="009857E6" w:rsidRDefault="009857E6" w:rsidP="009857E6">
      <w:r>
        <w:t>If there are</w:t>
      </w:r>
      <w:r w:rsidRPr="00D24BBA">
        <w:t xml:space="preserve"> no data</w:t>
      </w:r>
      <w:r>
        <w:t>, there is</w:t>
      </w:r>
      <w:r w:rsidRPr="00D24BBA">
        <w:t xml:space="preserve"> no </w:t>
      </w:r>
      <w:r>
        <w:t>assessment against the taxonomy</w:t>
      </w:r>
      <w:r w:rsidRPr="00D24BBA">
        <w:t xml:space="preserve">. </w:t>
      </w:r>
      <w:r>
        <w:t>It also avoids the potential situation</w:t>
      </w:r>
      <w:r w:rsidRPr="00D24BBA">
        <w:t xml:space="preserve"> that a portfolio of which a part is unmeasurable is awarded a better score than a portfolio with measurable but non-aligned investments. Finally, it encourages the screening of "other assets" some of which might be assessed for taxonomy-alignment but simply have not been assessed because of high costs or missing competences.</w:t>
      </w:r>
    </w:p>
    <w:p w14:paraId="7436FDA8" w14:textId="728E859B" w:rsidR="009857E6" w:rsidRDefault="009857E6" w:rsidP="009857E6">
      <w:pPr>
        <w:rPr>
          <w:color w:val="000000" w:themeColor="text1"/>
          <w:lang w:val="en-US"/>
        </w:rPr>
      </w:pPr>
      <w:r w:rsidRPr="00DB7A05">
        <w:rPr>
          <w:color w:val="000000" w:themeColor="text1"/>
          <w:lang w:val="en-US"/>
        </w:rPr>
        <w:lastRenderedPageBreak/>
        <w:t xml:space="preserve">We believe that there is not yet a robust methodology to include sovereign </w:t>
      </w:r>
      <w:r w:rsidRPr="2BD21406">
        <w:rPr>
          <w:color w:val="000000" w:themeColor="text1"/>
          <w:lang w:val="en-US"/>
        </w:rPr>
        <w:t>bonds</w:t>
      </w:r>
      <w:r>
        <w:rPr>
          <w:color w:val="000000" w:themeColor="text1"/>
          <w:lang w:val="en-US"/>
        </w:rPr>
        <w:t xml:space="preserve"> in the numerator</w:t>
      </w:r>
      <w:r w:rsidRPr="2BD21406">
        <w:rPr>
          <w:color w:val="000000" w:themeColor="text1"/>
          <w:lang w:val="en-US"/>
        </w:rPr>
        <w:t>.</w:t>
      </w:r>
      <w:r w:rsidRPr="00DB7A05">
        <w:rPr>
          <w:color w:val="000000" w:themeColor="text1"/>
          <w:lang w:val="en-US"/>
        </w:rPr>
        <w:t xml:space="preserve"> It would be very positive to develop one and it should be encouraged so that it becomes possible rapidly to consider sovereign exposures eligible. But the precondition is to have a robust methodology available.</w:t>
      </w:r>
    </w:p>
    <w:p w14:paraId="60A87DA6" w14:textId="77777777" w:rsidR="009857E6" w:rsidRPr="00DB7A05" w:rsidRDefault="009857E6" w:rsidP="009857E6">
      <w:pPr>
        <w:rPr>
          <w:color w:val="000000" w:themeColor="text1"/>
          <w:lang w:val="en-US"/>
        </w:rPr>
      </w:pPr>
    </w:p>
    <w:p w14:paraId="7CAE18B4" w14:textId="77777777" w:rsidR="009857E6" w:rsidRPr="006638E8" w:rsidRDefault="009857E6" w:rsidP="009857E6">
      <w:pPr>
        <w:rPr>
          <w:rFonts w:ascii="Times New Roman" w:hAnsi="Times New Roman"/>
          <w:sz w:val="24"/>
          <w:lang w:val="en-BE" w:eastAsia="en-GB"/>
        </w:rPr>
      </w:pPr>
      <w:r w:rsidRPr="008E3B0B">
        <w:rPr>
          <w:color w:val="000000" w:themeColor="text1"/>
        </w:rPr>
        <w:t xml:space="preserve">As mentioned in our answer to question 5, it is important to have guidance clearly defining which instruments are included and which are not, and </w:t>
      </w:r>
      <w:r w:rsidRPr="2BD21406">
        <w:rPr>
          <w:color w:val="000000" w:themeColor="text1"/>
        </w:rPr>
        <w:t xml:space="preserve">that </w:t>
      </w:r>
      <w:r w:rsidRPr="008E3B0B">
        <w:rPr>
          <w:color w:val="000000" w:themeColor="text1"/>
        </w:rPr>
        <w:t xml:space="preserve">an understandable data breakdown is provided </w:t>
      </w:r>
      <w:proofErr w:type="gramStart"/>
      <w:r w:rsidRPr="008E3B0B">
        <w:rPr>
          <w:color w:val="000000" w:themeColor="text1"/>
        </w:rPr>
        <w:t>in order for</w:t>
      </w:r>
      <w:proofErr w:type="gramEnd"/>
      <w:r w:rsidRPr="008E3B0B">
        <w:rPr>
          <w:color w:val="000000" w:themeColor="text1"/>
        </w:rPr>
        <w:t xml:space="preserve"> the user to go through it easily. It is more appropriate to keep equity and fixed income separate </w:t>
      </w:r>
      <w:r>
        <w:rPr>
          <w:color w:val="000000" w:themeColor="text1"/>
        </w:rPr>
        <w:t xml:space="preserve">and to provide a clear breakdown of it, </w:t>
      </w:r>
      <w:r w:rsidRPr="008E3B0B">
        <w:rPr>
          <w:color w:val="000000" w:themeColor="text1"/>
        </w:rPr>
        <w:t xml:space="preserve">as these funding tools are used for different purposes by investee companies. In addition, keeping this breakdown would bring the benefit to assess whether the ‘taxonomy exposure’ is similar or not for equity on the one hand and fixed </w:t>
      </w:r>
      <w:r>
        <w:rPr>
          <w:color w:val="000000" w:themeColor="text1"/>
        </w:rPr>
        <w:t xml:space="preserve">income on the other hand. </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117F4AE4" w14:textId="77777777" w:rsidR="009857E6" w:rsidRDefault="009857E6" w:rsidP="009857E6">
      <w:permStart w:id="569465455" w:edGrp="everyone"/>
      <w:r>
        <w:t>The requirement that all KPIs should be audited is not unreasonable, given that other legislation (the revised NFRD, now the Corporate Sustainability Reporting Directive) aims to impose similar requirements on investee companies.</w:t>
      </w:r>
    </w:p>
    <w:p w14:paraId="5B68BD61" w14:textId="77777777" w:rsidR="009857E6" w:rsidRPr="00281473" w:rsidRDefault="009857E6" w:rsidP="009857E6">
      <w:pPr>
        <w:rPr>
          <w:color w:val="000000" w:themeColor="text1"/>
        </w:rPr>
      </w:pPr>
      <w:proofErr w:type="spellStart"/>
      <w:r w:rsidRPr="00281473">
        <w:rPr>
          <w:color w:val="000000" w:themeColor="text1"/>
        </w:rPr>
        <w:t>ShareAction</w:t>
      </w:r>
      <w:proofErr w:type="spellEnd"/>
      <w:r w:rsidRPr="00281473">
        <w:rPr>
          <w:color w:val="000000" w:themeColor="text1"/>
        </w:rPr>
        <w:t xml:space="preserve"> believ</w:t>
      </w:r>
      <w:r>
        <w:rPr>
          <w:color w:val="000000" w:themeColor="text1"/>
        </w:rPr>
        <w:t>e</w:t>
      </w:r>
      <w:r w:rsidRPr="00281473">
        <w:rPr>
          <w:color w:val="000000" w:themeColor="text1"/>
        </w:rPr>
        <w:t xml:space="preserve">s that assurance of information is always important, especially on sustainability related information, to prevent greenwashing. As taxonomy compliance is very specific and technical, assurance would </w:t>
      </w:r>
      <w:proofErr w:type="gramStart"/>
      <w:r w:rsidRPr="00281473">
        <w:rPr>
          <w:color w:val="000000" w:themeColor="text1"/>
        </w:rPr>
        <w:t>definitely help</w:t>
      </w:r>
      <w:proofErr w:type="gramEnd"/>
      <w:r w:rsidRPr="00281473">
        <w:rPr>
          <w:color w:val="000000" w:themeColor="text1"/>
        </w:rPr>
        <w:t xml:space="preserve"> users trust the information they are reading. The Assurance need to be external and independent. </w:t>
      </w:r>
    </w:p>
    <w:p w14:paraId="5C36270D" w14:textId="77777777" w:rsidR="009857E6" w:rsidRDefault="009857E6" w:rsidP="009857E6">
      <w:r>
        <w:t>Any KPI, financial or non-financial, should be audited wherever reasonably feasible. At the very least, the regulation should encourage FMPs to have their statement assessed by external parties. One way to achieve this in the text is to replace the various references to "whether the statement has been subject to an assurance..." by "whether or not the statement has been subject to an assurance..."  This would force FMPs to explicitly disclose the fact that their data is NOT audited, where applicable, and that therefore the investor can only realise on the FMP's own statements that there is a certain degree of taxonomy-alignment.</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05A9E9D8" w14:textId="77777777" w:rsidR="009857E6" w:rsidRPr="00B32F2D" w:rsidRDefault="009857E6" w:rsidP="009857E6">
      <w:pPr>
        <w:rPr>
          <w:color w:val="000000" w:themeColor="text1"/>
        </w:rPr>
      </w:pPr>
      <w:permStart w:id="1713528049" w:edGrp="everyone"/>
      <w:proofErr w:type="spellStart"/>
      <w:r>
        <w:t>ShareAction</w:t>
      </w:r>
      <w:proofErr w:type="spellEnd"/>
      <w:r>
        <w:t xml:space="preserve"> agrees with the proposed alignment of the periodic </w:t>
      </w:r>
      <w:r w:rsidRPr="00B32F2D">
        <w:rPr>
          <w:color w:val="000000" w:themeColor="text1"/>
        </w:rPr>
        <w:t xml:space="preserve">disclosures to the pre-contractual disclosures, wherever possible (same language, graphics, sequencing) </w:t>
      </w:r>
      <w:proofErr w:type="gramStart"/>
      <w:r w:rsidRPr="00B32F2D">
        <w:rPr>
          <w:color w:val="000000" w:themeColor="text1"/>
        </w:rPr>
        <w:t>in order to</w:t>
      </w:r>
      <w:proofErr w:type="gramEnd"/>
      <w:r w:rsidRPr="00B32F2D">
        <w:rPr>
          <w:color w:val="000000" w:themeColor="text1"/>
        </w:rPr>
        <w:t xml:space="preserve"> ensure consistency.</w:t>
      </w:r>
    </w:p>
    <w:p w14:paraId="627CADCD" w14:textId="77777777" w:rsidR="009857E6" w:rsidRPr="00E75264" w:rsidRDefault="009857E6" w:rsidP="009857E6">
      <w:pPr>
        <w:rPr>
          <w:color w:val="000000" w:themeColor="text1"/>
        </w:rPr>
      </w:pPr>
      <w:r w:rsidRPr="00B32F2D">
        <w:rPr>
          <w:color w:val="000000" w:themeColor="text1"/>
        </w:rPr>
        <w:t xml:space="preserve">We agree with the ESAs’ rationale to provide mandatory template for both pre-contractual and </w:t>
      </w:r>
      <w:r w:rsidRPr="00E75264">
        <w:rPr>
          <w:color w:val="000000" w:themeColor="text1"/>
        </w:rPr>
        <w:t xml:space="preserve">period reporting </w:t>
      </w:r>
      <w:proofErr w:type="gramStart"/>
      <w:r w:rsidRPr="00E75264">
        <w:rPr>
          <w:color w:val="000000" w:themeColor="text1"/>
        </w:rPr>
        <w:t>in order to</w:t>
      </w:r>
      <w:proofErr w:type="gramEnd"/>
      <w:r w:rsidRPr="00E75264">
        <w:rPr>
          <w:color w:val="000000" w:themeColor="text1"/>
        </w:rPr>
        <w:t xml:space="preserve"> offer a standardised framework and a level playing field for FMPs. It will allow also better comparability of products for investors, which is crucial when trying to make an informed investment decision. It will be relevant to update the templates regularly as data collection is evolving quickly.  </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57E01AB7" w14:textId="77777777" w:rsidR="004D4B3B" w:rsidRPr="00DC2896" w:rsidRDefault="004D4B3B" w:rsidP="004D4B3B">
      <w:pPr>
        <w:rPr>
          <w:color w:val="000000" w:themeColor="text1"/>
        </w:rPr>
      </w:pPr>
      <w:permStart w:id="221670941" w:edGrp="everyone"/>
      <w:r w:rsidRPr="00DC2896">
        <w:rPr>
          <w:color w:val="000000" w:themeColor="text1"/>
        </w:rPr>
        <w:t xml:space="preserve">In all three Annexes we see that they use the term “minimum share of – investments aligned with the EU Taxonomy/transitional and enabling activities/sustainable investments that are not aligned with EU Taxonomy” and we believe this should be removed to include just “share of”. The concept of minimum can be confusing as it seems to impose a threshold that is not required in the legislative text. </w:t>
      </w:r>
    </w:p>
    <w:p w14:paraId="4B6DD1CB" w14:textId="77777777" w:rsidR="004D4B3B" w:rsidRPr="00DC2896" w:rsidRDefault="004D4B3B" w:rsidP="004D4B3B">
      <w:pPr>
        <w:rPr>
          <w:color w:val="000000" w:themeColor="text1"/>
        </w:rPr>
      </w:pPr>
      <w:r w:rsidRPr="00DC2896">
        <w:rPr>
          <w:color w:val="000000" w:themeColor="text1"/>
        </w:rPr>
        <w:t>Even if we believe that including a pie chart with the share of taxonomy-aligned can help the end user to better understand the information,</w:t>
      </w:r>
      <w:commentRangeStart w:id="1"/>
      <w:commentRangeStart w:id="2"/>
      <w:r w:rsidRPr="00DC2896">
        <w:rPr>
          <w:color w:val="000000" w:themeColor="text1"/>
        </w:rPr>
        <w:t xml:space="preserve"> </w:t>
      </w:r>
      <w:r w:rsidRPr="2BD21406">
        <w:rPr>
          <w:color w:val="000000" w:themeColor="text1"/>
        </w:rPr>
        <w:t xml:space="preserve">an additional </w:t>
      </w:r>
      <w:commentRangeEnd w:id="1"/>
      <w:r>
        <w:rPr>
          <w:rStyle w:val="CommentReference"/>
        </w:rPr>
        <w:commentReference w:id="1"/>
      </w:r>
      <w:commentRangeEnd w:id="2"/>
      <w:r>
        <w:rPr>
          <w:rStyle w:val="CommentReference"/>
        </w:rPr>
        <w:commentReference w:id="2"/>
      </w:r>
      <w:r w:rsidRPr="00DC2896">
        <w:rPr>
          <w:color w:val="000000" w:themeColor="text1"/>
        </w:rPr>
        <w:t xml:space="preserve">more general pie chart with other sustainable investments </w:t>
      </w:r>
      <w:r w:rsidRPr="00DC2896">
        <w:rPr>
          <w:color w:val="000000" w:themeColor="text1"/>
        </w:rPr>
        <w:lastRenderedPageBreak/>
        <w:t xml:space="preserve">(even if not taxonomy-aligned) compared to all investments should be included to ensure a general perspective is given and to avoid greenwashing. </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3" w:name="_Hlk18829484"/>
      <w:r>
        <w:t xml:space="preserve">: </w:t>
      </w:r>
      <w:bookmarkEnd w:id="3"/>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4175DCC5" w14:textId="77777777" w:rsidR="004D4B3B" w:rsidRDefault="004D4B3B" w:rsidP="004D4B3B">
      <w:permStart w:id="610013876" w:edGrp="everyone"/>
      <w:r>
        <w:t>As we support the analysis that Article 5-6 TR products should be seen as a subset of Article 8-9 SFDR products, we believe the disclosures should be as harmonised as possible and based on the common indicators between the two groups. Article 5-6 TR products should therefore align to the Article 8-9 SFDR products as much as possible, and explicitly mention when indicators are missing or irrelevant.</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6C7B82FD" w14:textId="77777777" w:rsidR="00BC4690" w:rsidRPr="00BC4690" w:rsidRDefault="00BC4690" w:rsidP="00BC4690">
      <w:pPr>
        <w:rPr>
          <w:rFonts w:cs="Arial"/>
          <w:szCs w:val="20"/>
        </w:rPr>
      </w:pPr>
      <w:permStart w:id="790175202" w:edGrp="everyone"/>
      <w:r w:rsidRPr="00BC4690">
        <w:rPr>
          <w:rFonts w:cs="Arial"/>
          <w:szCs w:val="20"/>
        </w:rPr>
        <w:t xml:space="preserve">Yes. Despite the ongoing development on the taxonomy, </w:t>
      </w:r>
      <w:proofErr w:type="gramStart"/>
      <w:r w:rsidRPr="00BC4690">
        <w:rPr>
          <w:rFonts w:cs="Arial"/>
          <w:szCs w:val="20"/>
        </w:rPr>
        <w:t>in particular as</w:t>
      </w:r>
      <w:proofErr w:type="gramEnd"/>
      <w:r w:rsidRPr="00BC4690">
        <w:rPr>
          <w:rFonts w:cs="Arial"/>
          <w:szCs w:val="20"/>
        </w:rPr>
        <w:t xml:space="preserve"> regards social objectives, we believe that Article 8-9 SFDR products with sustainable investments targeting societally beneficial results outside the environmental/climate domain should make that clear. All claims should be substantiated clearly, to prevent “social washing, pending the development of the social taxonomy. </w:t>
      </w:r>
    </w:p>
    <w:p w14:paraId="595D0CF5" w14:textId="23479B60" w:rsidR="00BC4690" w:rsidRPr="00BC4690" w:rsidRDefault="00BC4690" w:rsidP="00BC4690">
      <w:pPr>
        <w:rPr>
          <w:rFonts w:cs="Arial"/>
          <w:szCs w:val="20"/>
        </w:rPr>
      </w:pPr>
      <w:r w:rsidRPr="00BC4690">
        <w:rPr>
          <w:rFonts w:cs="Arial"/>
          <w:szCs w:val="20"/>
        </w:rPr>
        <w:t xml:space="preserve">We </w:t>
      </w:r>
      <w:r w:rsidRPr="00BC4690">
        <w:rPr>
          <w:rFonts w:cs="Arial"/>
          <w:szCs w:val="20"/>
        </w:rPr>
        <w:t xml:space="preserve">therefore </w:t>
      </w:r>
      <w:r w:rsidRPr="00BC4690">
        <w:rPr>
          <w:rFonts w:cs="Arial"/>
          <w:szCs w:val="20"/>
        </w:rPr>
        <w:t>recommend that products pursuing social objectives to:</w:t>
      </w:r>
    </w:p>
    <w:p w14:paraId="61C70651" w14:textId="77777777" w:rsidR="00BC4690" w:rsidRPr="00BC4690" w:rsidRDefault="00BC4690" w:rsidP="00BC4690">
      <w:pPr>
        <w:pStyle w:val="Default"/>
        <w:numPr>
          <w:ilvl w:val="0"/>
          <w:numId w:val="42"/>
        </w:numPr>
        <w:spacing w:line="276" w:lineRule="auto"/>
        <w:jc w:val="both"/>
        <w:rPr>
          <w:rFonts w:ascii="Arial" w:hAnsi="Arial" w:cs="Arial"/>
          <w:sz w:val="20"/>
          <w:szCs w:val="20"/>
        </w:rPr>
      </w:pPr>
      <w:proofErr w:type="spellStart"/>
      <w:r w:rsidRPr="00BC4690">
        <w:rPr>
          <w:rFonts w:ascii="Arial" w:hAnsi="Arial" w:cs="Arial"/>
          <w:sz w:val="20"/>
          <w:szCs w:val="20"/>
        </w:rPr>
        <w:t>Comply</w:t>
      </w:r>
      <w:proofErr w:type="spellEnd"/>
      <w:r w:rsidRPr="00BC4690">
        <w:rPr>
          <w:rFonts w:ascii="Arial" w:hAnsi="Arial" w:cs="Arial"/>
          <w:sz w:val="20"/>
          <w:szCs w:val="20"/>
        </w:rPr>
        <w:t xml:space="preserve"> </w:t>
      </w:r>
      <w:proofErr w:type="spellStart"/>
      <w:r w:rsidRPr="00BC4690">
        <w:rPr>
          <w:rFonts w:ascii="Arial" w:hAnsi="Arial" w:cs="Arial"/>
          <w:sz w:val="20"/>
          <w:szCs w:val="20"/>
        </w:rPr>
        <w:t>with</w:t>
      </w:r>
      <w:proofErr w:type="spellEnd"/>
      <w:r w:rsidRPr="00BC4690">
        <w:rPr>
          <w:rFonts w:ascii="Arial" w:hAnsi="Arial" w:cs="Arial"/>
          <w:sz w:val="20"/>
          <w:szCs w:val="20"/>
        </w:rPr>
        <w:t xml:space="preserve"> the Minimum Social </w:t>
      </w:r>
      <w:proofErr w:type="spellStart"/>
      <w:proofErr w:type="gramStart"/>
      <w:r w:rsidRPr="00BC4690">
        <w:rPr>
          <w:rFonts w:ascii="Arial" w:hAnsi="Arial" w:cs="Arial"/>
          <w:sz w:val="20"/>
          <w:szCs w:val="20"/>
        </w:rPr>
        <w:t>Safeguards</w:t>
      </w:r>
      <w:proofErr w:type="spellEnd"/>
      <w:r w:rsidRPr="00BC4690">
        <w:rPr>
          <w:rFonts w:ascii="Arial" w:hAnsi="Arial" w:cs="Arial"/>
          <w:sz w:val="20"/>
          <w:szCs w:val="20"/>
        </w:rPr>
        <w:t>;</w:t>
      </w:r>
      <w:proofErr w:type="gramEnd"/>
    </w:p>
    <w:p w14:paraId="2B4A402C" w14:textId="77777777" w:rsidR="00BC4690" w:rsidRPr="00BC4690" w:rsidRDefault="00BC4690" w:rsidP="00BC4690">
      <w:pPr>
        <w:pStyle w:val="Default"/>
        <w:numPr>
          <w:ilvl w:val="0"/>
          <w:numId w:val="42"/>
        </w:numPr>
        <w:spacing w:line="276" w:lineRule="auto"/>
        <w:jc w:val="both"/>
        <w:rPr>
          <w:rFonts w:ascii="Arial" w:hAnsi="Arial" w:cs="Arial"/>
          <w:sz w:val="20"/>
          <w:szCs w:val="20"/>
        </w:rPr>
      </w:pPr>
      <w:r w:rsidRPr="00BC4690">
        <w:rPr>
          <w:rFonts w:ascii="Arial" w:hAnsi="Arial" w:cs="Arial"/>
          <w:sz w:val="20"/>
          <w:szCs w:val="20"/>
        </w:rPr>
        <w:t xml:space="preserve">Report </w:t>
      </w:r>
      <w:proofErr w:type="spellStart"/>
      <w:r w:rsidRPr="00BC4690">
        <w:rPr>
          <w:rFonts w:ascii="Arial" w:hAnsi="Arial" w:cs="Arial"/>
          <w:sz w:val="20"/>
          <w:szCs w:val="20"/>
        </w:rPr>
        <w:t>against</w:t>
      </w:r>
      <w:proofErr w:type="spellEnd"/>
      <w:r w:rsidRPr="00BC4690">
        <w:rPr>
          <w:rFonts w:ascii="Arial" w:hAnsi="Arial" w:cs="Arial"/>
          <w:sz w:val="20"/>
          <w:szCs w:val="20"/>
        </w:rPr>
        <w:t xml:space="preserve"> SFDR </w:t>
      </w:r>
      <w:proofErr w:type="spellStart"/>
      <w:r w:rsidRPr="00BC4690">
        <w:rPr>
          <w:rFonts w:ascii="Arial" w:hAnsi="Arial" w:cs="Arial"/>
          <w:sz w:val="20"/>
          <w:szCs w:val="20"/>
        </w:rPr>
        <w:t>Principle</w:t>
      </w:r>
      <w:proofErr w:type="spellEnd"/>
      <w:r w:rsidRPr="00BC4690">
        <w:rPr>
          <w:rFonts w:ascii="Arial" w:hAnsi="Arial" w:cs="Arial"/>
          <w:sz w:val="20"/>
          <w:szCs w:val="20"/>
        </w:rPr>
        <w:t xml:space="preserve"> Adverse </w:t>
      </w:r>
      <w:proofErr w:type="spellStart"/>
      <w:proofErr w:type="gramStart"/>
      <w:r w:rsidRPr="00BC4690">
        <w:rPr>
          <w:rFonts w:ascii="Arial" w:hAnsi="Arial" w:cs="Arial"/>
          <w:sz w:val="20"/>
          <w:szCs w:val="20"/>
        </w:rPr>
        <w:t>Indicators</w:t>
      </w:r>
      <w:proofErr w:type="spellEnd"/>
      <w:r w:rsidRPr="00BC4690">
        <w:rPr>
          <w:rFonts w:ascii="Arial" w:hAnsi="Arial" w:cs="Arial"/>
          <w:sz w:val="20"/>
          <w:szCs w:val="20"/>
        </w:rPr>
        <w:t>;</w:t>
      </w:r>
      <w:proofErr w:type="gramEnd"/>
    </w:p>
    <w:p w14:paraId="5A8C9D4B" w14:textId="77777777" w:rsidR="00BC4690" w:rsidRPr="00A0622D" w:rsidRDefault="00BC4690" w:rsidP="00BC4690">
      <w:pPr>
        <w:pStyle w:val="Default"/>
        <w:numPr>
          <w:ilvl w:val="0"/>
          <w:numId w:val="42"/>
        </w:numPr>
        <w:spacing w:line="276" w:lineRule="auto"/>
        <w:jc w:val="both"/>
        <w:rPr>
          <w:rFonts w:asciiTheme="minorHAnsi" w:hAnsiTheme="minorHAnsi" w:cstheme="minorHAnsi"/>
          <w:sz w:val="22"/>
          <w:szCs w:val="22"/>
        </w:rPr>
      </w:pPr>
      <w:proofErr w:type="spellStart"/>
      <w:r w:rsidRPr="00BC4690">
        <w:rPr>
          <w:rFonts w:ascii="Arial" w:hAnsi="Arial" w:cs="Arial"/>
          <w:sz w:val="20"/>
          <w:szCs w:val="20"/>
        </w:rPr>
        <w:t>Disclose</w:t>
      </w:r>
      <w:proofErr w:type="spellEnd"/>
      <w:r w:rsidRPr="00BC4690">
        <w:rPr>
          <w:rFonts w:ascii="Arial" w:hAnsi="Arial" w:cs="Arial"/>
          <w:sz w:val="20"/>
          <w:szCs w:val="20"/>
        </w:rPr>
        <w:t xml:space="preserve"> information on the social objective(s) </w:t>
      </w:r>
      <w:proofErr w:type="spellStart"/>
      <w:r w:rsidRPr="00BC4690">
        <w:rPr>
          <w:rFonts w:ascii="Arial" w:hAnsi="Arial" w:cs="Arial"/>
          <w:sz w:val="20"/>
          <w:szCs w:val="20"/>
        </w:rPr>
        <w:t>pursued</w:t>
      </w:r>
      <w:proofErr w:type="spellEnd"/>
      <w:r w:rsidRPr="00BC4690">
        <w:rPr>
          <w:rFonts w:ascii="Arial" w:hAnsi="Arial" w:cs="Arial"/>
          <w:sz w:val="20"/>
          <w:szCs w:val="20"/>
        </w:rPr>
        <w:t xml:space="preserve">, </w:t>
      </w:r>
      <w:proofErr w:type="spellStart"/>
      <w:r w:rsidRPr="00BC4690">
        <w:rPr>
          <w:rFonts w:ascii="Arial" w:hAnsi="Arial" w:cs="Arial"/>
          <w:sz w:val="20"/>
          <w:szCs w:val="20"/>
        </w:rPr>
        <w:t>including</w:t>
      </w:r>
      <w:proofErr w:type="spellEnd"/>
      <w:r w:rsidRPr="00BC4690">
        <w:rPr>
          <w:rFonts w:ascii="Arial" w:hAnsi="Arial" w:cs="Arial"/>
          <w:sz w:val="20"/>
          <w:szCs w:val="20"/>
        </w:rPr>
        <w:t xml:space="preserve"> </w:t>
      </w:r>
      <w:proofErr w:type="spellStart"/>
      <w:r w:rsidRPr="00BC4690">
        <w:rPr>
          <w:rFonts w:ascii="Arial" w:hAnsi="Arial" w:cs="Arial"/>
          <w:sz w:val="20"/>
          <w:szCs w:val="20"/>
        </w:rPr>
        <w:t>providing</w:t>
      </w:r>
      <w:proofErr w:type="spellEnd"/>
      <w:r w:rsidRPr="00A0622D">
        <w:rPr>
          <w:rFonts w:asciiTheme="minorHAnsi" w:hAnsiTheme="minorHAnsi" w:cstheme="minorHAnsi"/>
          <w:sz w:val="22"/>
          <w:szCs w:val="22"/>
        </w:rPr>
        <w:t xml:space="preserve"> information on </w:t>
      </w:r>
      <w:proofErr w:type="spellStart"/>
      <w:r w:rsidRPr="00A0622D">
        <w:rPr>
          <w:rFonts w:asciiTheme="minorHAnsi" w:hAnsiTheme="minorHAnsi" w:cstheme="minorHAnsi"/>
          <w:sz w:val="22"/>
          <w:szCs w:val="22"/>
        </w:rPr>
        <w:t>methodologies</w:t>
      </w:r>
      <w:proofErr w:type="spellEnd"/>
      <w:r w:rsidRPr="00A0622D">
        <w:rPr>
          <w:rFonts w:asciiTheme="minorHAnsi" w:hAnsiTheme="minorHAnsi" w:cstheme="minorHAnsi"/>
          <w:sz w:val="22"/>
          <w:szCs w:val="22"/>
        </w:rPr>
        <w:t xml:space="preserve"> and quantitative </w:t>
      </w:r>
      <w:proofErr w:type="spellStart"/>
      <w:r w:rsidRPr="00A0622D">
        <w:rPr>
          <w:rFonts w:asciiTheme="minorHAnsi" w:hAnsiTheme="minorHAnsi" w:cstheme="minorHAnsi"/>
          <w:sz w:val="22"/>
          <w:szCs w:val="22"/>
        </w:rPr>
        <w:t>indicators</w:t>
      </w:r>
      <w:proofErr w:type="spellEnd"/>
      <w:r w:rsidRPr="00A0622D">
        <w:rPr>
          <w:rFonts w:asciiTheme="minorHAnsi" w:hAnsiTheme="minorHAnsi" w:cstheme="minorHAnsi"/>
          <w:sz w:val="22"/>
          <w:szCs w:val="22"/>
        </w:rPr>
        <w:t xml:space="preserve"> </w:t>
      </w:r>
      <w:proofErr w:type="spellStart"/>
      <w:r w:rsidRPr="00A0622D">
        <w:rPr>
          <w:rFonts w:asciiTheme="minorHAnsi" w:hAnsiTheme="minorHAnsi" w:cstheme="minorHAnsi"/>
          <w:sz w:val="22"/>
          <w:szCs w:val="22"/>
        </w:rPr>
        <w:t>where</w:t>
      </w:r>
      <w:proofErr w:type="spellEnd"/>
      <w:r w:rsidRPr="00A0622D">
        <w:rPr>
          <w:rFonts w:asciiTheme="minorHAnsi" w:hAnsiTheme="minorHAnsi" w:cstheme="minorHAnsi"/>
          <w:sz w:val="22"/>
          <w:szCs w:val="22"/>
        </w:rPr>
        <w:t xml:space="preserve"> </w:t>
      </w:r>
      <w:proofErr w:type="spellStart"/>
      <w:r w:rsidRPr="00A0622D">
        <w:rPr>
          <w:rFonts w:asciiTheme="minorHAnsi" w:hAnsiTheme="minorHAnsi" w:cstheme="minorHAnsi"/>
          <w:sz w:val="22"/>
          <w:szCs w:val="22"/>
        </w:rPr>
        <w:t>necessary</w:t>
      </w:r>
      <w:proofErr w:type="spellEnd"/>
      <w:r w:rsidRPr="00A0622D">
        <w:rPr>
          <w:rFonts w:asciiTheme="minorHAnsi" w:hAnsiTheme="minorHAnsi" w:cstheme="minorHAnsi"/>
          <w:sz w:val="22"/>
          <w:szCs w:val="22"/>
        </w:rPr>
        <w:t xml:space="preserve">. </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70DE2F99" w14:textId="77777777" w:rsidR="00BC4690" w:rsidRDefault="00BC4690" w:rsidP="00BC4690">
      <w:permStart w:id="1771197561" w:edGrp="everyone"/>
      <w:r>
        <w:t xml:space="preserve">Generally speaking, we note that the benefits </w:t>
      </w:r>
      <w:proofErr w:type="gramStart"/>
      <w:r>
        <w:t>outweighs</w:t>
      </w:r>
      <w:proofErr w:type="gramEnd"/>
      <w:r>
        <w:t xml:space="preserve"> the cost to business as credible reporting on taxonomy-alignment will drive high standards across capital markets and enable a swift transition</w:t>
      </w:r>
      <w:r>
        <w:rPr>
          <w:rStyle w:val="CommentReference"/>
        </w:rPr>
        <w:annotationRef/>
      </w:r>
      <w:r>
        <w:t>.</w:t>
      </w:r>
    </w:p>
    <w:p w14:paraId="16D505E2" w14:textId="77777777" w:rsidR="00BC4690" w:rsidRPr="00224114" w:rsidRDefault="00BC4690" w:rsidP="00BC4690">
      <w:pPr>
        <w:rPr>
          <w:color w:val="000000" w:themeColor="text1"/>
          <w:lang w:val="en-US"/>
        </w:rPr>
      </w:pPr>
      <w:r w:rsidRPr="00224114">
        <w:rPr>
          <w:color w:val="000000" w:themeColor="text1"/>
          <w:lang w:val="en-US"/>
        </w:rPr>
        <w:t xml:space="preserve">Regarding Policy issue 1: we agree that the mandatory template is the best possible option to ensure </w:t>
      </w:r>
      <w:proofErr w:type="gramStart"/>
      <w:r w:rsidRPr="00224114">
        <w:rPr>
          <w:color w:val="000000" w:themeColor="text1"/>
          <w:lang w:val="en-US"/>
        </w:rPr>
        <w:t>consistency .</w:t>
      </w:r>
      <w:proofErr w:type="gramEnd"/>
    </w:p>
    <w:p w14:paraId="054F67FA" w14:textId="77777777" w:rsidR="00BC4690" w:rsidRPr="00224114" w:rsidRDefault="00BC4690" w:rsidP="00BC4690">
      <w:pPr>
        <w:rPr>
          <w:color w:val="000000" w:themeColor="text1"/>
          <w:lang w:val="en-US"/>
        </w:rPr>
      </w:pPr>
      <w:r w:rsidRPr="00224114">
        <w:rPr>
          <w:color w:val="000000" w:themeColor="text1"/>
          <w:lang w:val="en-US"/>
        </w:rPr>
        <w:t xml:space="preserve">Regarding Policy issue 2: ideally we would have included option 2.3 with a granular calculation of each </w:t>
      </w:r>
      <w:proofErr w:type="gramStart"/>
      <w:r w:rsidRPr="00224114">
        <w:rPr>
          <w:color w:val="000000" w:themeColor="text1"/>
          <w:lang w:val="en-US"/>
        </w:rPr>
        <w:t>activity .</w:t>
      </w:r>
      <w:proofErr w:type="gramEnd"/>
    </w:p>
    <w:p w14:paraId="52549020" w14:textId="77777777" w:rsidR="00BC4690" w:rsidRPr="00224114" w:rsidRDefault="00BC4690" w:rsidP="00BC4690">
      <w:pPr>
        <w:rPr>
          <w:color w:val="000000" w:themeColor="text1"/>
          <w:lang w:val="en-US"/>
        </w:rPr>
      </w:pPr>
      <w:r w:rsidRPr="00224114">
        <w:rPr>
          <w:color w:val="000000" w:themeColor="text1"/>
          <w:lang w:val="en-US"/>
        </w:rPr>
        <w:t xml:space="preserve">Regarding policy issue 3: we agree that the option selected “fully binding statement with third party verification” is a balanced way forward. </w:t>
      </w:r>
    </w:p>
    <w:p w14:paraId="1129FF35" w14:textId="77777777" w:rsidR="00BC4690" w:rsidRPr="00AA6C28" w:rsidRDefault="00BC4690" w:rsidP="00BC4690">
      <w:pPr>
        <w:rPr>
          <w:color w:val="000000" w:themeColor="text1"/>
        </w:rPr>
      </w:pPr>
      <w:r w:rsidRPr="00AA6C28">
        <w:rPr>
          <w:color w:val="000000" w:themeColor="text1"/>
          <w:lang w:val="en-US"/>
        </w:rPr>
        <w:t>Regarding policy issue 4: we agree that “</w:t>
      </w:r>
      <w:r w:rsidRPr="00AA6C28">
        <w:rPr>
          <w:color w:val="000000" w:themeColor="text1"/>
        </w:rPr>
        <w:t>Option 4.2: Mid-range approach for periodic disclosures” is a balanced way forward.</w:t>
      </w:r>
    </w:p>
    <w:p w14:paraId="13305718" w14:textId="77777777" w:rsidR="00BC4690" w:rsidRPr="00224114" w:rsidRDefault="00BC4690" w:rsidP="00BC4690">
      <w:pPr>
        <w:rPr>
          <w:color w:val="000000" w:themeColor="text1"/>
          <w:lang w:val="en-US"/>
        </w:rPr>
      </w:pPr>
      <w:r w:rsidRPr="00224114">
        <w:rPr>
          <w:color w:val="000000" w:themeColor="text1"/>
        </w:rPr>
        <w:t>For more detailed explanations see our replies to previous questions.</w:t>
      </w:r>
    </w:p>
    <w:permEnd w:id="1771197561"/>
    <w:p w14:paraId="3577FCF9" w14:textId="5E3290C3" w:rsidR="007118EB" w:rsidRPr="007118EB" w:rsidRDefault="007118EB" w:rsidP="007118EB">
      <w:pPr>
        <w:rPr>
          <w:lang w:eastAsia="en-US"/>
        </w:rPr>
      </w:pPr>
      <w:r>
        <w:rPr>
          <w:lang w:eastAsia="en-US"/>
        </w:rPr>
        <w:lastRenderedPageBreak/>
        <w:t>&lt;ESA_QUESTION_ESG_12&gt;</w:t>
      </w:r>
    </w:p>
    <w:sectPr w:rsidR="007118EB" w:rsidRPr="007118EB" w:rsidSect="00A8728B">
      <w:headerReference w:type="even" r:id="rId27"/>
      <w:headerReference w:type="first" r:id="rId28"/>
      <w:footerReference w:type="first" r:id="rId29"/>
      <w:pgSz w:w="11906" w:h="16838" w:code="9"/>
      <w:pgMar w:top="2410" w:right="1247" w:bottom="1135" w:left="124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ethan.Livesey" w:date="2021-05-12T12:20:00Z" w:initials="Be">
    <w:p w14:paraId="4F16477D" w14:textId="77777777" w:rsidR="004D4B3B" w:rsidRDefault="004D4B3B" w:rsidP="004D4B3B">
      <w:pPr>
        <w:pStyle w:val="CommentText"/>
      </w:pPr>
      <w:r>
        <w:t xml:space="preserve">is this right?  We want the taxonomy aligned chart to be separate and to exist AND then we </w:t>
      </w:r>
      <w:proofErr w:type="spellStart"/>
      <w:r>
        <w:t>wld</w:t>
      </w:r>
      <w:proofErr w:type="spellEnd"/>
      <w:r>
        <w:t xml:space="preserve"> be happy with an additional one? </w:t>
      </w:r>
      <w:r>
        <w:rPr>
          <w:rStyle w:val="CommentReference"/>
        </w:rPr>
        <w:annotationRef/>
      </w:r>
    </w:p>
  </w:comment>
  <w:comment w:id="2" w:author="Maria Van Der Heide" w:date="2021-05-12T20:57:00Z" w:initials="MvdH">
    <w:p w14:paraId="24C17216" w14:textId="77777777" w:rsidR="004D4B3B" w:rsidRDefault="004D4B3B" w:rsidP="004D4B3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16477D" w15:done="1"/>
  <w15:commentEx w15:paraId="24C17216" w15:paraIdParent="4F1647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2F559CA" w16cex:dateUtc="2021-05-12T11:20:00Z"/>
  <w16cex:commentExtensible w16cex:durableId="2446BFBA" w16cex:dateUtc="2021-05-12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16477D" w16cid:durableId="02F559CA"/>
  <w16cid:commentId w16cid:paraId="24C17216" w16cid:durableId="2446B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978E2" w14:textId="77777777" w:rsidR="00A70D34" w:rsidRDefault="00A70D34">
      <w:r>
        <w:separator/>
      </w:r>
    </w:p>
    <w:p w14:paraId="55BF7867" w14:textId="77777777" w:rsidR="00A70D34" w:rsidRDefault="00A70D34"/>
  </w:endnote>
  <w:endnote w:type="continuationSeparator" w:id="0">
    <w:p w14:paraId="5D687AEC" w14:textId="77777777" w:rsidR="00A70D34" w:rsidRDefault="00A70D34">
      <w:r>
        <w:continuationSeparator/>
      </w:r>
    </w:p>
    <w:p w14:paraId="0C40AAB2" w14:textId="77777777" w:rsidR="00A70D34" w:rsidRDefault="00A70D34"/>
  </w:endnote>
  <w:endnote w:type="continuationNotice" w:id="1">
    <w:p w14:paraId="0351EBF8" w14:textId="77777777" w:rsidR="00A70D34" w:rsidRDefault="00A70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D090D" w14:textId="77777777" w:rsidR="00A70D34" w:rsidRDefault="00A70D34">
      <w:r>
        <w:separator/>
      </w:r>
    </w:p>
    <w:p w14:paraId="4F611DC6" w14:textId="77777777" w:rsidR="00A70D34" w:rsidRDefault="00A70D34"/>
  </w:footnote>
  <w:footnote w:type="continuationSeparator" w:id="0">
    <w:p w14:paraId="7448131D" w14:textId="77777777" w:rsidR="00A70D34" w:rsidRDefault="00A70D34">
      <w:r>
        <w:continuationSeparator/>
      </w:r>
    </w:p>
    <w:p w14:paraId="0C122478" w14:textId="77777777" w:rsidR="00A70D34" w:rsidRDefault="00A70D34"/>
  </w:footnote>
  <w:footnote w:type="continuationNotice" w:id="1">
    <w:p w14:paraId="3C1E70F0" w14:textId="77777777" w:rsidR="00A70D34" w:rsidRDefault="00A70D34"/>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4C792F"/>
    <w:multiLevelType w:val="hybridMultilevel"/>
    <w:tmpl w:val="9454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0F13A5"/>
    <w:multiLevelType w:val="hybridMultilevel"/>
    <w:tmpl w:val="A744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00857"/>
    <w:multiLevelType w:val="hybridMultilevel"/>
    <w:tmpl w:val="45B8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3"/>
  </w:num>
  <w:num w:numId="4">
    <w:abstractNumId w:val="27"/>
  </w:num>
  <w:num w:numId="5">
    <w:abstractNumId w:val="30"/>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6"/>
  </w:num>
  <w:num w:numId="15">
    <w:abstractNumId w:val="10"/>
  </w:num>
  <w:num w:numId="16">
    <w:abstractNumId w:val="1"/>
  </w:num>
  <w:num w:numId="17">
    <w:abstractNumId w:val="16"/>
  </w:num>
  <w:num w:numId="18">
    <w:abstractNumId w:val="18"/>
  </w:num>
  <w:num w:numId="19">
    <w:abstractNumId w:val="20"/>
  </w:num>
  <w:num w:numId="20">
    <w:abstractNumId w:val="31"/>
  </w:num>
  <w:num w:numId="21">
    <w:abstractNumId w:val="40"/>
  </w:num>
  <w:num w:numId="22">
    <w:abstractNumId w:val="29"/>
  </w:num>
  <w:num w:numId="23">
    <w:abstractNumId w:val="9"/>
  </w:num>
  <w:num w:numId="24">
    <w:abstractNumId w:val="34"/>
  </w:num>
  <w:num w:numId="25">
    <w:abstractNumId w:val="33"/>
  </w:num>
  <w:num w:numId="26">
    <w:abstractNumId w:val="22"/>
  </w:num>
  <w:num w:numId="27">
    <w:abstractNumId w:val="37"/>
  </w:num>
  <w:num w:numId="28">
    <w:abstractNumId w:val="42"/>
  </w:num>
  <w:num w:numId="29">
    <w:abstractNumId w:val="6"/>
  </w:num>
  <w:num w:numId="30">
    <w:abstractNumId w:val="2"/>
  </w:num>
  <w:num w:numId="31">
    <w:abstractNumId w:val="25"/>
  </w:num>
  <w:num w:numId="32">
    <w:abstractNumId w:val="23"/>
  </w:num>
  <w:num w:numId="33">
    <w:abstractNumId w:val="39"/>
  </w:num>
  <w:num w:numId="34">
    <w:abstractNumId w:val="38"/>
  </w:num>
  <w:num w:numId="35">
    <w:abstractNumId w:val="11"/>
  </w:num>
  <w:num w:numId="36">
    <w:abstractNumId w:val="12"/>
  </w:num>
  <w:num w:numId="37">
    <w:abstractNumId w:val="14"/>
  </w:num>
  <w:num w:numId="38">
    <w:abstractNumId w:val="28"/>
  </w:num>
  <w:num w:numId="39">
    <w:abstractNumId w:val="24"/>
  </w:num>
  <w:num w:numId="40">
    <w:abstractNumId w:val="3"/>
  </w:num>
  <w:num w:numId="41">
    <w:abstractNumId w:val="17"/>
  </w:num>
  <w:num w:numId="42">
    <w:abstractNumId w:val="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than.Livesey">
    <w15:presenceInfo w15:providerId="AD" w15:userId="S::bethan.livesey@shareaction.org::6adb268d-9f46-4394-b3ff-1473621f94c0"/>
  </w15:person>
  <w15:person w15:author="Maria Van Der Heide">
    <w15:presenceInfo w15:providerId="AD" w15:userId="S::maria.vanderheide@shareaction.org::dc9e9b59-7827-4d25-b208-3da3f922f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18F"/>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C2C"/>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B3B"/>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5E1"/>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4700"/>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7E6"/>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D34"/>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690"/>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2631</Words>
  <Characters>15003</Characters>
  <Application>Microsoft Office Word</Application>
  <DocSecurity>8</DocSecurity>
  <Lines>125</Lines>
  <Paragraphs>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17599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Maria van der Heide</cp:lastModifiedBy>
  <cp:revision>6</cp:revision>
  <cp:lastPrinted>2015-02-18T11:01:00Z</cp:lastPrinted>
  <dcterms:created xsi:type="dcterms:W3CDTF">2021-05-12T17:42:00Z</dcterms:created>
  <dcterms:modified xsi:type="dcterms:W3CDTF">2021-05-12T19:21:00Z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