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002874" w:rsidRPr="004E49B0" w14:paraId="60359675" w14:textId="77777777" w:rsidTr="005329C9">
        <w:trPr>
          <w:trHeight w:val="284"/>
        </w:trPr>
        <w:tc>
          <w:tcPr>
            <w:tcW w:w="9412" w:type="dxa"/>
          </w:tcPr>
          <w:p w14:paraId="071232DA" w14:textId="77777777" w:rsidR="00002874" w:rsidRPr="004E49B0" w:rsidRDefault="00002874" w:rsidP="005329C9">
            <w:pPr>
              <w:pStyle w:val="00bDBInfo"/>
              <w:rPr>
                <w:rFonts w:cs="Arial"/>
              </w:rPr>
            </w:pPr>
          </w:p>
        </w:tc>
      </w:tr>
    </w:tbl>
    <w:p w14:paraId="02D9E85D" w14:textId="77777777" w:rsidR="00002874" w:rsidRPr="00616B9B" w:rsidRDefault="00002874" w:rsidP="00002874">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002874" w:rsidRPr="00616B9B" w14:paraId="0520FA19" w14:textId="77777777" w:rsidTr="005329C9">
        <w:trPr>
          <w:trHeight w:hRule="exact" w:val="1620"/>
        </w:trPr>
        <w:tc>
          <w:tcPr>
            <w:tcW w:w="10051" w:type="dxa"/>
            <w:vAlign w:val="bottom"/>
          </w:tcPr>
          <w:p w14:paraId="7CB3F3CD" w14:textId="77777777" w:rsidR="00002874" w:rsidRPr="00391CB0" w:rsidRDefault="00002874" w:rsidP="005329C9">
            <w:pPr>
              <w:pStyle w:val="01aDBTitle"/>
              <w:jc w:val="left"/>
              <w:rPr>
                <w:rFonts w:cs="Arial"/>
              </w:rPr>
            </w:pPr>
            <w:r w:rsidRPr="00EC1154">
              <w:rPr>
                <w:rFonts w:cs="Arial"/>
              </w:rPr>
              <w:t xml:space="preserve">Response form for the </w:t>
            </w:r>
            <w:r>
              <w:rPr>
                <w:rFonts w:cs="Arial"/>
              </w:rPr>
              <w:t xml:space="preserve">Joint </w:t>
            </w:r>
            <w:r w:rsidRPr="00EC1154">
              <w:rPr>
                <w:rFonts w:cs="Arial"/>
              </w:rPr>
              <w:t xml:space="preserve">Consultation Paper </w:t>
            </w:r>
            <w:r>
              <w:rPr>
                <w:rFonts w:cs="Arial"/>
              </w:rPr>
              <w:t xml:space="preserve">concerning </w:t>
            </w:r>
            <w:r>
              <w:t xml:space="preserve"> </w:t>
            </w:r>
            <w:r w:rsidRPr="00281E71">
              <w:rPr>
                <w:rFonts w:cs="Arial"/>
              </w:rPr>
              <w:t>Taxonomy-related sustainability disclosures</w:t>
            </w:r>
          </w:p>
          <w:p w14:paraId="1E9CEC46" w14:textId="77777777" w:rsidR="00002874" w:rsidRPr="009A053D" w:rsidRDefault="00002874" w:rsidP="005329C9">
            <w:pPr>
              <w:pStyle w:val="01aDBTitle"/>
              <w:jc w:val="left"/>
              <w:rPr>
                <w:rFonts w:cs="Arial"/>
                <w:sz w:val="32"/>
              </w:rPr>
            </w:pPr>
          </w:p>
        </w:tc>
      </w:tr>
      <w:tr w:rsidR="00002874" w:rsidRPr="00616B9B" w14:paraId="4516A3C9" w14:textId="77777777" w:rsidTr="005329C9">
        <w:trPr>
          <w:trHeight w:hRule="exact" w:val="809"/>
        </w:trPr>
        <w:tc>
          <w:tcPr>
            <w:tcW w:w="10051" w:type="dxa"/>
            <w:tcMar>
              <w:top w:w="142" w:type="dxa"/>
            </w:tcMar>
          </w:tcPr>
          <w:p w14:paraId="5D273B31" w14:textId="77777777" w:rsidR="00002874" w:rsidRPr="009A053D" w:rsidRDefault="00002874" w:rsidP="005329C9">
            <w:pPr>
              <w:pStyle w:val="01bDBSubtitle"/>
              <w:rPr>
                <w:rFonts w:ascii="Arial" w:hAnsi="Arial" w:cs="Arial"/>
                <w:sz w:val="32"/>
              </w:rPr>
            </w:pPr>
            <w:r w:rsidRPr="009A053D">
              <w:rPr>
                <w:rFonts w:ascii="Arial" w:hAnsi="Arial" w:cs="Arial"/>
                <w:sz w:val="32"/>
              </w:rPr>
              <w:t xml:space="preserve"> </w:t>
            </w:r>
          </w:p>
        </w:tc>
      </w:tr>
    </w:tbl>
    <w:p w14:paraId="10963FD2" w14:textId="77777777" w:rsidR="00002874" w:rsidRPr="00616B9B" w:rsidRDefault="00002874" w:rsidP="00002874">
      <w:pPr>
        <w:pStyle w:val="05HeadlinenoIndex"/>
        <w:rPr>
          <w:rFonts w:cs="Arial"/>
        </w:rPr>
        <w:sectPr w:rsidR="00002874" w:rsidRPr="00616B9B" w:rsidSect="006E3C72">
          <w:headerReference w:type="even" r:id="rId8"/>
          <w:headerReference w:type="default" r:id="rId9"/>
          <w:footerReference w:type="even"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002874" w:rsidRPr="00616B9B" w14:paraId="7F52C63C" w14:textId="77777777" w:rsidTr="005329C9">
        <w:trPr>
          <w:trHeight w:hRule="exact" w:val="964"/>
        </w:trPr>
        <w:tc>
          <w:tcPr>
            <w:tcW w:w="2325" w:type="dxa"/>
          </w:tcPr>
          <w:p w14:paraId="6F1B210B" w14:textId="77777777" w:rsidR="00002874" w:rsidRDefault="00002874" w:rsidP="005329C9">
            <w:pPr>
              <w:pStyle w:val="02Date"/>
              <w:rPr>
                <w:rFonts w:cs="Arial"/>
              </w:rPr>
            </w:pPr>
            <w:r w:rsidRPr="004E49B0">
              <w:rPr>
                <w:rFonts w:cs="Arial"/>
              </w:rPr>
              <w:lastRenderedPageBreak/>
              <w:t xml:space="preserve">Date: </w:t>
            </w:r>
            <w:r>
              <w:rPr>
                <w:rFonts w:cs="Arial"/>
              </w:rPr>
              <w:t>17 March 2021</w:t>
            </w:r>
          </w:p>
          <w:p w14:paraId="7ECFA751" w14:textId="77777777" w:rsidR="00002874" w:rsidRPr="004E49B0" w:rsidRDefault="00002874" w:rsidP="005329C9">
            <w:pPr>
              <w:pStyle w:val="02Date"/>
              <w:rPr>
                <w:rFonts w:cs="Arial"/>
              </w:rPr>
            </w:pPr>
            <w:r>
              <w:rPr>
                <w:rFonts w:cs="Arial"/>
                <w:shd w:val="clear" w:color="auto" w:fill="FFFFFF" w:themeFill="background1"/>
              </w:rPr>
              <w:t>ESMA34-45-1218</w:t>
            </w:r>
          </w:p>
        </w:tc>
      </w:tr>
    </w:tbl>
    <w:p w14:paraId="258BD6B9" w14:textId="77777777" w:rsidR="00002874" w:rsidRPr="00616B9B" w:rsidRDefault="00002874" w:rsidP="00002874">
      <w:pPr>
        <w:pStyle w:val="05HeadlinenoIndex"/>
        <w:rPr>
          <w:rFonts w:cs="Arial"/>
        </w:rPr>
      </w:pPr>
      <w:bookmarkStart w:id="0" w:name="_Toc280628648"/>
      <w:r w:rsidRPr="00616B9B">
        <w:rPr>
          <w:rFonts w:cs="Arial"/>
        </w:rPr>
        <w:t xml:space="preserve">Responding to this paper </w:t>
      </w:r>
    </w:p>
    <w:p w14:paraId="00B9327B" w14:textId="77777777" w:rsidR="00002874" w:rsidRDefault="00002874" w:rsidP="00002874">
      <w:pPr>
        <w:spacing w:after="240"/>
        <w:jc w:val="both"/>
        <w:rPr>
          <w:rStyle w:val="Subtielebenadrukking"/>
          <w:b w:val="0"/>
          <w:bCs/>
          <w:sz w:val="22"/>
        </w:rPr>
      </w:pPr>
      <w:r w:rsidRPr="005F6BE3">
        <w:rPr>
          <w:rStyle w:val="Subtielebenadrukking"/>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Pr>
          <w:rStyle w:val="Subtielebenadrukking"/>
          <w:bCs/>
          <w:sz w:val="22"/>
        </w:rPr>
        <w:t xml:space="preserve"> </w:t>
      </w:r>
      <w:r w:rsidRPr="00754AC4">
        <w:rPr>
          <w:rStyle w:val="Subtielebenadrukking"/>
          <w:bCs/>
          <w:sz w:val="22"/>
        </w:rPr>
        <w:t xml:space="preserve">and in particular on the specific questions summarised in Section 3 of the consultation paper under “Questions to stakeholders”. </w:t>
      </w:r>
    </w:p>
    <w:p w14:paraId="5BD23FCB" w14:textId="77777777" w:rsidR="00002874" w:rsidRPr="00754AC4" w:rsidRDefault="00002874" w:rsidP="00002874">
      <w:pPr>
        <w:spacing w:after="240"/>
        <w:jc w:val="both"/>
        <w:rPr>
          <w:rStyle w:val="Subtielebenadrukking"/>
          <w:b w:val="0"/>
          <w:bCs/>
          <w:sz w:val="22"/>
        </w:rPr>
      </w:pPr>
      <w:r w:rsidRPr="00754AC4">
        <w:rPr>
          <w:rStyle w:val="Subtielebenadrukking"/>
          <w:bCs/>
          <w:sz w:val="22"/>
        </w:rPr>
        <w:t>Comments are most helpful if they:</w:t>
      </w:r>
    </w:p>
    <w:p w14:paraId="2BE647E8" w14:textId="77777777" w:rsidR="00002874" w:rsidRPr="00754AC4" w:rsidRDefault="00002874" w:rsidP="00002874">
      <w:pPr>
        <w:pStyle w:val="Lijstalinea"/>
        <w:numPr>
          <w:ilvl w:val="0"/>
          <w:numId w:val="4"/>
        </w:numPr>
        <w:spacing w:after="240"/>
        <w:jc w:val="both"/>
        <w:rPr>
          <w:rStyle w:val="Subtielebenadrukking"/>
          <w:b w:val="0"/>
          <w:bCs/>
          <w:sz w:val="22"/>
        </w:rPr>
      </w:pPr>
      <w:r w:rsidRPr="00754AC4">
        <w:rPr>
          <w:rStyle w:val="Subtielebenadrukking"/>
          <w:bCs/>
          <w:sz w:val="22"/>
        </w:rPr>
        <w:t>contain a clear rationale; and</w:t>
      </w:r>
    </w:p>
    <w:p w14:paraId="3C616992" w14:textId="77777777" w:rsidR="00002874" w:rsidRPr="00754AC4" w:rsidRDefault="00002874" w:rsidP="00002874">
      <w:pPr>
        <w:pStyle w:val="Lijstalinea"/>
        <w:numPr>
          <w:ilvl w:val="0"/>
          <w:numId w:val="4"/>
        </w:numPr>
        <w:spacing w:after="240"/>
        <w:jc w:val="both"/>
        <w:rPr>
          <w:rStyle w:val="Subtielebenadrukking"/>
          <w:b w:val="0"/>
          <w:bCs/>
          <w:sz w:val="22"/>
        </w:rPr>
      </w:pPr>
      <w:r w:rsidRPr="00754AC4">
        <w:rPr>
          <w:rStyle w:val="Subtielebenadrukking"/>
          <w:bCs/>
          <w:sz w:val="22"/>
        </w:rPr>
        <w:t>describe any alternatives the ESAs should consider.</w:t>
      </w:r>
    </w:p>
    <w:p w14:paraId="001BDB29" w14:textId="77777777" w:rsidR="00002874" w:rsidRDefault="00002874" w:rsidP="00002874">
      <w:pPr>
        <w:spacing w:after="240"/>
        <w:jc w:val="both"/>
        <w:rPr>
          <w:rStyle w:val="Subtielebenadrukking"/>
          <w:b w:val="0"/>
          <w:bCs/>
          <w:sz w:val="22"/>
        </w:rPr>
      </w:pPr>
      <w:r>
        <w:rPr>
          <w:rStyle w:val="Subtielebenadrukking"/>
          <w:bCs/>
          <w:sz w:val="22"/>
        </w:rPr>
        <w:t>When describing alternative approaches the ESAs encourage stakeholders to consider how the approach would achieve the aims of SFDR.</w:t>
      </w:r>
    </w:p>
    <w:p w14:paraId="47B3748F" w14:textId="77777777" w:rsidR="00002874" w:rsidRDefault="00002874" w:rsidP="00002874">
      <w:pPr>
        <w:rPr>
          <w:rStyle w:val="Subtielebenadrukking"/>
          <w:b w:val="0"/>
          <w:sz w:val="22"/>
        </w:rPr>
      </w:pPr>
    </w:p>
    <w:p w14:paraId="4A8B626C" w14:textId="77777777" w:rsidR="00002874" w:rsidRPr="00E40A5C" w:rsidRDefault="00002874" w:rsidP="00002874">
      <w:pPr>
        <w:spacing w:after="120"/>
        <w:jc w:val="both"/>
        <w:rPr>
          <w:rStyle w:val="Subtielebenadrukking"/>
          <w:sz w:val="22"/>
        </w:rPr>
      </w:pPr>
      <w:r w:rsidRPr="00E40A5C">
        <w:rPr>
          <w:rStyle w:val="Subtielebenadrukking"/>
          <w:sz w:val="22"/>
        </w:rPr>
        <w:t>Instructions</w:t>
      </w:r>
    </w:p>
    <w:p w14:paraId="604BB49B" w14:textId="77777777" w:rsidR="00002874" w:rsidRPr="00E40A5C" w:rsidRDefault="00002874" w:rsidP="00002874">
      <w:pPr>
        <w:spacing w:after="240"/>
        <w:jc w:val="both"/>
        <w:rPr>
          <w:rStyle w:val="Subtielebenadrukking"/>
          <w:b w:val="0"/>
          <w:sz w:val="22"/>
        </w:rPr>
      </w:pPr>
      <w:r w:rsidRPr="00E40A5C">
        <w:rPr>
          <w:rStyle w:val="Subtielebenadrukking"/>
          <w:sz w:val="22"/>
        </w:rPr>
        <w:t>In order to facilitate analysis of responses to the Consultation Paper, respondents are requested to follow the below steps when preparing and submitting their response:</w:t>
      </w:r>
    </w:p>
    <w:p w14:paraId="535C8350" w14:textId="77777777" w:rsidR="00002874" w:rsidRPr="00E40A5C" w:rsidRDefault="00002874" w:rsidP="00002874">
      <w:pPr>
        <w:pStyle w:val="Lijstalinea"/>
        <w:numPr>
          <w:ilvl w:val="0"/>
          <w:numId w:val="2"/>
        </w:numPr>
        <w:spacing w:after="240" w:line="276" w:lineRule="auto"/>
        <w:ind w:left="567" w:hanging="567"/>
        <w:contextualSpacing w:val="0"/>
        <w:jc w:val="both"/>
        <w:rPr>
          <w:rStyle w:val="Subtielebenadrukking"/>
          <w:b w:val="0"/>
          <w:sz w:val="22"/>
        </w:rPr>
      </w:pPr>
      <w:r w:rsidRPr="00E40A5C">
        <w:rPr>
          <w:rStyle w:val="Subtielebenadrukking"/>
          <w:sz w:val="22"/>
        </w:rPr>
        <w:t xml:space="preserve">Insert your responses to the questions in the Consultation Paper in </w:t>
      </w:r>
      <w:r>
        <w:rPr>
          <w:rStyle w:val="Subtielebenadrukking"/>
          <w:sz w:val="22"/>
        </w:rPr>
        <w:t>the present</w:t>
      </w:r>
      <w:r w:rsidRPr="00E40A5C">
        <w:rPr>
          <w:rStyle w:val="Subtielebenadrukking"/>
          <w:sz w:val="22"/>
        </w:rPr>
        <w:t xml:space="preserve"> </w:t>
      </w:r>
      <w:r>
        <w:rPr>
          <w:rStyle w:val="Subtielebenadrukking"/>
          <w:sz w:val="22"/>
        </w:rPr>
        <w:t xml:space="preserve">response </w:t>
      </w:r>
      <w:r w:rsidRPr="00E40A5C">
        <w:rPr>
          <w:rStyle w:val="Subtielebenadrukking"/>
          <w:sz w:val="22"/>
        </w:rPr>
        <w:t>form</w:t>
      </w:r>
      <w:r>
        <w:rPr>
          <w:rStyle w:val="Subtielebenadrukking"/>
          <w:sz w:val="22"/>
        </w:rPr>
        <w:t>.</w:t>
      </w:r>
      <w:r w:rsidRPr="00E40A5C">
        <w:rPr>
          <w:rStyle w:val="Subtielebenadrukking"/>
          <w:sz w:val="22"/>
        </w:rPr>
        <w:t xml:space="preserve"> </w:t>
      </w:r>
    </w:p>
    <w:p w14:paraId="1F266836" w14:textId="77777777" w:rsidR="00002874" w:rsidRPr="00E40A5C" w:rsidRDefault="00002874" w:rsidP="00002874">
      <w:pPr>
        <w:pStyle w:val="Lijstalinea"/>
        <w:numPr>
          <w:ilvl w:val="0"/>
          <w:numId w:val="2"/>
        </w:numPr>
        <w:spacing w:after="240" w:line="276" w:lineRule="auto"/>
        <w:ind w:left="567" w:hanging="567"/>
        <w:contextualSpacing w:val="0"/>
        <w:jc w:val="both"/>
        <w:rPr>
          <w:rStyle w:val="Subtielebenadrukking"/>
          <w:b w:val="0"/>
          <w:sz w:val="22"/>
        </w:rPr>
      </w:pPr>
      <w:r w:rsidRPr="00E40A5C">
        <w:rPr>
          <w:rStyle w:val="Subtielebenadrukking"/>
          <w:sz w:val="22"/>
        </w:rPr>
        <w:t>Please do not remove tags of the type &lt;ESA_QUESTION_</w:t>
      </w:r>
      <w:r>
        <w:rPr>
          <w:rStyle w:val="Subtielebenadrukking"/>
          <w:sz w:val="22"/>
        </w:rPr>
        <w:t>ESG</w:t>
      </w:r>
      <w:r w:rsidRPr="00E40A5C">
        <w:rPr>
          <w:rStyle w:val="Subtielebenadrukking"/>
          <w:sz w:val="22"/>
        </w:rPr>
        <w:t>_1&gt;. Your response to each question has to be framed by the two tags corresponding to the question.</w:t>
      </w:r>
    </w:p>
    <w:p w14:paraId="1F78926C" w14:textId="77777777" w:rsidR="00002874" w:rsidRPr="00E40A5C" w:rsidRDefault="00002874" w:rsidP="00002874">
      <w:pPr>
        <w:pStyle w:val="Lijstalinea"/>
        <w:numPr>
          <w:ilvl w:val="0"/>
          <w:numId w:val="2"/>
        </w:numPr>
        <w:spacing w:after="240" w:line="276" w:lineRule="auto"/>
        <w:ind w:left="567" w:hanging="567"/>
        <w:contextualSpacing w:val="0"/>
        <w:jc w:val="both"/>
        <w:rPr>
          <w:rStyle w:val="Subtielebenadrukking"/>
          <w:b w:val="0"/>
          <w:sz w:val="22"/>
        </w:rPr>
      </w:pPr>
      <w:r w:rsidRPr="00E40A5C">
        <w:rPr>
          <w:rStyle w:val="Subtielebenadrukking"/>
          <w:sz w:val="22"/>
        </w:rPr>
        <w:t>If you do not wish to respond to a given question, please do not delete it but simply leave the text “TYPE YOUR TEXT HERE” between the tags.</w:t>
      </w:r>
    </w:p>
    <w:p w14:paraId="6F95F28D" w14:textId="77777777" w:rsidR="00002874" w:rsidRPr="00E40A5C" w:rsidRDefault="00002874" w:rsidP="00002874">
      <w:pPr>
        <w:pStyle w:val="Lijstalinea"/>
        <w:numPr>
          <w:ilvl w:val="0"/>
          <w:numId w:val="2"/>
        </w:numPr>
        <w:spacing w:after="240" w:line="276" w:lineRule="auto"/>
        <w:ind w:left="567" w:hanging="567"/>
        <w:contextualSpacing w:val="0"/>
        <w:jc w:val="both"/>
        <w:rPr>
          <w:rStyle w:val="Subtielebenadrukking"/>
          <w:b w:val="0"/>
          <w:sz w:val="22"/>
        </w:rPr>
      </w:pPr>
      <w:r w:rsidRPr="00E40A5C">
        <w:rPr>
          <w:rStyle w:val="Subtielebenadrukking"/>
          <w:sz w:val="22"/>
        </w:rPr>
        <w:t xml:space="preserve">When you have drafted your response, name your response form according to the following convention: </w:t>
      </w:r>
      <w:proofErr w:type="spellStart"/>
      <w:r w:rsidRPr="00E40A5C">
        <w:rPr>
          <w:rStyle w:val="Subtielebenadrukking"/>
          <w:sz w:val="22"/>
        </w:rPr>
        <w:t>ESA_</w:t>
      </w:r>
      <w:r>
        <w:rPr>
          <w:rStyle w:val="Subtielebenadrukking"/>
          <w:sz w:val="22"/>
        </w:rPr>
        <w:t>ESG</w:t>
      </w:r>
      <w:r w:rsidRPr="00E40A5C">
        <w:rPr>
          <w:rStyle w:val="Subtielebenadrukking"/>
          <w:sz w:val="22"/>
        </w:rPr>
        <w:t>_nameofrespondent_RESPONSEFORM</w:t>
      </w:r>
      <w:proofErr w:type="spellEnd"/>
      <w:r w:rsidRPr="00E40A5C">
        <w:rPr>
          <w:rStyle w:val="Subtielebenadrukking"/>
          <w:sz w:val="22"/>
        </w:rPr>
        <w:t>. For example, for a respondent named ABCD, the response form would be entitled ESA_</w:t>
      </w:r>
      <w:r>
        <w:rPr>
          <w:rStyle w:val="Subtielebenadrukking"/>
          <w:sz w:val="22"/>
        </w:rPr>
        <w:t>ESG</w:t>
      </w:r>
      <w:r w:rsidRPr="00E40A5C">
        <w:rPr>
          <w:rStyle w:val="Subtielebenadrukking"/>
          <w:sz w:val="22"/>
        </w:rPr>
        <w:t>_ABCD_RESPONSEFORM.</w:t>
      </w:r>
    </w:p>
    <w:p w14:paraId="668709B3" w14:textId="77777777" w:rsidR="00002874" w:rsidRPr="00197794" w:rsidRDefault="00002874" w:rsidP="00002874">
      <w:pPr>
        <w:pStyle w:val="Lijstalinea"/>
        <w:numPr>
          <w:ilvl w:val="0"/>
          <w:numId w:val="2"/>
        </w:numPr>
        <w:spacing w:after="240" w:line="276" w:lineRule="auto"/>
        <w:ind w:left="567" w:hanging="567"/>
        <w:contextualSpacing w:val="0"/>
        <w:jc w:val="both"/>
        <w:rPr>
          <w:rStyle w:val="Subtielebenadrukking"/>
          <w:b w:val="0"/>
          <w:sz w:val="22"/>
        </w:rPr>
      </w:pPr>
      <w:r w:rsidRPr="00197794">
        <w:rPr>
          <w:rStyle w:val="Subtielebenadrukking"/>
          <w:sz w:val="22"/>
        </w:rPr>
        <w:t>The consultation paper is available on the websites of the three ESAs</w:t>
      </w:r>
      <w:r>
        <w:rPr>
          <w:rStyle w:val="Subtielebenadrukking"/>
          <w:sz w:val="22"/>
        </w:rPr>
        <w:t xml:space="preserve"> and the Joint Committee</w:t>
      </w:r>
      <w:r w:rsidRPr="00197794">
        <w:rPr>
          <w:rStyle w:val="Subtielebenadrukking"/>
          <w:sz w:val="22"/>
        </w:rPr>
        <w:t xml:space="preserve">. Comments on this consultation paper can be sent using the response form, via the </w:t>
      </w:r>
      <w:hyperlink r:id="rId14" w:history="1">
        <w:r w:rsidRPr="00197794">
          <w:rPr>
            <w:rStyle w:val="Hyperlink"/>
            <w:rFonts w:cs="Arial"/>
            <w:sz w:val="22"/>
          </w:rPr>
          <w:t>ESMA website</w:t>
        </w:r>
      </w:hyperlink>
      <w:r w:rsidRPr="00197794">
        <w:rPr>
          <w:rStyle w:val="Subtielebenadrukking"/>
          <w:sz w:val="24"/>
        </w:rPr>
        <w:t xml:space="preserve"> </w:t>
      </w:r>
      <w:r w:rsidRPr="00197794">
        <w:rPr>
          <w:rStyle w:val="Subtielebenadrukking"/>
          <w:sz w:val="22"/>
        </w:rPr>
        <w:t>under the heading ‘Your input - Consultations’ by</w:t>
      </w:r>
      <w:r>
        <w:rPr>
          <w:rStyle w:val="Subtielebenadrukking"/>
          <w:sz w:val="22"/>
        </w:rPr>
        <w:t xml:space="preserve"> 12 May 2021</w:t>
      </w:r>
      <w:r w:rsidRPr="00197794">
        <w:rPr>
          <w:rStyle w:val="Subtielebenadrukking"/>
          <w:sz w:val="22"/>
        </w:rPr>
        <w:t>.</w:t>
      </w:r>
    </w:p>
    <w:p w14:paraId="658C093E" w14:textId="77777777" w:rsidR="00002874" w:rsidRDefault="00002874" w:rsidP="00002874">
      <w:pPr>
        <w:pStyle w:val="Lijstalinea"/>
        <w:numPr>
          <w:ilvl w:val="0"/>
          <w:numId w:val="2"/>
        </w:numPr>
        <w:spacing w:after="240" w:line="276" w:lineRule="auto"/>
        <w:ind w:left="567" w:hanging="567"/>
        <w:contextualSpacing w:val="0"/>
        <w:jc w:val="both"/>
        <w:rPr>
          <w:rStyle w:val="Subtielebenadrukking"/>
          <w:b w:val="0"/>
          <w:sz w:val="22"/>
        </w:rPr>
      </w:pPr>
      <w:r w:rsidRPr="00197794">
        <w:rPr>
          <w:rStyle w:val="Subtielebenadrukking"/>
          <w:sz w:val="22"/>
        </w:rPr>
        <w:t>Contributions not provided in the template for comments, or after the deadline will not be processed.</w:t>
      </w:r>
    </w:p>
    <w:p w14:paraId="484B7AF8" w14:textId="77777777" w:rsidR="00002874" w:rsidRDefault="00002874" w:rsidP="00002874">
      <w:pPr>
        <w:spacing w:after="240" w:line="276" w:lineRule="auto"/>
        <w:jc w:val="both"/>
        <w:rPr>
          <w:rStyle w:val="Subtielebenadrukking"/>
          <w:b w:val="0"/>
          <w:sz w:val="22"/>
        </w:rPr>
      </w:pPr>
    </w:p>
    <w:p w14:paraId="12B96812" w14:textId="77777777" w:rsidR="00002874" w:rsidRPr="00197794" w:rsidRDefault="00002874" w:rsidP="00002874">
      <w:pPr>
        <w:spacing w:after="240" w:line="276" w:lineRule="auto"/>
        <w:jc w:val="both"/>
        <w:rPr>
          <w:rStyle w:val="Subtielebenadrukking"/>
          <w:b w:val="0"/>
          <w:sz w:val="22"/>
        </w:rPr>
      </w:pPr>
    </w:p>
    <w:p w14:paraId="6DDA2432" w14:textId="77777777" w:rsidR="00002874" w:rsidRPr="00210E59" w:rsidRDefault="00002874" w:rsidP="00002874">
      <w:pPr>
        <w:spacing w:after="120"/>
        <w:jc w:val="both"/>
        <w:rPr>
          <w:rStyle w:val="Subtielebenadrukking"/>
          <w:sz w:val="22"/>
        </w:rPr>
      </w:pPr>
      <w:r w:rsidRPr="00210E59">
        <w:rPr>
          <w:rStyle w:val="Subtielebenadrukking"/>
          <w:sz w:val="22"/>
        </w:rPr>
        <w:t>Publication of responses</w:t>
      </w:r>
    </w:p>
    <w:p w14:paraId="64AB9211" w14:textId="77777777" w:rsidR="00002874" w:rsidRPr="00197794" w:rsidRDefault="00002874" w:rsidP="00002874">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250F726A" w14:textId="77777777" w:rsidR="00002874" w:rsidRDefault="00002874" w:rsidP="00002874">
      <w:pPr>
        <w:rPr>
          <w:rStyle w:val="Subtielebenadrukking"/>
          <w:sz w:val="22"/>
          <w:lang w:eastAsia="en-GB"/>
        </w:rPr>
      </w:pPr>
    </w:p>
    <w:p w14:paraId="5CA516FC" w14:textId="77777777" w:rsidR="00002874" w:rsidRDefault="00002874" w:rsidP="00002874">
      <w:pPr>
        <w:rPr>
          <w:rStyle w:val="Subtielebenadrukking"/>
          <w:sz w:val="22"/>
          <w:lang w:eastAsia="en-GB"/>
        </w:rPr>
      </w:pPr>
    </w:p>
    <w:p w14:paraId="446FB084" w14:textId="77777777" w:rsidR="00002874" w:rsidRPr="00E40A5C" w:rsidRDefault="00002874" w:rsidP="00002874">
      <w:pPr>
        <w:rPr>
          <w:rStyle w:val="Subtielebenadrukking"/>
          <w:sz w:val="22"/>
          <w:lang w:eastAsia="en-GB"/>
        </w:rPr>
      </w:pPr>
      <w:r w:rsidRPr="00E40A5C">
        <w:rPr>
          <w:rStyle w:val="Subtielebenadrukking"/>
          <w:sz w:val="22"/>
          <w:lang w:eastAsia="en-GB"/>
        </w:rPr>
        <w:t>Data protection</w:t>
      </w:r>
    </w:p>
    <w:p w14:paraId="0BD3922C" w14:textId="77777777" w:rsidR="00002874" w:rsidRDefault="00002874" w:rsidP="00002874">
      <w:pPr>
        <w:rPr>
          <w:sz w:val="22"/>
        </w:rPr>
      </w:pPr>
    </w:p>
    <w:p w14:paraId="4E9B49C5" w14:textId="77777777" w:rsidR="00002874" w:rsidRPr="00197794" w:rsidRDefault="00002874" w:rsidP="00002874">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Voetnootmarkering"/>
          <w:rFonts w:eastAsiaTheme="minorEastAsia" w:cs="Arial"/>
        </w:rPr>
        <w:footnoteReference w:id="1"/>
      </w:r>
      <w:r w:rsidRPr="00197794">
        <w:rPr>
          <w:rFonts w:cs="Arial"/>
          <w:sz w:val="22"/>
        </w:rPr>
        <w:t xml:space="preserve">. Further information on data protection can be found under the </w:t>
      </w:r>
      <w:hyperlink r:id="rId15" w:history="1">
        <w:r w:rsidRPr="00197794">
          <w:rPr>
            <w:rStyle w:val="Hyperlink"/>
            <w:rFonts w:cs="Arial"/>
            <w:sz w:val="22"/>
          </w:rPr>
          <w:t>Legal notice</w:t>
        </w:r>
      </w:hyperlink>
      <w:r w:rsidRPr="00197794">
        <w:rPr>
          <w:rFonts w:cs="Arial"/>
          <w:sz w:val="22"/>
        </w:rPr>
        <w:t xml:space="preserve"> section of the EBA website and under the </w:t>
      </w:r>
      <w:hyperlink r:id="rId16" w:history="1">
        <w:r w:rsidRPr="00197794">
          <w:rPr>
            <w:rStyle w:val="Hyperlink"/>
            <w:rFonts w:cs="Arial"/>
            <w:sz w:val="22"/>
          </w:rPr>
          <w:t>Legal notice</w:t>
        </w:r>
      </w:hyperlink>
      <w:r w:rsidRPr="00197794">
        <w:rPr>
          <w:rFonts w:cs="Arial"/>
          <w:sz w:val="22"/>
        </w:rPr>
        <w:t xml:space="preserve"> section of the EIOPA website and under the </w:t>
      </w:r>
      <w:hyperlink r:id="rId17" w:history="1">
        <w:r w:rsidRPr="00197794">
          <w:rPr>
            <w:rStyle w:val="Hyperlink"/>
            <w:rFonts w:cs="Arial"/>
            <w:sz w:val="22"/>
          </w:rPr>
          <w:t>Legal notice</w:t>
        </w:r>
      </w:hyperlink>
      <w:r w:rsidRPr="00197794">
        <w:rPr>
          <w:rFonts w:cs="Arial"/>
          <w:sz w:val="22"/>
        </w:rPr>
        <w:t xml:space="preserve"> section of the ESMA website.</w:t>
      </w:r>
    </w:p>
    <w:p w14:paraId="3669F5B7" w14:textId="77777777" w:rsidR="00002874" w:rsidRDefault="00002874" w:rsidP="00002874">
      <w:pPr>
        <w:spacing w:after="120"/>
        <w:jc w:val="both"/>
        <w:rPr>
          <w:rStyle w:val="Subtielebenadrukking"/>
          <w:sz w:val="22"/>
          <w:lang w:eastAsia="en-GB"/>
        </w:rPr>
      </w:pPr>
    </w:p>
    <w:bookmarkEnd w:id="0"/>
    <w:p w14:paraId="1A043D95" w14:textId="77777777" w:rsidR="00002874" w:rsidRPr="00EC1154" w:rsidRDefault="00002874" w:rsidP="00002874">
      <w:pPr>
        <w:rPr>
          <w:sz w:val="22"/>
        </w:rPr>
      </w:pPr>
    </w:p>
    <w:p w14:paraId="2FBB3746" w14:textId="77777777" w:rsidR="00002874" w:rsidRDefault="00002874" w:rsidP="00002874">
      <w:pPr>
        <w:rPr>
          <w:rFonts w:cs="Arial"/>
          <w:b/>
          <w:bCs/>
          <w:kern w:val="32"/>
          <w:sz w:val="24"/>
          <w:szCs w:val="32"/>
        </w:rPr>
      </w:pPr>
      <w:r>
        <w:br w:type="page"/>
      </w:r>
    </w:p>
    <w:p w14:paraId="3C445079" w14:textId="77777777" w:rsidR="00002874" w:rsidRPr="00AB6D88" w:rsidRDefault="00002874" w:rsidP="00002874">
      <w:pPr>
        <w:pStyle w:val="Kop1"/>
      </w:pPr>
      <w:r w:rsidRPr="00AB6D88">
        <w:lastRenderedPageBreak/>
        <w:t>General information about respondent</w:t>
      </w:r>
    </w:p>
    <w:p w14:paraId="23CFF5D8" w14:textId="77777777" w:rsidR="00002874" w:rsidRDefault="00002874" w:rsidP="00002874">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02874" w:rsidRPr="00AB6D88" w14:paraId="15410B2D" w14:textId="77777777" w:rsidTr="005329C9">
        <w:tc>
          <w:tcPr>
            <w:tcW w:w="3929" w:type="dxa"/>
            <w:shd w:val="clear" w:color="auto" w:fill="auto"/>
          </w:tcPr>
          <w:p w14:paraId="7C1728AC" w14:textId="77777777" w:rsidR="00002874" w:rsidRPr="00E40A5C" w:rsidRDefault="00002874" w:rsidP="005329C9">
            <w:pPr>
              <w:rPr>
                <w:rFonts w:cs="Arial"/>
                <w:sz w:val="22"/>
              </w:rPr>
            </w:pPr>
            <w:r w:rsidRPr="00E40A5C">
              <w:rPr>
                <w:rFonts w:cs="Arial"/>
                <w:sz w:val="22"/>
              </w:rPr>
              <w:t>Name of the company / organisation</w:t>
            </w:r>
          </w:p>
        </w:tc>
        <w:sdt>
          <w:sdtPr>
            <w:rPr>
              <w:rStyle w:val="Tekstvantijdelijkeaanduiding"/>
              <w:rFonts w:cs="Arial"/>
            </w:rPr>
            <w:id w:val="-1905066999"/>
            <w:text/>
          </w:sdtPr>
          <w:sdtEndPr>
            <w:rPr>
              <w:rStyle w:val="Tekstvantijdelijkeaanduiding"/>
            </w:rPr>
          </w:sdtEndPr>
          <w:sdtContent>
            <w:tc>
              <w:tcPr>
                <w:tcW w:w="5595" w:type="dxa"/>
                <w:shd w:val="clear" w:color="auto" w:fill="auto"/>
              </w:tcPr>
              <w:p w14:paraId="1F803A15" w14:textId="0AE8D8E1" w:rsidR="00002874" w:rsidRPr="00AB6D88" w:rsidRDefault="00336BBA" w:rsidP="005329C9">
                <w:pPr>
                  <w:rPr>
                    <w:rStyle w:val="Tekstvantijdelijkeaanduiding"/>
                    <w:rFonts w:cs="Arial"/>
                  </w:rPr>
                </w:pPr>
                <w:r>
                  <w:rPr>
                    <w:rStyle w:val="Tekstvantijdelijkeaanduiding"/>
                    <w:rFonts w:cs="Arial"/>
                  </w:rPr>
                  <w:t>Federation of Dutch Pension Funds</w:t>
                </w:r>
              </w:p>
            </w:tc>
          </w:sdtContent>
        </w:sdt>
      </w:tr>
      <w:tr w:rsidR="00002874" w:rsidRPr="00AB6D88" w14:paraId="06F601FE" w14:textId="77777777" w:rsidTr="005329C9">
        <w:tc>
          <w:tcPr>
            <w:tcW w:w="3929" w:type="dxa"/>
            <w:shd w:val="clear" w:color="auto" w:fill="auto"/>
          </w:tcPr>
          <w:p w14:paraId="7B568520" w14:textId="77777777" w:rsidR="00002874" w:rsidRPr="00E40A5C" w:rsidRDefault="00002874" w:rsidP="005329C9">
            <w:pPr>
              <w:rPr>
                <w:rFonts w:cs="Arial"/>
                <w:sz w:val="22"/>
              </w:rPr>
            </w:pPr>
            <w:r w:rsidRPr="00E40A5C">
              <w:rPr>
                <w:rFonts w:cs="Arial"/>
                <w:sz w:val="22"/>
              </w:rPr>
              <w:t>Activity</w:t>
            </w:r>
          </w:p>
        </w:tc>
        <w:tc>
          <w:tcPr>
            <w:tcW w:w="5595" w:type="dxa"/>
            <w:shd w:val="clear" w:color="auto" w:fill="auto"/>
          </w:tcPr>
          <w:p w14:paraId="413E1D47" w14:textId="77777777" w:rsidR="00002874" w:rsidRPr="00AB6D88" w:rsidRDefault="00CB0228" w:rsidP="005329C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02874">
                  <w:rPr>
                    <w:rFonts w:cs="Arial"/>
                  </w:rPr>
                  <w:t>Insurance and Pension</w:t>
                </w:r>
              </w:sdtContent>
            </w:sdt>
          </w:p>
        </w:tc>
      </w:tr>
      <w:tr w:rsidR="00002874" w:rsidRPr="00AB6D88" w14:paraId="71348031" w14:textId="77777777" w:rsidTr="005329C9">
        <w:tc>
          <w:tcPr>
            <w:tcW w:w="3929" w:type="dxa"/>
            <w:shd w:val="clear" w:color="auto" w:fill="auto"/>
          </w:tcPr>
          <w:p w14:paraId="26B70E8B" w14:textId="77777777" w:rsidR="00002874" w:rsidRPr="00E40A5C" w:rsidRDefault="00002874" w:rsidP="005329C9">
            <w:pPr>
              <w:rPr>
                <w:rFonts w:cs="Arial"/>
                <w:sz w:val="22"/>
              </w:rPr>
            </w:pPr>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7B5B6D9" w14:textId="58823D02" w:rsidR="00002874" w:rsidRPr="00AB6D88" w:rsidRDefault="00ED75AF" w:rsidP="005329C9">
                <w:pPr>
                  <w:rPr>
                    <w:rFonts w:cs="Arial"/>
                  </w:rPr>
                </w:pPr>
                <w:r>
                  <w:rPr>
                    <w:rFonts w:ascii="MS Gothic" w:eastAsia="MS Gothic" w:hAnsi="MS Gothic" w:cs="Arial" w:hint="eastAsia"/>
                  </w:rPr>
                  <w:t>☒</w:t>
                </w:r>
              </w:p>
            </w:tc>
          </w:sdtContent>
        </w:sdt>
      </w:tr>
      <w:tr w:rsidR="00002874" w:rsidRPr="00AB6D88" w14:paraId="7A63A45B" w14:textId="77777777" w:rsidTr="005329C9">
        <w:tc>
          <w:tcPr>
            <w:tcW w:w="3929" w:type="dxa"/>
            <w:shd w:val="clear" w:color="auto" w:fill="auto"/>
          </w:tcPr>
          <w:p w14:paraId="0626BE15" w14:textId="77777777" w:rsidR="00002874" w:rsidRPr="00E40A5C" w:rsidRDefault="00002874" w:rsidP="005329C9">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756DCDC" w14:textId="77777777" w:rsidR="00002874" w:rsidRPr="00AB6D88" w:rsidRDefault="00002874" w:rsidP="005329C9">
                <w:pPr>
                  <w:rPr>
                    <w:rFonts w:cs="Arial"/>
                  </w:rPr>
                </w:pPr>
                <w:r>
                  <w:rPr>
                    <w:rFonts w:cs="Arial"/>
                  </w:rPr>
                  <w:t>Netherlands</w:t>
                </w:r>
              </w:p>
            </w:tc>
          </w:sdtContent>
        </w:sdt>
      </w:tr>
    </w:tbl>
    <w:p w14:paraId="5BA53F5A" w14:textId="77777777" w:rsidR="00002874" w:rsidRDefault="00002874" w:rsidP="00002874">
      <w:pPr>
        <w:spacing w:after="120" w:line="264" w:lineRule="auto"/>
      </w:pPr>
    </w:p>
    <w:p w14:paraId="6D7C491E" w14:textId="77777777" w:rsidR="00002874" w:rsidRDefault="00002874" w:rsidP="00002874">
      <w:pPr>
        <w:pStyle w:val="Kop1"/>
        <w:ind w:left="431" w:hanging="431"/>
      </w:pPr>
      <w:r>
        <w:t>Introduction</w:t>
      </w:r>
    </w:p>
    <w:p w14:paraId="540DF38A" w14:textId="77777777" w:rsidR="00002874" w:rsidRPr="00E40A5C" w:rsidRDefault="00002874" w:rsidP="00002874">
      <w:pPr>
        <w:rPr>
          <w:rStyle w:val="Intensievebenadrukking"/>
          <w:sz w:val="22"/>
        </w:rPr>
      </w:pPr>
      <w:r w:rsidRPr="00E40A5C">
        <w:rPr>
          <w:rStyle w:val="Intensievebenadrukking"/>
          <w:sz w:val="22"/>
        </w:rPr>
        <w:t>Please make your introductory comments below, if any:</w:t>
      </w:r>
    </w:p>
    <w:p w14:paraId="3644E7D9" w14:textId="77777777" w:rsidR="00002874" w:rsidRPr="00BF28DA" w:rsidRDefault="00002874" w:rsidP="00002874"/>
    <w:p w14:paraId="0C7F4D32" w14:textId="77777777" w:rsidR="00002874" w:rsidRPr="006F4535" w:rsidRDefault="00002874" w:rsidP="00002874">
      <w:r w:rsidRPr="006F4535">
        <w:t>&lt;ESA_COMMENT_</w:t>
      </w:r>
      <w:r>
        <w:rPr>
          <w:rStyle w:val="Subtielebenadrukking"/>
          <w:sz w:val="22"/>
        </w:rPr>
        <w:t>ESG</w:t>
      </w:r>
      <w:r w:rsidRPr="006F4535">
        <w:t>_1&gt;</w:t>
      </w:r>
    </w:p>
    <w:p w14:paraId="28B13B97" w14:textId="30A4BE1E" w:rsidR="00A55575" w:rsidRDefault="00A55575" w:rsidP="00002874">
      <w:r>
        <w:t>We welcome the opportunity to comment on these draft measures. We also applaud the effort of the ESAs to clarify the Level 1 provisions of both the SFDR and the Taxonomy Regulation</w:t>
      </w:r>
      <w:r w:rsidR="009622A9">
        <w:t xml:space="preserve"> (TR)</w:t>
      </w:r>
      <w:r>
        <w:t xml:space="preserve"> through the letter of 7 January to the European Commission and the webinar of 29 April. </w:t>
      </w:r>
      <w:r w:rsidR="00802FF8">
        <w:t>We urge the European Commission to respond to outstanding interpretation questions addressed in the letter. At the moment</w:t>
      </w:r>
      <w:r w:rsidR="002737C0">
        <w:t>,</w:t>
      </w:r>
      <w:r>
        <w:t xml:space="preserve"> the entire framework remains difficult to understand and implement, with unclear definitions and overlap.</w:t>
      </w:r>
      <w:r w:rsidR="00802FF8">
        <w:t xml:space="preserve"> </w:t>
      </w:r>
    </w:p>
    <w:p w14:paraId="078D5500" w14:textId="77777777" w:rsidR="00A55575" w:rsidRDefault="00A55575" w:rsidP="00002874"/>
    <w:p w14:paraId="29918029" w14:textId="50A4B72F" w:rsidR="0072064E" w:rsidRDefault="00A55575" w:rsidP="00802FF8">
      <w:r>
        <w:t>Moreover, b</w:t>
      </w:r>
      <w:r w:rsidR="0072064E">
        <w:t xml:space="preserve">oth the SFDR and the </w:t>
      </w:r>
      <w:r w:rsidR="00F81411">
        <w:t xml:space="preserve">TR </w:t>
      </w:r>
      <w:r w:rsidR="0072064E">
        <w:t xml:space="preserve">apply to a wide range of financial market participants (FMP) and products. As a result, the same information has to be </w:t>
      </w:r>
      <w:r w:rsidR="002737C0">
        <w:t>understood</w:t>
      </w:r>
      <w:r w:rsidR="0072064E">
        <w:t xml:space="preserve"> by very different types of audiences. While we are a strong supporter of the Taxonomy, we continue to believe that this harmonised approach to pre-contractual information is flawed. </w:t>
      </w:r>
      <w:r w:rsidR="00802FF8">
        <w:t xml:space="preserve">We also continue to believe that it is not in line with the mandate for the RTS in Level 1, which requires to “take into account the various types of financial products, their characteristics and the differences between them …”. </w:t>
      </w:r>
    </w:p>
    <w:p w14:paraId="51A90228" w14:textId="77777777" w:rsidR="0072064E" w:rsidRDefault="0072064E" w:rsidP="00002874"/>
    <w:p w14:paraId="7C1626A5" w14:textId="5A1469E1" w:rsidR="0072064E" w:rsidRDefault="0072064E" w:rsidP="00002874">
      <w:r>
        <w:t xml:space="preserve">Pension funds are both users and providers of information under the SFDR and Taxonomy Regulation . Dutch pension funds or their investment managers employ dedicated responsible investment teams that will greatly value detailed, comprehensive and comparable information. However, they also automatically enrol 90% of the Dutch employees with a completely different level of financial literacy, time and interest. </w:t>
      </w:r>
    </w:p>
    <w:p w14:paraId="6B09F17F" w14:textId="77827830" w:rsidR="0072064E" w:rsidRDefault="0072064E" w:rsidP="00002874"/>
    <w:p w14:paraId="5CDD9006" w14:textId="40A11BDF" w:rsidR="0001696B" w:rsidRDefault="0072064E" w:rsidP="00002874">
      <w:r>
        <w:t>We feel that the combined information requirements of the SFDR and T</w:t>
      </w:r>
      <w:r w:rsidR="00EA0015">
        <w:t>R</w:t>
      </w:r>
      <w:r>
        <w:t xml:space="preserve"> will lead to an overflow of information for pension funds participants and retail clients. </w:t>
      </w:r>
      <w:r w:rsidR="00D4120D">
        <w:t xml:space="preserve">We recommend a balanced approach to information requirements in order to find a compromise between the information needs of different users. </w:t>
      </w:r>
    </w:p>
    <w:p w14:paraId="6B6CEC76" w14:textId="77777777" w:rsidR="0001696B" w:rsidRDefault="0001696B" w:rsidP="00002874"/>
    <w:p w14:paraId="6349CEBC" w14:textId="2F650AD2" w:rsidR="0072064E" w:rsidRDefault="00D4120D" w:rsidP="00002874">
      <w:r>
        <w:t>As such we recommend</w:t>
      </w:r>
      <w:r w:rsidR="005B70B9">
        <w:t>:</w:t>
      </w:r>
    </w:p>
    <w:p w14:paraId="247BEC3B" w14:textId="6AC78589" w:rsidR="00D4120D" w:rsidRDefault="00D4120D" w:rsidP="00D4120D">
      <w:pPr>
        <w:pStyle w:val="Lijstalinea"/>
        <w:numPr>
          <w:ilvl w:val="0"/>
          <w:numId w:val="5"/>
        </w:numPr>
      </w:pPr>
      <w:r>
        <w:t xml:space="preserve">Removing Article 16a (1) a (ii): </w:t>
      </w:r>
      <w:r w:rsidR="005B70B9">
        <w:t>we would caution against these ‘negative’ explanations, because they require an understanding of the difference between ‘promotion’ and ‘sustainable investments’.</w:t>
      </w:r>
    </w:p>
    <w:p w14:paraId="779EE23F" w14:textId="74565FB4" w:rsidR="00D4120D" w:rsidRDefault="0001696B" w:rsidP="00BD4DA7">
      <w:pPr>
        <w:pStyle w:val="Lijstalinea"/>
        <w:numPr>
          <w:ilvl w:val="0"/>
          <w:numId w:val="5"/>
        </w:numPr>
      </w:pPr>
      <w:r>
        <w:t>Removing or reducing (or putting at the bottom) of the entire sect</w:t>
      </w:r>
      <w:r w:rsidR="00F85C7F">
        <w:t>ion</w:t>
      </w:r>
      <w:r>
        <w:t xml:space="preserve"> on the </w:t>
      </w:r>
      <w:r w:rsidR="005B70B9">
        <w:t>classification of the financial product as being Article 8/9 SFDR, making sustainable investments according to Art. 2(17) SFDR, and doing so in environmental objectives that may or may not fall within the Taxonomy. This type of information is meaningless for pension fund participants, or retail clients more generally.</w:t>
      </w:r>
    </w:p>
    <w:p w14:paraId="30A27507" w14:textId="44185AA4" w:rsidR="00AC0190" w:rsidRPr="00206F52" w:rsidRDefault="00AC0190" w:rsidP="00BD4DA7">
      <w:pPr>
        <w:pStyle w:val="Lijstalinea"/>
        <w:numPr>
          <w:ilvl w:val="0"/>
          <w:numId w:val="5"/>
        </w:numPr>
      </w:pPr>
      <w:r>
        <w:t>Introducing different templates for different financial products. T</w:t>
      </w:r>
      <w:r w:rsidRPr="00AC0190">
        <w:rPr>
          <w:lang w:val="en-US"/>
        </w:rPr>
        <w:t xml:space="preserve">he templates </w:t>
      </w:r>
      <w:r>
        <w:rPr>
          <w:lang w:val="en-US"/>
        </w:rPr>
        <w:t xml:space="preserve">seem to be </w:t>
      </w:r>
      <w:r w:rsidRPr="00AC0190">
        <w:rPr>
          <w:lang w:val="en-US"/>
        </w:rPr>
        <w:t>intended for financial products such as AIF and UCITS funds.</w:t>
      </w:r>
      <w:r>
        <w:rPr>
          <w:lang w:val="en-US"/>
        </w:rPr>
        <w:t xml:space="preserve"> The templates </w:t>
      </w:r>
      <w:r w:rsidR="00F200D3">
        <w:rPr>
          <w:lang w:val="en-US"/>
        </w:rPr>
        <w:t xml:space="preserve">are not </w:t>
      </w:r>
      <w:r w:rsidR="00014F1B">
        <w:rPr>
          <w:lang w:val="en-US"/>
        </w:rPr>
        <w:t>comprehensible</w:t>
      </w:r>
      <w:r>
        <w:rPr>
          <w:lang w:val="en-US"/>
        </w:rPr>
        <w:t xml:space="preserve"> for pension participants.</w:t>
      </w:r>
      <w:r w:rsidR="00014F1B">
        <w:rPr>
          <w:lang w:val="en-US"/>
        </w:rPr>
        <w:t xml:space="preserve"> </w:t>
      </w:r>
      <w:r w:rsidR="00014F1B" w:rsidRPr="00BC4A33">
        <w:rPr>
          <w:lang w:val="en-US"/>
        </w:rPr>
        <w:t xml:space="preserve">In addition, </w:t>
      </w:r>
      <w:r w:rsidR="00BC4A33" w:rsidRPr="00BC4A33">
        <w:rPr>
          <w:lang w:val="en-US"/>
        </w:rPr>
        <w:t xml:space="preserve">for </w:t>
      </w:r>
      <w:r w:rsidR="00014F1B" w:rsidRPr="00BC4A33">
        <w:rPr>
          <w:lang w:val="en-US"/>
        </w:rPr>
        <w:t>Dutch employees</w:t>
      </w:r>
      <w:r w:rsidR="00BC4A33" w:rsidRPr="00BC4A33">
        <w:rPr>
          <w:lang w:val="en-US"/>
        </w:rPr>
        <w:t xml:space="preserve"> participation in pension schemes is compulsory. They do</w:t>
      </w:r>
      <w:r w:rsidR="00F81411">
        <w:rPr>
          <w:lang w:val="en-US"/>
        </w:rPr>
        <w:t xml:space="preserve"> not</w:t>
      </w:r>
      <w:r w:rsidR="00BC4A33" w:rsidRPr="00BC4A33">
        <w:rPr>
          <w:lang w:val="en-US"/>
        </w:rPr>
        <w:t xml:space="preserve"> have a freedom of choice in respect of which pension fund they want to join, </w:t>
      </w:r>
      <w:r w:rsidR="00F200D3" w:rsidRPr="00BC4A33">
        <w:rPr>
          <w:lang w:val="en-US"/>
        </w:rPr>
        <w:t>In</w:t>
      </w:r>
      <w:r w:rsidR="00F200D3">
        <w:rPr>
          <w:lang w:val="en-US"/>
        </w:rPr>
        <w:t xml:space="preserve"> our view it should be possible to exclude certain questions and information for different types of financial products</w:t>
      </w:r>
      <w:r w:rsidR="00FD2585">
        <w:rPr>
          <w:lang w:val="en-US"/>
        </w:rPr>
        <w:t>, based on the information needs of different types of audiences.</w:t>
      </w:r>
      <w:r w:rsidR="00F200D3">
        <w:rPr>
          <w:lang w:val="en-US"/>
        </w:rPr>
        <w:t xml:space="preserve"> For example, the information that should be accessible for individually managed portfolios and pension participants should be </w:t>
      </w:r>
      <w:r w:rsidR="00F81411">
        <w:rPr>
          <w:lang w:val="en-US"/>
        </w:rPr>
        <w:t>more succinct</w:t>
      </w:r>
      <w:r w:rsidR="00F200D3">
        <w:rPr>
          <w:lang w:val="en-US"/>
        </w:rPr>
        <w:t xml:space="preserve"> than information accessible for investors of collective investment funds. To support our view: </w:t>
      </w:r>
      <w:r>
        <w:rPr>
          <w:lang w:val="en-US"/>
        </w:rPr>
        <w:t>a</w:t>
      </w:r>
      <w:r w:rsidRPr="00AC0190">
        <w:rPr>
          <w:lang w:val="en-US"/>
        </w:rPr>
        <w:t xml:space="preserve">rticle 8 (4), 9 (6) and 11 (5) SFDR require the ESA’s, </w:t>
      </w:r>
      <w:r>
        <w:rPr>
          <w:lang w:val="en-US"/>
        </w:rPr>
        <w:t>when developing the templates,</w:t>
      </w:r>
      <w:r w:rsidRPr="00AC0190">
        <w:rPr>
          <w:lang w:val="en-US"/>
        </w:rPr>
        <w:t xml:space="preserve"> to take into </w:t>
      </w:r>
      <w:r>
        <w:rPr>
          <w:lang w:val="en-US"/>
        </w:rPr>
        <w:t xml:space="preserve">account </w:t>
      </w:r>
      <w:r w:rsidRPr="00AC0190">
        <w:rPr>
          <w:lang w:val="en-US"/>
        </w:rPr>
        <w:t>the various types of financial products</w:t>
      </w:r>
      <w:r>
        <w:rPr>
          <w:lang w:val="en-US"/>
        </w:rPr>
        <w:t xml:space="preserve">, </w:t>
      </w:r>
      <w:r w:rsidRPr="00AC0190">
        <w:rPr>
          <w:lang w:val="en-US"/>
        </w:rPr>
        <w:t>their characteristics and objectives and differences between them.</w:t>
      </w:r>
      <w:r w:rsidR="00F200D3">
        <w:rPr>
          <w:lang w:val="en-US"/>
        </w:rPr>
        <w:t xml:space="preserve"> </w:t>
      </w:r>
    </w:p>
    <w:p w14:paraId="7DF049AC" w14:textId="1C6BA972" w:rsidR="00D761E1" w:rsidRPr="00206F52" w:rsidRDefault="00D761E1" w:rsidP="00BD4DA7">
      <w:pPr>
        <w:pStyle w:val="Lijstalinea"/>
        <w:numPr>
          <w:ilvl w:val="0"/>
          <w:numId w:val="5"/>
        </w:numPr>
      </w:pPr>
      <w:r>
        <w:rPr>
          <w:lang w:val="en-US"/>
        </w:rPr>
        <w:lastRenderedPageBreak/>
        <w:t xml:space="preserve">Introduction </w:t>
      </w:r>
      <w:r w:rsidR="0018592A">
        <w:rPr>
          <w:lang w:val="en-US"/>
        </w:rPr>
        <w:t>of t</w:t>
      </w:r>
      <w:r>
        <w:rPr>
          <w:lang w:val="en-US"/>
        </w:rPr>
        <w:t xml:space="preserve">he option to scale down the reporting templates for some financial products. In line with the previous recommendation, for some financial products the template should allow reporting less information. </w:t>
      </w:r>
      <w:r w:rsidR="00206F52">
        <w:rPr>
          <w:lang w:val="en-US"/>
        </w:rPr>
        <w:t>This should depend on t</w:t>
      </w:r>
      <w:r>
        <w:rPr>
          <w:lang w:val="en-US"/>
        </w:rPr>
        <w:t xml:space="preserve">he type of public of the disclosures e.g. pension participants, clients for which individual portfolios are managed </w:t>
      </w:r>
      <w:r w:rsidR="00206F52">
        <w:rPr>
          <w:lang w:val="en-US"/>
        </w:rPr>
        <w:t>or</w:t>
      </w:r>
      <w:r>
        <w:rPr>
          <w:lang w:val="en-US"/>
        </w:rPr>
        <w:t xml:space="preserve"> professional investors. </w:t>
      </w:r>
    </w:p>
    <w:p w14:paraId="27E0339B" w14:textId="69502918" w:rsidR="00CF439F" w:rsidRPr="00ED75AF" w:rsidRDefault="00F200D3" w:rsidP="00BD4DA7">
      <w:pPr>
        <w:pStyle w:val="Lijstalinea"/>
        <w:numPr>
          <w:ilvl w:val="0"/>
          <w:numId w:val="5"/>
        </w:numPr>
      </w:pPr>
      <w:r>
        <w:rPr>
          <w:lang w:val="en-US"/>
        </w:rPr>
        <w:t xml:space="preserve">Managing expectations of </w:t>
      </w:r>
      <w:r w:rsidR="00DB3610">
        <w:rPr>
          <w:lang w:val="en-US"/>
        </w:rPr>
        <w:t>FMP</w:t>
      </w:r>
      <w:r w:rsidR="00F81411">
        <w:rPr>
          <w:lang w:val="en-US"/>
        </w:rPr>
        <w:t>s</w:t>
      </w:r>
      <w:r>
        <w:rPr>
          <w:lang w:val="en-US"/>
        </w:rPr>
        <w:t xml:space="preserve"> in view of approaching deadlines. The expectations of financial market participants in view of disclosure</w:t>
      </w:r>
      <w:r w:rsidR="00F65D13">
        <w:rPr>
          <w:lang w:val="en-US"/>
        </w:rPr>
        <w:t xml:space="preserve"> obligations</w:t>
      </w:r>
      <w:r>
        <w:rPr>
          <w:lang w:val="en-US"/>
        </w:rPr>
        <w:t xml:space="preserve"> </w:t>
      </w:r>
      <w:r w:rsidR="00F65D13">
        <w:rPr>
          <w:lang w:val="en-US"/>
        </w:rPr>
        <w:t>in</w:t>
      </w:r>
      <w:r>
        <w:rPr>
          <w:lang w:val="en-US"/>
        </w:rPr>
        <w:t xml:space="preserve"> 2022 are unclear</w:t>
      </w:r>
      <w:r w:rsidR="00F65D13">
        <w:rPr>
          <w:lang w:val="en-US"/>
        </w:rPr>
        <w:t xml:space="preserve"> (art. 8,9 and 11)</w:t>
      </w:r>
      <w:r>
        <w:rPr>
          <w:lang w:val="en-US"/>
        </w:rPr>
        <w:t>.</w:t>
      </w:r>
      <w:r w:rsidR="00CF439F">
        <w:rPr>
          <w:lang w:val="en-US"/>
        </w:rPr>
        <w:t xml:space="preserve"> Also up until this day, the questions of the ESAs in this regard have not been answered.</w:t>
      </w:r>
      <w:r>
        <w:rPr>
          <w:lang w:val="en-US"/>
        </w:rPr>
        <w:t xml:space="preserve"> </w:t>
      </w:r>
      <w:r w:rsidR="00CF439F">
        <w:rPr>
          <w:lang w:val="en-US"/>
        </w:rPr>
        <w:t>To provide an example of the consequences: t</w:t>
      </w:r>
      <w:r>
        <w:rPr>
          <w:lang w:val="en-US"/>
        </w:rPr>
        <w:t>he periodical disclosure templates seem to allow</w:t>
      </w:r>
      <w:r w:rsidR="00CF439F">
        <w:rPr>
          <w:lang w:val="en-US"/>
        </w:rPr>
        <w:t xml:space="preserve"> the</w:t>
      </w:r>
      <w:r>
        <w:rPr>
          <w:lang w:val="en-US"/>
        </w:rPr>
        <w:t xml:space="preserve"> inclusion of the PAI indicators to reflect the sustainability indicators. However, disclosure of the PAI indicators is </w:t>
      </w:r>
      <w:r w:rsidR="00CF439F">
        <w:rPr>
          <w:lang w:val="en-US"/>
        </w:rPr>
        <w:t xml:space="preserve">only </w:t>
      </w:r>
      <w:r>
        <w:rPr>
          <w:lang w:val="en-US"/>
        </w:rPr>
        <w:t>required as of 2023</w:t>
      </w:r>
      <w:r w:rsidR="00F65D13">
        <w:rPr>
          <w:lang w:val="en-US"/>
        </w:rPr>
        <w:t xml:space="preserve"> (art. 4 SFDR)</w:t>
      </w:r>
      <w:r>
        <w:rPr>
          <w:lang w:val="en-US"/>
        </w:rPr>
        <w:t xml:space="preserve">. </w:t>
      </w:r>
      <w:r w:rsidR="00CF439F">
        <w:rPr>
          <w:lang w:val="en-US"/>
        </w:rPr>
        <w:t>Therefore i</w:t>
      </w:r>
      <w:r>
        <w:rPr>
          <w:lang w:val="en-US"/>
        </w:rPr>
        <w:t xml:space="preserve">t is </w:t>
      </w:r>
      <w:r w:rsidR="002B54A5">
        <w:rPr>
          <w:lang w:val="en-US"/>
        </w:rPr>
        <w:t xml:space="preserve">now </w:t>
      </w:r>
      <w:r>
        <w:rPr>
          <w:lang w:val="en-US"/>
        </w:rPr>
        <w:t xml:space="preserve">already clear that the data </w:t>
      </w:r>
      <w:r w:rsidR="00E04D3C">
        <w:rPr>
          <w:lang w:val="en-US"/>
        </w:rPr>
        <w:t xml:space="preserve">needed </w:t>
      </w:r>
      <w:r>
        <w:rPr>
          <w:lang w:val="en-US"/>
        </w:rPr>
        <w:t xml:space="preserve">to comply with these disclosures </w:t>
      </w:r>
      <w:r w:rsidR="00D761E1">
        <w:rPr>
          <w:lang w:val="en-US"/>
        </w:rPr>
        <w:t>will not be</w:t>
      </w:r>
      <w:r w:rsidR="00CF439F">
        <w:rPr>
          <w:lang w:val="en-US"/>
        </w:rPr>
        <w:t xml:space="preserve"> available</w:t>
      </w:r>
      <w:r w:rsidR="002B54A5">
        <w:rPr>
          <w:lang w:val="en-US"/>
        </w:rPr>
        <w:t xml:space="preserve"> in time</w:t>
      </w:r>
      <w:r>
        <w:rPr>
          <w:lang w:val="en-US"/>
        </w:rPr>
        <w:t xml:space="preserve">. </w:t>
      </w:r>
    </w:p>
    <w:p w14:paraId="1D487D05" w14:textId="0BC1C015" w:rsidR="00301F43" w:rsidRDefault="00301F43" w:rsidP="00301F43"/>
    <w:p w14:paraId="22F29270" w14:textId="2D9F34B8" w:rsidR="00301F43" w:rsidRPr="00872C3E" w:rsidRDefault="00301F43" w:rsidP="00ED75AF">
      <w:r>
        <w:t xml:space="preserve">Although we are aware that the present consultation focuses on the TR RTS, we </w:t>
      </w:r>
      <w:r w:rsidR="00BF4240">
        <w:t>would like to make the following remarks about the original SFDR RTS.</w:t>
      </w:r>
    </w:p>
    <w:p w14:paraId="3EA178BD" w14:textId="572B6FE3" w:rsidR="00A06B13" w:rsidRPr="00872C3E" w:rsidRDefault="002716A7" w:rsidP="00BD4DA7">
      <w:pPr>
        <w:pStyle w:val="Lijstalinea"/>
        <w:numPr>
          <w:ilvl w:val="0"/>
          <w:numId w:val="5"/>
        </w:numPr>
      </w:pPr>
      <w:r>
        <w:rPr>
          <w:lang w:val="en-US"/>
        </w:rPr>
        <w:t>In re</w:t>
      </w:r>
      <w:r w:rsidR="00512E30">
        <w:rPr>
          <w:lang w:val="en-US"/>
        </w:rPr>
        <w:t>s</w:t>
      </w:r>
      <w:r>
        <w:rPr>
          <w:lang w:val="en-US"/>
        </w:rPr>
        <w:t xml:space="preserve">pect of article 6 of the </w:t>
      </w:r>
      <w:r w:rsidR="00301F43">
        <w:rPr>
          <w:lang w:val="en-US"/>
        </w:rPr>
        <w:t>SFDR</w:t>
      </w:r>
      <w:r>
        <w:rPr>
          <w:lang w:val="en-US"/>
        </w:rPr>
        <w:t xml:space="preserve"> RTS (</w:t>
      </w:r>
      <w:r w:rsidR="00512E30">
        <w:rPr>
          <w:lang w:val="en-US"/>
        </w:rPr>
        <w:t>D</w:t>
      </w:r>
      <w:r>
        <w:rPr>
          <w:lang w:val="en-US"/>
        </w:rPr>
        <w:t xml:space="preserve">escription </w:t>
      </w:r>
      <w:r w:rsidR="00CC0616">
        <w:rPr>
          <w:lang w:val="en-US"/>
        </w:rPr>
        <w:t xml:space="preserve">of principal adverse sustainability impacts </w:t>
      </w:r>
      <w:r w:rsidR="00512E30">
        <w:rPr>
          <w:lang w:val="en-US"/>
        </w:rPr>
        <w:t xml:space="preserve">section) we </w:t>
      </w:r>
      <w:r w:rsidR="00961B36">
        <w:rPr>
          <w:lang w:val="en-US"/>
        </w:rPr>
        <w:t xml:space="preserve">are not in </w:t>
      </w:r>
      <w:proofErr w:type="spellStart"/>
      <w:r w:rsidR="00961B36">
        <w:rPr>
          <w:lang w:val="en-US"/>
        </w:rPr>
        <w:t>favour</w:t>
      </w:r>
      <w:proofErr w:type="spellEnd"/>
      <w:r w:rsidR="00961B36">
        <w:rPr>
          <w:lang w:val="en-US"/>
        </w:rPr>
        <w:t xml:space="preserve"> of </w:t>
      </w:r>
      <w:r w:rsidR="00CD3B75">
        <w:rPr>
          <w:lang w:val="en-US"/>
        </w:rPr>
        <w:t>the obligation</w:t>
      </w:r>
      <w:r w:rsidR="00361B46">
        <w:rPr>
          <w:lang w:val="en-US"/>
        </w:rPr>
        <w:t xml:space="preserve"> as laid down in par. 2 </w:t>
      </w:r>
      <w:r w:rsidR="00CD3B75">
        <w:rPr>
          <w:lang w:val="en-US"/>
        </w:rPr>
        <w:t xml:space="preserve"> for a FMP to provide for a description of </w:t>
      </w:r>
      <w:r w:rsidR="00DA4C1C">
        <w:rPr>
          <w:lang w:val="en-US"/>
        </w:rPr>
        <w:t>his “actions p</w:t>
      </w:r>
      <w:r w:rsidR="00361B46">
        <w:rPr>
          <w:lang w:val="en-US"/>
        </w:rPr>
        <w:t>l</w:t>
      </w:r>
      <w:r w:rsidR="00DA4C1C">
        <w:rPr>
          <w:lang w:val="en-US"/>
        </w:rPr>
        <w:t>anned”</w:t>
      </w:r>
      <w:r w:rsidR="00361B46">
        <w:rPr>
          <w:lang w:val="en-US"/>
        </w:rPr>
        <w:t xml:space="preserve">, as this </w:t>
      </w:r>
      <w:r w:rsidR="00AE1DB9">
        <w:rPr>
          <w:lang w:val="en-US"/>
        </w:rPr>
        <w:t>c</w:t>
      </w:r>
      <w:r w:rsidR="00361B46">
        <w:rPr>
          <w:lang w:val="en-US"/>
        </w:rPr>
        <w:t>o</w:t>
      </w:r>
      <w:r w:rsidR="00AE1DB9">
        <w:rPr>
          <w:lang w:val="en-US"/>
        </w:rPr>
        <w:t>uld lead to a disclosure of confidential business information.</w:t>
      </w:r>
      <w:r w:rsidR="00CC679C">
        <w:rPr>
          <w:lang w:val="en-US"/>
        </w:rPr>
        <w:t xml:space="preserve"> In addition</w:t>
      </w:r>
      <w:r w:rsidR="00F65D13">
        <w:rPr>
          <w:lang w:val="en-US"/>
        </w:rPr>
        <w:t>,</w:t>
      </w:r>
      <w:r w:rsidR="00CC679C">
        <w:rPr>
          <w:lang w:val="en-US"/>
        </w:rPr>
        <w:t xml:space="preserve"> it should be clari</w:t>
      </w:r>
      <w:r w:rsidR="00D44F91">
        <w:rPr>
          <w:lang w:val="en-US"/>
        </w:rPr>
        <w:t xml:space="preserve">fied that </w:t>
      </w:r>
      <w:r w:rsidR="00514B5C">
        <w:rPr>
          <w:lang w:val="en-US"/>
        </w:rPr>
        <w:t xml:space="preserve">the “at least five previous reference periods” as mentioned in par. 4 </w:t>
      </w:r>
      <w:r w:rsidR="00C53168">
        <w:rPr>
          <w:lang w:val="en-US"/>
        </w:rPr>
        <w:t xml:space="preserve">in respect of a historical comparison </w:t>
      </w:r>
      <w:r w:rsidR="00A314C6">
        <w:rPr>
          <w:lang w:val="en-US"/>
        </w:rPr>
        <w:t xml:space="preserve">of adverse impacts </w:t>
      </w:r>
      <w:r w:rsidR="00EC74F3">
        <w:rPr>
          <w:lang w:val="en-US"/>
        </w:rPr>
        <w:t>will</w:t>
      </w:r>
      <w:r w:rsidR="00A314C6">
        <w:rPr>
          <w:lang w:val="en-US"/>
        </w:rPr>
        <w:t xml:space="preserve"> not consist of refer</w:t>
      </w:r>
      <w:r w:rsidR="00724D10">
        <w:rPr>
          <w:lang w:val="en-US"/>
        </w:rPr>
        <w:t xml:space="preserve">ence periods before January 1st 2022 as this would mean </w:t>
      </w:r>
      <w:r w:rsidR="00685EF2">
        <w:rPr>
          <w:lang w:val="en-US"/>
        </w:rPr>
        <w:t>retroaction of obligation.</w:t>
      </w:r>
    </w:p>
    <w:p w14:paraId="1D8A0C66" w14:textId="38703414" w:rsidR="00593C10" w:rsidRPr="00872C3E" w:rsidRDefault="00C46DBF" w:rsidP="00BD4DA7">
      <w:pPr>
        <w:pStyle w:val="Lijstalinea"/>
        <w:numPr>
          <w:ilvl w:val="0"/>
          <w:numId w:val="5"/>
        </w:numPr>
      </w:pPr>
      <w:r>
        <w:rPr>
          <w:lang w:val="en-US"/>
        </w:rPr>
        <w:t xml:space="preserve">In respect </w:t>
      </w:r>
      <w:r w:rsidR="00E65FB3">
        <w:rPr>
          <w:lang w:val="en-US"/>
        </w:rPr>
        <w:t xml:space="preserve">article 36 (a description of </w:t>
      </w:r>
      <w:r w:rsidR="001E7464">
        <w:rPr>
          <w:lang w:val="en-US"/>
        </w:rPr>
        <w:t>the policy to assess good governance practices</w:t>
      </w:r>
      <w:r w:rsidR="00FE64C3">
        <w:rPr>
          <w:lang w:val="en-US"/>
        </w:rPr>
        <w:t xml:space="preserve"> of the investee companies referred to in Article 15</w:t>
      </w:r>
      <w:r w:rsidR="00595D84">
        <w:rPr>
          <w:lang w:val="en-US"/>
        </w:rPr>
        <w:t>c</w:t>
      </w:r>
      <w:r w:rsidR="00C004B5">
        <w:rPr>
          <w:lang w:val="en-US"/>
        </w:rPr>
        <w:t>)</w:t>
      </w:r>
      <w:r w:rsidR="00872C3E">
        <w:rPr>
          <w:lang w:val="en-US"/>
        </w:rPr>
        <w:t>,</w:t>
      </w:r>
      <w:r w:rsidR="00C004B5">
        <w:rPr>
          <w:lang w:val="en-US"/>
        </w:rPr>
        <w:t xml:space="preserve"> </w:t>
      </w:r>
      <w:r w:rsidR="00872C3E">
        <w:rPr>
          <w:lang w:val="en-US"/>
        </w:rPr>
        <w:t xml:space="preserve">although we have certain sympathy for the concept of decent tax compliance by companies, </w:t>
      </w:r>
      <w:r w:rsidR="00C004B5">
        <w:rPr>
          <w:lang w:val="en-US"/>
        </w:rPr>
        <w:t xml:space="preserve">we have serious doubts </w:t>
      </w:r>
      <w:r w:rsidR="00AC5033">
        <w:rPr>
          <w:lang w:val="en-US"/>
        </w:rPr>
        <w:t xml:space="preserve">about the obligation to describe the </w:t>
      </w:r>
      <w:r w:rsidR="000E3DBD">
        <w:rPr>
          <w:lang w:val="en-US"/>
        </w:rPr>
        <w:t xml:space="preserve">tax compliance. It is not at all clear for us how </w:t>
      </w:r>
      <w:r w:rsidR="00C23488">
        <w:rPr>
          <w:lang w:val="en-US"/>
        </w:rPr>
        <w:t>a FMP should do this (e.g. will he g</w:t>
      </w:r>
      <w:r w:rsidR="00BF4240">
        <w:rPr>
          <w:lang w:val="en-US"/>
        </w:rPr>
        <w:t>e</w:t>
      </w:r>
      <w:r w:rsidR="00C23488">
        <w:rPr>
          <w:lang w:val="en-US"/>
        </w:rPr>
        <w:t>t access to a</w:t>
      </w:r>
      <w:r w:rsidR="005F1F3D">
        <w:rPr>
          <w:lang w:val="en-US"/>
        </w:rPr>
        <w:t xml:space="preserve">ll the information needed from the investee company, e.g. taking into consideration the </w:t>
      </w:r>
      <w:r w:rsidR="00565271">
        <w:rPr>
          <w:lang w:val="en-US"/>
        </w:rPr>
        <w:t>confidential character  of tax matters of a company?).</w:t>
      </w:r>
      <w:r w:rsidR="00140C90">
        <w:rPr>
          <w:lang w:val="en-US"/>
        </w:rPr>
        <w:t xml:space="preserve"> And </w:t>
      </w:r>
      <w:r w:rsidR="00872C3E">
        <w:rPr>
          <w:lang w:val="en-US"/>
        </w:rPr>
        <w:t>from</w:t>
      </w:r>
      <w:r w:rsidR="00140C90">
        <w:rPr>
          <w:lang w:val="en-US"/>
        </w:rPr>
        <w:t xml:space="preserve"> a principa</w:t>
      </w:r>
      <w:r w:rsidR="00934C22">
        <w:rPr>
          <w:lang w:val="en-US"/>
        </w:rPr>
        <w:t>l</w:t>
      </w:r>
      <w:r w:rsidR="00140C90">
        <w:rPr>
          <w:lang w:val="en-US"/>
        </w:rPr>
        <w:t xml:space="preserve"> point of view we doubt whether t</w:t>
      </w:r>
      <w:r w:rsidR="00934C22">
        <w:rPr>
          <w:lang w:val="en-US"/>
        </w:rPr>
        <w:t>he Level 1 text of the SFDR provides for a proper legal basis for such obligation, as art. 10 (1) SFDR</w:t>
      </w:r>
      <w:r w:rsidR="0078337E">
        <w:rPr>
          <w:lang w:val="en-US"/>
        </w:rPr>
        <w:t xml:space="preserve"> only prescribes a description of the environm</w:t>
      </w:r>
      <w:r w:rsidR="00F8280D">
        <w:rPr>
          <w:lang w:val="en-US"/>
        </w:rPr>
        <w:t>ental and social characteristics.</w:t>
      </w:r>
      <w:r w:rsidR="00872C3E">
        <w:rPr>
          <w:lang w:val="en-US"/>
        </w:rPr>
        <w:t xml:space="preserve"> This could only be considered if and when in the CSDR would oblige investee companies to provide relevant data to enable this. </w:t>
      </w:r>
    </w:p>
    <w:p w14:paraId="691206C1" w14:textId="525CF720" w:rsidR="0072064E" w:rsidRDefault="0072064E" w:rsidP="00002874"/>
    <w:p w14:paraId="5381627C" w14:textId="22C61095" w:rsidR="005B70B9" w:rsidRDefault="007661DB" w:rsidP="00002874">
      <w:r>
        <w:t xml:space="preserve">Furthermore, following the webinar on 29 April, we believe that for pension funds it will be unclear how to exactly comply with the requirement to report the ‘minimum taxonomy alignment’. This minimum alignment was presented </w:t>
      </w:r>
      <w:r w:rsidR="00010B3F">
        <w:t>in the webinar as a target. Even pension funds that are in scope of Article 6 as they make environmental sustainable investments, currently (and potentially going forward) do not set explicit targets for Taxonomy-alignment. The percentage of taxonomy alignment of the whole portfolio can vary significantly due to factors unrelated to the policy regarding investments in these assets. For example, a drop of the interest rate can increase the value of bonds and thereby decrease the relative share of equity investment and therefore also automatically the value of taxonomy-aligned equity investments. Should a pension fund face a supervisory inquiry or penalties as it ‘misinformed’ its automatically enrolled participants due to unexpected movements of the interest rate?</w:t>
      </w:r>
    </w:p>
    <w:p w14:paraId="2376F667" w14:textId="25D791D4" w:rsidR="00FD2585" w:rsidRDefault="00FD2585" w:rsidP="00002874"/>
    <w:p w14:paraId="0C40C18D" w14:textId="77777777" w:rsidR="0072064E" w:rsidRDefault="0072064E" w:rsidP="00002874"/>
    <w:p w14:paraId="5C6E6AF6" w14:textId="130A59E1" w:rsidR="00AC1EE1" w:rsidRDefault="00AC1EE1" w:rsidP="00002874"/>
    <w:p w14:paraId="0F26BF8B" w14:textId="77777777" w:rsidR="00AC1EE1" w:rsidRDefault="00AC1EE1" w:rsidP="00002874"/>
    <w:p w14:paraId="316AD1C8" w14:textId="77777777" w:rsidR="00002874" w:rsidRPr="00BF28DA" w:rsidRDefault="00002874" w:rsidP="00002874">
      <w:r w:rsidRPr="00BF28DA">
        <w:t>&lt;ESA_COMMENT_</w:t>
      </w:r>
      <w:r>
        <w:rPr>
          <w:rStyle w:val="Subtielebenadrukking"/>
          <w:sz w:val="22"/>
        </w:rPr>
        <w:t>ESG</w:t>
      </w:r>
      <w:r>
        <w:t>_</w:t>
      </w:r>
      <w:r w:rsidRPr="00BF28DA">
        <w:t>1&gt;</w:t>
      </w:r>
    </w:p>
    <w:p w14:paraId="69FEC57D" w14:textId="77777777" w:rsidR="00002874" w:rsidRPr="00BF28DA" w:rsidRDefault="00002874" w:rsidP="00002874"/>
    <w:p w14:paraId="6DEB3276" w14:textId="77777777" w:rsidR="00002874" w:rsidRDefault="00002874" w:rsidP="00002874">
      <w:pPr>
        <w:pStyle w:val="Questionstyle"/>
      </w:pPr>
      <w:r w:rsidRPr="0075015C">
        <w:br w:type="page"/>
      </w:r>
      <w:r>
        <w:lastRenderedPageBreak/>
        <w:t xml:space="preserve">: </w:t>
      </w:r>
      <w:r w:rsidRPr="001969F6">
        <w:t>Do you have any views regarding the ESAs’ proposed approach to amend the existing SFDR RTS instead of drafting a new set of draft RTS?</w:t>
      </w:r>
    </w:p>
    <w:p w14:paraId="72FBC1D7" w14:textId="77777777" w:rsidR="00002874" w:rsidRDefault="00002874" w:rsidP="00002874">
      <w:pPr>
        <w:rPr>
          <w:rFonts w:cs="Arial"/>
        </w:rPr>
      </w:pPr>
      <w:r>
        <w:rPr>
          <w:rFonts w:cs="Arial"/>
        </w:rPr>
        <w:t>&lt;ESA_QUESTION_ESG_1&gt;</w:t>
      </w:r>
    </w:p>
    <w:p w14:paraId="62B0D52D" w14:textId="77777777" w:rsidR="00002874" w:rsidRDefault="00002874" w:rsidP="00002874">
      <w:pPr>
        <w:rPr>
          <w:rFonts w:cs="Arial"/>
        </w:rPr>
      </w:pPr>
      <w:r>
        <w:rPr>
          <w:rFonts w:cs="Arial"/>
        </w:rPr>
        <w:t xml:space="preserve">We believe that it </w:t>
      </w:r>
      <w:r w:rsidRPr="00887C4F">
        <w:rPr>
          <w:rFonts w:cs="Arial"/>
        </w:rPr>
        <w:t xml:space="preserve">makes sense to have </w:t>
      </w:r>
      <w:r>
        <w:rPr>
          <w:rFonts w:cs="Arial"/>
        </w:rPr>
        <w:t>one Level 2 measure</w:t>
      </w:r>
      <w:r w:rsidRPr="00887C4F">
        <w:rPr>
          <w:rFonts w:cs="Arial"/>
        </w:rPr>
        <w:t xml:space="preserve"> that covers both SFDR and Taxonomy disclosure requirements for financial market participants o</w:t>
      </w:r>
      <w:r>
        <w:rPr>
          <w:rFonts w:cs="Arial"/>
        </w:rPr>
        <w:t>ffering Article 8 or 9 products</w:t>
      </w:r>
      <w:r w:rsidRPr="00887C4F">
        <w:rPr>
          <w:rFonts w:cs="Arial"/>
        </w:rPr>
        <w:t>.</w:t>
      </w:r>
      <w:r>
        <w:rPr>
          <w:rFonts w:cs="Arial"/>
        </w:rPr>
        <w:t xml:space="preserve"> We therefore support the approach chosen. </w:t>
      </w:r>
    </w:p>
    <w:p w14:paraId="51EB34CD" w14:textId="77777777" w:rsidR="00002874" w:rsidRDefault="00002874" w:rsidP="00002874">
      <w:pPr>
        <w:rPr>
          <w:rFonts w:cs="Arial"/>
        </w:rPr>
      </w:pPr>
    </w:p>
    <w:p w14:paraId="3F484161" w14:textId="12E6B1A1" w:rsidR="00002874" w:rsidRDefault="00002874" w:rsidP="00002874">
      <w:pPr>
        <w:rPr>
          <w:rFonts w:cs="Arial"/>
        </w:rPr>
      </w:pPr>
      <w:r>
        <w:rPr>
          <w:rFonts w:cs="Arial"/>
        </w:rPr>
        <w:t>At the same time, the entire SFDR and Taxonomy implementation process has been marred by inadequate implementation timelines, as well as lack of clarity about definitions and rules. Amending the SFDR RTS during the implementation process is creating a moving target for the combined set of disclosure rules. Therefore both European and national supervisors should take into account these implementation challenges, particularly in the immediate post-implementation phase in 2022. The publication of the non-binding consolidated version does help, if only a little bit.</w:t>
      </w:r>
    </w:p>
    <w:p w14:paraId="5200EBD9" w14:textId="77777777" w:rsidR="00002874" w:rsidRDefault="00002874" w:rsidP="00002874">
      <w:pPr>
        <w:rPr>
          <w:rFonts w:cs="Arial"/>
        </w:rPr>
      </w:pPr>
    </w:p>
    <w:p w14:paraId="0864B3DC" w14:textId="37392BE8" w:rsidR="00002874" w:rsidRDefault="00002874" w:rsidP="00002874">
      <w:pPr>
        <w:rPr>
          <w:rFonts w:cs="Arial"/>
        </w:rPr>
      </w:pPr>
      <w:r>
        <w:rPr>
          <w:rFonts w:cs="Arial"/>
        </w:rPr>
        <w:t>Moreover,</w:t>
      </w:r>
      <w:r w:rsidR="003F1F5C">
        <w:rPr>
          <w:rFonts w:cs="Arial"/>
        </w:rPr>
        <w:t xml:space="preserve"> we</w:t>
      </w:r>
      <w:r>
        <w:rPr>
          <w:rFonts w:cs="Arial"/>
        </w:rPr>
        <w:t xml:space="preserve"> believe that more clarity is required on the terminology of ‘sustainable investments’. Recital 19 of the Taxonomy Regulation suggests that sustainable investments include taxonomy-aligned investments. However, the difference between ‘sustainable investments’ and ‘investments with other E/S characteristics’ as in the templates is not clear. &lt;ESA_QUESTION_ESG_1&gt;</w:t>
      </w:r>
    </w:p>
    <w:p w14:paraId="1A54B21A" w14:textId="77777777" w:rsidR="00002874" w:rsidRDefault="00002874" w:rsidP="00002874">
      <w:pPr>
        <w:rPr>
          <w:rFonts w:cs="Arial"/>
        </w:rPr>
      </w:pPr>
    </w:p>
    <w:p w14:paraId="3E41453F" w14:textId="77777777" w:rsidR="00002874" w:rsidRDefault="00002874" w:rsidP="00002874">
      <w:pPr>
        <w:pStyle w:val="Questionstyle"/>
      </w:pPr>
      <w:r>
        <w:t xml:space="preserve">: </w:t>
      </w:r>
      <w:r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690A4565" w14:textId="77777777" w:rsidR="00002874" w:rsidRDefault="00002874" w:rsidP="00002874">
      <w:pPr>
        <w:rPr>
          <w:rFonts w:cs="Arial"/>
        </w:rPr>
      </w:pPr>
      <w:r>
        <w:rPr>
          <w:rFonts w:cs="Arial"/>
        </w:rPr>
        <w:t>&lt;ESA_QUESTION_ESG_2&gt;</w:t>
      </w:r>
    </w:p>
    <w:p w14:paraId="7633D2FB" w14:textId="36A4C308" w:rsidR="00EB37D4" w:rsidRPr="00E97937" w:rsidRDefault="00002874" w:rsidP="00EB37D4">
      <w:pPr>
        <w:rPr>
          <w:rFonts w:cs="Arial"/>
        </w:rPr>
      </w:pPr>
      <w:r w:rsidRPr="00E97937">
        <w:rPr>
          <w:rFonts w:cs="Arial"/>
        </w:rPr>
        <w:t xml:space="preserve">We </w:t>
      </w:r>
      <w:r>
        <w:rPr>
          <w:rFonts w:cs="Arial"/>
        </w:rPr>
        <w:t>see</w:t>
      </w:r>
      <w:r w:rsidRPr="00E97937">
        <w:rPr>
          <w:rFonts w:cs="Arial"/>
        </w:rPr>
        <w:t xml:space="preserve"> revenue </w:t>
      </w:r>
      <w:r>
        <w:rPr>
          <w:rFonts w:cs="Arial"/>
        </w:rPr>
        <w:t>and</w:t>
      </w:r>
      <w:r w:rsidRPr="00E97937">
        <w:rPr>
          <w:rFonts w:cs="Arial"/>
        </w:rPr>
        <w:t xml:space="preserve"> </w:t>
      </w:r>
      <w:r>
        <w:rPr>
          <w:rFonts w:cs="Arial"/>
        </w:rPr>
        <w:t>capital expenditures (</w:t>
      </w:r>
      <w:r w:rsidRPr="00E97937">
        <w:rPr>
          <w:rFonts w:cs="Arial"/>
        </w:rPr>
        <w:t>CAPEX</w:t>
      </w:r>
      <w:r>
        <w:rPr>
          <w:rFonts w:cs="Arial"/>
        </w:rPr>
        <w:t>) alignment as the most important metrics</w:t>
      </w:r>
      <w:r w:rsidRPr="00E97937">
        <w:rPr>
          <w:rFonts w:cs="Arial"/>
        </w:rPr>
        <w:t xml:space="preserve">. </w:t>
      </w:r>
      <w:r w:rsidR="00802FF8">
        <w:rPr>
          <w:rFonts w:cs="Arial"/>
        </w:rPr>
        <w:t>We understand that most data providers will start with revenue as the main KPI</w:t>
      </w:r>
      <w:r w:rsidR="00EB37D4">
        <w:rPr>
          <w:rFonts w:cs="Arial"/>
        </w:rPr>
        <w:t>. Some Dutch funds currently map their investments against the SDGs and use revenue to do so.</w:t>
      </w:r>
    </w:p>
    <w:p w14:paraId="4A1526C8" w14:textId="3D31D63A" w:rsidR="00002874" w:rsidRPr="00E97937" w:rsidRDefault="00002874" w:rsidP="00002874">
      <w:pPr>
        <w:rPr>
          <w:rFonts w:cs="Arial"/>
        </w:rPr>
      </w:pPr>
    </w:p>
    <w:p w14:paraId="287DA07F" w14:textId="77777777" w:rsidR="00002874" w:rsidRPr="00E97937" w:rsidRDefault="00002874" w:rsidP="00002874">
      <w:pPr>
        <w:rPr>
          <w:rFonts w:cs="Arial"/>
        </w:rPr>
      </w:pPr>
    </w:p>
    <w:p w14:paraId="28AEFA66" w14:textId="11DEE032" w:rsidR="006B4688" w:rsidRDefault="00002874" w:rsidP="00002874">
      <w:pPr>
        <w:rPr>
          <w:rFonts w:cs="Arial"/>
        </w:rPr>
      </w:pPr>
      <w:r w:rsidRPr="00E97937">
        <w:rPr>
          <w:rFonts w:cs="Arial"/>
        </w:rPr>
        <w:t xml:space="preserve">We agree that </w:t>
      </w:r>
      <w:r w:rsidR="002A6912">
        <w:rPr>
          <w:rFonts w:cs="Arial"/>
        </w:rPr>
        <w:t xml:space="preserve">a </w:t>
      </w:r>
      <w:r w:rsidRPr="00E97937">
        <w:rPr>
          <w:rFonts w:cs="Arial"/>
        </w:rPr>
        <w:t xml:space="preserve">same approach should be taken for all investments in the product as the </w:t>
      </w:r>
      <w:r>
        <w:rPr>
          <w:rFonts w:cs="Arial"/>
        </w:rPr>
        <w:t>taxonomy-alignment</w:t>
      </w:r>
      <w:r w:rsidRPr="00E97937">
        <w:rPr>
          <w:rFonts w:cs="Arial"/>
        </w:rPr>
        <w:t xml:space="preserve"> </w:t>
      </w:r>
      <w:r>
        <w:rPr>
          <w:rFonts w:cs="Arial"/>
        </w:rPr>
        <w:t>figure would be meaningless if revenue</w:t>
      </w:r>
      <w:r w:rsidRPr="00E97937">
        <w:rPr>
          <w:rFonts w:cs="Arial"/>
        </w:rPr>
        <w:t xml:space="preserve">, CAPEX and OPEX </w:t>
      </w:r>
      <w:r>
        <w:rPr>
          <w:rFonts w:cs="Arial"/>
        </w:rPr>
        <w:t>metrics would be combined into one calculation</w:t>
      </w:r>
      <w:r w:rsidRPr="00E97937">
        <w:rPr>
          <w:rFonts w:cs="Arial"/>
        </w:rPr>
        <w:t>.</w:t>
      </w:r>
      <w:r w:rsidR="004D0645">
        <w:rPr>
          <w:rFonts w:cs="Arial"/>
        </w:rPr>
        <w:t xml:space="preserve"> </w:t>
      </w:r>
      <w:r w:rsidR="00EB37D4">
        <w:rPr>
          <w:rFonts w:cs="Arial"/>
        </w:rPr>
        <w:t>Having FMP</w:t>
      </w:r>
      <w:r w:rsidR="004D0645">
        <w:rPr>
          <w:rFonts w:cs="Arial"/>
        </w:rPr>
        <w:t>s</w:t>
      </w:r>
      <w:r w:rsidR="00EB37D4">
        <w:rPr>
          <w:rFonts w:cs="Arial"/>
        </w:rPr>
        <w:t xml:space="preserve"> report different metrics can be a challenge for pension funds as end-users. Ideally, pension funds would combine the reported KPIs of the financial products they invest in, which are typically multiple investment mandates or investment funds. If asset managers choose different metrics, it will become impossible to combine these disclosures. </w:t>
      </w:r>
    </w:p>
    <w:p w14:paraId="0DD2E2E4" w14:textId="6E56EC76" w:rsidR="00802FF8" w:rsidRDefault="00802FF8" w:rsidP="00002874">
      <w:pPr>
        <w:rPr>
          <w:rFonts w:cs="Arial"/>
        </w:rPr>
      </w:pPr>
    </w:p>
    <w:p w14:paraId="17BA6E72" w14:textId="45CB338C" w:rsidR="00802FF8" w:rsidRDefault="00802FF8" w:rsidP="00002874">
      <w:pPr>
        <w:rPr>
          <w:rFonts w:cs="Arial"/>
        </w:rPr>
      </w:pPr>
      <w:r>
        <w:rPr>
          <w:rFonts w:cs="Arial"/>
        </w:rPr>
        <w:t>As explained in question 3, the clear IFRS definitions of revenue and CAPEX support the comparability of these KPIs.</w:t>
      </w:r>
    </w:p>
    <w:p w14:paraId="19B65397" w14:textId="77777777" w:rsidR="00002874" w:rsidRPr="00E97937" w:rsidRDefault="00002874" w:rsidP="00002874">
      <w:pPr>
        <w:rPr>
          <w:rFonts w:cs="Arial"/>
        </w:rPr>
      </w:pPr>
    </w:p>
    <w:p w14:paraId="02B19629" w14:textId="77777777" w:rsidR="00002874" w:rsidRDefault="00002874" w:rsidP="00002874">
      <w:pPr>
        <w:rPr>
          <w:rFonts w:cs="Arial"/>
        </w:rPr>
      </w:pPr>
      <w:r>
        <w:rPr>
          <w:rFonts w:cs="Arial"/>
        </w:rPr>
        <w:t xml:space="preserve">EBA has suggested that banks publish </w:t>
      </w:r>
      <w:r w:rsidRPr="00E97937">
        <w:rPr>
          <w:rFonts w:cs="Arial"/>
        </w:rPr>
        <w:t>the</w:t>
      </w:r>
      <w:r>
        <w:rPr>
          <w:rFonts w:cs="Arial"/>
        </w:rPr>
        <w:t xml:space="preserve">ir green asset ratio (GAR) as the main taxonomy KPI. However, including GAR into </w:t>
      </w:r>
      <w:r w:rsidRPr="00E97937">
        <w:rPr>
          <w:rFonts w:cs="Arial"/>
        </w:rPr>
        <w:t>the KPI-calculation of a</w:t>
      </w:r>
      <w:r>
        <w:rPr>
          <w:rFonts w:cs="Arial"/>
        </w:rPr>
        <w:t>n investment fund</w:t>
      </w:r>
      <w:r w:rsidRPr="00E97937">
        <w:rPr>
          <w:rFonts w:cs="Arial"/>
        </w:rPr>
        <w:t xml:space="preserve"> </w:t>
      </w:r>
      <w:r>
        <w:rPr>
          <w:rFonts w:cs="Arial"/>
        </w:rPr>
        <w:t>is questionable as this would create a mixture of revenue-aligned figures for</w:t>
      </w:r>
      <w:r w:rsidRPr="00E97937">
        <w:rPr>
          <w:rFonts w:cs="Arial"/>
        </w:rPr>
        <w:t xml:space="preserve"> non-financials and asset-align</w:t>
      </w:r>
      <w:r>
        <w:rPr>
          <w:rFonts w:cs="Arial"/>
        </w:rPr>
        <w:t>ed</w:t>
      </w:r>
      <w:r w:rsidRPr="00E97937">
        <w:rPr>
          <w:rFonts w:cs="Arial"/>
        </w:rPr>
        <w:t xml:space="preserve"> figures </w:t>
      </w:r>
      <w:r>
        <w:rPr>
          <w:rFonts w:cs="Arial"/>
        </w:rPr>
        <w:t xml:space="preserve">for </w:t>
      </w:r>
      <w:r w:rsidRPr="00E97937">
        <w:rPr>
          <w:rFonts w:cs="Arial"/>
        </w:rPr>
        <w:t xml:space="preserve">financials. </w:t>
      </w:r>
      <w:r>
        <w:rPr>
          <w:rFonts w:cs="Arial"/>
        </w:rPr>
        <w:t>&lt;ESA_QUESTION_ESG_2&gt;</w:t>
      </w:r>
    </w:p>
    <w:p w14:paraId="71DA4F40" w14:textId="77777777" w:rsidR="00002874" w:rsidRDefault="00002874" w:rsidP="00002874">
      <w:pPr>
        <w:rPr>
          <w:rFonts w:cs="Arial"/>
        </w:rPr>
      </w:pPr>
    </w:p>
    <w:p w14:paraId="5F1F3878" w14:textId="77777777" w:rsidR="00002874" w:rsidRDefault="00002874" w:rsidP="00002874">
      <w:pPr>
        <w:pStyle w:val="Questionstyle"/>
      </w:pPr>
      <w:r>
        <w:t xml:space="preserve">: </w:t>
      </w:r>
      <w:r w:rsidRPr="001969F6">
        <w:t>Do you have any views on the benefits and drawbacks of including specifically operational expenditure of underlying non-financial investee companies as one of the possible ways to calculate the KPI referred to in question 2?</w:t>
      </w:r>
    </w:p>
    <w:p w14:paraId="4BC64BDA" w14:textId="77777777" w:rsidR="00002874" w:rsidRDefault="00002874" w:rsidP="00002874">
      <w:pPr>
        <w:rPr>
          <w:rFonts w:cs="Arial"/>
        </w:rPr>
      </w:pPr>
      <w:r>
        <w:rPr>
          <w:rFonts w:cs="Arial"/>
        </w:rPr>
        <w:t>&lt;ESA_QUESTION_ESG_3&gt;</w:t>
      </w:r>
    </w:p>
    <w:p w14:paraId="060F0918" w14:textId="39B12712" w:rsidR="00002874" w:rsidRPr="00E97937" w:rsidRDefault="00002874" w:rsidP="00002874">
      <w:pPr>
        <w:rPr>
          <w:rFonts w:cs="Arial"/>
        </w:rPr>
      </w:pPr>
      <w:r>
        <w:rPr>
          <w:rFonts w:cs="Arial"/>
        </w:rPr>
        <w:lastRenderedPageBreak/>
        <w:t>We see limited value in operational expenses (</w:t>
      </w:r>
      <w:r w:rsidRPr="00E97937">
        <w:rPr>
          <w:rFonts w:cs="Arial"/>
        </w:rPr>
        <w:t>OPEX</w:t>
      </w:r>
      <w:r>
        <w:rPr>
          <w:rFonts w:cs="Arial"/>
        </w:rPr>
        <w:t>)</w:t>
      </w:r>
      <w:r w:rsidRPr="00E97937">
        <w:rPr>
          <w:rFonts w:cs="Arial"/>
        </w:rPr>
        <w:t xml:space="preserve"> </w:t>
      </w:r>
      <w:r>
        <w:rPr>
          <w:rFonts w:cs="Arial"/>
        </w:rPr>
        <w:t>alignment disclosures</w:t>
      </w:r>
      <w:r w:rsidRPr="00E97937">
        <w:rPr>
          <w:rFonts w:cs="Arial"/>
        </w:rPr>
        <w:t xml:space="preserve"> </w:t>
      </w:r>
      <w:r>
        <w:rPr>
          <w:rFonts w:cs="Arial"/>
        </w:rPr>
        <w:t xml:space="preserve">and regard revenue and CAPEX disclosures as sufficient (we assume that in this consultation ‘operational expenditures’ refers to ‘operating expenses’ as described in the Technical Report of the Technical Expert Group from March 2020).A drawback of OPEX is </w:t>
      </w:r>
      <w:r w:rsidRPr="00E97937">
        <w:rPr>
          <w:rFonts w:cs="Arial"/>
        </w:rPr>
        <w:t xml:space="preserve">that there is no definition of OPEX </w:t>
      </w:r>
      <w:r>
        <w:rPr>
          <w:rFonts w:cs="Arial"/>
        </w:rPr>
        <w:t>in</w:t>
      </w:r>
      <w:r w:rsidRPr="00E97937">
        <w:rPr>
          <w:rFonts w:cs="Arial"/>
        </w:rPr>
        <w:t xml:space="preserve"> IFRS </w:t>
      </w:r>
      <w:r w:rsidR="004D0645">
        <w:rPr>
          <w:rFonts w:cs="Arial"/>
        </w:rPr>
        <w:t>and</w:t>
      </w:r>
      <w:r w:rsidRPr="00E97937">
        <w:rPr>
          <w:rFonts w:cs="Arial"/>
        </w:rPr>
        <w:t xml:space="preserve"> US GAAP. </w:t>
      </w:r>
      <w:r>
        <w:rPr>
          <w:rFonts w:cs="Arial"/>
        </w:rPr>
        <w:t xml:space="preserve">This means that there may be differences between investee companies with respect to the cost categories that are included in their reported OPEX figure. </w:t>
      </w:r>
      <w:r w:rsidRPr="00E97937">
        <w:rPr>
          <w:rFonts w:cs="Arial"/>
        </w:rPr>
        <w:t xml:space="preserve">In addition, different depreciation and amortization policies </w:t>
      </w:r>
      <w:r>
        <w:rPr>
          <w:rFonts w:cs="Arial"/>
        </w:rPr>
        <w:t xml:space="preserve">between investee companies could make OPEX figures less </w:t>
      </w:r>
      <w:r w:rsidRPr="00E97937">
        <w:rPr>
          <w:rFonts w:cs="Arial"/>
        </w:rPr>
        <w:t xml:space="preserve">comparable. </w:t>
      </w:r>
    </w:p>
    <w:p w14:paraId="09DC9F23" w14:textId="77777777" w:rsidR="00002874" w:rsidRDefault="00002874" w:rsidP="00002874">
      <w:pPr>
        <w:rPr>
          <w:rFonts w:cs="Arial"/>
        </w:rPr>
      </w:pPr>
    </w:p>
    <w:p w14:paraId="6FD1A4C7" w14:textId="77777777" w:rsidR="00002874" w:rsidRDefault="00002874" w:rsidP="00002874">
      <w:pPr>
        <w:rPr>
          <w:rFonts w:cs="Arial"/>
        </w:rPr>
      </w:pPr>
      <w:r w:rsidRPr="00EF7BAA">
        <w:rPr>
          <w:rFonts w:cs="Arial"/>
        </w:rPr>
        <w:t>An advantage of reporting OPEX would be that investors get a</w:t>
      </w:r>
      <w:r>
        <w:rPr>
          <w:rFonts w:cs="Arial"/>
        </w:rPr>
        <w:t xml:space="preserve"> clearer picture of the future t</w:t>
      </w:r>
      <w:r w:rsidRPr="00EF7BAA">
        <w:rPr>
          <w:rFonts w:cs="Arial"/>
        </w:rPr>
        <w:t xml:space="preserve">axonomy alignment of a company as it may be incurring costs that do not yet show up in revenue figures. However, we believe that CAPEX sufficiently reflects the plans of companies in this respect. </w:t>
      </w:r>
      <w:r>
        <w:rPr>
          <w:rFonts w:cs="Arial"/>
        </w:rPr>
        <w:t>&lt;ESA_QUESTION_ESG_3&gt;</w:t>
      </w:r>
    </w:p>
    <w:p w14:paraId="58AB66CB" w14:textId="77777777" w:rsidR="00002874" w:rsidRDefault="00002874" w:rsidP="00002874">
      <w:pPr>
        <w:rPr>
          <w:rFonts w:cs="Arial"/>
        </w:rPr>
      </w:pPr>
    </w:p>
    <w:p w14:paraId="4293675E" w14:textId="77777777" w:rsidR="00002874" w:rsidRDefault="00002874" w:rsidP="00002874">
      <w:pPr>
        <w:pStyle w:val="Questionstyle"/>
      </w:pPr>
      <w:r>
        <w:t xml:space="preserve">: </w:t>
      </w:r>
      <w:r w:rsidRPr="001969F6">
        <w:t>The proposed KPI includes equity and debt instruments issued by financial and non-financial undertakings and real estate assets, do you agree that this could also be extended to derivatives such as contracts for differences?</w:t>
      </w:r>
    </w:p>
    <w:p w14:paraId="2BF15106" w14:textId="77777777" w:rsidR="00002874" w:rsidRDefault="00002874" w:rsidP="00002874">
      <w:pPr>
        <w:rPr>
          <w:rFonts w:cs="Arial"/>
        </w:rPr>
      </w:pPr>
      <w:r>
        <w:rPr>
          <w:rFonts w:cs="Arial"/>
        </w:rPr>
        <w:t>&lt;ESA_QUESTION_ESG_4&gt;</w:t>
      </w:r>
    </w:p>
    <w:p w14:paraId="63BE1EC8" w14:textId="600C2311" w:rsidR="00002874" w:rsidRDefault="00002874" w:rsidP="00002874">
      <w:pPr>
        <w:rPr>
          <w:rFonts w:cs="Arial"/>
        </w:rPr>
      </w:pPr>
      <w:r w:rsidRPr="00EF7BAA">
        <w:rPr>
          <w:rFonts w:cs="Arial"/>
        </w:rPr>
        <w:t xml:space="preserve">Derivatives should </w:t>
      </w:r>
      <w:r>
        <w:rPr>
          <w:rFonts w:cs="Arial"/>
        </w:rPr>
        <w:t xml:space="preserve">generally </w:t>
      </w:r>
      <w:r w:rsidRPr="00EF7BAA">
        <w:rPr>
          <w:rFonts w:cs="Arial"/>
        </w:rPr>
        <w:t>be excluded from the KPI</w:t>
      </w:r>
      <w:r>
        <w:rPr>
          <w:rFonts w:cs="Arial"/>
        </w:rPr>
        <w:t xml:space="preserve"> calculation as it increases complexity of calculation and could therefore be difficult to interpret</w:t>
      </w:r>
      <w:r w:rsidRPr="00EF7BAA">
        <w:rPr>
          <w:rFonts w:cs="Arial"/>
        </w:rPr>
        <w:t>.</w:t>
      </w:r>
      <w:r>
        <w:rPr>
          <w:rFonts w:cs="Arial"/>
        </w:rPr>
        <w:t xml:space="preserve"> We have no strong opinion </w:t>
      </w:r>
      <w:r w:rsidR="00CB0228">
        <w:rPr>
          <w:rFonts w:cs="Arial"/>
        </w:rPr>
        <w:t xml:space="preserve">on </w:t>
      </w:r>
      <w:r>
        <w:rPr>
          <w:rFonts w:cs="Arial"/>
        </w:rPr>
        <w:t>contract for differences (CFDs), but</w:t>
      </w:r>
      <w:r w:rsidR="00BF4240">
        <w:rPr>
          <w:rFonts w:cs="Arial"/>
        </w:rPr>
        <w:t xml:space="preserve"> generally see no reason to treat them differently from other types of derivatives.</w:t>
      </w:r>
      <w:r>
        <w:rPr>
          <w:rFonts w:cs="Arial"/>
        </w:rPr>
        <w:t xml:space="preserve"> </w:t>
      </w:r>
    </w:p>
    <w:p w14:paraId="0FAFC310" w14:textId="77777777" w:rsidR="00002874" w:rsidRDefault="00002874" w:rsidP="00002874">
      <w:pPr>
        <w:rPr>
          <w:rFonts w:cs="Arial"/>
        </w:rPr>
      </w:pPr>
    </w:p>
    <w:p w14:paraId="74C7CC3F" w14:textId="77777777" w:rsidR="00002874" w:rsidRDefault="00002874" w:rsidP="00002874">
      <w:pPr>
        <w:rPr>
          <w:rFonts w:cs="Arial"/>
        </w:rPr>
      </w:pPr>
      <w:r>
        <w:rPr>
          <w:rFonts w:cs="Arial"/>
        </w:rPr>
        <w:t>F</w:t>
      </w:r>
      <w:r w:rsidRPr="00EF7BAA">
        <w:rPr>
          <w:rFonts w:cs="Arial"/>
        </w:rPr>
        <w:t xml:space="preserve">inancial market participants </w:t>
      </w:r>
      <w:r>
        <w:rPr>
          <w:rFonts w:cs="Arial"/>
        </w:rPr>
        <w:t>(FMPs) could be offered</w:t>
      </w:r>
      <w:r w:rsidRPr="00EF7BAA">
        <w:rPr>
          <w:rFonts w:cs="Arial"/>
        </w:rPr>
        <w:t xml:space="preserve"> the option to provide comments on the use of derivatives in the template. For example, </w:t>
      </w:r>
      <w:r>
        <w:rPr>
          <w:rFonts w:cs="Arial"/>
        </w:rPr>
        <w:t>FMPs</w:t>
      </w:r>
      <w:r w:rsidRPr="00EF7BAA">
        <w:rPr>
          <w:rFonts w:cs="Arial"/>
        </w:rPr>
        <w:t xml:space="preserve"> could explain how the use of derivatives could alter the Taxonomy alignment of the product if the </w:t>
      </w:r>
      <w:r>
        <w:rPr>
          <w:rFonts w:cs="Arial"/>
        </w:rPr>
        <w:t xml:space="preserve">impact of </w:t>
      </w:r>
      <w:r w:rsidRPr="00EF7BAA">
        <w:rPr>
          <w:rFonts w:cs="Arial"/>
        </w:rPr>
        <w:t xml:space="preserve">derivatives were taken into account into the KPI calculation. </w:t>
      </w:r>
    </w:p>
    <w:p w14:paraId="2B8173A9" w14:textId="77777777" w:rsidR="00002874" w:rsidRDefault="00002874" w:rsidP="00002874">
      <w:pPr>
        <w:rPr>
          <w:rFonts w:cs="Arial"/>
        </w:rPr>
      </w:pPr>
    </w:p>
    <w:p w14:paraId="125B85E7" w14:textId="208F7F81" w:rsidR="00002874" w:rsidRDefault="00002874" w:rsidP="00002874">
      <w:pPr>
        <w:rPr>
          <w:rFonts w:cs="Arial"/>
        </w:rPr>
      </w:pPr>
      <w:r>
        <w:rPr>
          <w:rFonts w:cs="Arial"/>
        </w:rPr>
        <w:t>Pension funds only use derivatives for hedging purposes, mainly interest</w:t>
      </w:r>
      <w:r w:rsidR="00BF4240">
        <w:rPr>
          <w:rFonts w:cs="Arial"/>
        </w:rPr>
        <w:t xml:space="preserve"> rate risk</w:t>
      </w:r>
      <w:r>
        <w:rPr>
          <w:rFonts w:cs="Arial"/>
        </w:rPr>
        <w:t xml:space="preserve"> and to a lesser degree currency</w:t>
      </w:r>
      <w:r w:rsidR="00BF4240">
        <w:rPr>
          <w:rFonts w:cs="Arial"/>
        </w:rPr>
        <w:t xml:space="preserve"> risk</w:t>
      </w:r>
      <w:r>
        <w:rPr>
          <w:rFonts w:cs="Arial"/>
        </w:rPr>
        <w:t xml:space="preserve">. </w:t>
      </w:r>
    </w:p>
    <w:p w14:paraId="28F32191" w14:textId="77777777" w:rsidR="00002874" w:rsidRDefault="00002874" w:rsidP="00002874">
      <w:pPr>
        <w:rPr>
          <w:rFonts w:cs="Arial"/>
        </w:rPr>
      </w:pPr>
    </w:p>
    <w:p w14:paraId="64DAFF92" w14:textId="203EEC12" w:rsidR="00002874" w:rsidRDefault="00002874" w:rsidP="00002874">
      <w:pPr>
        <w:rPr>
          <w:rFonts w:cs="Arial"/>
        </w:rPr>
      </w:pPr>
      <w:r w:rsidRPr="00EF7BAA">
        <w:rPr>
          <w:rFonts w:cs="Arial"/>
        </w:rPr>
        <w:t xml:space="preserve"> </w:t>
      </w:r>
      <w:r>
        <w:rPr>
          <w:rFonts w:cs="Arial"/>
        </w:rPr>
        <w:t>&lt;ESA_QUESTION_ESG_4&gt;</w:t>
      </w:r>
    </w:p>
    <w:p w14:paraId="408B7E2C" w14:textId="77777777" w:rsidR="00002874" w:rsidRDefault="00002874" w:rsidP="00002874">
      <w:pPr>
        <w:rPr>
          <w:rFonts w:cs="Arial"/>
        </w:rPr>
      </w:pPr>
    </w:p>
    <w:p w14:paraId="42743AAC" w14:textId="77777777" w:rsidR="00002874" w:rsidRDefault="00002874" w:rsidP="00002874">
      <w:pPr>
        <w:pStyle w:val="Questionstyle"/>
      </w:pPr>
      <w:r>
        <w:t xml:space="preserve">: </w:t>
      </w:r>
      <w:r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7FFBA668" w14:textId="77777777" w:rsidR="00002874" w:rsidRDefault="00002874" w:rsidP="00002874">
      <w:pPr>
        <w:rPr>
          <w:rFonts w:cs="Arial"/>
        </w:rPr>
      </w:pPr>
      <w:r>
        <w:rPr>
          <w:rFonts w:cs="Arial"/>
        </w:rPr>
        <w:t>&lt;ESA_QUESTION_ESG_5&gt;</w:t>
      </w:r>
    </w:p>
    <w:p w14:paraId="742BE062" w14:textId="493A8DC1" w:rsidR="00002874" w:rsidRDefault="00002874" w:rsidP="00002874">
      <w:pPr>
        <w:rPr>
          <w:rFonts w:cs="Arial"/>
        </w:rPr>
      </w:pPr>
      <w:r w:rsidRPr="00F22744">
        <w:rPr>
          <w:rFonts w:cs="Arial"/>
        </w:rPr>
        <w:t xml:space="preserve">No. </w:t>
      </w:r>
      <w:r>
        <w:rPr>
          <w:rFonts w:cs="Arial"/>
        </w:rPr>
        <w:t>We suggest using the ESMA terminology in its Article 8 T</w:t>
      </w:r>
      <w:r w:rsidR="00B45EEE">
        <w:rPr>
          <w:rFonts w:cs="Arial"/>
        </w:rPr>
        <w:t>R</w:t>
      </w:r>
      <w:r>
        <w:rPr>
          <w:rFonts w:cs="Arial"/>
        </w:rPr>
        <w:t xml:space="preserve"> draft advice for equity investments (ESMA30-379-325). ESMA uses the term ‘public and private equity’, which is a clearer term than ‘equities’ as the latter may suggest that only listed equities are in scope op the KPI calculation, which is not the case. The terminology ‘debt instruments’ is sufficiently clear, in our view.</w:t>
      </w:r>
    </w:p>
    <w:p w14:paraId="524C1280" w14:textId="77777777" w:rsidR="00002874" w:rsidRDefault="00002874" w:rsidP="00002874">
      <w:pPr>
        <w:rPr>
          <w:rFonts w:cs="Arial"/>
        </w:rPr>
      </w:pPr>
      <w:r>
        <w:rPr>
          <w:rFonts w:cs="Arial"/>
        </w:rPr>
        <w:t>&lt;ESA_QUESTION_ESG_5&gt;</w:t>
      </w:r>
    </w:p>
    <w:p w14:paraId="4B6E9EED" w14:textId="77777777" w:rsidR="00002874" w:rsidRDefault="00002874" w:rsidP="00002874">
      <w:pPr>
        <w:rPr>
          <w:rFonts w:cs="Arial"/>
        </w:rPr>
      </w:pPr>
    </w:p>
    <w:p w14:paraId="6DD3CF8C" w14:textId="77777777" w:rsidR="00002874" w:rsidRDefault="00002874" w:rsidP="00002874">
      <w:pPr>
        <w:pStyle w:val="Questionstyle"/>
      </w:pPr>
      <w:r>
        <w:t xml:space="preserve">: </w:t>
      </w:r>
      <w:r w:rsidRPr="001969F6">
        <w:t>Do you have any views about including all investments, including sovereign bonds and other assets that cannot be assessed for taxonomy-alignment, of the financial product in the denominator for the KPI?</w:t>
      </w:r>
    </w:p>
    <w:p w14:paraId="71CE2BD0" w14:textId="77777777" w:rsidR="00002874" w:rsidRDefault="00002874" w:rsidP="00002874">
      <w:pPr>
        <w:rPr>
          <w:rFonts w:cs="Arial"/>
        </w:rPr>
      </w:pPr>
      <w:r>
        <w:rPr>
          <w:rFonts w:cs="Arial"/>
        </w:rPr>
        <w:t>&lt;ESA_QUESTION_ESG_6&gt;</w:t>
      </w:r>
    </w:p>
    <w:p w14:paraId="7AA7CC64" w14:textId="77777777" w:rsidR="00AB2069" w:rsidRDefault="00AB2069" w:rsidP="00002874">
      <w:pPr>
        <w:rPr>
          <w:rFonts w:cs="Arial"/>
        </w:rPr>
      </w:pPr>
    </w:p>
    <w:p w14:paraId="7BCD50A7" w14:textId="18A228D5" w:rsidR="00AB2069" w:rsidRDefault="00AB2069" w:rsidP="00002874">
      <w:pPr>
        <w:rPr>
          <w:rFonts w:cs="Arial"/>
        </w:rPr>
      </w:pPr>
      <w:r>
        <w:rPr>
          <w:rFonts w:cs="Arial"/>
        </w:rPr>
        <w:t>There are advantages</w:t>
      </w:r>
      <w:r w:rsidR="006A6CEA">
        <w:rPr>
          <w:rFonts w:cs="Arial"/>
        </w:rPr>
        <w:t xml:space="preserve"> and disadvantages</w:t>
      </w:r>
      <w:r>
        <w:rPr>
          <w:rFonts w:cs="Arial"/>
        </w:rPr>
        <w:t xml:space="preserve"> to including all assets in the denominator.</w:t>
      </w:r>
    </w:p>
    <w:p w14:paraId="44EB3FD3" w14:textId="0FFC65FC" w:rsidR="00AB2069" w:rsidRDefault="00AB2069" w:rsidP="00002874">
      <w:pPr>
        <w:rPr>
          <w:rFonts w:cs="Arial"/>
        </w:rPr>
      </w:pPr>
    </w:p>
    <w:p w14:paraId="60E13057" w14:textId="308F987D" w:rsidR="00AB2069" w:rsidRDefault="00AB2069" w:rsidP="00002874">
      <w:pPr>
        <w:rPr>
          <w:rFonts w:cs="Arial"/>
        </w:rPr>
      </w:pPr>
      <w:r>
        <w:rPr>
          <w:rFonts w:cs="Arial"/>
        </w:rPr>
        <w:t>Allowing the exclusion of non-eligible assets could make financial products less comparable for end-investors if it is not crystal clear what qualifies as ‘assets that cannot be assessed for taxonomy-</w:t>
      </w:r>
      <w:r>
        <w:rPr>
          <w:rFonts w:cs="Arial"/>
        </w:rPr>
        <w:lastRenderedPageBreak/>
        <w:t>compliance’. It is clear that some types of assets cannot be assessed at all, but for some other this may depend on whether data is available or not. If FMPs are allowed to make judgement calls on what to include in the denominator, this will reduce the comparability of the Taxonomy disclosure.</w:t>
      </w:r>
    </w:p>
    <w:p w14:paraId="23EF4BC4" w14:textId="2E3A6084" w:rsidR="00AB2069" w:rsidRDefault="00AB2069" w:rsidP="00002874">
      <w:pPr>
        <w:rPr>
          <w:rFonts w:cs="Arial"/>
        </w:rPr>
      </w:pPr>
    </w:p>
    <w:p w14:paraId="1DF186F5" w14:textId="57722806" w:rsidR="00010B3F" w:rsidRDefault="00AB2069" w:rsidP="00010B3F">
      <w:r>
        <w:rPr>
          <w:rFonts w:cs="Arial"/>
        </w:rPr>
        <w:t xml:space="preserve">On the other hand, </w:t>
      </w:r>
      <w:r w:rsidR="00206F52">
        <w:rPr>
          <w:rFonts w:cs="Arial"/>
        </w:rPr>
        <w:t>inclusion of all assets can send the wrong message for investors, as for example, green financial products with investments in one of the four</w:t>
      </w:r>
      <w:r w:rsidR="00DB3610">
        <w:rPr>
          <w:rFonts w:cs="Arial"/>
        </w:rPr>
        <w:t xml:space="preserve"> environmental</w:t>
      </w:r>
      <w:r w:rsidR="00206F52">
        <w:rPr>
          <w:rFonts w:cs="Arial"/>
        </w:rPr>
        <w:t xml:space="preserve"> objectives for which no methodologies exist yet, are not visible for investors. This also applies for green investments for which no data is available yet.</w:t>
      </w:r>
      <w:r>
        <w:rPr>
          <w:rFonts w:cs="Arial"/>
        </w:rPr>
        <w:t xml:space="preserve">. </w:t>
      </w:r>
      <w:r w:rsidR="00206F52">
        <w:rPr>
          <w:rFonts w:cs="Arial"/>
        </w:rPr>
        <w:t>In addition</w:t>
      </w:r>
      <w:r>
        <w:rPr>
          <w:rFonts w:cs="Arial"/>
        </w:rPr>
        <w:t xml:space="preserve">, a ‘grey’ pension fund with an older population of participants will have a much higher allocation towards government bonds than a ‘green’ fund with </w:t>
      </w:r>
      <w:r w:rsidR="000F4295">
        <w:rPr>
          <w:rFonts w:cs="Arial"/>
        </w:rPr>
        <w:t>a young population. If the funds use the same investment strategy for investment in companies, the green fund will still have a higher Taxonomy-alignment and therefore may seem more ambitious.</w:t>
      </w:r>
      <w:r w:rsidR="00802FF8">
        <w:rPr>
          <w:rFonts w:cs="Arial"/>
        </w:rPr>
        <w:t xml:space="preserve"> Similarly, comparing pension funds with retail investment funds that only</w:t>
      </w:r>
      <w:r w:rsidR="00A85069">
        <w:rPr>
          <w:rFonts w:cs="Arial"/>
        </w:rPr>
        <w:t xml:space="preserve"> invest </w:t>
      </w:r>
      <w:r w:rsidR="00802FF8">
        <w:rPr>
          <w:rFonts w:cs="Arial"/>
        </w:rPr>
        <w:t xml:space="preserve">in equity could lead to the misleading notion that the equity fund is more ambitious in terms of its </w:t>
      </w:r>
      <w:r w:rsidR="007661DB">
        <w:rPr>
          <w:rFonts w:cs="Arial"/>
        </w:rPr>
        <w:t>responsible investment policy.</w:t>
      </w:r>
      <w:r w:rsidR="00010B3F">
        <w:rPr>
          <w:rFonts w:cs="Arial"/>
        </w:rPr>
        <w:t xml:space="preserve"> Moreover, events unrelated to the responsible investment policy (e.g. strong moves in the interest rate) can have an impact on the percentage of taxonomy alignment. </w:t>
      </w:r>
      <w:r w:rsidR="00010B3F">
        <w:t xml:space="preserve">For example, a drop of the interest rate can increase the value of government bonds and thereby decrease the relative share of equity investment and therefore also automatically the value of taxonomy-aligned equity investments. </w:t>
      </w:r>
    </w:p>
    <w:p w14:paraId="10957848" w14:textId="55D32537" w:rsidR="00AB2069" w:rsidRDefault="00AB2069" w:rsidP="00002874">
      <w:pPr>
        <w:rPr>
          <w:rFonts w:cs="Arial"/>
        </w:rPr>
      </w:pPr>
    </w:p>
    <w:p w14:paraId="73E67506" w14:textId="6B245B51" w:rsidR="000F4295" w:rsidRDefault="000F4295" w:rsidP="00002874">
      <w:pPr>
        <w:rPr>
          <w:rFonts w:cs="Arial"/>
        </w:rPr>
      </w:pPr>
    </w:p>
    <w:p w14:paraId="6CD0213E" w14:textId="2123D5B6" w:rsidR="000F4295" w:rsidRDefault="007661DB" w:rsidP="00002874">
      <w:pPr>
        <w:rPr>
          <w:rFonts w:cs="Arial"/>
        </w:rPr>
      </w:pPr>
      <w:r>
        <w:rPr>
          <w:rFonts w:cs="Arial"/>
        </w:rPr>
        <w:t xml:space="preserve">We would therefore </w:t>
      </w:r>
      <w:r w:rsidR="00AC0190">
        <w:rPr>
          <w:rFonts w:cs="Arial"/>
        </w:rPr>
        <w:t xml:space="preserve">highly recommend </w:t>
      </w:r>
      <w:r>
        <w:rPr>
          <w:rFonts w:cs="Arial"/>
        </w:rPr>
        <w:t xml:space="preserve">the option </w:t>
      </w:r>
      <w:r w:rsidR="008F302F">
        <w:rPr>
          <w:rFonts w:cs="Arial"/>
        </w:rPr>
        <w:t>to include all assets in the denominator, but allow FMPs to report a</w:t>
      </w:r>
      <w:r w:rsidR="00206F52">
        <w:rPr>
          <w:rFonts w:cs="Arial"/>
        </w:rPr>
        <w:t>n additional</w:t>
      </w:r>
      <w:r w:rsidR="008F302F">
        <w:rPr>
          <w:rFonts w:cs="Arial"/>
        </w:rPr>
        <w:t xml:space="preserve"> metric </w:t>
      </w:r>
      <w:r w:rsidR="00206F52">
        <w:rPr>
          <w:rFonts w:cs="Arial"/>
        </w:rPr>
        <w:t>showing only</w:t>
      </w:r>
      <w:r w:rsidR="008F302F">
        <w:rPr>
          <w:rFonts w:cs="Arial"/>
        </w:rPr>
        <w:t xml:space="preserve"> </w:t>
      </w:r>
      <w:r w:rsidR="00F34104">
        <w:rPr>
          <w:rFonts w:cs="Arial"/>
        </w:rPr>
        <w:t xml:space="preserve">the </w:t>
      </w:r>
      <w:r w:rsidR="008F302F">
        <w:rPr>
          <w:rFonts w:cs="Arial"/>
        </w:rPr>
        <w:t>assets in the denominator that can be assessed.</w:t>
      </w:r>
    </w:p>
    <w:p w14:paraId="4AC29C6B" w14:textId="26F78C17" w:rsidR="00AB2069" w:rsidRDefault="00AB2069" w:rsidP="00002874">
      <w:pPr>
        <w:rPr>
          <w:rFonts w:cs="Arial"/>
        </w:rPr>
      </w:pPr>
    </w:p>
    <w:p w14:paraId="01C61252" w14:textId="4C1789C7" w:rsidR="00AB2069" w:rsidRDefault="00AB2069" w:rsidP="00002874">
      <w:pPr>
        <w:rPr>
          <w:rFonts w:cs="Arial"/>
        </w:rPr>
      </w:pPr>
    </w:p>
    <w:p w14:paraId="0AE8480B" w14:textId="3C4D080B" w:rsidR="00EB37D4" w:rsidRDefault="00EB37D4" w:rsidP="00002874">
      <w:pPr>
        <w:rPr>
          <w:rFonts w:cs="Arial"/>
        </w:rPr>
      </w:pPr>
    </w:p>
    <w:p w14:paraId="54B80047" w14:textId="31EF7D1C" w:rsidR="00EB37D4" w:rsidRDefault="00EB37D4" w:rsidP="00002874">
      <w:pPr>
        <w:rPr>
          <w:rFonts w:cs="Arial"/>
        </w:rPr>
      </w:pPr>
    </w:p>
    <w:p w14:paraId="4B9F626E" w14:textId="77777777" w:rsidR="00EB37D4" w:rsidRDefault="00EB37D4" w:rsidP="00002874">
      <w:pPr>
        <w:rPr>
          <w:rFonts w:cs="Arial"/>
        </w:rPr>
      </w:pPr>
    </w:p>
    <w:p w14:paraId="2A6AFEAA" w14:textId="77777777" w:rsidR="00002874" w:rsidRDefault="00002874" w:rsidP="00002874">
      <w:pPr>
        <w:rPr>
          <w:rFonts w:cs="Arial"/>
        </w:rPr>
      </w:pPr>
      <w:r>
        <w:rPr>
          <w:rFonts w:cs="Arial"/>
        </w:rPr>
        <w:t>&lt;ESA_QUESTION_ESG_6&gt;</w:t>
      </w:r>
    </w:p>
    <w:p w14:paraId="65B88597" w14:textId="77777777" w:rsidR="00002874" w:rsidRDefault="00002874" w:rsidP="00002874">
      <w:pPr>
        <w:rPr>
          <w:rFonts w:cs="Arial"/>
        </w:rPr>
      </w:pPr>
    </w:p>
    <w:p w14:paraId="72E9D6C8" w14:textId="77777777" w:rsidR="00002874" w:rsidRDefault="00002874" w:rsidP="00002874">
      <w:pPr>
        <w:pStyle w:val="Questionstyle"/>
      </w:pPr>
      <w:r>
        <w:t xml:space="preserve">: </w:t>
      </w:r>
      <w:r w:rsidRPr="001969F6">
        <w:t>Do you have any views on the statement of taxonomy compliance of the activities the financial product invests in and whether those statements should be subject to assessment by external or third parties?</w:t>
      </w:r>
    </w:p>
    <w:p w14:paraId="0FE1AA33" w14:textId="77777777" w:rsidR="00002874" w:rsidRDefault="00002874" w:rsidP="00002874">
      <w:pPr>
        <w:rPr>
          <w:rFonts w:cs="Arial"/>
        </w:rPr>
      </w:pPr>
      <w:r>
        <w:rPr>
          <w:rFonts w:cs="Arial"/>
        </w:rPr>
        <w:t>&lt;ESA_QUESTION_ESG_7&gt;</w:t>
      </w:r>
    </w:p>
    <w:p w14:paraId="33B7A69F" w14:textId="77777777" w:rsidR="008F302F" w:rsidRDefault="008F302F" w:rsidP="00002874">
      <w:pPr>
        <w:rPr>
          <w:rFonts w:cs="Arial"/>
        </w:rPr>
      </w:pPr>
    </w:p>
    <w:p w14:paraId="2B75F43C" w14:textId="6723568F" w:rsidR="007661DB" w:rsidRDefault="008F302F" w:rsidP="00002874">
      <w:pPr>
        <w:rPr>
          <w:rFonts w:cs="Arial"/>
        </w:rPr>
      </w:pPr>
      <w:r>
        <w:rPr>
          <w:rFonts w:cs="Arial"/>
        </w:rPr>
        <w:t xml:space="preserve">We are strong advocates of ensuring that companies report reliable data on non-financial issues. </w:t>
      </w:r>
      <w:r w:rsidR="007661DB">
        <w:rPr>
          <w:rFonts w:cs="Arial"/>
        </w:rPr>
        <w:t>It should be assured that the data reported by companies is correct, as is the intention with the proposed Corporate Sustainability Reporting Directive. This is more efficient than assuring data during every step of the investment process.</w:t>
      </w:r>
    </w:p>
    <w:p w14:paraId="6C0A8412" w14:textId="77777777" w:rsidR="007661DB" w:rsidRDefault="007661DB" w:rsidP="00002874">
      <w:pPr>
        <w:rPr>
          <w:rFonts w:cs="Arial"/>
        </w:rPr>
      </w:pPr>
    </w:p>
    <w:p w14:paraId="5782BC79" w14:textId="4578AE2A" w:rsidR="008F302F" w:rsidRDefault="008F302F" w:rsidP="00002874">
      <w:pPr>
        <w:rPr>
          <w:rFonts w:cs="Arial"/>
        </w:rPr>
      </w:pPr>
      <w:r>
        <w:rPr>
          <w:rFonts w:cs="Arial"/>
        </w:rPr>
        <w:t xml:space="preserve">Data that cannot be obtained from companies directly will be provided by data providers. The quality of Taxonomy reporting will rely </w:t>
      </w:r>
      <w:r w:rsidR="00850803">
        <w:rPr>
          <w:rFonts w:cs="Arial"/>
        </w:rPr>
        <w:t>to</w:t>
      </w:r>
      <w:r>
        <w:rPr>
          <w:rFonts w:cs="Arial"/>
        </w:rPr>
        <w:t xml:space="preserve"> </w:t>
      </w:r>
      <w:r w:rsidR="007661DB">
        <w:rPr>
          <w:rFonts w:cs="Arial"/>
        </w:rPr>
        <w:t>a</w:t>
      </w:r>
      <w:r>
        <w:rPr>
          <w:rFonts w:cs="Arial"/>
        </w:rPr>
        <w:t xml:space="preserve"> large extent on the quality of data provided by these organisations. </w:t>
      </w:r>
      <w:r w:rsidR="007661DB">
        <w:rPr>
          <w:rFonts w:cs="Arial"/>
        </w:rPr>
        <w:t>A first step towards ensuring data quality here is supervision</w:t>
      </w:r>
      <w:r w:rsidR="006A6CEA">
        <w:rPr>
          <w:rFonts w:cs="Arial"/>
        </w:rPr>
        <w:t xml:space="preserve"> of these organisations</w:t>
      </w:r>
      <w:r w:rsidR="007661DB">
        <w:rPr>
          <w:rFonts w:cs="Arial"/>
        </w:rPr>
        <w:t>.</w:t>
      </w:r>
    </w:p>
    <w:p w14:paraId="4BAC7B4B" w14:textId="3302BC7F" w:rsidR="008D0871" w:rsidRDefault="008D0871" w:rsidP="00002874">
      <w:pPr>
        <w:rPr>
          <w:rFonts w:cs="Arial"/>
        </w:rPr>
      </w:pPr>
    </w:p>
    <w:p w14:paraId="21375F58" w14:textId="6078F264" w:rsidR="00E27C79" w:rsidRDefault="008D0871" w:rsidP="00002874">
      <w:pPr>
        <w:rPr>
          <w:rFonts w:cs="Arial"/>
        </w:rPr>
      </w:pPr>
      <w:r>
        <w:rPr>
          <w:rFonts w:cs="Arial"/>
        </w:rPr>
        <w:t xml:space="preserve">National competent authorities should be responsible for supervising compliance of FMPs with the Taxonomy Regulation. We </w:t>
      </w:r>
      <w:r w:rsidR="00DB3610">
        <w:rPr>
          <w:rFonts w:cs="Arial"/>
        </w:rPr>
        <w:t>are strongly against</w:t>
      </w:r>
      <w:r>
        <w:rPr>
          <w:rFonts w:cs="Arial"/>
        </w:rPr>
        <w:t xml:space="preserve"> requiring external assurance by third parties</w:t>
      </w:r>
      <w:r w:rsidR="00DB3610">
        <w:rPr>
          <w:rFonts w:cs="Arial"/>
        </w:rPr>
        <w:t xml:space="preserve"> of the compliance by the FMP</w:t>
      </w:r>
      <w:r>
        <w:rPr>
          <w:rFonts w:cs="Arial"/>
        </w:rPr>
        <w:t>, as this would not entail the assurance of the underlying data</w:t>
      </w:r>
      <w:r w:rsidR="00905F5E">
        <w:rPr>
          <w:rFonts w:cs="Arial"/>
        </w:rPr>
        <w:t xml:space="preserve"> and would only lead</w:t>
      </w:r>
      <w:r>
        <w:rPr>
          <w:rFonts w:cs="Arial"/>
        </w:rPr>
        <w:t xml:space="preserve"> to additional costs for </w:t>
      </w:r>
      <w:r w:rsidR="00D24689">
        <w:rPr>
          <w:rFonts w:cs="Arial"/>
        </w:rPr>
        <w:t xml:space="preserve">FMP’s such as </w:t>
      </w:r>
      <w:r>
        <w:rPr>
          <w:rFonts w:cs="Arial"/>
        </w:rPr>
        <w:t xml:space="preserve">pension funds. </w:t>
      </w:r>
    </w:p>
    <w:p w14:paraId="0B061C39" w14:textId="79648B0D" w:rsidR="008D0871" w:rsidRDefault="008D0871" w:rsidP="00002874">
      <w:pPr>
        <w:rPr>
          <w:rFonts w:cs="Arial"/>
        </w:rPr>
      </w:pPr>
      <w:r>
        <w:rPr>
          <w:rFonts w:cs="Arial"/>
        </w:rPr>
        <w:t xml:space="preserve">Moreover, </w:t>
      </w:r>
      <w:r w:rsidR="007661DB">
        <w:rPr>
          <w:rFonts w:cs="Arial"/>
        </w:rPr>
        <w:t>there is no legal mandate in</w:t>
      </w:r>
      <w:r>
        <w:rPr>
          <w:rFonts w:cs="Arial"/>
        </w:rPr>
        <w:t xml:space="preserve"> Level 1 of the TR and </w:t>
      </w:r>
      <w:r w:rsidR="007661DB">
        <w:rPr>
          <w:rFonts w:cs="Arial"/>
        </w:rPr>
        <w:t xml:space="preserve">it </w:t>
      </w:r>
      <w:r>
        <w:rPr>
          <w:rFonts w:cs="Arial"/>
        </w:rPr>
        <w:t>should not be introduced in a Level 2 measure.</w:t>
      </w:r>
    </w:p>
    <w:p w14:paraId="32FD8626" w14:textId="4239B908" w:rsidR="008F302F" w:rsidRDefault="008F302F" w:rsidP="00002874">
      <w:pPr>
        <w:rPr>
          <w:rFonts w:cs="Arial"/>
        </w:rPr>
      </w:pPr>
    </w:p>
    <w:p w14:paraId="606381E8" w14:textId="0A78E41A" w:rsidR="008F302F" w:rsidRDefault="008F302F" w:rsidP="00002874">
      <w:pPr>
        <w:rPr>
          <w:rFonts w:cs="Arial"/>
        </w:rPr>
      </w:pPr>
    </w:p>
    <w:p w14:paraId="32F18F69" w14:textId="43EB3C45" w:rsidR="00002874" w:rsidRDefault="00002874" w:rsidP="00002874">
      <w:pPr>
        <w:rPr>
          <w:rFonts w:cs="Arial"/>
        </w:rPr>
      </w:pPr>
      <w:r>
        <w:rPr>
          <w:rFonts w:cs="Arial"/>
        </w:rPr>
        <w:t>&lt;ESA_QUESTION_ESG_7&gt;</w:t>
      </w:r>
    </w:p>
    <w:p w14:paraId="78178F59" w14:textId="77777777" w:rsidR="00002874" w:rsidRDefault="00002874" w:rsidP="00002874">
      <w:pPr>
        <w:rPr>
          <w:rFonts w:cs="Arial"/>
        </w:rPr>
      </w:pPr>
    </w:p>
    <w:p w14:paraId="3AE3523A" w14:textId="77777777" w:rsidR="00002874" w:rsidRDefault="00002874" w:rsidP="00002874">
      <w:pPr>
        <w:pStyle w:val="Lijstalinea"/>
        <w:numPr>
          <w:ilvl w:val="0"/>
          <w:numId w:val="3"/>
        </w:numPr>
        <w:rPr>
          <w:rFonts w:asciiTheme="minorHAnsi" w:eastAsiaTheme="minorEastAsia" w:hAnsiTheme="minorHAnsi" w:cstheme="minorBidi"/>
          <w:b/>
          <w:sz w:val="22"/>
          <w:szCs w:val="20"/>
          <w:lang w:eastAsia="en-US"/>
        </w:rPr>
      </w:pPr>
      <w:r w:rsidRPr="001969F6">
        <w:rPr>
          <w:b/>
          <w:bCs/>
        </w:rPr>
        <w:t xml:space="preserve">: </w:t>
      </w:r>
      <w:r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3DD64F84" w14:textId="77777777" w:rsidR="00002874" w:rsidRPr="002A73F1" w:rsidRDefault="00002874" w:rsidP="00002874">
      <w:pPr>
        <w:pStyle w:val="Lijstalinea"/>
        <w:rPr>
          <w:rFonts w:asciiTheme="minorHAnsi" w:eastAsiaTheme="minorEastAsia" w:hAnsiTheme="minorHAnsi" w:cstheme="minorBidi"/>
          <w:b/>
          <w:sz w:val="22"/>
          <w:szCs w:val="20"/>
          <w:lang w:eastAsia="en-US"/>
        </w:rPr>
      </w:pPr>
    </w:p>
    <w:p w14:paraId="61B549A0" w14:textId="77777777" w:rsidR="00002874" w:rsidRDefault="00002874" w:rsidP="00002874">
      <w:pPr>
        <w:rPr>
          <w:rFonts w:cs="Arial"/>
        </w:rPr>
      </w:pPr>
      <w:r>
        <w:rPr>
          <w:rFonts w:cs="Arial"/>
        </w:rPr>
        <w:t>&lt;ESA_QUESTION_ESG_8&gt;</w:t>
      </w:r>
    </w:p>
    <w:p w14:paraId="67A6FCDC" w14:textId="0479D7A0" w:rsidR="002737C0" w:rsidRDefault="00002874" w:rsidP="002737C0">
      <w:pPr>
        <w:rPr>
          <w:rFonts w:cs="Arial"/>
        </w:rPr>
      </w:pPr>
      <w:r>
        <w:rPr>
          <w:rFonts w:cs="Arial"/>
        </w:rPr>
        <w:t xml:space="preserve">We welcome the ‘mirroring’ of the pre-contractual and periodic reporting templates as it enables users/end investors to more easily compare ex-ante and ex-post reporting of a financial product. </w:t>
      </w:r>
    </w:p>
    <w:p w14:paraId="5151BB1D" w14:textId="478424E5" w:rsidR="00B5208A" w:rsidRDefault="00B5208A" w:rsidP="002737C0">
      <w:pPr>
        <w:rPr>
          <w:rFonts w:cs="Arial"/>
        </w:rPr>
      </w:pPr>
    </w:p>
    <w:p w14:paraId="49F4D302" w14:textId="1F8B8F42" w:rsidR="00206F52" w:rsidRPr="00206F52" w:rsidRDefault="00B5208A" w:rsidP="00DB3610">
      <w:pPr>
        <w:rPr>
          <w:rFonts w:cs="Arial"/>
        </w:rPr>
      </w:pPr>
      <w:r>
        <w:rPr>
          <w:rFonts w:cs="Arial"/>
        </w:rPr>
        <w:t xml:space="preserve">However as explained in our introduction and in question 9, we have some recommendations to amend the templates. </w:t>
      </w:r>
    </w:p>
    <w:p w14:paraId="39188CBB" w14:textId="77777777" w:rsidR="002737C0" w:rsidRDefault="002737C0" w:rsidP="00002874">
      <w:pPr>
        <w:rPr>
          <w:rFonts w:cs="Arial"/>
        </w:rPr>
      </w:pPr>
    </w:p>
    <w:p w14:paraId="71A58DC3" w14:textId="77777777" w:rsidR="002737C0" w:rsidRDefault="002737C0" w:rsidP="00002874">
      <w:pPr>
        <w:rPr>
          <w:rFonts w:cs="Arial"/>
        </w:rPr>
      </w:pPr>
    </w:p>
    <w:p w14:paraId="64B0A496" w14:textId="77777777" w:rsidR="002737C0" w:rsidRDefault="002737C0" w:rsidP="00002874">
      <w:pPr>
        <w:rPr>
          <w:rFonts w:cs="Arial"/>
        </w:rPr>
      </w:pPr>
    </w:p>
    <w:p w14:paraId="02D674B1" w14:textId="773C7064" w:rsidR="00002874" w:rsidRDefault="00002874" w:rsidP="00002874">
      <w:pPr>
        <w:rPr>
          <w:rFonts w:cs="Arial"/>
        </w:rPr>
      </w:pPr>
      <w:r>
        <w:rPr>
          <w:rFonts w:cs="Arial"/>
        </w:rPr>
        <w:t>&lt;ESA_QUESTION_ESG_8&gt;</w:t>
      </w:r>
    </w:p>
    <w:p w14:paraId="78475D8C" w14:textId="77777777" w:rsidR="00002874" w:rsidRDefault="00002874" w:rsidP="00002874">
      <w:pPr>
        <w:rPr>
          <w:rFonts w:cs="Arial"/>
        </w:rPr>
      </w:pPr>
    </w:p>
    <w:p w14:paraId="64DCCD5A" w14:textId="77777777" w:rsidR="00002874" w:rsidRDefault="00002874" w:rsidP="00002874">
      <w:pPr>
        <w:pStyle w:val="Questionstyle"/>
      </w:pPr>
      <w:r>
        <w:t xml:space="preserve">: </w:t>
      </w:r>
      <w:r w:rsidRPr="001969F6">
        <w:t>Do you have any views on the amended pre-contractual and periodic templates?</w:t>
      </w:r>
    </w:p>
    <w:p w14:paraId="05BEF274" w14:textId="77777777" w:rsidR="00002874" w:rsidRDefault="00002874" w:rsidP="00002874">
      <w:pPr>
        <w:rPr>
          <w:rFonts w:cs="Arial"/>
        </w:rPr>
      </w:pPr>
      <w:r>
        <w:rPr>
          <w:rFonts w:cs="Arial"/>
        </w:rPr>
        <w:t>&lt;ESA_QUESTION_ESG_9&gt;</w:t>
      </w:r>
    </w:p>
    <w:p w14:paraId="3F105BE6" w14:textId="70D046A5" w:rsidR="008D0871" w:rsidRDefault="008D0871" w:rsidP="00002874">
      <w:pPr>
        <w:rPr>
          <w:rFonts w:cs="Arial"/>
        </w:rPr>
      </w:pPr>
      <w:r>
        <w:rPr>
          <w:rFonts w:cs="Arial"/>
        </w:rPr>
        <w:t xml:space="preserve">In general, we strongly doubt whether the entire package of information required by the Level 2 measures will help participants understand the </w:t>
      </w:r>
      <w:r w:rsidR="00F855F7">
        <w:rPr>
          <w:rFonts w:cs="Arial"/>
        </w:rPr>
        <w:t xml:space="preserve">sustainability aspects of their pension savings. The information points that are required are legalistic and very technical. </w:t>
      </w:r>
    </w:p>
    <w:p w14:paraId="3C9DFD3A" w14:textId="77777777" w:rsidR="002737C0" w:rsidRDefault="002737C0" w:rsidP="002737C0"/>
    <w:p w14:paraId="556B85AC" w14:textId="4A2C40F6" w:rsidR="002737C0" w:rsidRDefault="002737C0" w:rsidP="00BC4A33">
      <w:pPr>
        <w:rPr>
          <w:rFonts w:cs="Arial"/>
        </w:rPr>
      </w:pPr>
      <w:r>
        <w:t xml:space="preserve">Both the SFDR and the Taxonomy apply to a wide range of FMPs and products. As a result, the same information has to be understood by very different types of audiences. While we are a strong supporter of the Taxonomy, we continue to believe that this harmonised approach to pre-contractual information is flawed. We also continue to believe that it is not in line with the mandate for the RTS in Level 1, which requires to “take into account the various types of financial products, their characteristics and the differences between them …”. </w:t>
      </w:r>
      <w:r w:rsidR="00B5208A">
        <w:t xml:space="preserve">As such </w:t>
      </w:r>
      <w:r w:rsidR="00B5208A">
        <w:rPr>
          <w:rFonts w:cs="Arial"/>
        </w:rPr>
        <w:t>we do recommend</w:t>
      </w:r>
      <w:r w:rsidR="00BC4A33">
        <w:rPr>
          <w:rFonts w:cs="Arial"/>
        </w:rPr>
        <w:t xml:space="preserve"> (i)</w:t>
      </w:r>
      <w:r w:rsidR="00B5208A">
        <w:rPr>
          <w:rFonts w:cs="Arial"/>
        </w:rPr>
        <w:t xml:space="preserve"> i</w:t>
      </w:r>
      <w:r w:rsidR="00B5208A" w:rsidRPr="00206F52">
        <w:rPr>
          <w:rFonts w:cs="Arial"/>
        </w:rPr>
        <w:t>ntroducing different templates for different financial products</w:t>
      </w:r>
      <w:r w:rsidR="00BC4A33">
        <w:rPr>
          <w:rFonts w:cs="Arial"/>
        </w:rPr>
        <w:t xml:space="preserve"> and (ii) to scale down the reporting templates, as proposed in our recommendations.</w:t>
      </w:r>
      <w:r w:rsidR="00B5208A" w:rsidRPr="00206F52">
        <w:rPr>
          <w:rFonts w:cs="Arial"/>
          <w:lang w:val="en-US"/>
        </w:rPr>
        <w:t xml:space="preserve"> </w:t>
      </w:r>
    </w:p>
    <w:p w14:paraId="40E65A13" w14:textId="601A73BA" w:rsidR="00F855F7" w:rsidRDefault="00F855F7" w:rsidP="00002874">
      <w:pPr>
        <w:rPr>
          <w:rFonts w:cs="Arial"/>
        </w:rPr>
      </w:pPr>
    </w:p>
    <w:p w14:paraId="71D684D4" w14:textId="55EFAD14" w:rsidR="00F855F7" w:rsidRDefault="002737C0" w:rsidP="00002874">
      <w:pPr>
        <w:rPr>
          <w:rFonts w:cs="Arial"/>
        </w:rPr>
      </w:pPr>
      <w:r>
        <w:rPr>
          <w:rFonts w:cs="Arial"/>
        </w:rPr>
        <w:t>Moreover, t</w:t>
      </w:r>
      <w:r w:rsidR="00F855F7">
        <w:rPr>
          <w:rFonts w:cs="Arial"/>
        </w:rPr>
        <w:t xml:space="preserve">he difference between Article 8 and 9 products is not clearly defined and currently we are still waiting for more clarity of the European Commission on this matter. </w:t>
      </w:r>
    </w:p>
    <w:p w14:paraId="7A4DD768" w14:textId="77777777" w:rsidR="008D0871" w:rsidRDefault="008D0871" w:rsidP="00002874">
      <w:pPr>
        <w:rPr>
          <w:rFonts w:cs="Arial"/>
        </w:rPr>
      </w:pPr>
    </w:p>
    <w:p w14:paraId="28418038" w14:textId="77777777" w:rsidR="00B5208A" w:rsidRDefault="00002874" w:rsidP="00002874">
      <w:pPr>
        <w:rPr>
          <w:rFonts w:cs="Arial"/>
        </w:rPr>
      </w:pPr>
      <w:r w:rsidRPr="005268A8">
        <w:rPr>
          <w:rFonts w:cs="Arial"/>
        </w:rPr>
        <w:t>We</w:t>
      </w:r>
      <w:r w:rsidR="002737C0">
        <w:rPr>
          <w:rFonts w:cs="Arial"/>
        </w:rPr>
        <w:t xml:space="preserve"> also</w:t>
      </w:r>
      <w:r w:rsidRPr="005268A8">
        <w:rPr>
          <w:rFonts w:cs="Arial"/>
        </w:rPr>
        <w:t xml:space="preserve"> believe that more clarity is required on the terminology of ‘sustainable investments’. Recital 19 of the Taxonomy Regulation suggests that sustainable investments include taxonomy-aligned investments. However, the difference between ‘sustainable investments’ and ‘investm</w:t>
      </w:r>
      <w:r>
        <w:rPr>
          <w:rFonts w:cs="Arial"/>
        </w:rPr>
        <w:t>ents with other E/S characteris</w:t>
      </w:r>
      <w:r w:rsidRPr="005268A8">
        <w:rPr>
          <w:rFonts w:cs="Arial"/>
        </w:rPr>
        <w:t>tics’ a</w:t>
      </w:r>
      <w:r>
        <w:rPr>
          <w:rFonts w:cs="Arial"/>
        </w:rPr>
        <w:t>s in the templates is not clear (see also question 1).</w:t>
      </w:r>
    </w:p>
    <w:p w14:paraId="0C29EE13" w14:textId="77777777" w:rsidR="00B5208A" w:rsidRDefault="00B5208A" w:rsidP="00002874">
      <w:pPr>
        <w:rPr>
          <w:rFonts w:cs="Arial"/>
        </w:rPr>
      </w:pPr>
    </w:p>
    <w:p w14:paraId="52089676" w14:textId="77777777" w:rsidR="00B5208A" w:rsidRDefault="00B5208A" w:rsidP="00002874">
      <w:pPr>
        <w:rPr>
          <w:rFonts w:cs="Arial"/>
        </w:rPr>
      </w:pPr>
    </w:p>
    <w:p w14:paraId="0968102E" w14:textId="3F9F017B" w:rsidR="00002874" w:rsidRDefault="00002874" w:rsidP="00002874">
      <w:pPr>
        <w:rPr>
          <w:rFonts w:cs="Arial"/>
        </w:rPr>
      </w:pPr>
      <w:r>
        <w:rPr>
          <w:rFonts w:cs="Arial"/>
        </w:rPr>
        <w:t>&lt;ESA_QUESTION_ESG_9&gt;</w:t>
      </w:r>
    </w:p>
    <w:p w14:paraId="7841657C" w14:textId="77777777" w:rsidR="00002874" w:rsidRDefault="00002874" w:rsidP="00002874">
      <w:pPr>
        <w:rPr>
          <w:rFonts w:cs="Arial"/>
        </w:rPr>
      </w:pPr>
    </w:p>
    <w:p w14:paraId="7FDF4FC3" w14:textId="77777777" w:rsidR="00002874" w:rsidRDefault="00002874" w:rsidP="00002874">
      <w:pPr>
        <w:pStyle w:val="Questionstyle"/>
      </w:pPr>
      <w:bookmarkStart w:id="1" w:name="_Hlk18829484"/>
      <w:r>
        <w:t xml:space="preserve">: </w:t>
      </w:r>
      <w:bookmarkEnd w:id="1"/>
      <w:r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3503E6A6" w14:textId="77777777" w:rsidR="00002874" w:rsidRDefault="00002874" w:rsidP="00002874">
      <w:pPr>
        <w:rPr>
          <w:rFonts w:cs="Arial"/>
        </w:rPr>
      </w:pPr>
      <w:r>
        <w:rPr>
          <w:rFonts w:cs="Arial"/>
        </w:rPr>
        <w:t>&lt;ESA_QUESTION_ESG_10&gt;</w:t>
      </w:r>
    </w:p>
    <w:p w14:paraId="29B4F0DB" w14:textId="2F542AE3" w:rsidR="00281A6B" w:rsidRDefault="00002874" w:rsidP="00002874">
      <w:pPr>
        <w:rPr>
          <w:rFonts w:cs="Arial"/>
        </w:rPr>
      </w:pPr>
      <w:bookmarkStart w:id="2" w:name="_Hlk66781674"/>
      <w:r>
        <w:rPr>
          <w:rFonts w:cs="Arial"/>
        </w:rPr>
        <w:t xml:space="preserve">No, </w:t>
      </w:r>
      <w:bookmarkEnd w:id="2"/>
      <w:r w:rsidR="00913D94">
        <w:rPr>
          <w:rFonts w:cs="Arial"/>
        </w:rPr>
        <w:t xml:space="preserve">the </w:t>
      </w:r>
      <w:r>
        <w:rPr>
          <w:rFonts w:cs="Arial"/>
        </w:rPr>
        <w:t>SFDR makes a distinction between Article 8, Article 9 products and products that do not consider sustainability risks relevant or do not consider principal adverse impacts. Adding additional product categories</w:t>
      </w:r>
      <w:r w:rsidR="00281A6B">
        <w:rPr>
          <w:rFonts w:cs="Arial"/>
        </w:rPr>
        <w:t xml:space="preserve"> </w:t>
      </w:r>
      <w:r w:rsidR="00CC590D">
        <w:rPr>
          <w:rFonts w:cs="Arial"/>
        </w:rPr>
        <w:t>and/</w:t>
      </w:r>
      <w:r w:rsidR="00281A6B">
        <w:rPr>
          <w:rFonts w:cs="Arial"/>
        </w:rPr>
        <w:t>or more templates</w:t>
      </w:r>
      <w:r>
        <w:rPr>
          <w:rFonts w:cs="Arial"/>
        </w:rPr>
        <w:t xml:space="preserve"> would be confusing to </w:t>
      </w:r>
      <w:r w:rsidR="00281A6B">
        <w:rPr>
          <w:rFonts w:cs="Arial"/>
        </w:rPr>
        <w:t xml:space="preserve">pension participants or </w:t>
      </w:r>
      <w:r>
        <w:rPr>
          <w:rFonts w:cs="Arial"/>
        </w:rPr>
        <w:t xml:space="preserve">end investors while not providing additional insights. It would be sufficient to clearly articulate </w:t>
      </w:r>
      <w:r w:rsidR="007661DB">
        <w:rPr>
          <w:rFonts w:cs="Arial"/>
        </w:rPr>
        <w:t xml:space="preserve">the ESG characteristics that are promoted (Article 8) by the product or </w:t>
      </w:r>
      <w:r>
        <w:rPr>
          <w:rFonts w:cs="Arial"/>
        </w:rPr>
        <w:t>the investment objective (Article 9)</w:t>
      </w:r>
      <w:r w:rsidR="007661DB">
        <w:rPr>
          <w:rFonts w:cs="Arial"/>
        </w:rPr>
        <w:t>.</w:t>
      </w:r>
    </w:p>
    <w:p w14:paraId="21E07D12" w14:textId="77777777" w:rsidR="00281A6B" w:rsidRDefault="00281A6B" w:rsidP="00002874">
      <w:pPr>
        <w:rPr>
          <w:rFonts w:cs="Arial"/>
        </w:rPr>
      </w:pPr>
    </w:p>
    <w:p w14:paraId="54FAD418" w14:textId="31A4947A" w:rsidR="00281A6B" w:rsidRDefault="00281A6B" w:rsidP="00002874">
      <w:pPr>
        <w:rPr>
          <w:rFonts w:cs="Arial"/>
        </w:rPr>
      </w:pPr>
      <w:r>
        <w:rPr>
          <w:rFonts w:cs="Arial"/>
        </w:rPr>
        <w:t xml:space="preserve">Generally, we believe  </w:t>
      </w:r>
      <w:r w:rsidR="00CD54B5">
        <w:rPr>
          <w:rFonts w:cs="Arial"/>
        </w:rPr>
        <w:t>th</w:t>
      </w:r>
      <w:r>
        <w:rPr>
          <w:rFonts w:cs="Arial"/>
        </w:rPr>
        <w:t>e templates and SFDR product information to be of limited value for automatically enrolled participants, as the information is too technical to understand. Adding more complexity</w:t>
      </w:r>
      <w:r w:rsidR="006A6CEA">
        <w:rPr>
          <w:rFonts w:cs="Arial"/>
        </w:rPr>
        <w:t xml:space="preserve"> or templates will further exacerbate this problem.</w:t>
      </w:r>
    </w:p>
    <w:p w14:paraId="74EC3893" w14:textId="77777777" w:rsidR="00281A6B" w:rsidRDefault="00281A6B" w:rsidP="00002874">
      <w:pPr>
        <w:rPr>
          <w:rFonts w:cs="Arial"/>
        </w:rPr>
      </w:pPr>
    </w:p>
    <w:p w14:paraId="238F7C4E" w14:textId="77777777" w:rsidR="00281A6B" w:rsidRDefault="00281A6B" w:rsidP="00002874">
      <w:pPr>
        <w:rPr>
          <w:rFonts w:cs="Arial"/>
        </w:rPr>
      </w:pPr>
    </w:p>
    <w:p w14:paraId="71B43D0D" w14:textId="254357E4" w:rsidR="00002874" w:rsidRDefault="00002874" w:rsidP="00002874">
      <w:pPr>
        <w:rPr>
          <w:rFonts w:cs="Arial"/>
        </w:rPr>
      </w:pPr>
      <w:r>
        <w:rPr>
          <w:rFonts w:cs="Arial"/>
        </w:rPr>
        <w:t>&lt;ESA_QUESTION_ESG_10&gt;</w:t>
      </w:r>
    </w:p>
    <w:p w14:paraId="2A971841" w14:textId="77777777" w:rsidR="00002874" w:rsidRDefault="00002874" w:rsidP="00002874">
      <w:pPr>
        <w:rPr>
          <w:rFonts w:cs="Arial"/>
        </w:rPr>
      </w:pPr>
    </w:p>
    <w:p w14:paraId="018A4B43" w14:textId="77777777" w:rsidR="00002874" w:rsidRDefault="00002874" w:rsidP="00002874">
      <w:pPr>
        <w:pStyle w:val="Questionstyle"/>
      </w:pPr>
      <w:r>
        <w:t xml:space="preserve">: </w:t>
      </w:r>
      <w:r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3175EE0E" w14:textId="77777777" w:rsidR="00002874" w:rsidRDefault="00002874" w:rsidP="00002874">
      <w:pPr>
        <w:rPr>
          <w:rFonts w:cs="Arial"/>
        </w:rPr>
      </w:pPr>
      <w:r>
        <w:rPr>
          <w:rFonts w:cs="Arial"/>
        </w:rPr>
        <w:t>&lt;ESA_QUESTION_ESG_11&gt;</w:t>
      </w:r>
    </w:p>
    <w:p w14:paraId="6A9737BA" w14:textId="77777777" w:rsidR="00281A6B" w:rsidRDefault="00281A6B" w:rsidP="00002874">
      <w:pPr>
        <w:rPr>
          <w:rFonts w:cs="Arial"/>
        </w:rPr>
      </w:pPr>
    </w:p>
    <w:p w14:paraId="2CA3B54C" w14:textId="1F6EF948" w:rsidR="0035652E" w:rsidRDefault="0035652E" w:rsidP="00002874">
      <w:pPr>
        <w:rPr>
          <w:rFonts w:cs="Arial"/>
        </w:rPr>
      </w:pPr>
    </w:p>
    <w:p w14:paraId="7C6E08AD" w14:textId="6C58D000" w:rsidR="0035652E" w:rsidRDefault="0035652E" w:rsidP="0041642D">
      <w:pPr>
        <w:rPr>
          <w:rFonts w:cs="Arial"/>
        </w:rPr>
      </w:pPr>
      <w:r>
        <w:rPr>
          <w:rFonts w:cs="Arial"/>
        </w:rPr>
        <w:t>W</w:t>
      </w:r>
      <w:r w:rsidRPr="0041189F">
        <w:rPr>
          <w:rFonts w:cs="Arial"/>
        </w:rPr>
        <w:t xml:space="preserve">e </w:t>
      </w:r>
      <w:r>
        <w:rPr>
          <w:rFonts w:cs="Arial"/>
        </w:rPr>
        <w:t xml:space="preserve">do </w:t>
      </w:r>
      <w:r w:rsidRPr="0041189F">
        <w:rPr>
          <w:rFonts w:cs="Arial"/>
        </w:rPr>
        <w:t>note that t</w:t>
      </w:r>
      <w:r>
        <w:rPr>
          <w:rFonts w:cs="Arial"/>
        </w:rPr>
        <w:t>he</w:t>
      </w:r>
      <w:r w:rsidRPr="0041189F">
        <w:rPr>
          <w:rFonts w:cs="Arial"/>
        </w:rPr>
        <w:t xml:space="preserve"> proposal conflicts with </w:t>
      </w:r>
      <w:r>
        <w:rPr>
          <w:rFonts w:cs="Arial"/>
        </w:rPr>
        <w:t>A</w:t>
      </w:r>
      <w:r w:rsidRPr="0041189F">
        <w:rPr>
          <w:rFonts w:cs="Arial"/>
        </w:rPr>
        <w:t xml:space="preserve">rticle 5 </w:t>
      </w:r>
      <w:r w:rsidR="000D31E1">
        <w:rPr>
          <w:rFonts w:cs="Arial"/>
        </w:rPr>
        <w:t xml:space="preserve">and Article 6 </w:t>
      </w:r>
      <w:r w:rsidRPr="0041189F">
        <w:rPr>
          <w:rFonts w:cs="Arial"/>
        </w:rPr>
        <w:t>of the Taxonomy Regulation, which only requires Taxonomy disclosures for products that contribute to an environmental objective.</w:t>
      </w:r>
      <w:r>
        <w:rPr>
          <w:rFonts w:cs="Arial"/>
        </w:rPr>
        <w:t xml:space="preserve"> </w:t>
      </w:r>
      <w:r w:rsidR="0041642D">
        <w:rPr>
          <w:rFonts w:cs="Arial"/>
        </w:rPr>
        <w:t xml:space="preserve">It therefore seem to put an additional burden on pension funds that only focus on social issues with their sustainable investments. Given the social partner governance model of Dutch pension funds, there are many pension funds that focus on social issues. </w:t>
      </w:r>
    </w:p>
    <w:p w14:paraId="407DFA51" w14:textId="77777777" w:rsidR="00281A6B" w:rsidRDefault="00281A6B" w:rsidP="00002874">
      <w:pPr>
        <w:rPr>
          <w:rFonts w:cs="Arial"/>
        </w:rPr>
      </w:pPr>
    </w:p>
    <w:p w14:paraId="45F6123C" w14:textId="0C266024" w:rsidR="00281A6B" w:rsidRDefault="00281A6B" w:rsidP="00002874">
      <w:pPr>
        <w:rPr>
          <w:rFonts w:cs="Arial"/>
        </w:rPr>
      </w:pPr>
    </w:p>
    <w:p w14:paraId="3742FE79" w14:textId="77777777" w:rsidR="00281A6B" w:rsidRDefault="00281A6B" w:rsidP="00002874">
      <w:pPr>
        <w:rPr>
          <w:rFonts w:cs="Arial"/>
        </w:rPr>
      </w:pPr>
    </w:p>
    <w:p w14:paraId="1F40F7E3" w14:textId="0277EAB7" w:rsidR="00002874" w:rsidRDefault="00002874" w:rsidP="00002874">
      <w:pPr>
        <w:rPr>
          <w:rFonts w:cs="Arial"/>
        </w:rPr>
      </w:pPr>
      <w:r>
        <w:rPr>
          <w:rFonts w:cs="Arial"/>
        </w:rPr>
        <w:t>&lt;ESA_QUESTION_ESG_11&gt;</w:t>
      </w:r>
    </w:p>
    <w:p w14:paraId="1A728EDB" w14:textId="77777777" w:rsidR="00002874" w:rsidRDefault="00002874" w:rsidP="00002874">
      <w:pPr>
        <w:rPr>
          <w:rFonts w:cs="Arial"/>
        </w:rPr>
      </w:pPr>
    </w:p>
    <w:p w14:paraId="37DF190D" w14:textId="77777777" w:rsidR="00002874" w:rsidRDefault="00002874" w:rsidP="00002874">
      <w:pPr>
        <w:pStyle w:val="Questionstyle"/>
      </w:pPr>
      <w:r>
        <w:t>:</w:t>
      </w:r>
      <w:r w:rsidRPr="001969F6">
        <w:t xml:space="preserve"> Do you have any views regarding the preliminary impact assessments? Can you provide more granular examples of costs associated with the policy options?</w:t>
      </w:r>
    </w:p>
    <w:p w14:paraId="04D0CD5F" w14:textId="77777777" w:rsidR="00002874" w:rsidRDefault="00002874" w:rsidP="00002874">
      <w:pPr>
        <w:rPr>
          <w:lang w:eastAsia="en-US"/>
        </w:rPr>
      </w:pPr>
      <w:r>
        <w:rPr>
          <w:lang w:eastAsia="en-US"/>
        </w:rPr>
        <w:t>&lt;ESA_QUESTION_ESG_12&gt;</w:t>
      </w:r>
    </w:p>
    <w:p w14:paraId="596375CD" w14:textId="77777777" w:rsidR="00002874" w:rsidRDefault="00002874" w:rsidP="00002874">
      <w:pPr>
        <w:rPr>
          <w:rFonts w:cs="Arial"/>
        </w:rPr>
      </w:pPr>
      <w:r>
        <w:rPr>
          <w:rFonts w:cs="Arial"/>
        </w:rPr>
        <w:t>TYPE YOUR TEXT HERE</w:t>
      </w:r>
    </w:p>
    <w:p w14:paraId="57AB0D77" w14:textId="77777777" w:rsidR="00002874" w:rsidRPr="007118EB" w:rsidRDefault="00002874" w:rsidP="00002874">
      <w:pPr>
        <w:rPr>
          <w:lang w:eastAsia="en-US"/>
        </w:rPr>
      </w:pPr>
      <w:r>
        <w:rPr>
          <w:lang w:eastAsia="en-US"/>
        </w:rPr>
        <w:t>&lt;ESA_QUESTION_ESG_12&gt;</w:t>
      </w:r>
    </w:p>
    <w:p w14:paraId="31E292C6" w14:textId="77777777" w:rsidR="004B07D2" w:rsidRDefault="004B07D2"/>
    <w:sectPr w:rsidR="004B07D2"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685A" w14:textId="77777777" w:rsidR="00C72C57" w:rsidRDefault="00C72C57" w:rsidP="00002874">
      <w:r>
        <w:separator/>
      </w:r>
    </w:p>
  </w:endnote>
  <w:endnote w:type="continuationSeparator" w:id="0">
    <w:p w14:paraId="552CF6CB" w14:textId="77777777" w:rsidR="00C72C57" w:rsidRDefault="00C72C57" w:rsidP="0000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5F04" w14:textId="77777777" w:rsidR="00002874" w:rsidRDefault="000028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02874" w:rsidRPr="00616B9B" w14:paraId="6B00E80A" w14:textId="77777777" w:rsidTr="00315E96">
      <w:trPr>
        <w:trHeight w:val="284"/>
      </w:trPr>
      <w:tc>
        <w:tcPr>
          <w:tcW w:w="8460" w:type="dxa"/>
        </w:tcPr>
        <w:p w14:paraId="636F6581" w14:textId="77777777" w:rsidR="00002874" w:rsidRPr="00315E96" w:rsidRDefault="00002874" w:rsidP="00315E96">
          <w:pPr>
            <w:pStyle w:val="00Footer"/>
            <w:rPr>
              <w:lang w:val="fr-FR"/>
            </w:rPr>
          </w:pPr>
        </w:p>
      </w:tc>
      <w:tc>
        <w:tcPr>
          <w:tcW w:w="952" w:type="dxa"/>
        </w:tcPr>
        <w:p w14:paraId="4395F5BB" w14:textId="77777777" w:rsidR="00002874" w:rsidRPr="00616B9B" w:rsidRDefault="0000287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7</w:t>
          </w:r>
          <w:r w:rsidRPr="00616B9B">
            <w:rPr>
              <w:rFonts w:cs="Arial"/>
              <w:noProof/>
              <w:sz w:val="22"/>
              <w:szCs w:val="22"/>
            </w:rPr>
            <w:fldChar w:fldCharType="end"/>
          </w:r>
        </w:p>
      </w:tc>
    </w:tr>
  </w:tbl>
  <w:p w14:paraId="1CD2B10F" w14:textId="77777777" w:rsidR="00002874" w:rsidRDefault="000028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1E71" w14:textId="77777777" w:rsidR="00002874" w:rsidRDefault="0000287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0ACD" w14:textId="77777777" w:rsidR="00811EDA" w:rsidRDefault="00CB02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A99D" w14:textId="77777777" w:rsidR="00C72C57" w:rsidRDefault="00C72C57" w:rsidP="00002874">
      <w:r>
        <w:separator/>
      </w:r>
    </w:p>
  </w:footnote>
  <w:footnote w:type="continuationSeparator" w:id="0">
    <w:p w14:paraId="51FD3EA7" w14:textId="77777777" w:rsidR="00C72C57" w:rsidRDefault="00C72C57" w:rsidP="00002874">
      <w:r>
        <w:continuationSeparator/>
      </w:r>
    </w:p>
  </w:footnote>
  <w:footnote w:id="1">
    <w:p w14:paraId="58307FD2" w14:textId="77777777" w:rsidR="00002874" w:rsidRDefault="00002874" w:rsidP="00002874">
      <w:pPr>
        <w:pStyle w:val="Voetnoottekst"/>
      </w:pPr>
      <w:r>
        <w:rPr>
          <w:rStyle w:val="Voetnootmarkering"/>
          <w:rFonts w:eastAsiaTheme="minorEastAsia"/>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8337" w14:textId="77777777" w:rsidR="00002874" w:rsidRDefault="000028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A43B" w14:textId="77777777" w:rsidR="00002874" w:rsidRDefault="00002874">
    <w:pPr>
      <w:pStyle w:val="Koptekst"/>
    </w:pPr>
    <w:r>
      <w:rPr>
        <w:noProof/>
        <w:lang w:val="nl-NL" w:eastAsia="nl-NL"/>
      </w:rPr>
      <w:drawing>
        <wp:inline distT="0" distB="0" distL="0" distR="0" wp14:anchorId="38B68019" wp14:editId="4C5D037E">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val="nl-NL" w:eastAsia="nl-NL"/>
      </w:rPr>
      <mc:AlternateContent>
        <mc:Choice Requires="wps">
          <w:drawing>
            <wp:anchor distT="0" distB="0" distL="114295" distR="114295" simplePos="0" relativeHeight="251658752" behindDoc="0" locked="0" layoutInCell="1" allowOverlap="1" wp14:anchorId="275BCC65" wp14:editId="07BD0D7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4FCA5" id="Line 16" o:spid="_x0000_s1026" style="position:absolute;z-index:25166028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9301" w14:textId="77777777" w:rsidR="00002874" w:rsidRDefault="00002874" w:rsidP="00013CCE">
    <w:pPr>
      <w:pStyle w:val="Koptekst"/>
      <w:jc w:val="right"/>
    </w:pPr>
    <w:r>
      <w:rPr>
        <w:noProof/>
        <w:lang w:val="nl-NL" w:eastAsia="nl-NL"/>
      </w:rPr>
      <w:drawing>
        <wp:inline distT="0" distB="0" distL="0" distR="0" wp14:anchorId="7AB97E37" wp14:editId="392BFFD6">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val="nl-NL" w:eastAsia="nl-NL"/>
      </w:rPr>
      <w:drawing>
        <wp:anchor distT="0" distB="0" distL="114300" distR="114300" simplePos="0" relativeHeight="251656704" behindDoc="1" locked="0" layoutInCell="1" allowOverlap="1" wp14:anchorId="68029852" wp14:editId="469A6AFD">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46A6" w14:textId="77777777" w:rsidR="00811EDA" w:rsidRDefault="00CB02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37DE98E0" w14:textId="77777777" w:rsidTr="000C06C9">
      <w:trPr>
        <w:trHeight w:val="284"/>
      </w:trPr>
      <w:tc>
        <w:tcPr>
          <w:tcW w:w="8460" w:type="dxa"/>
        </w:tcPr>
        <w:p w14:paraId="04960751" w14:textId="77777777" w:rsidR="00811EDA" w:rsidRPr="000C3B6D" w:rsidRDefault="00CB0228" w:rsidP="000C06C9">
          <w:pPr>
            <w:pStyle w:val="00Footer"/>
            <w:rPr>
              <w:lang w:val="fr-FR"/>
            </w:rPr>
          </w:pPr>
        </w:p>
      </w:tc>
      <w:tc>
        <w:tcPr>
          <w:tcW w:w="952" w:type="dxa"/>
        </w:tcPr>
        <w:p w14:paraId="0AA35AC9" w14:textId="77777777" w:rsidR="00811EDA" w:rsidRPr="00146B34" w:rsidRDefault="00CB0228" w:rsidP="000C06C9">
          <w:pPr>
            <w:pStyle w:val="00aPagenumber"/>
            <w:rPr>
              <w:lang w:val="fr-FR"/>
            </w:rPr>
          </w:pPr>
        </w:p>
      </w:tc>
    </w:tr>
  </w:tbl>
  <w:p w14:paraId="719BAAA1" w14:textId="77777777" w:rsidR="00811EDA" w:rsidRPr="00DB46C3" w:rsidRDefault="00CB0228">
    <w:pPr>
      <w:rPr>
        <w:lang w:val="fr-FR"/>
      </w:rPr>
    </w:pPr>
  </w:p>
  <w:p w14:paraId="7BEDD9D9" w14:textId="77777777" w:rsidR="00811EDA" w:rsidRPr="002F4496" w:rsidRDefault="00CB0228">
    <w:pPr>
      <w:pStyle w:val="Koptekst"/>
      <w:rPr>
        <w:lang w:val="fr-FR"/>
      </w:rPr>
    </w:pPr>
  </w:p>
  <w:p w14:paraId="6ECB414E" w14:textId="77777777" w:rsidR="00811EDA" w:rsidRPr="002F4496" w:rsidRDefault="00CB0228" w:rsidP="000C06C9">
    <w:pPr>
      <w:pStyle w:val="Koptekst"/>
      <w:tabs>
        <w:tab w:val="clear" w:pos="4536"/>
        <w:tab w:val="clear" w:pos="9072"/>
        <w:tab w:val="left" w:pos="8227"/>
      </w:tabs>
      <w:rPr>
        <w:lang w:val="fr-FR"/>
      </w:rPr>
    </w:pPr>
  </w:p>
  <w:p w14:paraId="069547B3" w14:textId="77777777" w:rsidR="00811EDA" w:rsidRPr="002F4496" w:rsidRDefault="00CB0228" w:rsidP="000C06C9">
    <w:pPr>
      <w:pStyle w:val="Koptekst"/>
      <w:tabs>
        <w:tab w:val="clear" w:pos="4536"/>
        <w:tab w:val="clear" w:pos="9072"/>
        <w:tab w:val="left" w:pos="8227"/>
      </w:tabs>
      <w:rPr>
        <w:lang w:val="fr-FR"/>
      </w:rPr>
    </w:pPr>
  </w:p>
  <w:p w14:paraId="27EC42F8" w14:textId="77777777" w:rsidR="00811EDA" w:rsidRPr="002F4496" w:rsidRDefault="00CB0228">
    <w:pPr>
      <w:pStyle w:val="Koptekst"/>
      <w:rPr>
        <w:lang w:val="fr-FR"/>
      </w:rPr>
    </w:pPr>
  </w:p>
  <w:p w14:paraId="2DD1ECA0" w14:textId="77777777" w:rsidR="00811EDA" w:rsidRPr="002F4496" w:rsidRDefault="00CB0228">
    <w:pPr>
      <w:pStyle w:val="Koptekst"/>
      <w:rPr>
        <w:lang w:val="fr-FR"/>
      </w:rPr>
    </w:pPr>
  </w:p>
  <w:p w14:paraId="696F895E" w14:textId="77777777" w:rsidR="00811EDA" w:rsidRPr="002F4496" w:rsidRDefault="00CB0228">
    <w:pPr>
      <w:pStyle w:val="Koptekst"/>
      <w:rPr>
        <w:lang w:val="fr-FR"/>
      </w:rPr>
    </w:pPr>
  </w:p>
  <w:p w14:paraId="76F5D3C8" w14:textId="77777777" w:rsidR="00811EDA" w:rsidRPr="002F4496" w:rsidRDefault="00CB0228">
    <w:pPr>
      <w:pStyle w:val="Koptekst"/>
      <w:rPr>
        <w:lang w:val="fr-FR"/>
      </w:rPr>
    </w:pPr>
  </w:p>
  <w:p w14:paraId="4FCA8A6E" w14:textId="77777777" w:rsidR="00811EDA" w:rsidRPr="002F4496" w:rsidRDefault="00CB0228">
    <w:pPr>
      <w:pStyle w:val="Koptekst"/>
      <w:rPr>
        <w:highlight w:val="yellow"/>
        <w:lang w:val="fr-FR"/>
      </w:rPr>
    </w:pPr>
  </w:p>
  <w:p w14:paraId="282D71A8" w14:textId="77777777" w:rsidR="00811EDA" w:rsidRDefault="0043356E">
    <w:pPr>
      <w:pStyle w:val="Koptekst"/>
    </w:pPr>
    <w:r>
      <w:rPr>
        <w:noProof/>
        <w:lang w:val="nl-NL" w:eastAsia="nl-NL"/>
      </w:rPr>
      <mc:AlternateContent>
        <mc:Choice Requires="wps">
          <w:drawing>
            <wp:anchor distT="0" distB="0" distL="114299" distR="114299" simplePos="0" relativeHeight="251657728" behindDoc="0" locked="0" layoutInCell="1" allowOverlap="1" wp14:anchorId="31447BAD" wp14:editId="2B49658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1977" id="Straight Connector 138"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val="nl-NL" w:eastAsia="nl-NL"/>
      </w:rPr>
      <w:drawing>
        <wp:inline distT="0" distB="0" distL="0" distR="0" wp14:anchorId="39C7CE8B" wp14:editId="414B8BAE">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2232B"/>
    <w:multiLevelType w:val="hybridMultilevel"/>
    <w:tmpl w:val="B5CCF242"/>
    <w:lvl w:ilvl="0" w:tplc="5F361060">
      <w:start w:val="1"/>
      <w:numFmt w:val="decimal"/>
      <w:pStyle w:val="Questionstyle"/>
      <w:lvlText w:val="Q%1"/>
      <w:lvlJc w:val="left"/>
      <w:pPr>
        <w:ind w:left="362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D5025A"/>
    <w:multiLevelType w:val="hybridMultilevel"/>
    <w:tmpl w:val="C9CC3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74"/>
    <w:rsid w:val="00002874"/>
    <w:rsid w:val="00010B3F"/>
    <w:rsid w:val="00014F1B"/>
    <w:rsid w:val="0001696B"/>
    <w:rsid w:val="00022ADE"/>
    <w:rsid w:val="000D076F"/>
    <w:rsid w:val="000D31E1"/>
    <w:rsid w:val="000E3DBD"/>
    <w:rsid w:val="000F4295"/>
    <w:rsid w:val="00140C90"/>
    <w:rsid w:val="00147B7B"/>
    <w:rsid w:val="00160D96"/>
    <w:rsid w:val="0018592A"/>
    <w:rsid w:val="001B7D9C"/>
    <w:rsid w:val="001D196A"/>
    <w:rsid w:val="001E7464"/>
    <w:rsid w:val="00206F52"/>
    <w:rsid w:val="00237AC8"/>
    <w:rsid w:val="002716A7"/>
    <w:rsid w:val="002737C0"/>
    <w:rsid w:val="00281A6B"/>
    <w:rsid w:val="002A6912"/>
    <w:rsid w:val="002B54A5"/>
    <w:rsid w:val="00301F43"/>
    <w:rsid w:val="00336BBA"/>
    <w:rsid w:val="0035652E"/>
    <w:rsid w:val="00361B46"/>
    <w:rsid w:val="003714BE"/>
    <w:rsid w:val="003E10F2"/>
    <w:rsid w:val="003E4548"/>
    <w:rsid w:val="003F1F5C"/>
    <w:rsid w:val="0041642D"/>
    <w:rsid w:val="0043356E"/>
    <w:rsid w:val="004418DC"/>
    <w:rsid w:val="00444AB9"/>
    <w:rsid w:val="00491D40"/>
    <w:rsid w:val="004B07D2"/>
    <w:rsid w:val="004D0645"/>
    <w:rsid w:val="004F7F72"/>
    <w:rsid w:val="005013BB"/>
    <w:rsid w:val="00512E30"/>
    <w:rsid w:val="00514B5C"/>
    <w:rsid w:val="00565271"/>
    <w:rsid w:val="00593C10"/>
    <w:rsid w:val="00595D84"/>
    <w:rsid w:val="005B70B9"/>
    <w:rsid w:val="005F1F3D"/>
    <w:rsid w:val="00630CB7"/>
    <w:rsid w:val="00685EF2"/>
    <w:rsid w:val="006A3222"/>
    <w:rsid w:val="006A6CEA"/>
    <w:rsid w:val="006B4688"/>
    <w:rsid w:val="007008A8"/>
    <w:rsid w:val="00702096"/>
    <w:rsid w:val="0072064E"/>
    <w:rsid w:val="00724D10"/>
    <w:rsid w:val="0074488F"/>
    <w:rsid w:val="007565CA"/>
    <w:rsid w:val="007661DB"/>
    <w:rsid w:val="007765C3"/>
    <w:rsid w:val="0078337E"/>
    <w:rsid w:val="00802FF8"/>
    <w:rsid w:val="00827081"/>
    <w:rsid w:val="00850803"/>
    <w:rsid w:val="00862A3F"/>
    <w:rsid w:val="00872C3E"/>
    <w:rsid w:val="00874062"/>
    <w:rsid w:val="008843A6"/>
    <w:rsid w:val="008A11ED"/>
    <w:rsid w:val="008B5F52"/>
    <w:rsid w:val="008D0871"/>
    <w:rsid w:val="008F302F"/>
    <w:rsid w:val="00905F5E"/>
    <w:rsid w:val="00913D94"/>
    <w:rsid w:val="00934C22"/>
    <w:rsid w:val="00961B36"/>
    <w:rsid w:val="009622A9"/>
    <w:rsid w:val="00A06B13"/>
    <w:rsid w:val="00A13E30"/>
    <w:rsid w:val="00A314C6"/>
    <w:rsid w:val="00A55575"/>
    <w:rsid w:val="00A708B5"/>
    <w:rsid w:val="00A85069"/>
    <w:rsid w:val="00A926D2"/>
    <w:rsid w:val="00AB2069"/>
    <w:rsid w:val="00AC0190"/>
    <w:rsid w:val="00AC1EE1"/>
    <w:rsid w:val="00AC5033"/>
    <w:rsid w:val="00AE1DB9"/>
    <w:rsid w:val="00B0689D"/>
    <w:rsid w:val="00B45EEE"/>
    <w:rsid w:val="00B5208A"/>
    <w:rsid w:val="00B66E46"/>
    <w:rsid w:val="00BC4A33"/>
    <w:rsid w:val="00BD4DA7"/>
    <w:rsid w:val="00BF4240"/>
    <w:rsid w:val="00C004B5"/>
    <w:rsid w:val="00C22D99"/>
    <w:rsid w:val="00C23488"/>
    <w:rsid w:val="00C26C9D"/>
    <w:rsid w:val="00C46DBF"/>
    <w:rsid w:val="00C53168"/>
    <w:rsid w:val="00C72C57"/>
    <w:rsid w:val="00CB0228"/>
    <w:rsid w:val="00CC0616"/>
    <w:rsid w:val="00CC590D"/>
    <w:rsid w:val="00CC679C"/>
    <w:rsid w:val="00CD3B75"/>
    <w:rsid w:val="00CD54B5"/>
    <w:rsid w:val="00CF439F"/>
    <w:rsid w:val="00D24689"/>
    <w:rsid w:val="00D4120D"/>
    <w:rsid w:val="00D44F91"/>
    <w:rsid w:val="00D5184C"/>
    <w:rsid w:val="00D761E1"/>
    <w:rsid w:val="00D77F9E"/>
    <w:rsid w:val="00DA4C1C"/>
    <w:rsid w:val="00DA6126"/>
    <w:rsid w:val="00DB3610"/>
    <w:rsid w:val="00DC0808"/>
    <w:rsid w:val="00E04D3C"/>
    <w:rsid w:val="00E1768F"/>
    <w:rsid w:val="00E21AD1"/>
    <w:rsid w:val="00E27C79"/>
    <w:rsid w:val="00E307BA"/>
    <w:rsid w:val="00E65FB3"/>
    <w:rsid w:val="00EA0015"/>
    <w:rsid w:val="00EB0B45"/>
    <w:rsid w:val="00EB37D4"/>
    <w:rsid w:val="00EC74F3"/>
    <w:rsid w:val="00ED75AF"/>
    <w:rsid w:val="00F200D3"/>
    <w:rsid w:val="00F34104"/>
    <w:rsid w:val="00F55A78"/>
    <w:rsid w:val="00F65D13"/>
    <w:rsid w:val="00F77DD9"/>
    <w:rsid w:val="00F81411"/>
    <w:rsid w:val="00F8280D"/>
    <w:rsid w:val="00F8353C"/>
    <w:rsid w:val="00F855F7"/>
    <w:rsid w:val="00F85C7F"/>
    <w:rsid w:val="00F9243B"/>
    <w:rsid w:val="00FD2585"/>
    <w:rsid w:val="00FE6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3D0F7"/>
  <w15:chartTrackingRefBased/>
  <w15:docId w15:val="{B967DC39-3CFC-4843-AAA3-C43AB770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Theme="minorHAnsi" w:hAnsi="Lucida Sans Unicode" w:cs="Lucida Sans Unicode"/>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2874"/>
    <w:pPr>
      <w:spacing w:line="240" w:lineRule="auto"/>
    </w:pPr>
    <w:rPr>
      <w:rFonts w:ascii="Arial" w:eastAsia="Times New Roman" w:hAnsi="Arial" w:cs="Times New Roman"/>
      <w:szCs w:val="24"/>
      <w:lang w:val="en-GB" w:eastAsia="de-DE"/>
    </w:rPr>
  </w:style>
  <w:style w:type="paragraph" w:styleId="Kop1">
    <w:name w:val="heading 1"/>
    <w:basedOn w:val="Standaard"/>
    <w:next w:val="Standaard"/>
    <w:link w:val="Kop1Char"/>
    <w:qFormat/>
    <w:rsid w:val="00C22D99"/>
    <w:pPr>
      <w:keepNext/>
      <w:spacing w:before="40"/>
      <w:outlineLvl w:val="0"/>
    </w:pPr>
    <w:rPr>
      <w:rFonts w:eastAsiaTheme="majorEastAsia" w:cstheme="majorBidi"/>
      <w:b/>
      <w:bCs/>
      <w:kern w:val="32"/>
      <w:sz w:val="24"/>
      <w:szCs w:val="32"/>
    </w:rPr>
  </w:style>
  <w:style w:type="paragraph" w:styleId="Kop2">
    <w:name w:val="heading 2"/>
    <w:basedOn w:val="Standaard"/>
    <w:next w:val="Standaard"/>
    <w:link w:val="Kop2Char"/>
    <w:uiPriority w:val="9"/>
    <w:semiHidden/>
    <w:unhideWhenUsed/>
    <w:qFormat/>
    <w:rsid w:val="00C22D99"/>
    <w:pPr>
      <w:keepNext/>
      <w:spacing w:before="40"/>
      <w:outlineLvl w:val="1"/>
    </w:pPr>
    <w:rPr>
      <w:rFonts w:eastAsiaTheme="majorEastAsia" w:cstheme="majorBidi"/>
      <w:b/>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C22D99"/>
    <w:rPr>
      <w:rFonts w:ascii="Lucida Sans Unicode" w:eastAsiaTheme="majorEastAsia" w:hAnsi="Lucida Sans Unicode" w:cstheme="majorBidi"/>
      <w:b/>
      <w:bCs/>
      <w:iCs/>
      <w:szCs w:val="28"/>
    </w:rPr>
  </w:style>
  <w:style w:type="character" w:customStyle="1" w:styleId="Kop1Char">
    <w:name w:val="Kop 1 Char"/>
    <w:basedOn w:val="Standaardalinea-lettertype"/>
    <w:link w:val="Kop1"/>
    <w:rsid w:val="00C22D99"/>
    <w:rPr>
      <w:rFonts w:ascii="Lucida Sans Unicode" w:eastAsiaTheme="majorEastAsia" w:hAnsi="Lucida Sans Unicode" w:cstheme="majorBidi"/>
      <w:b/>
      <w:bCs/>
      <w:kern w:val="32"/>
      <w:sz w:val="24"/>
      <w:szCs w:val="32"/>
    </w:rPr>
  </w:style>
  <w:style w:type="paragraph" w:styleId="Koptekst">
    <w:name w:val="header"/>
    <w:basedOn w:val="Standaard"/>
    <w:link w:val="KoptekstChar"/>
    <w:rsid w:val="00002874"/>
    <w:pPr>
      <w:tabs>
        <w:tab w:val="center" w:pos="4536"/>
        <w:tab w:val="right" w:pos="9072"/>
      </w:tabs>
    </w:pPr>
  </w:style>
  <w:style w:type="character" w:customStyle="1" w:styleId="KoptekstChar">
    <w:name w:val="Koptekst Char"/>
    <w:basedOn w:val="Standaardalinea-lettertype"/>
    <w:link w:val="Koptekst"/>
    <w:rsid w:val="00002874"/>
    <w:rPr>
      <w:rFonts w:ascii="Arial" w:eastAsia="Times New Roman" w:hAnsi="Arial" w:cs="Times New Roman"/>
      <w:szCs w:val="24"/>
      <w:lang w:val="en-GB" w:eastAsia="de-DE"/>
    </w:rPr>
  </w:style>
  <w:style w:type="paragraph" w:styleId="Voettekst">
    <w:name w:val="footer"/>
    <w:basedOn w:val="Standaard"/>
    <w:link w:val="VoettekstChar"/>
    <w:uiPriority w:val="99"/>
    <w:rsid w:val="00002874"/>
    <w:pPr>
      <w:tabs>
        <w:tab w:val="center" w:pos="4536"/>
        <w:tab w:val="right" w:pos="9072"/>
      </w:tabs>
    </w:pPr>
  </w:style>
  <w:style w:type="character" w:customStyle="1" w:styleId="VoettekstChar">
    <w:name w:val="Voettekst Char"/>
    <w:basedOn w:val="Standaardalinea-lettertype"/>
    <w:link w:val="Voettekst"/>
    <w:uiPriority w:val="99"/>
    <w:rsid w:val="00002874"/>
    <w:rPr>
      <w:rFonts w:ascii="Arial" w:eastAsia="Times New Roman" w:hAnsi="Arial" w:cs="Times New Roman"/>
      <w:szCs w:val="24"/>
      <w:lang w:val="en-GB" w:eastAsia="de-DE"/>
    </w:rPr>
  </w:style>
  <w:style w:type="paragraph" w:customStyle="1" w:styleId="00Footer">
    <w:name w:val="00_Footer"/>
    <w:basedOn w:val="Standaard"/>
    <w:rsid w:val="00002874"/>
    <w:pPr>
      <w:spacing w:line="200" w:lineRule="exact"/>
    </w:pPr>
    <w:rPr>
      <w:color w:val="2D4190"/>
      <w:sz w:val="16"/>
    </w:rPr>
  </w:style>
  <w:style w:type="paragraph" w:customStyle="1" w:styleId="02Date">
    <w:name w:val="02_Date"/>
    <w:basedOn w:val="Standaard"/>
    <w:rsid w:val="00002874"/>
    <w:pPr>
      <w:spacing w:line="220" w:lineRule="exact"/>
    </w:pPr>
    <w:rPr>
      <w:sz w:val="17"/>
    </w:rPr>
  </w:style>
  <w:style w:type="paragraph" w:customStyle="1" w:styleId="00aPagenumber">
    <w:name w:val="00a_Page number"/>
    <w:basedOn w:val="00Footer"/>
    <w:rsid w:val="00002874"/>
    <w:pPr>
      <w:spacing w:line="280" w:lineRule="atLeast"/>
      <w:jc w:val="right"/>
    </w:pPr>
    <w:rPr>
      <w:color w:val="000000"/>
      <w:sz w:val="20"/>
    </w:rPr>
  </w:style>
  <w:style w:type="paragraph" w:customStyle="1" w:styleId="05HeadlinenoIndex">
    <w:name w:val="05_Headline no Index"/>
    <w:basedOn w:val="Standaard"/>
    <w:rsid w:val="00002874"/>
    <w:pPr>
      <w:spacing w:after="250" w:line="300" w:lineRule="exact"/>
      <w:jc w:val="both"/>
    </w:pPr>
    <w:rPr>
      <w:b/>
      <w:sz w:val="24"/>
    </w:rPr>
  </w:style>
  <w:style w:type="paragraph" w:customStyle="1" w:styleId="00bDBInfo">
    <w:name w:val="00b_DB_Info"/>
    <w:basedOn w:val="00aPagenumber"/>
    <w:rsid w:val="00002874"/>
    <w:rPr>
      <w:color w:val="FFFFFF"/>
    </w:rPr>
  </w:style>
  <w:style w:type="paragraph" w:customStyle="1" w:styleId="01aDBTitle">
    <w:name w:val="01a_DB_Title"/>
    <w:basedOn w:val="Standaard"/>
    <w:rsid w:val="00002874"/>
    <w:pPr>
      <w:spacing w:line="400" w:lineRule="exact"/>
      <w:jc w:val="right"/>
    </w:pPr>
    <w:rPr>
      <w:b/>
      <w:color w:val="2D4190"/>
      <w:sz w:val="40"/>
    </w:rPr>
  </w:style>
  <w:style w:type="paragraph" w:customStyle="1" w:styleId="01bDBSubtitle">
    <w:name w:val="01b_DB_Subtitle"/>
    <w:rsid w:val="00002874"/>
    <w:pPr>
      <w:spacing w:line="240" w:lineRule="auto"/>
      <w:jc w:val="right"/>
    </w:pPr>
    <w:rPr>
      <w:rFonts w:ascii="Georgia" w:eastAsia="Times New Roman" w:hAnsi="Georgia" w:cs="Times New Roman"/>
      <w:color w:val="000000"/>
      <w:sz w:val="24"/>
      <w:szCs w:val="24"/>
      <w:lang w:val="en-GB" w:eastAsia="de-DE"/>
    </w:rPr>
  </w:style>
  <w:style w:type="character" w:styleId="Hyperlink">
    <w:name w:val="Hyperlink"/>
    <w:uiPriority w:val="99"/>
    <w:rsid w:val="00002874"/>
    <w:rPr>
      <w:color w:val="0000FF"/>
      <w:u w:val="singl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Fußnote, Cha"/>
    <w:basedOn w:val="Standaard"/>
    <w:link w:val="VoetnoottekstChar"/>
    <w:uiPriority w:val="99"/>
    <w:qFormat/>
    <w:rsid w:val="00002874"/>
    <w:pPr>
      <w:spacing w:line="200" w:lineRule="exact"/>
    </w:pPr>
    <w:rPr>
      <w:sz w:val="16"/>
      <w:szCs w:val="20"/>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Cha Char"/>
    <w:basedOn w:val="Standaardalinea-lettertype"/>
    <w:link w:val="Voetnoottekst"/>
    <w:uiPriority w:val="99"/>
    <w:rsid w:val="00002874"/>
    <w:rPr>
      <w:rFonts w:ascii="Arial" w:eastAsia="Times New Roman" w:hAnsi="Arial" w:cs="Times New Roman"/>
      <w:sz w:val="16"/>
      <w:lang w:val="en-GB" w:eastAsia="de-DE"/>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002874"/>
    <w:rPr>
      <w:vertAlign w:val="superscript"/>
    </w:rPr>
  </w:style>
  <w:style w:type="paragraph" w:styleId="Lijstalinea">
    <w:name w:val="List Paragraph"/>
    <w:aliases w:val="Paragraphe EI,Paragraphe de liste1,EC"/>
    <w:basedOn w:val="Standaard"/>
    <w:link w:val="LijstalineaChar"/>
    <w:uiPriority w:val="34"/>
    <w:qFormat/>
    <w:rsid w:val="00002874"/>
    <w:pPr>
      <w:ind w:left="720"/>
      <w:contextualSpacing/>
    </w:pPr>
  </w:style>
  <w:style w:type="character" w:customStyle="1" w:styleId="LijstalineaChar">
    <w:name w:val="Lijstalinea Char"/>
    <w:aliases w:val="Paragraphe EI Char,Paragraphe de liste1 Char,EC Char"/>
    <w:link w:val="Lijstalinea"/>
    <w:uiPriority w:val="34"/>
    <w:locked/>
    <w:rsid w:val="00002874"/>
    <w:rPr>
      <w:rFonts w:ascii="Arial" w:eastAsia="Times New Roman" w:hAnsi="Arial" w:cs="Times New Roman"/>
      <w:szCs w:val="24"/>
      <w:lang w:val="en-GB" w:eastAsia="de-DE"/>
    </w:rPr>
  </w:style>
  <w:style w:type="character" w:styleId="Tekstvantijdelijkeaanduiding">
    <w:name w:val="Placeholder Text"/>
    <w:uiPriority w:val="99"/>
    <w:semiHidden/>
    <w:rsid w:val="00002874"/>
    <w:rPr>
      <w:color w:val="808080"/>
    </w:rPr>
  </w:style>
  <w:style w:type="character" w:styleId="Subtielebenadrukking">
    <w:name w:val="Subtle Emphasis"/>
    <w:aliases w:val="Question,Text,Diskret betoning,Emphase pâle"/>
    <w:uiPriority w:val="19"/>
    <w:qFormat/>
    <w:rsid w:val="00002874"/>
    <w:rPr>
      <w:b/>
      <w:i w:val="0"/>
      <w:iCs/>
      <w:sz w:val="20"/>
    </w:rPr>
  </w:style>
  <w:style w:type="character" w:styleId="Intensievebenadrukking">
    <w:name w:val="Intense Emphasis"/>
    <w:basedOn w:val="Standaardalinea-lettertype"/>
    <w:uiPriority w:val="21"/>
    <w:qFormat/>
    <w:rsid w:val="00002874"/>
    <w:rPr>
      <w:b/>
      <w:bCs/>
      <w:i/>
      <w:iCs/>
    </w:rPr>
  </w:style>
  <w:style w:type="paragraph" w:customStyle="1" w:styleId="Questionstyle">
    <w:name w:val="Question style"/>
    <w:basedOn w:val="Standaard"/>
    <w:next w:val="Standaard"/>
    <w:link w:val="QuestionstyleChar"/>
    <w:autoRedefine/>
    <w:qFormat/>
    <w:rsid w:val="00002874"/>
    <w:pPr>
      <w:numPr>
        <w:numId w:val="3"/>
      </w:numPr>
      <w:spacing w:after="250" w:line="276" w:lineRule="auto"/>
      <w:ind w:left="720"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ardalinea-lettertype"/>
    <w:link w:val="Questionstyle"/>
    <w:rsid w:val="00002874"/>
    <w:rPr>
      <w:rFonts w:asciiTheme="minorHAnsi" w:eastAsiaTheme="minorEastAsia" w:hAnsiTheme="minorHAnsi" w:cstheme="minorBidi"/>
      <w:b/>
      <w:sz w:val="22"/>
      <w:lang w:val="en-GB"/>
    </w:rPr>
  </w:style>
  <w:style w:type="paragraph" w:customStyle="1" w:styleId="1">
    <w:name w:val="1"/>
    <w:basedOn w:val="Standaard"/>
    <w:link w:val="Voetnootmarkering"/>
    <w:uiPriority w:val="99"/>
    <w:qFormat/>
    <w:rsid w:val="00002874"/>
    <w:pPr>
      <w:spacing w:after="160" w:line="240" w:lineRule="exact"/>
    </w:pPr>
    <w:rPr>
      <w:rFonts w:ascii="Lucida Sans Unicode" w:eastAsiaTheme="minorHAnsi" w:hAnsi="Lucida Sans Unicode" w:cs="Lucida Sans Unicode"/>
      <w:szCs w:val="20"/>
      <w:vertAlign w:val="superscript"/>
      <w:lang w:val="nl-NL" w:eastAsia="en-US"/>
    </w:rPr>
  </w:style>
  <w:style w:type="character" w:styleId="Verwijzingopmerking">
    <w:name w:val="annotation reference"/>
    <w:basedOn w:val="Standaardalinea-lettertype"/>
    <w:uiPriority w:val="99"/>
    <w:semiHidden/>
    <w:unhideWhenUsed/>
    <w:rsid w:val="00002874"/>
    <w:rPr>
      <w:sz w:val="16"/>
      <w:szCs w:val="16"/>
    </w:rPr>
  </w:style>
  <w:style w:type="paragraph" w:styleId="Tekstopmerking">
    <w:name w:val="annotation text"/>
    <w:basedOn w:val="Standaard"/>
    <w:link w:val="TekstopmerkingChar"/>
    <w:uiPriority w:val="99"/>
    <w:semiHidden/>
    <w:unhideWhenUsed/>
    <w:rsid w:val="00002874"/>
    <w:rPr>
      <w:szCs w:val="20"/>
    </w:rPr>
  </w:style>
  <w:style w:type="character" w:customStyle="1" w:styleId="TekstopmerkingChar">
    <w:name w:val="Tekst opmerking Char"/>
    <w:basedOn w:val="Standaardalinea-lettertype"/>
    <w:link w:val="Tekstopmerking"/>
    <w:uiPriority w:val="99"/>
    <w:semiHidden/>
    <w:rsid w:val="00002874"/>
    <w:rPr>
      <w:rFonts w:ascii="Arial" w:eastAsia="Times New Roman" w:hAnsi="Arial" w:cs="Times New Roman"/>
      <w:lang w:val="en-GB" w:eastAsia="de-DE"/>
    </w:rPr>
  </w:style>
  <w:style w:type="paragraph" w:styleId="Onderwerpvanopmerking">
    <w:name w:val="annotation subject"/>
    <w:basedOn w:val="Tekstopmerking"/>
    <w:next w:val="Tekstopmerking"/>
    <w:link w:val="OnderwerpvanopmerkingChar"/>
    <w:uiPriority w:val="99"/>
    <w:semiHidden/>
    <w:unhideWhenUsed/>
    <w:rsid w:val="00002874"/>
    <w:rPr>
      <w:b/>
      <w:bCs/>
    </w:rPr>
  </w:style>
  <w:style w:type="character" w:customStyle="1" w:styleId="OnderwerpvanopmerkingChar">
    <w:name w:val="Onderwerp van opmerking Char"/>
    <w:basedOn w:val="TekstopmerkingChar"/>
    <w:link w:val="Onderwerpvanopmerking"/>
    <w:uiPriority w:val="99"/>
    <w:semiHidden/>
    <w:rsid w:val="00002874"/>
    <w:rPr>
      <w:rFonts w:ascii="Arial" w:eastAsia="Times New Roman" w:hAnsi="Arial" w:cs="Times New Roman"/>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sma.europa.eu/legal-notice" TargetMode="External"/><Relationship Id="rId2" Type="http://schemas.openxmlformats.org/officeDocument/2006/relationships/numbering" Target="numbering.xml"/><Relationship Id="rId16" Type="http://schemas.openxmlformats.org/officeDocument/2006/relationships/hyperlink" Target="https://eiopa.europa.eu/Pages/Links/Legal-notice.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ba.europa.eu/legal-notice"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sma.europa.eu/press-news/consultation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1059-EFBB-4FE8-BE85-1AB026B5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3829</Words>
  <Characters>21065</Characters>
  <Application>Microsoft Office Word</Application>
  <DocSecurity>0</DocSecurity>
  <Lines>175</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Matthies Verstegen</dc:creator>
  <cp:keywords/>
  <dc:description/>
  <cp:lastModifiedBy>Matthies Verstegen</cp:lastModifiedBy>
  <cp:revision>3</cp:revision>
  <dcterms:created xsi:type="dcterms:W3CDTF">2021-05-12T09:39:00Z</dcterms:created>
  <dcterms:modified xsi:type="dcterms:W3CDTF">2021-05-12T09:41:00Z</dcterms:modified>
</cp:coreProperties>
</file>