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Enfasidelicata"/>
          <w:b w:val="0"/>
          <w:bCs/>
          <w:sz w:val="22"/>
        </w:rPr>
      </w:pPr>
      <w:r w:rsidRPr="005F6BE3">
        <w:rPr>
          <w:rStyle w:val="Enfasidelicata"/>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Enfasidelicata"/>
          <w:b w:val="0"/>
          <w:bCs/>
          <w:sz w:val="22"/>
        </w:rPr>
        <w:t xml:space="preserve"> </w:t>
      </w:r>
      <w:r w:rsidR="00754AC4" w:rsidRPr="00754AC4">
        <w:rPr>
          <w:rStyle w:val="Enfasidelicata"/>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Enfasidelicata"/>
          <w:b w:val="0"/>
          <w:bCs/>
          <w:sz w:val="22"/>
        </w:rPr>
      </w:pPr>
      <w:r w:rsidRPr="00754AC4">
        <w:rPr>
          <w:rStyle w:val="Enfasidelicata"/>
          <w:b w:val="0"/>
          <w:bCs/>
          <w:sz w:val="22"/>
        </w:rPr>
        <w:t>Comments are most helpful if they:</w:t>
      </w:r>
    </w:p>
    <w:p w14:paraId="443F1C2C" w14:textId="77777777" w:rsidR="00754AC4" w:rsidRPr="00754AC4" w:rsidRDefault="00754AC4" w:rsidP="00666A17">
      <w:pPr>
        <w:pStyle w:val="Paragrafoelenco"/>
        <w:numPr>
          <w:ilvl w:val="0"/>
          <w:numId w:val="39"/>
        </w:numPr>
        <w:spacing w:after="240"/>
        <w:jc w:val="both"/>
        <w:rPr>
          <w:rStyle w:val="Enfasidelicata"/>
          <w:b w:val="0"/>
          <w:bCs/>
          <w:sz w:val="22"/>
        </w:rPr>
      </w:pPr>
      <w:r w:rsidRPr="00754AC4">
        <w:rPr>
          <w:rStyle w:val="Enfasidelicata"/>
          <w:b w:val="0"/>
          <w:bCs/>
          <w:sz w:val="22"/>
        </w:rPr>
        <w:t>contain a clear rationale; and</w:t>
      </w:r>
    </w:p>
    <w:p w14:paraId="44288AF1" w14:textId="77777777" w:rsidR="00754AC4" w:rsidRPr="00754AC4" w:rsidRDefault="00754AC4" w:rsidP="00666A17">
      <w:pPr>
        <w:pStyle w:val="Paragrafoelenco"/>
        <w:numPr>
          <w:ilvl w:val="0"/>
          <w:numId w:val="39"/>
        </w:numPr>
        <w:spacing w:after="240"/>
        <w:jc w:val="both"/>
        <w:rPr>
          <w:rStyle w:val="Enfasidelicata"/>
          <w:b w:val="0"/>
          <w:bCs/>
          <w:sz w:val="22"/>
        </w:rPr>
      </w:pPr>
      <w:r w:rsidRPr="00754AC4">
        <w:rPr>
          <w:rStyle w:val="Enfasidelicata"/>
          <w:b w:val="0"/>
          <w:bCs/>
          <w:sz w:val="22"/>
        </w:rPr>
        <w:t>describe any alternatives the ESAs should consider.</w:t>
      </w:r>
    </w:p>
    <w:p w14:paraId="122FDDB2" w14:textId="5647B0AF" w:rsidR="00C86E1C" w:rsidRDefault="00C86E1C" w:rsidP="00754AC4">
      <w:pPr>
        <w:spacing w:after="240"/>
        <w:jc w:val="both"/>
        <w:rPr>
          <w:rStyle w:val="Enfasidelicata"/>
          <w:b w:val="0"/>
          <w:bCs/>
          <w:sz w:val="22"/>
        </w:rPr>
      </w:pPr>
      <w:r>
        <w:rPr>
          <w:rStyle w:val="Enfasidelicata"/>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Enfasidelicata"/>
          <w:b w:val="0"/>
          <w:sz w:val="22"/>
        </w:rPr>
      </w:pPr>
    </w:p>
    <w:p w14:paraId="6A3CB03F" w14:textId="77777777" w:rsidR="009A3017" w:rsidRPr="00E40A5C" w:rsidRDefault="009A3017" w:rsidP="009A3017">
      <w:pPr>
        <w:spacing w:after="120"/>
        <w:jc w:val="both"/>
        <w:rPr>
          <w:rStyle w:val="Enfasidelicata"/>
          <w:sz w:val="22"/>
        </w:rPr>
      </w:pPr>
      <w:r w:rsidRPr="00E40A5C">
        <w:rPr>
          <w:rStyle w:val="Enfasidelicata"/>
          <w:sz w:val="22"/>
        </w:rPr>
        <w:t>Instructions</w:t>
      </w:r>
    </w:p>
    <w:p w14:paraId="6A3CB040" w14:textId="77777777" w:rsidR="009A3017" w:rsidRPr="00E40A5C" w:rsidRDefault="009A3017" w:rsidP="009A3017">
      <w:pPr>
        <w:spacing w:after="240"/>
        <w:jc w:val="both"/>
        <w:rPr>
          <w:rStyle w:val="Enfasidelicata"/>
          <w:b w:val="0"/>
          <w:sz w:val="22"/>
        </w:rPr>
      </w:pPr>
      <w:r w:rsidRPr="00E40A5C">
        <w:rPr>
          <w:rStyle w:val="Enfasidelicata"/>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Paragrafoelenco"/>
        <w:numPr>
          <w:ilvl w:val="0"/>
          <w:numId w:val="36"/>
        </w:numPr>
        <w:spacing w:after="240" w:line="276" w:lineRule="auto"/>
        <w:ind w:left="567" w:hanging="567"/>
        <w:contextualSpacing w:val="0"/>
        <w:jc w:val="both"/>
        <w:rPr>
          <w:rStyle w:val="Enfasidelicata"/>
          <w:b w:val="0"/>
          <w:sz w:val="22"/>
        </w:rPr>
      </w:pPr>
      <w:r w:rsidRPr="00E40A5C">
        <w:rPr>
          <w:rStyle w:val="Enfasidelicata"/>
          <w:b w:val="0"/>
          <w:sz w:val="22"/>
        </w:rPr>
        <w:t xml:space="preserve">Insert your responses to the questions in the Consultation Paper in </w:t>
      </w:r>
      <w:r w:rsidR="00963D60">
        <w:rPr>
          <w:rStyle w:val="Enfasidelicata"/>
          <w:b w:val="0"/>
          <w:sz w:val="22"/>
        </w:rPr>
        <w:t>the present</w:t>
      </w:r>
      <w:r w:rsidR="00963D60" w:rsidRPr="00E40A5C">
        <w:rPr>
          <w:rStyle w:val="Enfasidelicata"/>
          <w:b w:val="0"/>
          <w:sz w:val="22"/>
        </w:rPr>
        <w:t xml:space="preserve"> </w:t>
      </w:r>
      <w:r w:rsidR="00315895">
        <w:rPr>
          <w:rStyle w:val="Enfasidelicata"/>
          <w:b w:val="0"/>
          <w:sz w:val="22"/>
        </w:rPr>
        <w:t xml:space="preserve">response </w:t>
      </w:r>
      <w:r w:rsidRPr="00E40A5C">
        <w:rPr>
          <w:rStyle w:val="Enfasidelicata"/>
          <w:b w:val="0"/>
          <w:sz w:val="22"/>
        </w:rPr>
        <w:t>form</w:t>
      </w:r>
      <w:r w:rsidR="00963D60">
        <w:rPr>
          <w:rStyle w:val="Enfasidelicata"/>
          <w:b w:val="0"/>
          <w:sz w:val="22"/>
        </w:rPr>
        <w:t>.</w:t>
      </w:r>
      <w:r w:rsidRPr="00E40A5C">
        <w:rPr>
          <w:rStyle w:val="Enfasidelicata"/>
          <w:b w:val="0"/>
          <w:sz w:val="22"/>
        </w:rPr>
        <w:t xml:space="preserve"> </w:t>
      </w:r>
    </w:p>
    <w:p w14:paraId="6A3CB042" w14:textId="7681A708" w:rsidR="009A3017" w:rsidRPr="00E40A5C" w:rsidRDefault="009A3017" w:rsidP="00666A17">
      <w:pPr>
        <w:pStyle w:val="Paragrafoelenco"/>
        <w:numPr>
          <w:ilvl w:val="0"/>
          <w:numId w:val="36"/>
        </w:numPr>
        <w:spacing w:after="240" w:line="276" w:lineRule="auto"/>
        <w:ind w:left="567" w:hanging="567"/>
        <w:contextualSpacing w:val="0"/>
        <w:jc w:val="both"/>
        <w:rPr>
          <w:rStyle w:val="Enfasidelicata"/>
          <w:b w:val="0"/>
          <w:sz w:val="22"/>
        </w:rPr>
      </w:pPr>
      <w:r w:rsidRPr="00E40A5C">
        <w:rPr>
          <w:rStyle w:val="Enfasidelicata"/>
          <w:b w:val="0"/>
          <w:sz w:val="22"/>
        </w:rPr>
        <w:t>Please do not remove tags of the type &lt;ESA_QUESTION_</w:t>
      </w:r>
      <w:r w:rsidR="00C86E1C">
        <w:rPr>
          <w:rStyle w:val="Enfasidelicata"/>
          <w:b w:val="0"/>
          <w:sz w:val="22"/>
        </w:rPr>
        <w:t>ESG</w:t>
      </w:r>
      <w:r w:rsidRPr="00E40A5C">
        <w:rPr>
          <w:rStyle w:val="Enfasidelicata"/>
          <w:b w:val="0"/>
          <w:sz w:val="22"/>
        </w:rPr>
        <w:t>_1&gt;. Your response to each question has to be framed by the two tags corresponding to the question.</w:t>
      </w:r>
    </w:p>
    <w:p w14:paraId="6A3CB043" w14:textId="77777777" w:rsidR="009A3017" w:rsidRPr="00E40A5C" w:rsidRDefault="009A3017" w:rsidP="00666A17">
      <w:pPr>
        <w:pStyle w:val="Paragrafoelenco"/>
        <w:numPr>
          <w:ilvl w:val="0"/>
          <w:numId w:val="36"/>
        </w:numPr>
        <w:spacing w:after="240" w:line="276" w:lineRule="auto"/>
        <w:ind w:left="567" w:hanging="567"/>
        <w:contextualSpacing w:val="0"/>
        <w:jc w:val="both"/>
        <w:rPr>
          <w:rStyle w:val="Enfasidelicata"/>
          <w:b w:val="0"/>
          <w:sz w:val="22"/>
        </w:rPr>
      </w:pPr>
      <w:r w:rsidRPr="00E40A5C">
        <w:rPr>
          <w:rStyle w:val="Enfasidelicata"/>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Paragrafoelenco"/>
        <w:numPr>
          <w:ilvl w:val="0"/>
          <w:numId w:val="36"/>
        </w:numPr>
        <w:spacing w:after="240" w:line="276" w:lineRule="auto"/>
        <w:ind w:left="567" w:hanging="567"/>
        <w:contextualSpacing w:val="0"/>
        <w:jc w:val="both"/>
        <w:rPr>
          <w:rStyle w:val="Enfasidelicata"/>
          <w:b w:val="0"/>
          <w:sz w:val="22"/>
        </w:rPr>
      </w:pPr>
      <w:r w:rsidRPr="00E40A5C">
        <w:rPr>
          <w:rStyle w:val="Enfasidelicata"/>
          <w:b w:val="0"/>
          <w:sz w:val="22"/>
        </w:rPr>
        <w:t>When you have drafted your response, name your response form according to the following convention: ESA_</w:t>
      </w:r>
      <w:r w:rsidR="00C86E1C">
        <w:rPr>
          <w:rStyle w:val="Enfasidelicata"/>
          <w:b w:val="0"/>
          <w:sz w:val="22"/>
        </w:rPr>
        <w:t>ESG</w:t>
      </w:r>
      <w:r w:rsidRPr="00E40A5C">
        <w:rPr>
          <w:rStyle w:val="Enfasidelicata"/>
          <w:b w:val="0"/>
          <w:sz w:val="22"/>
        </w:rPr>
        <w:t>_nameofrespondent_RESPONSEFORM. For example, for a respondent named ABCD, the response form would be entitled ESA_</w:t>
      </w:r>
      <w:r w:rsidR="00C86E1C">
        <w:rPr>
          <w:rStyle w:val="Enfasidelicata"/>
          <w:b w:val="0"/>
          <w:sz w:val="22"/>
        </w:rPr>
        <w:t>ESG</w:t>
      </w:r>
      <w:r w:rsidRPr="00E40A5C">
        <w:rPr>
          <w:rStyle w:val="Enfasidelicata"/>
          <w:b w:val="0"/>
          <w:sz w:val="22"/>
        </w:rPr>
        <w:t>_ABCD_RESPONSEFORM.</w:t>
      </w:r>
    </w:p>
    <w:p w14:paraId="180C2205" w14:textId="03F3D16A" w:rsidR="00197794" w:rsidRPr="00197794" w:rsidRDefault="00197794" w:rsidP="00666A17">
      <w:pPr>
        <w:pStyle w:val="Paragrafoelenco"/>
        <w:numPr>
          <w:ilvl w:val="0"/>
          <w:numId w:val="36"/>
        </w:numPr>
        <w:spacing w:after="240" w:line="276" w:lineRule="auto"/>
        <w:ind w:left="567" w:hanging="567"/>
        <w:contextualSpacing w:val="0"/>
        <w:jc w:val="both"/>
        <w:rPr>
          <w:rStyle w:val="Enfasidelicata"/>
          <w:b w:val="0"/>
          <w:sz w:val="22"/>
        </w:rPr>
      </w:pPr>
      <w:r w:rsidRPr="00197794">
        <w:rPr>
          <w:rStyle w:val="Enfasidelicata"/>
          <w:b w:val="0"/>
          <w:sz w:val="22"/>
        </w:rPr>
        <w:t>The consultation paper is available on the websites of the three ESAs</w:t>
      </w:r>
      <w:r w:rsidR="00764042">
        <w:rPr>
          <w:rStyle w:val="Enfasidelicata"/>
          <w:b w:val="0"/>
          <w:sz w:val="22"/>
        </w:rPr>
        <w:t xml:space="preserve"> and the Joint Committee</w:t>
      </w:r>
      <w:r w:rsidRPr="00197794">
        <w:rPr>
          <w:rStyle w:val="Enfasidelicata"/>
          <w:b w:val="0"/>
          <w:sz w:val="22"/>
        </w:rPr>
        <w:t xml:space="preserve">. Comments on this consultation paper can be sent using the response form, via the </w:t>
      </w:r>
      <w:hyperlink r:id="rId19" w:history="1">
        <w:r w:rsidRPr="00197794">
          <w:rPr>
            <w:rStyle w:val="Collegamentoipertestuale"/>
            <w:rFonts w:cs="Arial"/>
            <w:sz w:val="22"/>
          </w:rPr>
          <w:t>ESMA website</w:t>
        </w:r>
      </w:hyperlink>
      <w:r w:rsidRPr="00197794">
        <w:rPr>
          <w:rStyle w:val="Enfasidelicata"/>
          <w:b w:val="0"/>
          <w:sz w:val="24"/>
        </w:rPr>
        <w:t xml:space="preserve"> </w:t>
      </w:r>
      <w:r w:rsidRPr="00197794">
        <w:rPr>
          <w:rStyle w:val="Enfasidelicata"/>
          <w:b w:val="0"/>
          <w:sz w:val="22"/>
        </w:rPr>
        <w:t>under the heading ‘Your input - Consultations’ by</w:t>
      </w:r>
      <w:r w:rsidR="005F6BE3">
        <w:rPr>
          <w:rStyle w:val="Enfasidelicata"/>
          <w:b w:val="0"/>
          <w:sz w:val="22"/>
        </w:rPr>
        <w:t xml:space="preserve"> </w:t>
      </w:r>
      <w:r w:rsidR="00AA1B9D">
        <w:rPr>
          <w:rStyle w:val="Enfasidelicata"/>
          <w:b w:val="0"/>
          <w:sz w:val="22"/>
        </w:rPr>
        <w:t>12 May 2021</w:t>
      </w:r>
      <w:r w:rsidRPr="00197794">
        <w:rPr>
          <w:rStyle w:val="Enfasidelicata"/>
          <w:b w:val="0"/>
          <w:sz w:val="22"/>
        </w:rPr>
        <w:t>.</w:t>
      </w:r>
    </w:p>
    <w:p w14:paraId="2481E1E6" w14:textId="67CDDA3F" w:rsidR="00197794" w:rsidRDefault="00197794" w:rsidP="00666A17">
      <w:pPr>
        <w:pStyle w:val="Paragrafoelenco"/>
        <w:numPr>
          <w:ilvl w:val="0"/>
          <w:numId w:val="36"/>
        </w:numPr>
        <w:spacing w:after="240" w:line="276" w:lineRule="auto"/>
        <w:ind w:left="567" w:hanging="567"/>
        <w:contextualSpacing w:val="0"/>
        <w:jc w:val="both"/>
        <w:rPr>
          <w:rStyle w:val="Enfasidelicata"/>
          <w:b w:val="0"/>
          <w:sz w:val="22"/>
        </w:rPr>
      </w:pPr>
      <w:r w:rsidRPr="00197794">
        <w:rPr>
          <w:rStyle w:val="Enfasidelicata"/>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Enfasidelicata"/>
          <w:b w:val="0"/>
          <w:sz w:val="22"/>
        </w:rPr>
      </w:pPr>
    </w:p>
    <w:p w14:paraId="5E94D042" w14:textId="77777777" w:rsidR="00D5594A" w:rsidRPr="00197794" w:rsidRDefault="00D5594A" w:rsidP="00197794">
      <w:pPr>
        <w:spacing w:after="240" w:line="276" w:lineRule="auto"/>
        <w:jc w:val="both"/>
        <w:rPr>
          <w:rStyle w:val="Enfasidelicata"/>
          <w:b w:val="0"/>
          <w:sz w:val="22"/>
        </w:rPr>
      </w:pPr>
    </w:p>
    <w:p w14:paraId="6A3CB046" w14:textId="77777777" w:rsidR="00210E59" w:rsidRPr="00210E59" w:rsidRDefault="00210E59" w:rsidP="00210E59">
      <w:pPr>
        <w:spacing w:after="120"/>
        <w:jc w:val="both"/>
        <w:rPr>
          <w:rStyle w:val="Enfasidelicata"/>
          <w:sz w:val="22"/>
        </w:rPr>
      </w:pPr>
      <w:r w:rsidRPr="00210E59">
        <w:rPr>
          <w:rStyle w:val="Enfasidelicata"/>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Enfasidelicata"/>
          <w:sz w:val="22"/>
          <w:lang w:eastAsia="en-GB"/>
        </w:rPr>
      </w:pPr>
    </w:p>
    <w:p w14:paraId="3561D6A6" w14:textId="77777777" w:rsidR="00197794" w:rsidRDefault="00197794" w:rsidP="004E6AE4">
      <w:pPr>
        <w:rPr>
          <w:rStyle w:val="Enfasidelicata"/>
          <w:sz w:val="22"/>
          <w:lang w:eastAsia="en-GB"/>
        </w:rPr>
      </w:pPr>
    </w:p>
    <w:p w14:paraId="6A3CB048" w14:textId="1D432EA9" w:rsidR="009A3017" w:rsidRPr="00E40A5C" w:rsidRDefault="009A3017" w:rsidP="004E6AE4">
      <w:pPr>
        <w:rPr>
          <w:rStyle w:val="Enfasidelicata"/>
          <w:sz w:val="22"/>
          <w:lang w:eastAsia="en-GB"/>
        </w:rPr>
      </w:pPr>
      <w:r w:rsidRPr="00E40A5C">
        <w:rPr>
          <w:rStyle w:val="Enfasidelicata"/>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Rimandonotaapidipagina"/>
          <w:rFonts w:cs="Arial"/>
          <w:sz w:val="22"/>
        </w:rPr>
        <w:footnoteReference w:id="2"/>
      </w:r>
      <w:r w:rsidRPr="00197794">
        <w:rPr>
          <w:rFonts w:cs="Arial"/>
          <w:sz w:val="22"/>
        </w:rPr>
        <w:t xml:space="preserve">. Further information on data protection can be found under the </w:t>
      </w:r>
      <w:hyperlink r:id="rId20" w:history="1">
        <w:r w:rsidRPr="00197794">
          <w:rPr>
            <w:rStyle w:val="Collegamentoipertestuale"/>
            <w:rFonts w:cs="Arial"/>
            <w:sz w:val="22"/>
          </w:rPr>
          <w:t>Legal notice</w:t>
        </w:r>
      </w:hyperlink>
      <w:r w:rsidRPr="00197794">
        <w:rPr>
          <w:rFonts w:cs="Arial"/>
          <w:sz w:val="22"/>
        </w:rPr>
        <w:t xml:space="preserve"> section of the EBA website and under the </w:t>
      </w:r>
      <w:hyperlink r:id="rId21" w:history="1">
        <w:r w:rsidRPr="00197794">
          <w:rPr>
            <w:rStyle w:val="Collegamentoipertestuale"/>
            <w:rFonts w:cs="Arial"/>
            <w:sz w:val="22"/>
          </w:rPr>
          <w:t>Legal notice</w:t>
        </w:r>
      </w:hyperlink>
      <w:r w:rsidRPr="00197794">
        <w:rPr>
          <w:rFonts w:cs="Arial"/>
          <w:sz w:val="22"/>
        </w:rPr>
        <w:t xml:space="preserve"> section of the EIOPA website and under the </w:t>
      </w:r>
      <w:hyperlink r:id="rId22" w:history="1">
        <w:r w:rsidRPr="00197794">
          <w:rPr>
            <w:rStyle w:val="Collegamentoipertestual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Enfasidelicata"/>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ol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stosegnaposto"/>
              <w:rFonts w:cs="Arial"/>
            </w:rPr>
            <w:id w:val="-1905066999"/>
            <w:text/>
          </w:sdtPr>
          <w:sdtEndPr>
            <w:rPr>
              <w:rStyle w:val="Testosegnaposto"/>
            </w:rPr>
          </w:sdtEndPr>
          <w:sdtContent>
            <w:tc>
              <w:tcPr>
                <w:tcW w:w="5595" w:type="dxa"/>
                <w:shd w:val="clear" w:color="auto" w:fill="auto"/>
              </w:tcPr>
              <w:p w14:paraId="6A3CB051" w14:textId="34A46961" w:rsidR="00B327E9" w:rsidRPr="00AB6D88" w:rsidRDefault="00F6406F" w:rsidP="00F136AD">
                <w:pPr>
                  <w:rPr>
                    <w:rStyle w:val="Testosegnaposto"/>
                    <w:rFonts w:cs="Arial"/>
                  </w:rPr>
                </w:pPr>
                <w:r>
                  <w:rPr>
                    <w:rStyle w:val="Testosegnaposto"/>
                    <w:rFonts w:cs="Arial"/>
                  </w:rPr>
                  <w:t xml:space="preserve">Italian </w:t>
                </w:r>
                <w:proofErr w:type="spellStart"/>
                <w:r>
                  <w:rPr>
                    <w:rStyle w:val="Testosegnaposto"/>
                    <w:rFonts w:cs="Arial"/>
                  </w:rPr>
                  <w:t>Bankin</w:t>
                </w:r>
                <w:proofErr w:type="spellEnd"/>
                <w:r>
                  <w:rPr>
                    <w:rStyle w:val="Testosegnaposto"/>
                    <w:rFonts w:cs="Arial"/>
                  </w:rPr>
                  <w:t xml:space="preserve">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C9A8B90" w:rsidR="00B327E9" w:rsidRPr="00AB6D88" w:rsidRDefault="0032022F"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6406F">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31D04D3" w:rsidR="00B327E9" w:rsidRPr="00AB6D88" w:rsidRDefault="007374BF"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E342CDD" w:rsidR="00B327E9" w:rsidRPr="00AB6D88" w:rsidRDefault="007374BF" w:rsidP="00F136AD">
                <w:pPr>
                  <w:rPr>
                    <w:rFonts w:cs="Arial"/>
                  </w:rPr>
                </w:pPr>
                <w:r>
                  <w:rPr>
                    <w:rFonts w:cs="Arial"/>
                  </w:rPr>
                  <w:t>Italy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olo1"/>
        <w:numPr>
          <w:ilvl w:val="0"/>
          <w:numId w:val="0"/>
        </w:numPr>
        <w:ind w:left="431" w:hanging="431"/>
      </w:pPr>
      <w:r>
        <w:t>Introduction</w:t>
      </w:r>
    </w:p>
    <w:p w14:paraId="6A3CB05E" w14:textId="77777777" w:rsidR="00B327E9" w:rsidRPr="00E40A5C" w:rsidRDefault="00B327E9" w:rsidP="00B327E9">
      <w:pPr>
        <w:rPr>
          <w:rStyle w:val="Enfasiintensa"/>
          <w:sz w:val="22"/>
        </w:rPr>
      </w:pPr>
      <w:r w:rsidRPr="00E40A5C">
        <w:rPr>
          <w:rStyle w:val="Enfasiintensa"/>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Enfasidelicata"/>
          <w:b w:val="0"/>
          <w:sz w:val="22"/>
        </w:rPr>
        <w:t>ESG</w:t>
      </w:r>
      <w:r w:rsidRPr="006F4535">
        <w:t>_1&gt;</w:t>
      </w:r>
    </w:p>
    <w:p w14:paraId="1A6D1F1F" w14:textId="77777777" w:rsidR="00DB33E4" w:rsidRPr="0017143E" w:rsidRDefault="00DB33E4" w:rsidP="00DB33E4">
      <w:pPr>
        <w:pStyle w:val="Capitolo"/>
        <w:rPr>
          <w:rFonts w:ascii="Arial" w:hAnsi="Arial" w:cs="Arial"/>
          <w:color w:val="auto"/>
          <w:sz w:val="20"/>
          <w:szCs w:val="20"/>
        </w:rPr>
      </w:pPr>
      <w:permStart w:id="411981036" w:edGrp="everyone"/>
      <w:r w:rsidRPr="0017143E">
        <w:rPr>
          <w:rFonts w:ascii="Arial" w:hAnsi="Arial" w:cs="Arial"/>
          <w:noProof/>
          <w:color w:val="auto"/>
          <w:sz w:val="20"/>
          <w:szCs w:val="20"/>
        </w:rPr>
        <w:t>Foreword</w:t>
      </w:r>
    </w:p>
    <w:p w14:paraId="73E59587" w14:textId="77777777" w:rsidR="00DB33E4" w:rsidRPr="0017143E" w:rsidRDefault="00DB33E4" w:rsidP="00DB33E4">
      <w:pPr>
        <w:pStyle w:val="Capitolo"/>
        <w:rPr>
          <w:rFonts w:ascii="Arial" w:hAnsi="Arial" w:cs="Arial"/>
          <w:b w:val="0"/>
          <w:color w:val="auto"/>
          <w:sz w:val="20"/>
          <w:szCs w:val="20"/>
        </w:rPr>
      </w:pPr>
    </w:p>
    <w:p w14:paraId="49A65520" w14:textId="77777777" w:rsidR="00DB33E4" w:rsidRPr="0017143E" w:rsidRDefault="00DB33E4" w:rsidP="00DB33E4">
      <w:pPr>
        <w:jc w:val="both"/>
        <w:rPr>
          <w:rFonts w:cs="Arial"/>
          <w:szCs w:val="20"/>
          <w:lang w:val="en-US"/>
        </w:rPr>
      </w:pPr>
      <w:r w:rsidRPr="0017143E">
        <w:rPr>
          <w:rFonts w:cs="Arial"/>
          <w:szCs w:val="20"/>
          <w:lang w:val="en-US"/>
        </w:rPr>
        <w:t xml:space="preserve">The aim of this document is to provide ABI's contribution to the consultation launched by the Joint Committee of the ESAs on the Taxonomy-related sustainability disclosures providing Draft regulatory technical standards </w:t>
      </w:r>
      <w:proofErr w:type="gramStart"/>
      <w:r w:rsidRPr="0017143E">
        <w:rPr>
          <w:rFonts w:cs="Arial"/>
          <w:szCs w:val="20"/>
          <w:lang w:val="en-US"/>
        </w:rPr>
        <w:t>with regard to</w:t>
      </w:r>
      <w:proofErr w:type="gramEnd"/>
      <w:r w:rsidRPr="0017143E">
        <w:rPr>
          <w:rFonts w:cs="Arial"/>
          <w:szCs w:val="20"/>
          <w:lang w:val="en-US"/>
        </w:rPr>
        <w:t xml:space="preserve"> the content and presentation of sustainability disclosures pursuant to Article 8(4), 9(6) and 11(5) of Regulation (EU) 2019/2088 (SFDR). </w:t>
      </w:r>
    </w:p>
    <w:p w14:paraId="0D1C9AD9" w14:textId="77777777" w:rsidR="00DB33E4" w:rsidRPr="0017143E" w:rsidRDefault="00DB33E4" w:rsidP="00DB33E4">
      <w:pPr>
        <w:pStyle w:val="Capitolo"/>
        <w:rPr>
          <w:rFonts w:ascii="Arial" w:hAnsi="Arial" w:cs="Arial"/>
          <w:b w:val="0"/>
          <w:bCs/>
          <w:color w:val="auto"/>
          <w:sz w:val="20"/>
          <w:szCs w:val="20"/>
        </w:rPr>
      </w:pPr>
    </w:p>
    <w:p w14:paraId="1D6D31BA"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Before responding to the specific questions raised by the consultation paper, we think it would be useful to comment on some relevant general aspects.</w:t>
      </w:r>
    </w:p>
    <w:p w14:paraId="01197D92" w14:textId="77777777" w:rsidR="00DB33E4" w:rsidRPr="0017143E" w:rsidRDefault="00DB33E4" w:rsidP="00DB33E4">
      <w:pPr>
        <w:pStyle w:val="Capitolo"/>
        <w:rPr>
          <w:rFonts w:ascii="Arial" w:hAnsi="Arial" w:cs="Arial"/>
          <w:b w:val="0"/>
          <w:bCs/>
          <w:color w:val="auto"/>
          <w:sz w:val="20"/>
          <w:szCs w:val="20"/>
        </w:rPr>
      </w:pPr>
    </w:p>
    <w:p w14:paraId="0BFCCB39" w14:textId="77777777" w:rsidR="00DB33E4" w:rsidRPr="0017143E" w:rsidRDefault="00DB33E4" w:rsidP="00DB33E4">
      <w:pPr>
        <w:pStyle w:val="Capitolo"/>
        <w:rPr>
          <w:rFonts w:ascii="Arial" w:hAnsi="Arial" w:cs="Arial"/>
          <w:color w:val="auto"/>
          <w:sz w:val="20"/>
          <w:szCs w:val="20"/>
        </w:rPr>
      </w:pPr>
      <w:r w:rsidRPr="0017143E">
        <w:rPr>
          <w:rFonts w:ascii="Arial" w:hAnsi="Arial" w:cs="Arial"/>
          <w:color w:val="auto"/>
          <w:sz w:val="20"/>
          <w:szCs w:val="20"/>
        </w:rPr>
        <w:t>General remarks</w:t>
      </w:r>
    </w:p>
    <w:p w14:paraId="7C0CF72F" w14:textId="77777777" w:rsidR="00DB33E4" w:rsidRPr="0017143E" w:rsidRDefault="00DB33E4" w:rsidP="00DB33E4">
      <w:pPr>
        <w:pStyle w:val="Capitolo"/>
        <w:rPr>
          <w:rFonts w:ascii="Arial" w:hAnsi="Arial" w:cs="Arial"/>
          <w:b w:val="0"/>
          <w:bCs/>
          <w:color w:val="auto"/>
          <w:sz w:val="20"/>
          <w:szCs w:val="20"/>
        </w:rPr>
      </w:pPr>
    </w:p>
    <w:p w14:paraId="1873D018"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ABI’s remarks are focused on the impacts of the proposed new draft RTS for banks which, according to Article 2, (1, letter j, and 6) of the SFDR, are considered financial market participants when they provide portfolio management as defined in point (8) of Article 4(1) of Directive 2014/65/EU (MiFID II).</w:t>
      </w:r>
    </w:p>
    <w:p w14:paraId="2E02F2AD" w14:textId="77777777" w:rsidR="00DB33E4" w:rsidRPr="0017143E" w:rsidRDefault="00DB33E4" w:rsidP="00DB33E4">
      <w:pPr>
        <w:pStyle w:val="Capitolo"/>
        <w:rPr>
          <w:rFonts w:ascii="Arial" w:hAnsi="Arial" w:cs="Arial"/>
          <w:b w:val="0"/>
          <w:bCs/>
          <w:color w:val="auto"/>
          <w:sz w:val="20"/>
          <w:szCs w:val="20"/>
        </w:rPr>
      </w:pPr>
    </w:p>
    <w:p w14:paraId="4224950A"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 xml:space="preserve">This means that the financial products affected by the proposed </w:t>
      </w:r>
      <w:r w:rsidRPr="0017143E">
        <w:rPr>
          <w:rFonts w:ascii="Arial" w:hAnsi="Arial" w:cs="Arial"/>
          <w:b w:val="0"/>
          <w:bCs/>
          <w:color w:val="auto"/>
          <w:sz w:val="20"/>
          <w:szCs w:val="20"/>
          <w:lang w:val="en-US"/>
        </w:rPr>
        <w:t xml:space="preserve">Taxonomy-related sustainability disclosures, to which </w:t>
      </w:r>
      <w:r w:rsidRPr="0017143E">
        <w:rPr>
          <w:rFonts w:ascii="Arial" w:hAnsi="Arial" w:cs="Arial"/>
          <w:b w:val="0"/>
          <w:bCs/>
          <w:color w:val="auto"/>
          <w:sz w:val="20"/>
          <w:szCs w:val="20"/>
        </w:rPr>
        <w:t xml:space="preserve">our comments relate, are portfolios managed on an individual basis according to MiFID II. </w:t>
      </w:r>
    </w:p>
    <w:p w14:paraId="10767155" w14:textId="77777777" w:rsidR="00DB33E4" w:rsidRPr="0017143E" w:rsidRDefault="00DB33E4" w:rsidP="00DB33E4">
      <w:pPr>
        <w:pStyle w:val="Capitolo"/>
        <w:rPr>
          <w:rFonts w:ascii="Arial" w:hAnsi="Arial" w:cs="Arial"/>
          <w:b w:val="0"/>
          <w:bCs/>
          <w:color w:val="auto"/>
          <w:sz w:val="20"/>
          <w:szCs w:val="20"/>
        </w:rPr>
      </w:pPr>
    </w:p>
    <w:p w14:paraId="2AE69569"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We believe it important to remember that application of the SFDR to these financial products still needs to be clarified, as officially requested in the Joint Committee’s letter to the European Commission of 7 January 2021 entitled “Priority issues relating to SFDR application”.</w:t>
      </w:r>
      <w:r w:rsidRPr="0017143E">
        <w:rPr>
          <w:rFonts w:ascii="Arial" w:hAnsi="Arial" w:cs="Arial"/>
          <w:b w:val="0"/>
          <w:bCs/>
          <w:color w:val="auto"/>
          <w:sz w:val="20"/>
          <w:szCs w:val="20"/>
        </w:rPr>
        <w:cr/>
      </w:r>
    </w:p>
    <w:p w14:paraId="6AFE9437"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In the absence of the necessary clarifications, we understand in the case of the portfolio management service that:</w:t>
      </w:r>
    </w:p>
    <w:p w14:paraId="4388EF3A" w14:textId="77777777" w:rsidR="00DB33E4" w:rsidRPr="0017143E" w:rsidRDefault="00DB33E4" w:rsidP="00DB33E4">
      <w:pPr>
        <w:pStyle w:val="Capitolo"/>
        <w:rPr>
          <w:rFonts w:ascii="Arial" w:hAnsi="Arial" w:cs="Arial"/>
          <w:b w:val="0"/>
          <w:bCs/>
          <w:color w:val="auto"/>
          <w:sz w:val="20"/>
          <w:szCs w:val="20"/>
        </w:rPr>
      </w:pPr>
    </w:p>
    <w:p w14:paraId="774E579D" w14:textId="77777777" w:rsidR="00DB33E4" w:rsidRPr="0017143E" w:rsidRDefault="00DB33E4" w:rsidP="00DB33E4">
      <w:pPr>
        <w:pStyle w:val="Capitolo"/>
        <w:numPr>
          <w:ilvl w:val="0"/>
          <w:numId w:val="40"/>
        </w:numPr>
        <w:rPr>
          <w:rFonts w:ascii="Arial" w:hAnsi="Arial" w:cs="Arial"/>
          <w:b w:val="0"/>
          <w:bCs/>
          <w:color w:val="auto"/>
          <w:sz w:val="20"/>
          <w:szCs w:val="20"/>
        </w:rPr>
      </w:pPr>
      <w:r w:rsidRPr="0017143E">
        <w:rPr>
          <w:rFonts w:ascii="Arial" w:hAnsi="Arial" w:cs="Arial"/>
          <w:b w:val="0"/>
          <w:bCs/>
          <w:color w:val="auto"/>
          <w:sz w:val="20"/>
          <w:szCs w:val="20"/>
        </w:rPr>
        <w:t xml:space="preserve">the disclosure requirement referred to in Article 6, paragraphs 1(a) and (b) of the SFDR may be satisfied by the pre-contractual documentation relating to the contract for provision of the portfolio management service and the related contractual annexes for the different underlying individual management lines, at the level of standardised portfolio </w:t>
      </w:r>
      <w:proofErr w:type="gramStart"/>
      <w:r w:rsidRPr="0017143E">
        <w:rPr>
          <w:rFonts w:ascii="Arial" w:hAnsi="Arial" w:cs="Arial"/>
          <w:b w:val="0"/>
          <w:bCs/>
          <w:color w:val="auto"/>
          <w:sz w:val="20"/>
          <w:szCs w:val="20"/>
        </w:rPr>
        <w:t>solutions;</w:t>
      </w:r>
      <w:proofErr w:type="gramEnd"/>
    </w:p>
    <w:p w14:paraId="1384102F" w14:textId="77777777" w:rsidR="00DB33E4" w:rsidRPr="0017143E" w:rsidRDefault="00DB33E4" w:rsidP="00DB33E4">
      <w:pPr>
        <w:pStyle w:val="Capitolo"/>
        <w:numPr>
          <w:ilvl w:val="0"/>
          <w:numId w:val="40"/>
        </w:numPr>
        <w:rPr>
          <w:rFonts w:ascii="Arial" w:hAnsi="Arial" w:cs="Arial"/>
          <w:b w:val="0"/>
          <w:bCs/>
          <w:color w:val="auto"/>
          <w:sz w:val="20"/>
          <w:szCs w:val="20"/>
        </w:rPr>
      </w:pPr>
      <w:r w:rsidRPr="0017143E">
        <w:rPr>
          <w:rFonts w:ascii="Arial" w:hAnsi="Arial" w:cs="Arial"/>
          <w:b w:val="0"/>
          <w:bCs/>
          <w:color w:val="auto"/>
          <w:sz w:val="20"/>
          <w:szCs w:val="20"/>
        </w:rPr>
        <w:t xml:space="preserve">financial products can be identified under the SFDR disclosure regime with reference to the characteristics of the individual management lines, whose information provided in the contractual annexes clarifies in detail the investment policy for client portfolios. By signing the portfolio management contract, clients in fact grant a mandate to the intermediary to manage their portfolios in accordance with one or more management lines associated with their contract. By way of example, therefore, the qualification as sustainable under Articles 8 or 9 of portfolios managed on an individual basis must take into account the characteristics of one or more of the underlying individual management lines, since not all management lines may possess the elements of sustainability needed to qualify the entire portfolio management service as </w:t>
      </w:r>
      <w:proofErr w:type="gramStart"/>
      <w:r w:rsidRPr="0017143E">
        <w:rPr>
          <w:rFonts w:ascii="Arial" w:hAnsi="Arial" w:cs="Arial"/>
          <w:b w:val="0"/>
          <w:bCs/>
          <w:color w:val="auto"/>
          <w:sz w:val="20"/>
          <w:szCs w:val="20"/>
        </w:rPr>
        <w:t>sustainable;</w:t>
      </w:r>
      <w:proofErr w:type="gramEnd"/>
    </w:p>
    <w:p w14:paraId="4C6D8F26" w14:textId="77777777" w:rsidR="00DB33E4" w:rsidRPr="0017143E" w:rsidRDefault="00DB33E4" w:rsidP="00DB33E4">
      <w:pPr>
        <w:pStyle w:val="Capitolo"/>
        <w:numPr>
          <w:ilvl w:val="0"/>
          <w:numId w:val="40"/>
        </w:numPr>
        <w:rPr>
          <w:rFonts w:ascii="Arial" w:hAnsi="Arial" w:cs="Arial"/>
          <w:b w:val="0"/>
          <w:bCs/>
          <w:color w:val="auto"/>
          <w:sz w:val="20"/>
          <w:szCs w:val="20"/>
        </w:rPr>
      </w:pPr>
      <w:r w:rsidRPr="0017143E">
        <w:rPr>
          <w:rFonts w:ascii="Arial" w:hAnsi="Arial" w:cs="Arial"/>
          <w:b w:val="0"/>
          <w:bCs/>
          <w:color w:val="auto"/>
          <w:sz w:val="20"/>
          <w:szCs w:val="20"/>
        </w:rPr>
        <w:t xml:space="preserve">the disclosure requirements referred to in Articles 8, 9 and 10 of the SFDR concern only the management lines considered to possess elements of sustainability. In fact, it may be that only </w:t>
      </w:r>
      <w:r w:rsidRPr="0017143E">
        <w:rPr>
          <w:rFonts w:ascii="Arial" w:hAnsi="Arial" w:cs="Arial"/>
          <w:b w:val="0"/>
          <w:bCs/>
          <w:color w:val="auto"/>
          <w:sz w:val="20"/>
          <w:szCs w:val="20"/>
        </w:rPr>
        <w:lastRenderedPageBreak/>
        <w:t xml:space="preserve">some underlying management lines have sustainability profiles, and therefore fall into the categories referred to in Articles 8 and </w:t>
      </w:r>
      <w:proofErr w:type="gramStart"/>
      <w:r w:rsidRPr="0017143E">
        <w:rPr>
          <w:rFonts w:ascii="Arial" w:hAnsi="Arial" w:cs="Arial"/>
          <w:b w:val="0"/>
          <w:bCs/>
          <w:color w:val="auto"/>
          <w:sz w:val="20"/>
          <w:szCs w:val="20"/>
        </w:rPr>
        <w:t>9;</w:t>
      </w:r>
      <w:proofErr w:type="gramEnd"/>
    </w:p>
    <w:p w14:paraId="221987DD" w14:textId="77777777" w:rsidR="00DB33E4" w:rsidRPr="0017143E" w:rsidRDefault="00DB33E4" w:rsidP="00DB33E4">
      <w:pPr>
        <w:pStyle w:val="Capitolo"/>
        <w:numPr>
          <w:ilvl w:val="0"/>
          <w:numId w:val="40"/>
        </w:numPr>
        <w:rPr>
          <w:rFonts w:ascii="Arial" w:hAnsi="Arial" w:cs="Arial"/>
          <w:b w:val="0"/>
          <w:bCs/>
          <w:color w:val="auto"/>
          <w:sz w:val="20"/>
          <w:szCs w:val="20"/>
        </w:rPr>
      </w:pPr>
      <w:r w:rsidRPr="0017143E">
        <w:rPr>
          <w:rFonts w:ascii="Arial" w:hAnsi="Arial" w:cs="Arial"/>
          <w:b w:val="0"/>
          <w:bCs/>
          <w:color w:val="auto"/>
          <w:sz w:val="20"/>
          <w:szCs w:val="20"/>
        </w:rPr>
        <w:t xml:space="preserve">based on the above, the reporting requirement referred to in Article 11 therefore only concerns the management lines that fall into the categories referred to in Articles 8 and 9 of the SFDR. </w:t>
      </w:r>
    </w:p>
    <w:p w14:paraId="487DE1B5" w14:textId="77777777" w:rsidR="00DB33E4" w:rsidRPr="0017143E" w:rsidRDefault="00DB33E4" w:rsidP="00DB33E4">
      <w:pPr>
        <w:pStyle w:val="Capitolo"/>
        <w:rPr>
          <w:rFonts w:ascii="Arial" w:hAnsi="Arial" w:cs="Arial"/>
          <w:b w:val="0"/>
          <w:bCs/>
          <w:color w:val="auto"/>
          <w:sz w:val="20"/>
          <w:szCs w:val="20"/>
        </w:rPr>
      </w:pPr>
    </w:p>
    <w:p w14:paraId="2048ADFA" w14:textId="77777777" w:rsidR="00DB33E4" w:rsidRPr="0017143E" w:rsidRDefault="00DB33E4" w:rsidP="00DB33E4">
      <w:pPr>
        <w:pStyle w:val="Capitolo"/>
        <w:rPr>
          <w:rFonts w:ascii="Arial" w:hAnsi="Arial" w:cs="Arial"/>
          <w:b w:val="0"/>
          <w:bCs/>
          <w:color w:val="auto"/>
          <w:sz w:val="20"/>
          <w:szCs w:val="20"/>
        </w:rPr>
      </w:pPr>
      <w:r w:rsidRPr="0017143E">
        <w:rPr>
          <w:rFonts w:ascii="Arial" w:hAnsi="Arial" w:cs="Arial"/>
          <w:b w:val="0"/>
          <w:bCs/>
          <w:color w:val="auto"/>
          <w:sz w:val="20"/>
          <w:szCs w:val="20"/>
        </w:rPr>
        <w:t xml:space="preserve">Having said that, we must stress that the new draft RTS raises the following critical issues already outlined </w:t>
      </w:r>
      <w:proofErr w:type="gramStart"/>
      <w:r w:rsidRPr="0017143E">
        <w:rPr>
          <w:rFonts w:ascii="Arial" w:hAnsi="Arial" w:cs="Arial"/>
          <w:b w:val="0"/>
          <w:bCs/>
          <w:color w:val="auto"/>
          <w:sz w:val="20"/>
          <w:szCs w:val="20"/>
        </w:rPr>
        <w:t>with regard to</w:t>
      </w:r>
      <w:proofErr w:type="gramEnd"/>
      <w:r w:rsidRPr="0017143E">
        <w:rPr>
          <w:rFonts w:ascii="Arial" w:hAnsi="Arial" w:cs="Arial"/>
          <w:b w:val="0"/>
          <w:bCs/>
          <w:color w:val="auto"/>
          <w:sz w:val="20"/>
          <w:szCs w:val="20"/>
        </w:rPr>
        <w:t xml:space="preserve"> the first set of draft RTSs: </w:t>
      </w:r>
    </w:p>
    <w:p w14:paraId="1F4725C4" w14:textId="77777777" w:rsidR="00DB33E4" w:rsidRPr="0017143E" w:rsidRDefault="00DB33E4" w:rsidP="00DB33E4">
      <w:pPr>
        <w:pStyle w:val="Capitolo"/>
        <w:rPr>
          <w:rFonts w:ascii="Arial" w:hAnsi="Arial" w:cs="Arial"/>
          <w:b w:val="0"/>
          <w:bCs/>
          <w:color w:val="auto"/>
          <w:sz w:val="20"/>
          <w:szCs w:val="20"/>
        </w:rPr>
      </w:pPr>
    </w:p>
    <w:p w14:paraId="078090CC" w14:textId="77777777" w:rsidR="00DB33E4" w:rsidRPr="0017143E" w:rsidRDefault="00DB33E4" w:rsidP="00DB33E4">
      <w:pPr>
        <w:pStyle w:val="Capitolo"/>
        <w:numPr>
          <w:ilvl w:val="0"/>
          <w:numId w:val="41"/>
        </w:numPr>
        <w:rPr>
          <w:rFonts w:ascii="Arial" w:hAnsi="Arial" w:cs="Arial"/>
          <w:b w:val="0"/>
          <w:bCs/>
          <w:color w:val="auto"/>
          <w:sz w:val="20"/>
          <w:szCs w:val="20"/>
        </w:rPr>
      </w:pPr>
      <w:r w:rsidRPr="0017143E">
        <w:rPr>
          <w:rFonts w:ascii="Arial" w:hAnsi="Arial" w:cs="Arial"/>
          <w:b w:val="0"/>
          <w:bCs/>
          <w:color w:val="auto"/>
          <w:sz w:val="20"/>
          <w:szCs w:val="20"/>
        </w:rPr>
        <w:t xml:space="preserve">the unavailability of the data and information necessary both for a complete and correct due diligence and classification of the degree of sustainability of financial products, with </w:t>
      </w:r>
      <w:proofErr w:type="gramStart"/>
      <w:r w:rsidRPr="0017143E">
        <w:rPr>
          <w:rFonts w:ascii="Arial" w:hAnsi="Arial" w:cs="Arial"/>
          <w:b w:val="0"/>
          <w:bCs/>
          <w:color w:val="auto"/>
          <w:sz w:val="20"/>
          <w:szCs w:val="20"/>
        </w:rPr>
        <w:t>particular reference</w:t>
      </w:r>
      <w:proofErr w:type="gramEnd"/>
      <w:r w:rsidRPr="0017143E">
        <w:rPr>
          <w:rFonts w:ascii="Arial" w:hAnsi="Arial" w:cs="Arial"/>
          <w:b w:val="0"/>
          <w:bCs/>
          <w:color w:val="auto"/>
          <w:sz w:val="20"/>
          <w:szCs w:val="20"/>
        </w:rPr>
        <w:t xml:space="preserve"> to the circumstance for which the main data providers are still equipping themselves in order to supply such data. This fact is particularly challenging, given the need to demonstrate that financial products consider the ‘do not significantly harm’ principle in terms of both Principal Adverse Impacts (‘PAI’) and alignment with the European </w:t>
      </w:r>
      <w:proofErr w:type="gramStart"/>
      <w:r w:rsidRPr="0017143E">
        <w:rPr>
          <w:rFonts w:ascii="Arial" w:hAnsi="Arial" w:cs="Arial"/>
          <w:b w:val="0"/>
          <w:bCs/>
          <w:color w:val="auto"/>
          <w:sz w:val="20"/>
          <w:szCs w:val="20"/>
        </w:rPr>
        <w:t>Taxonomy;</w:t>
      </w:r>
      <w:proofErr w:type="gramEnd"/>
    </w:p>
    <w:p w14:paraId="6A3F8540" w14:textId="77777777" w:rsidR="00DB33E4" w:rsidRPr="0017143E" w:rsidRDefault="00DB33E4" w:rsidP="00DB33E4">
      <w:pPr>
        <w:pStyle w:val="Capitolo"/>
        <w:numPr>
          <w:ilvl w:val="0"/>
          <w:numId w:val="41"/>
        </w:numPr>
        <w:rPr>
          <w:rFonts w:ascii="Arial" w:hAnsi="Arial" w:cs="Arial"/>
          <w:b w:val="0"/>
          <w:bCs/>
          <w:color w:val="auto"/>
          <w:sz w:val="20"/>
          <w:szCs w:val="20"/>
        </w:rPr>
      </w:pPr>
      <w:r w:rsidRPr="0017143E">
        <w:rPr>
          <w:rFonts w:ascii="Arial" w:hAnsi="Arial" w:cs="Arial"/>
          <w:b w:val="0"/>
          <w:bCs/>
          <w:color w:val="auto"/>
          <w:sz w:val="20"/>
          <w:szCs w:val="20"/>
        </w:rPr>
        <w:t>excessive complexity of the information required to be published by financial market participants (FMPs</w:t>
      </w:r>
      <w:proofErr w:type="gramStart"/>
      <w:r w:rsidRPr="0017143E">
        <w:rPr>
          <w:rFonts w:ascii="Arial" w:hAnsi="Arial" w:cs="Arial"/>
          <w:b w:val="0"/>
          <w:bCs/>
          <w:color w:val="auto"/>
          <w:sz w:val="20"/>
          <w:szCs w:val="20"/>
        </w:rPr>
        <w:t>);</w:t>
      </w:r>
      <w:proofErr w:type="gramEnd"/>
    </w:p>
    <w:p w14:paraId="21E7C95C" w14:textId="77777777" w:rsidR="00DB33E4" w:rsidRPr="0017143E" w:rsidRDefault="00DB33E4" w:rsidP="00DB33E4">
      <w:pPr>
        <w:pStyle w:val="Capitolo"/>
        <w:numPr>
          <w:ilvl w:val="0"/>
          <w:numId w:val="41"/>
        </w:numPr>
        <w:rPr>
          <w:rFonts w:ascii="Arial" w:hAnsi="Arial" w:cs="Arial"/>
          <w:b w:val="0"/>
          <w:bCs/>
          <w:color w:val="auto"/>
          <w:sz w:val="20"/>
          <w:szCs w:val="20"/>
        </w:rPr>
      </w:pPr>
      <w:r w:rsidRPr="0017143E">
        <w:rPr>
          <w:rFonts w:ascii="Arial" w:hAnsi="Arial" w:cs="Arial"/>
          <w:b w:val="0"/>
          <w:bCs/>
          <w:color w:val="auto"/>
          <w:sz w:val="20"/>
          <w:szCs w:val="20"/>
        </w:rPr>
        <w:t xml:space="preserve">high cost of implementing the new requirements and, hence, the need for a proportionality approach based on the different characteristics, types of activity and size of the market </w:t>
      </w:r>
      <w:proofErr w:type="gramStart"/>
      <w:r w:rsidRPr="0017143E">
        <w:rPr>
          <w:rFonts w:ascii="Arial" w:hAnsi="Arial" w:cs="Arial"/>
          <w:b w:val="0"/>
          <w:bCs/>
          <w:color w:val="auto"/>
          <w:sz w:val="20"/>
          <w:szCs w:val="20"/>
        </w:rPr>
        <w:t>players;</w:t>
      </w:r>
      <w:proofErr w:type="gramEnd"/>
    </w:p>
    <w:p w14:paraId="6A3CB061" w14:textId="0FD142F1" w:rsidR="00B327E9" w:rsidRPr="0017143E" w:rsidRDefault="00DB33E4" w:rsidP="00B327E9">
      <w:pPr>
        <w:pStyle w:val="Capitolo"/>
        <w:numPr>
          <w:ilvl w:val="0"/>
          <w:numId w:val="41"/>
        </w:numPr>
        <w:rPr>
          <w:rFonts w:ascii="Arial" w:hAnsi="Arial" w:cs="Arial"/>
          <w:b w:val="0"/>
          <w:bCs/>
          <w:color w:val="auto"/>
          <w:sz w:val="20"/>
          <w:szCs w:val="20"/>
        </w:rPr>
      </w:pPr>
      <w:r w:rsidRPr="0017143E">
        <w:rPr>
          <w:rFonts w:ascii="Arial" w:hAnsi="Arial" w:cs="Arial"/>
          <w:b w:val="0"/>
          <w:bCs/>
          <w:color w:val="auto"/>
          <w:sz w:val="20"/>
          <w:szCs w:val="20"/>
        </w:rPr>
        <w:t>limited time to implement each requirement, given the complexity of the required adjustments to FMPs.</w:t>
      </w:r>
    </w:p>
    <w:permEnd w:id="411981036"/>
    <w:p w14:paraId="6A3CB062" w14:textId="67968787" w:rsidR="00B327E9" w:rsidRPr="00BF28DA" w:rsidRDefault="00B327E9" w:rsidP="00B327E9">
      <w:r w:rsidRPr="00BF28DA">
        <w:t>&lt;ESA_COMMENT_</w:t>
      </w:r>
      <w:r w:rsidR="00C86E1C">
        <w:rPr>
          <w:rStyle w:val="Enfasidelicata"/>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75EFF264" w14:textId="77777777" w:rsidR="0017143E" w:rsidRPr="001F2E51" w:rsidRDefault="0017143E" w:rsidP="00F952CA">
      <w:pPr>
        <w:pStyle w:val="Capitolo"/>
        <w:rPr>
          <w:rFonts w:ascii="Arial" w:hAnsi="Arial" w:cs="Arial"/>
          <w:b w:val="0"/>
          <w:bCs/>
          <w:color w:val="auto"/>
          <w:sz w:val="20"/>
          <w:szCs w:val="20"/>
        </w:rPr>
      </w:pPr>
      <w:bookmarkStart w:id="1" w:name="_Hlk65927019"/>
      <w:permStart w:id="1221819945" w:edGrp="everyone"/>
      <w:r w:rsidRPr="001F2E51">
        <w:rPr>
          <w:rFonts w:ascii="Arial" w:hAnsi="Arial" w:cs="Arial"/>
          <w:b w:val="0"/>
          <w:bCs/>
          <w:color w:val="auto"/>
          <w:sz w:val="20"/>
          <w:szCs w:val="20"/>
        </w:rPr>
        <w:t xml:space="preserve">In general, the choice to amend the existing draft RTS </w:t>
      </w:r>
      <w:proofErr w:type="gramStart"/>
      <w:r w:rsidRPr="001F2E51">
        <w:rPr>
          <w:rFonts w:ascii="Arial" w:hAnsi="Arial" w:cs="Arial"/>
          <w:b w:val="0"/>
          <w:bCs/>
          <w:color w:val="auto"/>
          <w:sz w:val="20"/>
          <w:szCs w:val="20"/>
        </w:rPr>
        <w:t>in order to</w:t>
      </w:r>
      <w:proofErr w:type="gramEnd"/>
      <w:r w:rsidRPr="001F2E51">
        <w:rPr>
          <w:rFonts w:ascii="Arial" w:hAnsi="Arial" w:cs="Arial"/>
          <w:b w:val="0"/>
          <w:bCs/>
          <w:color w:val="auto"/>
          <w:sz w:val="20"/>
          <w:szCs w:val="20"/>
        </w:rPr>
        <w:t xml:space="preserve"> obtain a consolidated single RTS text appears to be a reasonable way to rationalize the regulatory framework and avoid the proliferation of rules.</w:t>
      </w:r>
    </w:p>
    <w:p w14:paraId="1132CAF6" w14:textId="77777777" w:rsidR="0017143E" w:rsidRPr="001F2E51" w:rsidRDefault="0017143E" w:rsidP="00F952CA">
      <w:pPr>
        <w:pStyle w:val="Capitolo"/>
        <w:rPr>
          <w:rFonts w:ascii="Arial" w:hAnsi="Arial" w:cs="Arial"/>
          <w:b w:val="0"/>
          <w:bCs/>
          <w:color w:val="auto"/>
          <w:sz w:val="20"/>
          <w:szCs w:val="20"/>
        </w:rPr>
      </w:pPr>
    </w:p>
    <w:p w14:paraId="64A0F0BE" w14:textId="77777777" w:rsidR="0017143E" w:rsidRPr="001F2E51" w:rsidRDefault="0017143E" w:rsidP="00F952CA">
      <w:pPr>
        <w:pStyle w:val="Capitolo"/>
        <w:rPr>
          <w:rFonts w:ascii="Arial" w:hAnsi="Arial" w:cs="Arial"/>
          <w:b w:val="0"/>
          <w:bCs/>
          <w:color w:val="auto"/>
          <w:sz w:val="20"/>
          <w:szCs w:val="20"/>
        </w:rPr>
      </w:pPr>
      <w:r w:rsidRPr="001F2E51">
        <w:rPr>
          <w:rFonts w:ascii="Arial" w:hAnsi="Arial" w:cs="Arial"/>
          <w:b w:val="0"/>
          <w:bCs/>
          <w:color w:val="auto"/>
          <w:sz w:val="20"/>
          <w:szCs w:val="20"/>
        </w:rPr>
        <w:t>However, we must emphasize that this is not sufficient to guarantee the necessary clarity of the disclosure requirements or provide all the technical details required by the SFDR, given the absence of the regulatory technical standards on the “Do No Significant Harm” (DNSH) of sustainable investments related to economic activities not addressed in the taxonomy</w:t>
      </w:r>
      <w:bookmarkEnd w:id="1"/>
      <w:r w:rsidRPr="001F2E51">
        <w:rPr>
          <w:rFonts w:ascii="Arial" w:hAnsi="Arial" w:cs="Arial"/>
          <w:b w:val="0"/>
          <w:bCs/>
          <w:color w:val="auto"/>
          <w:sz w:val="20"/>
          <w:szCs w:val="20"/>
        </w:rPr>
        <w:t>.</w:t>
      </w:r>
    </w:p>
    <w:p w14:paraId="0D409DC4" w14:textId="77777777" w:rsidR="0017143E" w:rsidRPr="001F2E51" w:rsidRDefault="0017143E" w:rsidP="00F952CA">
      <w:pPr>
        <w:pStyle w:val="Capitolo"/>
        <w:rPr>
          <w:rFonts w:ascii="Arial" w:hAnsi="Arial" w:cs="Arial"/>
          <w:b w:val="0"/>
          <w:bCs/>
          <w:color w:val="auto"/>
          <w:sz w:val="20"/>
          <w:szCs w:val="20"/>
        </w:rPr>
      </w:pPr>
    </w:p>
    <w:p w14:paraId="02F11B88" w14:textId="77777777" w:rsidR="0017143E" w:rsidRPr="001F2E51" w:rsidRDefault="0017143E" w:rsidP="00F952CA">
      <w:pPr>
        <w:pStyle w:val="Capitolo"/>
        <w:rPr>
          <w:rFonts w:ascii="Arial" w:hAnsi="Arial" w:cs="Arial"/>
          <w:b w:val="0"/>
          <w:bCs/>
          <w:color w:val="auto"/>
          <w:sz w:val="20"/>
          <w:szCs w:val="20"/>
        </w:rPr>
      </w:pPr>
      <w:r w:rsidRPr="001F2E51">
        <w:rPr>
          <w:rFonts w:ascii="Arial" w:hAnsi="Arial" w:cs="Arial"/>
          <w:b w:val="0"/>
          <w:bCs/>
          <w:color w:val="auto"/>
          <w:sz w:val="20"/>
          <w:szCs w:val="20"/>
        </w:rPr>
        <w:t xml:space="preserve">At the same time, considering the complexity of the regulation </w:t>
      </w:r>
      <w:proofErr w:type="gramStart"/>
      <w:r w:rsidRPr="001F2E51">
        <w:rPr>
          <w:rFonts w:ascii="Arial" w:hAnsi="Arial" w:cs="Arial"/>
          <w:b w:val="0"/>
          <w:bCs/>
          <w:color w:val="auto"/>
          <w:sz w:val="20"/>
          <w:szCs w:val="20"/>
        </w:rPr>
        <w:t>and also</w:t>
      </w:r>
      <w:proofErr w:type="gramEnd"/>
      <w:r w:rsidRPr="001F2E51">
        <w:rPr>
          <w:rFonts w:ascii="Arial" w:hAnsi="Arial" w:cs="Arial"/>
          <w:b w:val="0"/>
          <w:bCs/>
          <w:color w:val="auto"/>
          <w:sz w:val="20"/>
          <w:szCs w:val="20"/>
        </w:rPr>
        <w:t xml:space="preserve"> the timing of when it will come into force, aimed at ensuring the availability of ESG data originating from issuers (art 8 of the TR and revision of the NFRD), we recommend allowing a one-year transition phase during which a best-efforts approach is allowed.</w:t>
      </w:r>
    </w:p>
    <w:p w14:paraId="76B9F423" w14:textId="77777777" w:rsidR="0017143E" w:rsidRPr="001F2E51" w:rsidRDefault="0017143E" w:rsidP="00F952CA">
      <w:pPr>
        <w:pStyle w:val="Capitolo"/>
        <w:rPr>
          <w:rFonts w:ascii="Arial" w:hAnsi="Arial" w:cs="Arial"/>
          <w:b w:val="0"/>
          <w:bCs/>
          <w:color w:val="auto"/>
          <w:sz w:val="20"/>
          <w:szCs w:val="20"/>
        </w:rPr>
      </w:pPr>
    </w:p>
    <w:p w14:paraId="6113FCC0" w14:textId="77777777" w:rsidR="001F2E51" w:rsidRDefault="0017143E" w:rsidP="00F952CA">
      <w:pPr>
        <w:jc w:val="both"/>
        <w:rPr>
          <w:bCs/>
          <w:color w:val="002060"/>
          <w:sz w:val="22"/>
          <w:szCs w:val="22"/>
        </w:rPr>
      </w:pPr>
      <w:r w:rsidRPr="001F2E51">
        <w:rPr>
          <w:rFonts w:cs="Arial"/>
          <w:bCs/>
          <w:szCs w:val="20"/>
        </w:rPr>
        <w:t xml:space="preserve">Furthermore, we would also encourage the publication of a consolidated text </w:t>
      </w:r>
      <w:proofErr w:type="gramStart"/>
      <w:r w:rsidRPr="001F2E51">
        <w:rPr>
          <w:rFonts w:cs="Arial"/>
          <w:bCs/>
          <w:szCs w:val="20"/>
        </w:rPr>
        <w:t>with regard to</w:t>
      </w:r>
      <w:proofErr w:type="gramEnd"/>
      <w:r w:rsidRPr="001F2E51">
        <w:rPr>
          <w:rFonts w:cs="Arial"/>
          <w:bCs/>
          <w:szCs w:val="20"/>
        </w:rPr>
        <w:t xml:space="preserve"> the level 1 regulation, namely the SFRD/Regulation (EU) 2088/2019 and the TR (Regulation (EU) 852/2020). In our view, this would provide practical support for understanding and implementing a complex regulatory framework and would help ensure consistency among all the elements underpinning the sustainability regulation for financial market participants</w:t>
      </w:r>
      <w:r w:rsidRPr="00C801DA">
        <w:rPr>
          <w:bCs/>
          <w:color w:val="002060"/>
          <w:sz w:val="22"/>
          <w:szCs w:val="22"/>
        </w:rPr>
        <w:t>.</w:t>
      </w:r>
    </w:p>
    <w:permEnd w:id="1221819945"/>
    <w:p w14:paraId="0F1F4245" w14:textId="757D402D"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1FB01804" w14:textId="5ECCB617" w:rsidR="00F952CA" w:rsidRPr="00F952CA" w:rsidRDefault="00F952CA" w:rsidP="00F952CA">
      <w:pPr>
        <w:pStyle w:val="Capitolo"/>
        <w:rPr>
          <w:rFonts w:ascii="Arial" w:hAnsi="Arial" w:cs="Arial"/>
          <w:b w:val="0"/>
          <w:bCs/>
          <w:color w:val="auto"/>
          <w:sz w:val="20"/>
          <w:szCs w:val="20"/>
        </w:rPr>
      </w:pPr>
      <w:permStart w:id="729947415" w:edGrp="everyone"/>
      <w:r w:rsidRPr="00F952CA">
        <w:rPr>
          <w:rFonts w:ascii="Arial" w:hAnsi="Arial" w:cs="Arial"/>
          <w:b w:val="0"/>
          <w:bCs/>
          <w:color w:val="auto"/>
          <w:sz w:val="20"/>
          <w:szCs w:val="20"/>
        </w:rPr>
        <w:t>From a theoretical point of view, the proposal regarding the methodology for calculating the KPI in a manner consistent with the respective technical advice given to the European Commission pursuant to Article 8 of the Regulation (EU) 2020/852 (TR) appears reasonable.</w:t>
      </w:r>
    </w:p>
    <w:p w14:paraId="41961736" w14:textId="77777777" w:rsidR="00F952CA" w:rsidRPr="00F952CA" w:rsidRDefault="00F952CA" w:rsidP="00F952CA">
      <w:pPr>
        <w:pStyle w:val="Capitolo"/>
        <w:rPr>
          <w:rFonts w:ascii="Arial" w:hAnsi="Arial" w:cs="Arial"/>
          <w:b w:val="0"/>
          <w:bCs/>
          <w:color w:val="auto"/>
          <w:sz w:val="20"/>
          <w:szCs w:val="20"/>
        </w:rPr>
      </w:pPr>
    </w:p>
    <w:p w14:paraId="36055094"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To ensure consistency and clarity for the end investor, at portfolio level, we do support ESAs approach requiring the same approach to be applied to a given financial product and one indicator to be used for all issuers of the underlying portfolio. It would be for the FMPs to choose one of the 3 indicators, clearly state which is used and explain why that indicator has been selected.</w:t>
      </w:r>
    </w:p>
    <w:p w14:paraId="04F10F11" w14:textId="77777777" w:rsidR="00F952CA" w:rsidRPr="00F952CA" w:rsidRDefault="00F952CA" w:rsidP="00F952CA">
      <w:pPr>
        <w:pStyle w:val="Capitolo"/>
        <w:rPr>
          <w:rFonts w:ascii="Arial" w:hAnsi="Arial" w:cs="Arial"/>
          <w:b w:val="0"/>
          <w:bCs/>
          <w:color w:val="auto"/>
          <w:sz w:val="20"/>
          <w:szCs w:val="20"/>
        </w:rPr>
      </w:pPr>
    </w:p>
    <w:p w14:paraId="2EDBB5BA"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 xml:space="preserve">However, this proposal is difficult to apply, given that the objectives of the taxonomy are only specified in a delegated act (issued on 21 April 2021 which is expected to be published shortly and applicable from 1 January) </w:t>
      </w:r>
      <w:proofErr w:type="gramStart"/>
      <w:r w:rsidRPr="00F952CA">
        <w:rPr>
          <w:rFonts w:ascii="Arial" w:hAnsi="Arial" w:cs="Arial"/>
          <w:b w:val="0"/>
          <w:bCs/>
          <w:color w:val="auto"/>
          <w:sz w:val="20"/>
          <w:szCs w:val="20"/>
        </w:rPr>
        <w:t>with regard to</w:t>
      </w:r>
      <w:proofErr w:type="gramEnd"/>
      <w:r w:rsidRPr="00F952CA">
        <w:rPr>
          <w:rFonts w:ascii="Arial" w:hAnsi="Arial" w:cs="Arial"/>
          <w:b w:val="0"/>
          <w:bCs/>
          <w:color w:val="auto"/>
          <w:sz w:val="20"/>
          <w:szCs w:val="20"/>
        </w:rPr>
        <w:t xml:space="preserve"> climate change mitigation and climate change adaptation. The remaining taxonomy environmental objectives (sustainable use and protection of water and marine resources, transition to a circular economy, pollution prevention and control, protection and restoration of biodiversity and ecosystems) are far from being regulated technically.</w:t>
      </w:r>
    </w:p>
    <w:p w14:paraId="3DD75D0A" w14:textId="77777777" w:rsidR="00F952CA" w:rsidRPr="00F952CA" w:rsidRDefault="00F952CA" w:rsidP="00F952CA">
      <w:pPr>
        <w:pStyle w:val="Capitolo"/>
        <w:rPr>
          <w:rFonts w:ascii="Arial" w:hAnsi="Arial" w:cs="Arial"/>
          <w:b w:val="0"/>
          <w:bCs/>
          <w:color w:val="auto"/>
          <w:sz w:val="20"/>
          <w:szCs w:val="20"/>
        </w:rPr>
      </w:pPr>
    </w:p>
    <w:p w14:paraId="0A191284"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 xml:space="preserve">This means, </w:t>
      </w:r>
      <w:proofErr w:type="gramStart"/>
      <w:r w:rsidRPr="00F952CA">
        <w:rPr>
          <w:rFonts w:ascii="Arial" w:hAnsi="Arial" w:cs="Arial"/>
          <w:b w:val="0"/>
          <w:bCs/>
          <w:color w:val="auto"/>
          <w:sz w:val="20"/>
          <w:szCs w:val="20"/>
        </w:rPr>
        <w:t>first of all</w:t>
      </w:r>
      <w:proofErr w:type="gramEnd"/>
      <w:r w:rsidRPr="00F952CA">
        <w:rPr>
          <w:rFonts w:ascii="Arial" w:hAnsi="Arial" w:cs="Arial"/>
          <w:b w:val="0"/>
          <w:bCs/>
          <w:color w:val="auto"/>
          <w:sz w:val="20"/>
          <w:szCs w:val="20"/>
        </w:rPr>
        <w:t>, that the proposed draft RTS will only have very partial application for a long time.</w:t>
      </w:r>
    </w:p>
    <w:p w14:paraId="7EE8092C" w14:textId="77777777" w:rsidR="00F952CA" w:rsidRPr="00F952CA" w:rsidRDefault="00F952CA" w:rsidP="00F952CA">
      <w:pPr>
        <w:pStyle w:val="Capitolo"/>
        <w:rPr>
          <w:rFonts w:ascii="Arial" w:hAnsi="Arial" w:cs="Arial"/>
          <w:b w:val="0"/>
          <w:bCs/>
          <w:color w:val="auto"/>
          <w:sz w:val="20"/>
          <w:szCs w:val="20"/>
        </w:rPr>
      </w:pPr>
    </w:p>
    <w:p w14:paraId="26B4D82B"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 xml:space="preserve">Moreover, their application will be very difficult or in any case affected by the absence of information to be disclosed by non-financial undertakings. In this respect, the Commission has specified that the first annual report under the New Corporate Sustainability Reporting Directive (CSRD), previously named NFRD, will relate to 2023 (first data Q2 2024). In fact, it is very unlikely that it will be feasible for non-financial </w:t>
      </w:r>
      <w:r w:rsidRPr="00F952CA">
        <w:rPr>
          <w:rFonts w:ascii="Arial" w:hAnsi="Arial" w:cs="Arial"/>
          <w:b w:val="0"/>
          <w:bCs/>
          <w:color w:val="auto"/>
          <w:sz w:val="20"/>
          <w:szCs w:val="20"/>
        </w:rPr>
        <w:lastRenderedPageBreak/>
        <w:t>undertakings to disclose the required information from 1 January 2022 (date of application of the SFDR RTS). Therefore, FMPs will not be able to work on data reported by non-financial undertakings.</w:t>
      </w:r>
    </w:p>
    <w:p w14:paraId="02D5B4C7" w14:textId="77777777" w:rsidR="00F952CA" w:rsidRPr="00F952CA" w:rsidRDefault="00F952CA" w:rsidP="00F952CA">
      <w:pPr>
        <w:pStyle w:val="Capitolo"/>
        <w:rPr>
          <w:rFonts w:ascii="Arial" w:hAnsi="Arial" w:cs="Arial"/>
          <w:b w:val="0"/>
          <w:bCs/>
          <w:color w:val="auto"/>
          <w:sz w:val="20"/>
          <w:szCs w:val="20"/>
        </w:rPr>
      </w:pPr>
    </w:p>
    <w:p w14:paraId="5B84F0E3"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In view of all the above, we deem it necessary to postpone the application of these additional disclosure obligations. Alternatively, if this is not possible, FMPs should be allowed to carry out purely qualitative assessments (which means using proxy data provided by info-providers) due to the lack of quantitative data.</w:t>
      </w:r>
    </w:p>
    <w:p w14:paraId="161A0FF5" w14:textId="77777777" w:rsidR="00F952CA" w:rsidRPr="00F952CA" w:rsidRDefault="00F952CA" w:rsidP="00F952CA">
      <w:pPr>
        <w:pStyle w:val="Capitolo"/>
        <w:rPr>
          <w:rFonts w:ascii="Arial" w:hAnsi="Arial" w:cs="Arial"/>
          <w:b w:val="0"/>
          <w:bCs/>
          <w:color w:val="auto"/>
          <w:sz w:val="20"/>
          <w:szCs w:val="20"/>
        </w:rPr>
      </w:pPr>
    </w:p>
    <w:p w14:paraId="00E2EC2B" w14:textId="77777777" w:rsidR="00F952CA" w:rsidRPr="00F952CA" w:rsidRDefault="00F952CA" w:rsidP="00F952CA">
      <w:pPr>
        <w:pStyle w:val="Capitolo"/>
        <w:rPr>
          <w:rFonts w:ascii="Arial" w:hAnsi="Arial" w:cs="Arial"/>
          <w:b w:val="0"/>
          <w:bCs/>
          <w:color w:val="auto"/>
          <w:sz w:val="20"/>
          <w:szCs w:val="20"/>
        </w:rPr>
      </w:pPr>
      <w:r w:rsidRPr="00F952CA">
        <w:rPr>
          <w:rFonts w:ascii="Arial" w:hAnsi="Arial" w:cs="Arial"/>
          <w:b w:val="0"/>
          <w:bCs/>
          <w:color w:val="auto"/>
          <w:sz w:val="20"/>
          <w:szCs w:val="20"/>
        </w:rPr>
        <w:t xml:space="preserve">This is extremely important, especially for the precontractual disclosure. </w:t>
      </w:r>
    </w:p>
    <w:p w14:paraId="1C8AF003" w14:textId="77777777" w:rsidR="00F952CA" w:rsidRPr="00F952CA" w:rsidRDefault="00F952CA" w:rsidP="00F952CA">
      <w:pPr>
        <w:pStyle w:val="Capitolo"/>
        <w:rPr>
          <w:rFonts w:ascii="Arial" w:hAnsi="Arial" w:cs="Arial"/>
          <w:b w:val="0"/>
          <w:bCs/>
          <w:color w:val="auto"/>
          <w:sz w:val="20"/>
          <w:szCs w:val="20"/>
        </w:rPr>
      </w:pPr>
    </w:p>
    <w:p w14:paraId="7A09C6A0" w14:textId="19265406" w:rsidR="003E573C" w:rsidRPr="00F952CA" w:rsidRDefault="00F952CA" w:rsidP="00F952CA">
      <w:pPr>
        <w:jc w:val="both"/>
        <w:rPr>
          <w:rFonts w:cs="Arial"/>
          <w:szCs w:val="20"/>
        </w:rPr>
      </w:pPr>
      <w:r w:rsidRPr="00F952CA">
        <w:rPr>
          <w:rFonts w:cs="Arial"/>
          <w:bCs/>
          <w:szCs w:val="20"/>
        </w:rPr>
        <w:t>Moreover, our proposal is in line with the approach already included in the existing draft SFDR RTS. In fact, the additional detail specified in the entity-level ‘principal adverse sustainability impacts statement’ set out in the RTS is to be phased in, with the consequence that the earliest information relating to a reference period to be disclosed in accordance with the RTS would not be made available until 2023 in respect of a reference period relating to 2022.</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4A2F25EC" w:rsidR="003E573C" w:rsidRDefault="00D07AE6" w:rsidP="003E573C">
      <w:pPr>
        <w:rPr>
          <w:rFonts w:cs="Arial"/>
        </w:rPr>
      </w:pPr>
      <w:permStart w:id="677205538" w:edGrp="everyone"/>
      <w:r>
        <w:rPr>
          <w:rFonts w:cs="Arial"/>
        </w:rPr>
        <w:t>See</w:t>
      </w:r>
      <w:r w:rsidR="00F952CA">
        <w:rPr>
          <w:rFonts w:cs="Arial"/>
        </w:rPr>
        <w:t xml:space="preserve"> </w:t>
      </w:r>
      <w:r w:rsidR="00C66DC7">
        <w:rPr>
          <w:rFonts w:cs="Arial"/>
        </w:rPr>
        <w:t>Answer to Question 2.</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19C45663" w14:textId="77777777" w:rsidR="003F414E" w:rsidRPr="003F414E" w:rsidRDefault="003F414E" w:rsidP="00932328">
      <w:pPr>
        <w:pStyle w:val="Capitolo"/>
        <w:rPr>
          <w:rFonts w:ascii="Arial" w:hAnsi="Arial" w:cs="Arial"/>
          <w:b w:val="0"/>
          <w:bCs/>
          <w:color w:val="auto"/>
          <w:sz w:val="20"/>
          <w:szCs w:val="20"/>
        </w:rPr>
      </w:pPr>
      <w:permStart w:id="1220688604" w:edGrp="everyone"/>
      <w:r w:rsidRPr="003F414E">
        <w:rPr>
          <w:rFonts w:ascii="Arial" w:hAnsi="Arial" w:cs="Arial"/>
          <w:b w:val="0"/>
          <w:bCs/>
          <w:color w:val="auto"/>
          <w:sz w:val="20"/>
          <w:szCs w:val="20"/>
        </w:rPr>
        <w:t>Derivatives are a very heterogenous category that includes a large variety of instruments that can be used to quite different ends. As such, we could agree with the suggested approach, but only from a theoretical point of view. In our opinion it is necessary to receive clear guidelines on how and to what extent derivatives could be included. Moreover, it would be very difficult to implement this approach for the portfolio management service because:</w:t>
      </w:r>
    </w:p>
    <w:p w14:paraId="1C32D874" w14:textId="77777777" w:rsidR="003F414E" w:rsidRPr="003F414E" w:rsidRDefault="003F414E" w:rsidP="00932328">
      <w:pPr>
        <w:pStyle w:val="Capitolo"/>
        <w:rPr>
          <w:rFonts w:ascii="Arial" w:hAnsi="Arial" w:cs="Arial"/>
          <w:b w:val="0"/>
          <w:bCs/>
          <w:color w:val="auto"/>
          <w:sz w:val="20"/>
          <w:szCs w:val="20"/>
        </w:rPr>
      </w:pPr>
    </w:p>
    <w:p w14:paraId="65A68E5D" w14:textId="77777777" w:rsidR="003F414E" w:rsidRPr="003F414E" w:rsidRDefault="003F414E" w:rsidP="00932328">
      <w:pPr>
        <w:pStyle w:val="Capitolo"/>
        <w:numPr>
          <w:ilvl w:val="0"/>
          <w:numId w:val="42"/>
        </w:numPr>
        <w:rPr>
          <w:rFonts w:ascii="Arial" w:hAnsi="Arial" w:cs="Arial"/>
          <w:b w:val="0"/>
          <w:bCs/>
          <w:color w:val="auto"/>
          <w:sz w:val="20"/>
          <w:szCs w:val="20"/>
        </w:rPr>
      </w:pPr>
      <w:r w:rsidRPr="003F414E">
        <w:rPr>
          <w:rFonts w:ascii="Arial" w:hAnsi="Arial" w:cs="Arial"/>
          <w:b w:val="0"/>
          <w:bCs/>
          <w:color w:val="auto"/>
          <w:sz w:val="20"/>
          <w:szCs w:val="20"/>
        </w:rPr>
        <w:t xml:space="preserve">it would require a look-through </w:t>
      </w:r>
      <w:proofErr w:type="gramStart"/>
      <w:r w:rsidRPr="003F414E">
        <w:rPr>
          <w:rFonts w:ascii="Arial" w:hAnsi="Arial" w:cs="Arial"/>
          <w:b w:val="0"/>
          <w:bCs/>
          <w:color w:val="auto"/>
          <w:sz w:val="20"/>
          <w:szCs w:val="20"/>
        </w:rPr>
        <w:t>approach;</w:t>
      </w:r>
      <w:proofErr w:type="gramEnd"/>
    </w:p>
    <w:p w14:paraId="41B076C7" w14:textId="77777777" w:rsidR="003F414E" w:rsidRPr="003F414E" w:rsidRDefault="003F414E" w:rsidP="00932328">
      <w:pPr>
        <w:pStyle w:val="Capitolo"/>
        <w:numPr>
          <w:ilvl w:val="0"/>
          <w:numId w:val="42"/>
        </w:numPr>
        <w:rPr>
          <w:rFonts w:ascii="Arial" w:hAnsi="Arial" w:cs="Arial"/>
          <w:b w:val="0"/>
          <w:bCs/>
          <w:color w:val="auto"/>
          <w:sz w:val="20"/>
          <w:szCs w:val="20"/>
        </w:rPr>
      </w:pPr>
      <w:r w:rsidRPr="003F414E">
        <w:rPr>
          <w:rFonts w:ascii="Arial" w:hAnsi="Arial" w:cs="Arial"/>
          <w:b w:val="0"/>
          <w:bCs/>
          <w:color w:val="auto"/>
          <w:sz w:val="20"/>
          <w:szCs w:val="20"/>
        </w:rPr>
        <w:t>it appears disproportionate for portfolios managed on individual basis, where the use of derivatives is very limited.</w:t>
      </w:r>
    </w:p>
    <w:p w14:paraId="29C986D6" w14:textId="77777777" w:rsidR="003F414E" w:rsidRPr="003F414E" w:rsidRDefault="003F414E" w:rsidP="00932328">
      <w:pPr>
        <w:pStyle w:val="Capitolo"/>
        <w:rPr>
          <w:rFonts w:ascii="Arial" w:hAnsi="Arial" w:cs="Arial"/>
          <w:b w:val="0"/>
          <w:bCs/>
          <w:color w:val="auto"/>
          <w:sz w:val="20"/>
          <w:szCs w:val="20"/>
        </w:rPr>
      </w:pPr>
    </w:p>
    <w:p w14:paraId="784D9858" w14:textId="334691B7" w:rsidR="003E573C" w:rsidRPr="003F414E" w:rsidRDefault="003F414E" w:rsidP="00932328">
      <w:pPr>
        <w:jc w:val="both"/>
        <w:rPr>
          <w:rFonts w:cs="Arial"/>
          <w:szCs w:val="20"/>
        </w:rPr>
      </w:pPr>
      <w:r w:rsidRPr="003F414E">
        <w:rPr>
          <w:rFonts w:cs="Arial"/>
          <w:bCs/>
          <w:szCs w:val="20"/>
        </w:rPr>
        <w:t xml:space="preserve">Therefore, in our view, further thought is required </w:t>
      </w:r>
      <w:proofErr w:type="gramStart"/>
      <w:r w:rsidRPr="003F414E">
        <w:rPr>
          <w:rFonts w:cs="Arial"/>
          <w:bCs/>
          <w:szCs w:val="20"/>
        </w:rPr>
        <w:t>in order to</w:t>
      </w:r>
      <w:proofErr w:type="gramEnd"/>
      <w:r w:rsidRPr="003F414E">
        <w:rPr>
          <w:rFonts w:cs="Arial"/>
          <w:bCs/>
          <w:szCs w:val="20"/>
        </w:rPr>
        <w:t xml:space="preserve"> develop shared guidelines on how and to what extent derivatives could be included.</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67E4A19E" w:rsidR="003E573C" w:rsidRPr="00C64570" w:rsidRDefault="003F23D2" w:rsidP="00932328">
      <w:pPr>
        <w:jc w:val="both"/>
        <w:rPr>
          <w:rFonts w:cs="Arial"/>
          <w:szCs w:val="20"/>
        </w:rPr>
      </w:pPr>
      <w:permStart w:id="209390932" w:edGrp="everyone"/>
      <w:r w:rsidRPr="00C64570">
        <w:rPr>
          <w:bCs/>
          <w:szCs w:val="20"/>
        </w:rPr>
        <w:t xml:space="preserve">We believe it would be very useful for the ESAs to publish a list of indicative examples, </w:t>
      </w:r>
      <w:proofErr w:type="gramStart"/>
      <w:r w:rsidRPr="00C64570">
        <w:rPr>
          <w:bCs/>
          <w:szCs w:val="20"/>
        </w:rPr>
        <w:t>in order to</w:t>
      </w:r>
      <w:proofErr w:type="gramEnd"/>
      <w:r w:rsidRPr="00C64570">
        <w:rPr>
          <w:bCs/>
          <w:szCs w:val="20"/>
        </w:rPr>
        <w:t xml:space="preserve"> help FMPs better understand the use of equities and debt instruments and what valuation criteria should be adopted.</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lastRenderedPageBreak/>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06C5F1B7" w:rsidR="003E573C" w:rsidRPr="00932328" w:rsidRDefault="00932328" w:rsidP="00932328">
      <w:pPr>
        <w:jc w:val="both"/>
        <w:rPr>
          <w:rFonts w:cs="Arial"/>
          <w:szCs w:val="20"/>
        </w:rPr>
      </w:pPr>
      <w:permStart w:id="418122716" w:edGrp="everyone"/>
      <w:r w:rsidRPr="00932328">
        <w:rPr>
          <w:bCs/>
          <w:szCs w:val="20"/>
        </w:rPr>
        <w:t xml:space="preserve">Given that the main objective of these indicators is to offer clarity to the end investor, through a concise, high level, comparable indicator showing the % of the money invested in taxonomy-aligned activities, we believe it appropriate to include all investments in the denominator. While this might not give a thoroughly accurate view of the composition of the portfolio, </w:t>
      </w:r>
      <w:proofErr w:type="gramStart"/>
      <w:r w:rsidRPr="00932328">
        <w:rPr>
          <w:bCs/>
          <w:szCs w:val="20"/>
        </w:rPr>
        <w:t>with regard to</w:t>
      </w:r>
      <w:proofErr w:type="gramEnd"/>
      <w:r w:rsidRPr="00932328">
        <w:rPr>
          <w:bCs/>
          <w:szCs w:val="20"/>
        </w:rPr>
        <w:t xml:space="preserve"> its not taxonomy-aligned % (which could consist of both non-assessable and not aligned activities), we do consider this to be acceptable as long as the meaning of the % is clearly stated. We also expect that the development and broadening of the scope of the taxonomy will gradually improve the meaningfulness of the indicator.</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1A46805C" w14:textId="15554E7E" w:rsidR="00D303E3" w:rsidRPr="006B6DF1" w:rsidRDefault="00A90076" w:rsidP="00A90076">
      <w:pPr>
        <w:jc w:val="both"/>
        <w:rPr>
          <w:bCs/>
          <w:szCs w:val="20"/>
        </w:rPr>
      </w:pPr>
      <w:permStart w:id="569465455" w:edGrp="everyone"/>
      <w:r w:rsidRPr="00A90076">
        <w:rPr>
          <w:bCs/>
          <w:szCs w:val="20"/>
        </w:rPr>
        <w:t xml:space="preserve">We believe that requesting certification downstream of the process would be an unnecessary complication and, in consideration of the already heavy burden placed on FMPs to align with the regulation, we recommend not requiring third-party assessments. In our opinion it is more efficient to place certification upstream of the process, </w:t>
      </w:r>
      <w:proofErr w:type="gramStart"/>
      <w:r w:rsidRPr="00A90076">
        <w:rPr>
          <w:bCs/>
          <w:szCs w:val="20"/>
        </w:rPr>
        <w:t>i.e.</w:t>
      </w:r>
      <w:proofErr w:type="gramEnd"/>
      <w:r w:rsidRPr="00A90076">
        <w:rPr>
          <w:bCs/>
          <w:szCs w:val="20"/>
        </w:rPr>
        <w:t xml:space="preserve"> with reference to the data produced by the info providers. More specifically, there is a need to develop European certification of the entities that provide data and information on the sustainability of institutions (</w:t>
      </w:r>
      <w:proofErr w:type="gramStart"/>
      <w:r w:rsidRPr="00A90076">
        <w:rPr>
          <w:bCs/>
          <w:szCs w:val="20"/>
        </w:rPr>
        <w:t>i.e.</w:t>
      </w:r>
      <w:proofErr w:type="gramEnd"/>
      <w:r w:rsidRPr="00A90076">
        <w:rPr>
          <w:bCs/>
          <w:szCs w:val="20"/>
        </w:rPr>
        <w:t xml:space="preserve"> info providers). It should be noted that this specific aspect has already been highlighted by ESMA, in the context of its request that the European Commission adopts legislation regulating the methodologies used to assign ESG ratings and assess the sustainability characteristics of financial products and instruments</w:t>
      </w:r>
      <w:r w:rsidR="006B6DF1">
        <w:rPr>
          <w:bCs/>
          <w:szCs w:val="20"/>
          <w:vertAlign w:val="superscript"/>
        </w:rPr>
        <w:t xml:space="preserve"> </w:t>
      </w:r>
      <w:r w:rsidR="006B6DF1">
        <w:rPr>
          <w:bCs/>
          <w:szCs w:val="20"/>
        </w:rPr>
        <w:t>(</w:t>
      </w:r>
      <w:r w:rsidR="00BD7B18" w:rsidRPr="00BD7B18">
        <w:rPr>
          <w:bCs/>
          <w:szCs w:val="20"/>
        </w:rPr>
        <w:t xml:space="preserve">ESMA Letter to the European Commission of the </w:t>
      </w:r>
      <w:proofErr w:type="gramStart"/>
      <w:r w:rsidR="00BD7B18" w:rsidRPr="00BD7B18">
        <w:rPr>
          <w:bCs/>
          <w:szCs w:val="20"/>
        </w:rPr>
        <w:t>28th</w:t>
      </w:r>
      <w:proofErr w:type="gramEnd"/>
      <w:r w:rsidR="00BD7B18" w:rsidRPr="00BD7B18">
        <w:rPr>
          <w:bCs/>
          <w:szCs w:val="20"/>
        </w:rPr>
        <w:t xml:space="preserve"> January 2021 for legislative action on ESG ratings and assessment tools</w:t>
      </w:r>
      <w:r w:rsidR="006B6DF1">
        <w:rPr>
          <w:bCs/>
          <w:szCs w:val="20"/>
        </w:rPr>
        <w:t>)</w:t>
      </w:r>
      <w:r w:rsidR="00BD7B18" w:rsidRPr="00BD7B18">
        <w:rPr>
          <w:bCs/>
          <w:szCs w:val="20"/>
        </w:rPr>
        <w:t>.</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Paragrafoelenco"/>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Paragrafoelenco"/>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596F121A" w14:textId="77777777" w:rsidR="00786010" w:rsidRPr="00786010" w:rsidRDefault="00786010" w:rsidP="00786010">
      <w:pPr>
        <w:pStyle w:val="Capitolo"/>
        <w:rPr>
          <w:rFonts w:ascii="Arial" w:hAnsi="Arial" w:cs="Arial"/>
          <w:b w:val="0"/>
          <w:color w:val="auto"/>
          <w:sz w:val="20"/>
          <w:szCs w:val="20"/>
        </w:rPr>
      </w:pPr>
      <w:permStart w:id="1713528049" w:edGrp="everyone"/>
      <w:r w:rsidRPr="00786010">
        <w:rPr>
          <w:rFonts w:ascii="Arial" w:hAnsi="Arial" w:cs="Arial"/>
          <w:b w:val="0"/>
          <w:color w:val="auto"/>
          <w:sz w:val="20"/>
          <w:szCs w:val="20"/>
        </w:rPr>
        <w:t>As a general remark, given that companies will only begin to report their taxonomy alignment in 2022, the level 2 requirements for periodic disclosures should apply from 2023, when the necessary data becomes available to investors.</w:t>
      </w:r>
    </w:p>
    <w:p w14:paraId="1516501B" w14:textId="77777777" w:rsidR="00786010" w:rsidRPr="00786010" w:rsidRDefault="00786010" w:rsidP="00786010">
      <w:pPr>
        <w:pStyle w:val="Capitolo"/>
        <w:rPr>
          <w:rFonts w:ascii="Arial" w:hAnsi="Arial" w:cs="Arial"/>
          <w:b w:val="0"/>
          <w:color w:val="auto"/>
          <w:sz w:val="20"/>
          <w:szCs w:val="20"/>
        </w:rPr>
      </w:pPr>
    </w:p>
    <w:p w14:paraId="140BDB6D"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According to Article 11 of the SFDR, the information required in periodic disclosures for portfolios managed on individual basis must be disclosed in a periodic report, as indicated in Article 25(6) of MiFID II.</w:t>
      </w:r>
    </w:p>
    <w:p w14:paraId="25EDA03E" w14:textId="77777777" w:rsidR="00786010" w:rsidRPr="00786010" w:rsidRDefault="00786010" w:rsidP="00786010">
      <w:pPr>
        <w:pStyle w:val="Capitolo"/>
        <w:rPr>
          <w:rFonts w:ascii="Arial" w:hAnsi="Arial" w:cs="Arial"/>
          <w:b w:val="0"/>
          <w:bCs/>
          <w:color w:val="auto"/>
          <w:sz w:val="20"/>
          <w:szCs w:val="20"/>
        </w:rPr>
      </w:pPr>
    </w:p>
    <w:p w14:paraId="2829347B"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 xml:space="preserve">Article 60 of Regulation (EU) 2017/565 defines the specific regime applicable to the reporting obligations in respect of portfolio management. </w:t>
      </w:r>
      <w:proofErr w:type="gramStart"/>
      <w:r w:rsidRPr="00786010">
        <w:rPr>
          <w:rFonts w:ascii="Arial" w:hAnsi="Arial" w:cs="Arial"/>
          <w:b w:val="0"/>
          <w:bCs/>
          <w:color w:val="auto"/>
          <w:sz w:val="20"/>
          <w:szCs w:val="20"/>
        </w:rPr>
        <w:t>In particular, it</w:t>
      </w:r>
      <w:proofErr w:type="gramEnd"/>
      <w:r w:rsidRPr="00786010">
        <w:rPr>
          <w:rFonts w:ascii="Arial" w:hAnsi="Arial" w:cs="Arial"/>
          <w:b w:val="0"/>
          <w:bCs/>
          <w:color w:val="auto"/>
          <w:sz w:val="20"/>
          <w:szCs w:val="20"/>
        </w:rPr>
        <w:t xml:space="preserve"> establishes, inter alia, that the periodic portfolio management service statement must be provided to clients every three months, except in some limited cases. According to the exceptions mentioned, reporting: </w:t>
      </w:r>
    </w:p>
    <w:p w14:paraId="4FCF10E0" w14:textId="77777777" w:rsidR="00786010" w:rsidRPr="00786010" w:rsidRDefault="00786010" w:rsidP="00786010">
      <w:pPr>
        <w:pStyle w:val="Capitolo"/>
        <w:numPr>
          <w:ilvl w:val="0"/>
          <w:numId w:val="45"/>
        </w:numPr>
        <w:rPr>
          <w:rFonts w:ascii="Arial" w:hAnsi="Arial" w:cs="Arial"/>
          <w:b w:val="0"/>
          <w:bCs/>
          <w:color w:val="auto"/>
          <w:sz w:val="20"/>
          <w:szCs w:val="20"/>
        </w:rPr>
      </w:pPr>
      <w:r w:rsidRPr="00786010">
        <w:rPr>
          <w:rFonts w:ascii="Arial" w:hAnsi="Arial" w:cs="Arial"/>
          <w:b w:val="0"/>
          <w:bCs/>
          <w:color w:val="auto"/>
          <w:sz w:val="20"/>
          <w:szCs w:val="20"/>
        </w:rPr>
        <w:t xml:space="preserve">can be reduced to once a year if the client elects to receive information about executed transactions on a transaction-by-transaction basis, provided that they do not involve financial instruments covered by Article 4(1)(44)(c) of MiFID II, or by any of the points from 4 to 11 in Section C of Annex I to that </w:t>
      </w:r>
      <w:proofErr w:type="gramStart"/>
      <w:r w:rsidRPr="00786010">
        <w:rPr>
          <w:rFonts w:ascii="Arial" w:hAnsi="Arial" w:cs="Arial"/>
          <w:b w:val="0"/>
          <w:bCs/>
          <w:color w:val="auto"/>
          <w:sz w:val="20"/>
          <w:szCs w:val="20"/>
        </w:rPr>
        <w:t>Directive;</w:t>
      </w:r>
      <w:proofErr w:type="gramEnd"/>
      <w:r w:rsidRPr="00786010">
        <w:rPr>
          <w:rFonts w:ascii="Arial" w:hAnsi="Arial" w:cs="Arial"/>
          <w:b w:val="0"/>
          <w:bCs/>
          <w:color w:val="auto"/>
          <w:sz w:val="20"/>
          <w:szCs w:val="20"/>
        </w:rPr>
        <w:t xml:space="preserve"> </w:t>
      </w:r>
    </w:p>
    <w:p w14:paraId="55C73212" w14:textId="77777777" w:rsidR="00786010" w:rsidRPr="00786010" w:rsidRDefault="00786010" w:rsidP="00786010">
      <w:pPr>
        <w:pStyle w:val="Capitolo"/>
        <w:numPr>
          <w:ilvl w:val="0"/>
          <w:numId w:val="45"/>
        </w:numPr>
        <w:rPr>
          <w:rFonts w:ascii="Arial" w:hAnsi="Arial" w:cs="Arial"/>
          <w:b w:val="0"/>
          <w:bCs/>
          <w:color w:val="auto"/>
          <w:sz w:val="20"/>
          <w:szCs w:val="20"/>
        </w:rPr>
      </w:pPr>
      <w:r w:rsidRPr="00786010">
        <w:rPr>
          <w:rFonts w:ascii="Arial" w:hAnsi="Arial" w:cs="Arial"/>
          <w:b w:val="0"/>
          <w:bCs/>
          <w:color w:val="auto"/>
          <w:sz w:val="20"/>
          <w:szCs w:val="20"/>
        </w:rPr>
        <w:t xml:space="preserve">becomes monthly if the portfolio management service agreement between the investment firm and the client authorises a leveraged </w:t>
      </w:r>
      <w:proofErr w:type="gramStart"/>
      <w:r w:rsidRPr="00786010">
        <w:rPr>
          <w:rFonts w:ascii="Arial" w:hAnsi="Arial" w:cs="Arial"/>
          <w:b w:val="0"/>
          <w:bCs/>
          <w:color w:val="auto"/>
          <w:sz w:val="20"/>
          <w:szCs w:val="20"/>
        </w:rPr>
        <w:t>portfolio;</w:t>
      </w:r>
      <w:proofErr w:type="gramEnd"/>
      <w:r w:rsidRPr="00786010">
        <w:rPr>
          <w:rFonts w:ascii="Arial" w:hAnsi="Arial" w:cs="Arial"/>
          <w:b w:val="0"/>
          <w:bCs/>
          <w:color w:val="auto"/>
          <w:sz w:val="20"/>
          <w:szCs w:val="20"/>
        </w:rPr>
        <w:t xml:space="preserve"> </w:t>
      </w:r>
    </w:p>
    <w:p w14:paraId="55D8CE6E" w14:textId="77777777" w:rsidR="00786010" w:rsidRPr="00786010" w:rsidRDefault="00786010" w:rsidP="00786010">
      <w:pPr>
        <w:pStyle w:val="Capitolo"/>
        <w:numPr>
          <w:ilvl w:val="0"/>
          <w:numId w:val="45"/>
        </w:numPr>
        <w:rPr>
          <w:rFonts w:ascii="Arial" w:hAnsi="Arial" w:cs="Arial"/>
          <w:b w:val="0"/>
          <w:bCs/>
          <w:color w:val="auto"/>
          <w:sz w:val="20"/>
          <w:szCs w:val="20"/>
        </w:rPr>
      </w:pPr>
      <w:r w:rsidRPr="00786010">
        <w:rPr>
          <w:rFonts w:ascii="Arial" w:hAnsi="Arial" w:cs="Arial"/>
          <w:b w:val="0"/>
          <w:bCs/>
          <w:color w:val="auto"/>
          <w:sz w:val="20"/>
          <w:szCs w:val="20"/>
        </w:rPr>
        <w:t xml:space="preserve">can be reduced to once a year if the investment firm gives its clients access to an online system, qualifying as a durable medium, that provides up-to-date valuations of their portfolios and easy </w:t>
      </w:r>
      <w:r w:rsidRPr="00786010">
        <w:rPr>
          <w:rFonts w:ascii="Arial" w:hAnsi="Arial" w:cs="Arial"/>
          <w:b w:val="0"/>
          <w:bCs/>
          <w:color w:val="auto"/>
          <w:sz w:val="20"/>
          <w:szCs w:val="20"/>
        </w:rPr>
        <w:lastRenderedPageBreak/>
        <w:t xml:space="preserve">access to the information required by Article 63(2), and the firm has evidence that the client has accessed a portfolio valuation at least once during the relevant quarter. </w:t>
      </w:r>
    </w:p>
    <w:p w14:paraId="79742F65" w14:textId="77777777" w:rsidR="00786010" w:rsidRPr="00786010" w:rsidRDefault="00786010" w:rsidP="00786010">
      <w:pPr>
        <w:pStyle w:val="Capitolo"/>
        <w:rPr>
          <w:rFonts w:ascii="Arial" w:hAnsi="Arial" w:cs="Arial"/>
          <w:b w:val="0"/>
          <w:bCs/>
          <w:color w:val="auto"/>
          <w:sz w:val="20"/>
          <w:szCs w:val="20"/>
        </w:rPr>
      </w:pPr>
    </w:p>
    <w:p w14:paraId="794B22EF"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If the periodic portfolio management service report and the related managed portfolio statements must normally be provided to clients every three months, this would:</w:t>
      </w:r>
    </w:p>
    <w:p w14:paraId="528824BB" w14:textId="77777777" w:rsidR="00786010" w:rsidRPr="00786010" w:rsidRDefault="00786010" w:rsidP="00786010">
      <w:pPr>
        <w:pStyle w:val="Capitolo"/>
        <w:rPr>
          <w:rFonts w:ascii="Arial" w:hAnsi="Arial" w:cs="Arial"/>
          <w:b w:val="0"/>
          <w:bCs/>
          <w:color w:val="auto"/>
          <w:sz w:val="20"/>
          <w:szCs w:val="20"/>
        </w:rPr>
      </w:pPr>
    </w:p>
    <w:p w14:paraId="4BF60827" w14:textId="77777777" w:rsidR="00786010" w:rsidRPr="00786010" w:rsidRDefault="00786010" w:rsidP="00786010">
      <w:pPr>
        <w:pStyle w:val="Capitolo"/>
        <w:numPr>
          <w:ilvl w:val="0"/>
          <w:numId w:val="43"/>
        </w:numPr>
        <w:rPr>
          <w:rFonts w:ascii="Arial" w:hAnsi="Arial" w:cs="Arial"/>
          <w:b w:val="0"/>
          <w:bCs/>
          <w:color w:val="auto"/>
          <w:sz w:val="20"/>
          <w:szCs w:val="20"/>
        </w:rPr>
      </w:pPr>
      <w:r w:rsidRPr="00786010">
        <w:rPr>
          <w:rFonts w:ascii="Arial" w:hAnsi="Arial" w:cs="Arial"/>
          <w:b w:val="0"/>
          <w:bCs/>
          <w:color w:val="auto"/>
          <w:sz w:val="20"/>
          <w:szCs w:val="20"/>
        </w:rPr>
        <w:t xml:space="preserve">be misaligned with respect to the reference period (which is annual for financial products, other than portfolios managed on individual basis) for the templates proposed for the periodic report on financial products referred to in Articles 8 and </w:t>
      </w:r>
      <w:proofErr w:type="gramStart"/>
      <w:r w:rsidRPr="00786010">
        <w:rPr>
          <w:rFonts w:ascii="Arial" w:hAnsi="Arial" w:cs="Arial"/>
          <w:b w:val="0"/>
          <w:bCs/>
          <w:color w:val="auto"/>
          <w:sz w:val="20"/>
          <w:szCs w:val="20"/>
        </w:rPr>
        <w:t>9;</w:t>
      </w:r>
      <w:proofErr w:type="gramEnd"/>
    </w:p>
    <w:p w14:paraId="38A3A16D" w14:textId="77777777" w:rsidR="00786010" w:rsidRPr="00786010" w:rsidRDefault="00786010" w:rsidP="00786010">
      <w:pPr>
        <w:pStyle w:val="Capitolo"/>
        <w:numPr>
          <w:ilvl w:val="0"/>
          <w:numId w:val="43"/>
        </w:numPr>
        <w:rPr>
          <w:rFonts w:ascii="Arial" w:hAnsi="Arial" w:cs="Arial"/>
          <w:b w:val="0"/>
          <w:bCs/>
          <w:color w:val="auto"/>
          <w:sz w:val="20"/>
          <w:szCs w:val="20"/>
        </w:rPr>
      </w:pPr>
      <w:r w:rsidRPr="00786010">
        <w:rPr>
          <w:rFonts w:ascii="Arial" w:hAnsi="Arial" w:cs="Arial"/>
          <w:b w:val="0"/>
          <w:bCs/>
          <w:color w:val="auto"/>
          <w:sz w:val="20"/>
          <w:szCs w:val="20"/>
        </w:rPr>
        <w:t xml:space="preserve">require an effort from individual portfolio managers that is: </w:t>
      </w:r>
      <w:proofErr w:type="spellStart"/>
      <w:r w:rsidRPr="00786010">
        <w:rPr>
          <w:rFonts w:ascii="Arial" w:hAnsi="Arial" w:cs="Arial"/>
          <w:b w:val="0"/>
          <w:bCs/>
          <w:color w:val="auto"/>
          <w:sz w:val="20"/>
          <w:szCs w:val="20"/>
        </w:rPr>
        <w:t>i</w:t>
      </w:r>
      <w:proofErr w:type="spellEnd"/>
      <w:r w:rsidRPr="00786010">
        <w:rPr>
          <w:rFonts w:ascii="Arial" w:hAnsi="Arial" w:cs="Arial"/>
          <w:b w:val="0"/>
          <w:bCs/>
          <w:color w:val="auto"/>
          <w:sz w:val="20"/>
          <w:szCs w:val="20"/>
        </w:rPr>
        <w:t>) disproportionate to the requirements for other financial products; ii) very difficult to implement; iii) without added value for investors.</w:t>
      </w:r>
    </w:p>
    <w:p w14:paraId="7874A398" w14:textId="77777777" w:rsidR="00786010" w:rsidRPr="00786010" w:rsidRDefault="00786010" w:rsidP="00786010">
      <w:pPr>
        <w:pStyle w:val="Capitolo"/>
        <w:rPr>
          <w:rFonts w:ascii="Arial" w:hAnsi="Arial" w:cs="Arial"/>
          <w:b w:val="0"/>
          <w:bCs/>
          <w:color w:val="auto"/>
          <w:sz w:val="20"/>
          <w:szCs w:val="20"/>
        </w:rPr>
      </w:pPr>
    </w:p>
    <w:p w14:paraId="2DB4E59F"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Moreover, the critical issues already highlighted (unavailability of the quantitative data required for the precontractual disclosure) also apply to the proposed mirroring periodic reporting.</w:t>
      </w:r>
    </w:p>
    <w:p w14:paraId="0FD9D1B7"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 xml:space="preserve"> </w:t>
      </w:r>
    </w:p>
    <w:p w14:paraId="324F21DD"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Finally, we must emphasise:</w:t>
      </w:r>
    </w:p>
    <w:p w14:paraId="20D2E099" w14:textId="77777777" w:rsidR="00786010" w:rsidRPr="00786010" w:rsidRDefault="00786010" w:rsidP="00786010">
      <w:pPr>
        <w:pStyle w:val="Capitolo"/>
        <w:rPr>
          <w:rFonts w:ascii="Arial" w:hAnsi="Arial" w:cs="Arial"/>
          <w:b w:val="0"/>
          <w:bCs/>
          <w:color w:val="auto"/>
          <w:sz w:val="20"/>
          <w:szCs w:val="20"/>
        </w:rPr>
      </w:pPr>
    </w:p>
    <w:p w14:paraId="54FF01BB" w14:textId="77777777" w:rsidR="00786010" w:rsidRPr="00786010" w:rsidRDefault="00786010" w:rsidP="00786010">
      <w:pPr>
        <w:pStyle w:val="Capitolo"/>
        <w:numPr>
          <w:ilvl w:val="0"/>
          <w:numId w:val="44"/>
        </w:numPr>
        <w:rPr>
          <w:rFonts w:ascii="Arial" w:hAnsi="Arial" w:cs="Arial"/>
          <w:b w:val="0"/>
          <w:bCs/>
          <w:color w:val="auto"/>
          <w:sz w:val="20"/>
          <w:szCs w:val="20"/>
        </w:rPr>
      </w:pPr>
      <w:r w:rsidRPr="00786010">
        <w:rPr>
          <w:rFonts w:ascii="Arial" w:hAnsi="Arial" w:cs="Arial"/>
          <w:b w:val="0"/>
          <w:bCs/>
          <w:color w:val="auto"/>
          <w:sz w:val="20"/>
          <w:szCs w:val="20"/>
        </w:rPr>
        <w:t>on the one hand, that the proposed approach to periodic reporting on each financial product is incompatible with that proposed in the draft RTS for the entity-level principal adverse sustainability impacts statement, which is to be phased in (</w:t>
      </w:r>
      <w:proofErr w:type="gramStart"/>
      <w:r w:rsidRPr="00786010">
        <w:rPr>
          <w:rFonts w:ascii="Arial" w:hAnsi="Arial" w:cs="Arial"/>
          <w:b w:val="0"/>
          <w:bCs/>
          <w:color w:val="auto"/>
          <w:sz w:val="20"/>
          <w:szCs w:val="20"/>
        </w:rPr>
        <w:t>i.e.</w:t>
      </w:r>
      <w:proofErr w:type="gramEnd"/>
      <w:r w:rsidRPr="00786010">
        <w:rPr>
          <w:rFonts w:ascii="Arial" w:hAnsi="Arial" w:cs="Arial"/>
          <w:b w:val="0"/>
          <w:bCs/>
          <w:color w:val="auto"/>
          <w:sz w:val="20"/>
          <w:szCs w:val="20"/>
        </w:rPr>
        <w:t xml:space="preserve"> the earliest information about a reference period to be disclosed in accordance with the RTS would not be provided until 2023, in respect of a reference period relating to 2022);</w:t>
      </w:r>
    </w:p>
    <w:p w14:paraId="55F24CF5" w14:textId="77777777" w:rsidR="00786010" w:rsidRPr="00786010" w:rsidRDefault="00786010" w:rsidP="00786010">
      <w:pPr>
        <w:pStyle w:val="Capitolo"/>
        <w:numPr>
          <w:ilvl w:val="0"/>
          <w:numId w:val="44"/>
        </w:numPr>
        <w:rPr>
          <w:rFonts w:ascii="Arial" w:hAnsi="Arial" w:cs="Arial"/>
          <w:b w:val="0"/>
          <w:bCs/>
          <w:color w:val="auto"/>
          <w:sz w:val="20"/>
          <w:szCs w:val="20"/>
        </w:rPr>
      </w:pPr>
      <w:r w:rsidRPr="00786010">
        <w:rPr>
          <w:rFonts w:ascii="Arial" w:hAnsi="Arial" w:cs="Arial"/>
          <w:b w:val="0"/>
          <w:bCs/>
          <w:color w:val="auto"/>
          <w:sz w:val="20"/>
          <w:szCs w:val="20"/>
        </w:rPr>
        <w:t>on the other, that the products referred to in Article 8 of the SFDR could include a wide range of investments, some of which might be taxonomy aligned (no further SFDR-specific DNSH disclosure would be required for those investments , because compliance with the DNSH criteria is a condition for being assessed as Taxonomy aligned), while others might be sustainable, but not taxonomy aligned, or not considered within the taxonomy (in the last case further SFDR-specific DNSH disclosure would be required). This would make periodic reporting very difficult and complex.</w:t>
      </w:r>
    </w:p>
    <w:p w14:paraId="4B7F2DAB" w14:textId="77777777" w:rsidR="00786010" w:rsidRPr="00786010" w:rsidRDefault="00786010" w:rsidP="00786010">
      <w:pPr>
        <w:pStyle w:val="Capitolo"/>
        <w:rPr>
          <w:rFonts w:ascii="Arial" w:hAnsi="Arial" w:cs="Arial"/>
          <w:b w:val="0"/>
          <w:bCs/>
          <w:color w:val="auto"/>
          <w:sz w:val="20"/>
          <w:szCs w:val="20"/>
        </w:rPr>
      </w:pPr>
    </w:p>
    <w:p w14:paraId="6907CAB7" w14:textId="77777777" w:rsidR="00786010" w:rsidRPr="00786010" w:rsidRDefault="00786010" w:rsidP="00786010">
      <w:pPr>
        <w:pStyle w:val="Capitolo"/>
        <w:rPr>
          <w:rFonts w:ascii="Arial" w:hAnsi="Arial" w:cs="Arial"/>
          <w:b w:val="0"/>
          <w:bCs/>
          <w:color w:val="auto"/>
          <w:sz w:val="20"/>
          <w:szCs w:val="20"/>
        </w:rPr>
      </w:pPr>
      <w:r w:rsidRPr="00786010">
        <w:rPr>
          <w:rFonts w:ascii="Arial" w:hAnsi="Arial" w:cs="Arial"/>
          <w:b w:val="0"/>
          <w:bCs/>
          <w:color w:val="auto"/>
          <w:sz w:val="20"/>
          <w:szCs w:val="20"/>
        </w:rPr>
        <w:t>Therefore, we believe that the relevant periodic reporting should be annual for individual managed portfolios as well.</w:t>
      </w:r>
    </w:p>
    <w:p w14:paraId="6AF8C743" w14:textId="77777777" w:rsidR="00786010" w:rsidRPr="00786010" w:rsidRDefault="00786010" w:rsidP="00786010">
      <w:pPr>
        <w:pStyle w:val="Capitolo"/>
        <w:rPr>
          <w:rFonts w:ascii="Arial" w:hAnsi="Arial" w:cs="Arial"/>
          <w:b w:val="0"/>
          <w:bCs/>
          <w:color w:val="auto"/>
          <w:sz w:val="20"/>
          <w:szCs w:val="20"/>
        </w:rPr>
      </w:pPr>
    </w:p>
    <w:p w14:paraId="20440D29" w14:textId="65014E0C" w:rsidR="003E573C" w:rsidRPr="00786010" w:rsidRDefault="00786010" w:rsidP="00786010">
      <w:pPr>
        <w:jc w:val="both"/>
        <w:rPr>
          <w:rFonts w:cs="Arial"/>
          <w:szCs w:val="20"/>
        </w:rPr>
      </w:pPr>
      <w:r w:rsidRPr="00786010">
        <w:rPr>
          <w:rFonts w:cs="Arial"/>
          <w:bCs/>
          <w:szCs w:val="20"/>
        </w:rPr>
        <w:t>Given that the Taxonomy Regulation is a transparency tool, rather than an obligation to invest a minimum % of assets in certain categories, we do not consider it appropriate to demand “justification” for any decisions not to invest in taxonomy compliant activities.</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52ECE256" w14:textId="77777777" w:rsidR="001D633E" w:rsidRPr="0032022F" w:rsidRDefault="001D633E" w:rsidP="001D633E">
      <w:pPr>
        <w:jc w:val="both"/>
        <w:rPr>
          <w:rFonts w:cs="Arial"/>
          <w:szCs w:val="20"/>
        </w:rPr>
      </w:pPr>
      <w:permStart w:id="221670941" w:edGrp="everyone"/>
      <w:r w:rsidRPr="0032022F">
        <w:rPr>
          <w:rFonts w:cs="Arial"/>
          <w:szCs w:val="20"/>
        </w:rPr>
        <w:t>There are some uncertainties about the scope of application of the TR and its RTS.</w:t>
      </w:r>
    </w:p>
    <w:p w14:paraId="64B3EAA3" w14:textId="77777777" w:rsidR="001D633E" w:rsidRPr="0032022F" w:rsidRDefault="001D633E" w:rsidP="001D633E">
      <w:pPr>
        <w:jc w:val="both"/>
        <w:rPr>
          <w:rFonts w:cs="Arial"/>
          <w:szCs w:val="20"/>
        </w:rPr>
      </w:pPr>
    </w:p>
    <w:p w14:paraId="0A4368BF" w14:textId="653D508B" w:rsidR="003E573C" w:rsidRPr="0032022F" w:rsidRDefault="001D633E" w:rsidP="001D633E">
      <w:pPr>
        <w:jc w:val="both"/>
        <w:rPr>
          <w:rFonts w:cs="Arial"/>
          <w:szCs w:val="20"/>
        </w:rPr>
      </w:pPr>
      <w:r w:rsidRPr="0032022F">
        <w:rPr>
          <w:rFonts w:cs="Arial"/>
          <w:szCs w:val="20"/>
        </w:rPr>
        <w:t xml:space="preserve">Our understanding is that FMPs offering SFDR art. 8 products that promote environmental characteristics and include </w:t>
      </w:r>
      <w:proofErr w:type="gramStart"/>
      <w:r w:rsidRPr="0032022F">
        <w:rPr>
          <w:rFonts w:cs="Arial"/>
          <w:szCs w:val="20"/>
        </w:rPr>
        <w:t>partially-sustainable</w:t>
      </w:r>
      <w:proofErr w:type="gramEnd"/>
      <w:r w:rsidRPr="0032022F">
        <w:rPr>
          <w:rFonts w:cs="Arial"/>
          <w:szCs w:val="20"/>
        </w:rPr>
        <w:t xml:space="preserve"> investments in the portfolio and art. 9 products that have an environmental objective fall within the scope of the Taxonomy. They should therefore apply the Taxonomy to indicate which of the 6 environmental objectives (as per art. 9 TR) are being considered (art. 5.a.1 TR) and what proportion of the portfolio is aligned with the taxonomy (as described in art. 3 TR). In our opinion, this approach leads to a very complex “layering” of the classification, not easy to understand for the final investor. In this context, the use of percentages to indicate alignment with the taxonomy is not always appropriate and could be misleading.</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2" w:name="_Hlk18829484"/>
      <w:r>
        <w:t xml:space="preserve">: </w:t>
      </w:r>
      <w:bookmarkEnd w:id="2"/>
      <w:r w:rsidR="001969F6" w:rsidRPr="001969F6">
        <w:t xml:space="preserve">The draft RTS propose unified pre-contractual and periodic templates applicable to all Article 8 and 9 SFDR products (including Article 5 and 6 TR products which are a sub-set of Article 8 and 9 SFDR products). Do you believe it would be preferable to have separate pre-contractual </w:t>
      </w:r>
      <w:r w:rsidR="001969F6" w:rsidRPr="001969F6">
        <w:lastRenderedPageBreak/>
        <w:t>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20EF21A3" w:rsidR="003E573C" w:rsidRPr="007D03B6" w:rsidRDefault="007D03B6" w:rsidP="007D03B6">
      <w:pPr>
        <w:jc w:val="both"/>
        <w:rPr>
          <w:rFonts w:cs="Arial"/>
          <w:szCs w:val="20"/>
        </w:rPr>
      </w:pPr>
      <w:bookmarkStart w:id="3" w:name="_Hlk66781674"/>
      <w:permStart w:id="610013876" w:edGrp="everyone"/>
      <w:r w:rsidRPr="007D03B6">
        <w:rPr>
          <w:rFonts w:cs="Arial"/>
          <w:szCs w:val="20"/>
        </w:rPr>
        <w:t>F</w:t>
      </w:r>
      <w:r w:rsidRPr="007D03B6">
        <w:rPr>
          <w:rFonts w:cs="Arial"/>
          <w:bCs/>
          <w:szCs w:val="20"/>
        </w:rPr>
        <w:t>rom a theoretical point of view, it is reasonable to propose unified pre-contractual and periodic templates applicable to all Article 8 and 9 SFDR financial products. But, in terms of feasibility, the availability of clear criteria and data to qualify and report all the different types of sustainable investment is essential. If this is not the case, very few sections/parts of the proposed templates could be completed.</w:t>
      </w:r>
    </w:p>
    <w:bookmarkEnd w:id="3"/>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07B422D7" w:rsidR="003E573C" w:rsidRPr="00313BC7" w:rsidRDefault="00313BC7" w:rsidP="00313BC7">
      <w:pPr>
        <w:jc w:val="both"/>
        <w:rPr>
          <w:rFonts w:cs="Arial"/>
          <w:szCs w:val="20"/>
        </w:rPr>
      </w:pPr>
      <w:permStart w:id="790175202" w:edGrp="everyone"/>
      <w:r w:rsidRPr="00313BC7">
        <w:rPr>
          <w:szCs w:val="20"/>
        </w:rPr>
        <w:t xml:space="preserve">We </w:t>
      </w:r>
      <w:r w:rsidRPr="00313BC7">
        <w:rPr>
          <w:bCs/>
          <w:szCs w:val="20"/>
        </w:rPr>
        <w:t>believe that the regulations should state clearly how to identify sustainable investments in relation to all 6 environmental objectives (</w:t>
      </w:r>
      <w:proofErr w:type="gramStart"/>
      <w:r w:rsidRPr="00313BC7">
        <w:rPr>
          <w:bCs/>
          <w:szCs w:val="20"/>
        </w:rPr>
        <w:t>at the moment</w:t>
      </w:r>
      <w:proofErr w:type="gramEnd"/>
      <w:r w:rsidRPr="00313BC7">
        <w:rPr>
          <w:bCs/>
          <w:szCs w:val="20"/>
        </w:rPr>
        <w:t>, only mitigation and adaptation are included in the Taxonomy) and to the social objectives as well. We know that the Platform for Sustainable Finance is committed to issuing its first proposal for a social Taxonomy before the end of this year. Therefore, we foresee – sometime in the future - having a clear and common tool (delegated act) for the identification of socially-sustainable investments. While recognising the importance of this category of sustainable investment (already part of the product palette and initiatives of many EU and Italian banks), we highlight again the data gap issue (in part depending on the absence of the Taxonomy) and the absolute necessity to give banks a reasonable period to implement all their processes, before making anything compulsory in terms of disclosure.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D2213" w14:textId="77777777" w:rsidR="00A84FB5" w:rsidRDefault="00A84FB5">
      <w:r>
        <w:separator/>
      </w:r>
    </w:p>
    <w:p w14:paraId="26510D58" w14:textId="77777777" w:rsidR="00A84FB5" w:rsidRDefault="00A84FB5"/>
  </w:endnote>
  <w:endnote w:type="continuationSeparator" w:id="0">
    <w:p w14:paraId="6BD5232D" w14:textId="77777777" w:rsidR="00A84FB5" w:rsidRDefault="00A84FB5">
      <w:r>
        <w:continuationSeparator/>
      </w:r>
    </w:p>
    <w:p w14:paraId="6AB36CEE" w14:textId="77777777" w:rsidR="00A84FB5" w:rsidRDefault="00A84FB5"/>
  </w:endnote>
  <w:endnote w:type="continuationNotice" w:id="1">
    <w:p w14:paraId="06166029" w14:textId="77777777" w:rsidR="00A84FB5" w:rsidRDefault="00A84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C9A2" w14:textId="77777777" w:rsidR="00A84FB5" w:rsidRDefault="00A84FB5">
      <w:r>
        <w:separator/>
      </w:r>
    </w:p>
    <w:p w14:paraId="38C31116" w14:textId="77777777" w:rsidR="00A84FB5" w:rsidRDefault="00A84FB5"/>
  </w:footnote>
  <w:footnote w:type="continuationSeparator" w:id="0">
    <w:p w14:paraId="184C11EB" w14:textId="77777777" w:rsidR="00A84FB5" w:rsidRDefault="00A84FB5">
      <w:r>
        <w:continuationSeparator/>
      </w:r>
    </w:p>
    <w:p w14:paraId="3958184C" w14:textId="77777777" w:rsidR="00A84FB5" w:rsidRDefault="00A84FB5"/>
  </w:footnote>
  <w:footnote w:type="continuationNotice" w:id="1">
    <w:p w14:paraId="0327F69A" w14:textId="77777777" w:rsidR="00A84FB5" w:rsidRDefault="00A84FB5"/>
  </w:footnote>
  <w:footnote w:id="2">
    <w:p w14:paraId="52F26208" w14:textId="77777777" w:rsidR="00197794" w:rsidRDefault="00197794" w:rsidP="00197794">
      <w:pPr>
        <w:pStyle w:val="Testonotaapidipagina"/>
      </w:pPr>
      <w:r>
        <w:rPr>
          <w:rStyle w:val="Rimandonotaapidipagina"/>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Intestazione"/>
    </w:pPr>
    <w:r>
      <w:rPr>
        <w:noProof/>
        <w:lang w:eastAsia="en-GB"/>
      </w:rPr>
      <w:drawing>
        <wp:inline distT="0" distB="0" distL="0" distR="0" wp14:anchorId="5DFA0AC9" wp14:editId="5C7CBA1A">
          <wp:extent cx="5575935" cy="54800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Intestazione"/>
      <w:jc w:val="right"/>
    </w:pPr>
    <w:r>
      <w:rPr>
        <w:noProof/>
        <w:lang w:eastAsia="en-GB"/>
      </w:rPr>
      <w:drawing>
        <wp:inline distT="0" distB="0" distL="0" distR="0" wp14:anchorId="43043680" wp14:editId="13AB93FC">
          <wp:extent cx="5575935" cy="548005"/>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10"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Intestazione"/>
      <w:rPr>
        <w:lang w:val="fr-FR"/>
      </w:rPr>
    </w:pPr>
  </w:p>
  <w:p w14:paraId="6A3CB0F8" w14:textId="77777777" w:rsidR="00811EDA" w:rsidRPr="002F4496" w:rsidRDefault="00811EDA" w:rsidP="000C06C9">
    <w:pPr>
      <w:pStyle w:val="Intestazione"/>
      <w:tabs>
        <w:tab w:val="clear" w:pos="4536"/>
        <w:tab w:val="clear" w:pos="9072"/>
        <w:tab w:val="left" w:pos="8227"/>
      </w:tabs>
      <w:rPr>
        <w:lang w:val="fr-FR"/>
      </w:rPr>
    </w:pPr>
  </w:p>
  <w:p w14:paraId="6A3CB0F9" w14:textId="77777777" w:rsidR="00811EDA" w:rsidRPr="002F4496" w:rsidRDefault="00811EDA" w:rsidP="000C06C9">
    <w:pPr>
      <w:pStyle w:val="Intestazione"/>
      <w:tabs>
        <w:tab w:val="clear" w:pos="4536"/>
        <w:tab w:val="clear" w:pos="9072"/>
        <w:tab w:val="left" w:pos="8227"/>
      </w:tabs>
      <w:rPr>
        <w:lang w:val="fr-FR"/>
      </w:rPr>
    </w:pPr>
  </w:p>
  <w:p w14:paraId="6A3CB0FA" w14:textId="77777777" w:rsidR="00811EDA" w:rsidRPr="002F4496" w:rsidRDefault="00811EDA">
    <w:pPr>
      <w:pStyle w:val="Intestazione"/>
      <w:rPr>
        <w:lang w:val="fr-FR"/>
      </w:rPr>
    </w:pPr>
  </w:p>
  <w:p w14:paraId="6A3CB0FB" w14:textId="77777777" w:rsidR="00811EDA" w:rsidRPr="002F4496" w:rsidRDefault="00811EDA">
    <w:pPr>
      <w:pStyle w:val="Intestazione"/>
      <w:rPr>
        <w:lang w:val="fr-FR"/>
      </w:rPr>
    </w:pPr>
  </w:p>
  <w:p w14:paraId="6A3CB0FC" w14:textId="77777777" w:rsidR="00811EDA" w:rsidRPr="002F4496" w:rsidRDefault="00811EDA">
    <w:pPr>
      <w:pStyle w:val="Intestazione"/>
      <w:rPr>
        <w:lang w:val="fr-FR"/>
      </w:rPr>
    </w:pPr>
  </w:p>
  <w:p w14:paraId="6A3CB0FD" w14:textId="77777777" w:rsidR="00811EDA" w:rsidRPr="002F4496" w:rsidRDefault="00811EDA">
    <w:pPr>
      <w:pStyle w:val="Intestazione"/>
      <w:rPr>
        <w:lang w:val="fr-FR"/>
      </w:rPr>
    </w:pPr>
  </w:p>
  <w:p w14:paraId="6A3CB0FE" w14:textId="77777777" w:rsidR="00811EDA" w:rsidRPr="002F4496" w:rsidRDefault="00811EDA">
    <w:pPr>
      <w:pStyle w:val="Intestazione"/>
      <w:rPr>
        <w:highlight w:val="yellow"/>
        <w:lang w:val="fr-FR"/>
      </w:rPr>
    </w:pPr>
  </w:p>
  <w:p w14:paraId="6A3CB0FF" w14:textId="05D5FF53" w:rsidR="00811EDA" w:rsidRDefault="00DE66EB">
    <w:pPr>
      <w:pStyle w:val="Intestazion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06EB0"/>
    <w:multiLevelType w:val="hybridMultilevel"/>
    <w:tmpl w:val="57304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552EEB"/>
    <w:multiLevelType w:val="hybridMultilevel"/>
    <w:tmpl w:val="6D168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3E6D41"/>
    <w:multiLevelType w:val="hybridMultilevel"/>
    <w:tmpl w:val="DB8C0E06"/>
    <w:lvl w:ilvl="0" w:tplc="F914191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3EF62970"/>
    <w:multiLevelType w:val="hybridMultilevel"/>
    <w:tmpl w:val="82EAD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E9002F"/>
    <w:multiLevelType w:val="hybridMultilevel"/>
    <w:tmpl w:val="DD3CC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C34AA"/>
    <w:multiLevelType w:val="hybridMultilevel"/>
    <w:tmpl w:val="326A6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3"/>
  </w:num>
  <w:num w:numId="3">
    <w:abstractNumId w:val="14"/>
  </w:num>
  <w:num w:numId="4">
    <w:abstractNumId w:val="30"/>
  </w:num>
  <w:num w:numId="5">
    <w:abstractNumId w:val="33"/>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8"/>
  </w:num>
  <w:num w:numId="15">
    <w:abstractNumId w:val="10"/>
  </w:num>
  <w:num w:numId="16">
    <w:abstractNumId w:val="1"/>
  </w:num>
  <w:num w:numId="17">
    <w:abstractNumId w:val="17"/>
  </w:num>
  <w:num w:numId="18">
    <w:abstractNumId w:val="18"/>
  </w:num>
  <w:num w:numId="19">
    <w:abstractNumId w:val="20"/>
  </w:num>
  <w:num w:numId="20">
    <w:abstractNumId w:val="34"/>
  </w:num>
  <w:num w:numId="21">
    <w:abstractNumId w:val="43"/>
  </w:num>
  <w:num w:numId="22">
    <w:abstractNumId w:val="32"/>
  </w:num>
  <w:num w:numId="23">
    <w:abstractNumId w:val="9"/>
  </w:num>
  <w:num w:numId="24">
    <w:abstractNumId w:val="37"/>
  </w:num>
  <w:num w:numId="25">
    <w:abstractNumId w:val="36"/>
  </w:num>
  <w:num w:numId="26">
    <w:abstractNumId w:val="24"/>
  </w:num>
  <w:num w:numId="27">
    <w:abstractNumId w:val="40"/>
  </w:num>
  <w:num w:numId="28">
    <w:abstractNumId w:val="45"/>
  </w:num>
  <w:num w:numId="29">
    <w:abstractNumId w:val="6"/>
  </w:num>
  <w:num w:numId="30">
    <w:abstractNumId w:val="2"/>
  </w:num>
  <w:num w:numId="31">
    <w:abstractNumId w:val="27"/>
  </w:num>
  <w:num w:numId="32">
    <w:abstractNumId w:val="25"/>
  </w:num>
  <w:num w:numId="33">
    <w:abstractNumId w:val="42"/>
  </w:num>
  <w:num w:numId="34">
    <w:abstractNumId w:val="41"/>
  </w:num>
  <w:num w:numId="35">
    <w:abstractNumId w:val="11"/>
  </w:num>
  <w:num w:numId="36">
    <w:abstractNumId w:val="13"/>
  </w:num>
  <w:num w:numId="37">
    <w:abstractNumId w:val="15"/>
  </w:num>
  <w:num w:numId="38">
    <w:abstractNumId w:val="31"/>
  </w:num>
  <w:num w:numId="39">
    <w:abstractNumId w:val="26"/>
  </w:num>
  <w:num w:numId="40">
    <w:abstractNumId w:val="22"/>
  </w:num>
  <w:num w:numId="41">
    <w:abstractNumId w:val="21"/>
  </w:num>
  <w:num w:numId="42">
    <w:abstractNumId w:val="29"/>
  </w:num>
  <w:num w:numId="43">
    <w:abstractNumId w:val="8"/>
  </w:num>
  <w:num w:numId="44">
    <w:abstractNumId w:val="3"/>
  </w:num>
  <w:num w:numId="4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143E"/>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33E"/>
    <w:rsid w:val="001D6401"/>
    <w:rsid w:val="001D66C9"/>
    <w:rsid w:val="001D722A"/>
    <w:rsid w:val="001E04FC"/>
    <w:rsid w:val="001E407D"/>
    <w:rsid w:val="001E40FB"/>
    <w:rsid w:val="001E66EC"/>
    <w:rsid w:val="001E68C5"/>
    <w:rsid w:val="001F0F63"/>
    <w:rsid w:val="001F2E51"/>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3BC7"/>
    <w:rsid w:val="00314013"/>
    <w:rsid w:val="00314945"/>
    <w:rsid w:val="00315389"/>
    <w:rsid w:val="00315746"/>
    <w:rsid w:val="00315895"/>
    <w:rsid w:val="00315E96"/>
    <w:rsid w:val="00317FC8"/>
    <w:rsid w:val="0032022F"/>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3D2"/>
    <w:rsid w:val="003F29B4"/>
    <w:rsid w:val="003F2E45"/>
    <w:rsid w:val="003F3EFE"/>
    <w:rsid w:val="003F40B8"/>
    <w:rsid w:val="003F414E"/>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5334"/>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DF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74BF"/>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010"/>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3B6"/>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2328"/>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0D8B"/>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4FB5"/>
    <w:rsid w:val="00A85226"/>
    <w:rsid w:val="00A85543"/>
    <w:rsid w:val="00A8728B"/>
    <w:rsid w:val="00A90076"/>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D7B1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4570"/>
    <w:rsid w:val="00C651D4"/>
    <w:rsid w:val="00C6669E"/>
    <w:rsid w:val="00C66DC7"/>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E6"/>
    <w:rsid w:val="00D07AFD"/>
    <w:rsid w:val="00D11749"/>
    <w:rsid w:val="00D12A7D"/>
    <w:rsid w:val="00D13AB0"/>
    <w:rsid w:val="00D1519E"/>
    <w:rsid w:val="00D152B7"/>
    <w:rsid w:val="00D16EDC"/>
    <w:rsid w:val="00D17FDE"/>
    <w:rsid w:val="00D201CB"/>
    <w:rsid w:val="00D22786"/>
    <w:rsid w:val="00D228B4"/>
    <w:rsid w:val="00D25AC4"/>
    <w:rsid w:val="00D303E3"/>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33E4"/>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06F"/>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2CA"/>
    <w:rsid w:val="00F9580B"/>
    <w:rsid w:val="00F95F15"/>
    <w:rsid w:val="00F975CA"/>
    <w:rsid w:val="00FA0B60"/>
    <w:rsid w:val="00FA2528"/>
    <w:rsid w:val="00FA342F"/>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1B9D"/>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uiPriority w:val="99"/>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7118EB"/>
    <w:rPr>
      <w:rFonts w:asciiTheme="minorHAnsi" w:eastAsiaTheme="minorEastAsia" w:hAnsiTheme="minorHAnsi" w:cstheme="minorBidi"/>
      <w:b/>
      <w:sz w:val="22"/>
      <w:lang w:eastAsia="en-US"/>
    </w:rPr>
  </w:style>
  <w:style w:type="paragraph" w:styleId="Sottotitolo">
    <w:name w:val="Subtitle"/>
    <w:basedOn w:val="Normale"/>
    <w:next w:val="Normale"/>
    <w:link w:val="SottotitoloCarattere"/>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ttotitoloCarattere">
    <w:name w:val="Sottotitolo Carattere"/>
    <w:basedOn w:val="Carpredefinitoparagrafo"/>
    <w:link w:val="Sottotito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foelenco"/>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Carpredefinitopara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Carpredefinitoparagrafo"/>
    <w:link w:val="myNormal0"/>
    <w:locked/>
    <w:rsid w:val="00AF38AF"/>
    <w:rPr>
      <w:rFonts w:ascii="Georgia" w:hAnsi="Georgia"/>
      <w:lang w:eastAsia="de-DE"/>
    </w:rPr>
  </w:style>
  <w:style w:type="paragraph" w:customStyle="1" w:styleId="myNormal0">
    <w:name w:val="myNormal"/>
    <w:basedOn w:val="Normale"/>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foelenco"/>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e"/>
    <w:link w:val="Rimandonotaapidipagina"/>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Capitolo">
    <w:name w:val="Capitolo"/>
    <w:basedOn w:val="Normale"/>
    <w:rsid w:val="00DB33E4"/>
    <w:pPr>
      <w:suppressAutoHyphens/>
      <w:jc w:val="both"/>
    </w:pPr>
    <w:rPr>
      <w:rFonts w:ascii="Verdana" w:hAnsi="Verdana"/>
      <w:b/>
      <w:snapToGrid w:val="0"/>
      <w:color w:val="002F63"/>
      <w:sz w:val="2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5.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3685</Words>
  <Characters>20690</Characters>
  <Application>Microsoft Office Word</Application>
  <DocSecurity>8</DocSecurity>
  <Lines>383</Lines>
  <Paragraphs>151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24224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Michela Costa</cp:lastModifiedBy>
  <cp:revision>25</cp:revision>
  <cp:lastPrinted>2015-02-18T11:01:00Z</cp:lastPrinted>
  <dcterms:created xsi:type="dcterms:W3CDTF">2021-05-11T13:51:00Z</dcterms:created>
  <dcterms:modified xsi:type="dcterms:W3CDTF">2021-05-12T09:13:00Z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