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SubtleEmphasis"/>
          <w:b w:val="0"/>
          <w:bCs/>
          <w:sz w:val="22"/>
        </w:rPr>
      </w:pPr>
      <w:r w:rsidRPr="005F6BE3">
        <w:rPr>
          <w:rStyle w:val="SubtleEmphasis"/>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SubtleEmphasis"/>
          <w:b w:val="0"/>
          <w:bCs/>
          <w:sz w:val="22"/>
        </w:rPr>
        <w:t xml:space="preserve"> </w:t>
      </w:r>
      <w:r w:rsidR="00754AC4"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03F3D16A" w:rsidR="00197794" w:rsidRP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under the heading ‘Your input - Consultations’ by</w:t>
      </w:r>
      <w:r w:rsidR="005F6BE3">
        <w:rPr>
          <w:rStyle w:val="SubtleEmphasis"/>
          <w:b w:val="0"/>
          <w:sz w:val="22"/>
        </w:rPr>
        <w:t xml:space="preserve"> </w:t>
      </w:r>
      <w:r w:rsidR="00AA1B9D">
        <w:rPr>
          <w:rStyle w:val="SubtleEmphasis"/>
          <w:b w:val="0"/>
          <w:sz w:val="22"/>
        </w:rPr>
        <w:t>12 May 2021</w:t>
      </w:r>
      <w:r w:rsidRPr="00197794">
        <w:rPr>
          <w:rStyle w:val="SubtleEmphasis"/>
          <w:b w:val="0"/>
          <w:sz w:val="22"/>
        </w:rPr>
        <w:t>.</w:t>
      </w:r>
    </w:p>
    <w:p w14:paraId="2481E1E6" w14:textId="67CDDA3F" w:rsid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027FF89F" w:rsidR="00B327E9" w:rsidRPr="00AB6D88" w:rsidRDefault="00D71DE3" w:rsidP="00F136AD">
                <w:pPr>
                  <w:rPr>
                    <w:rStyle w:val="PlaceholderText"/>
                    <w:rFonts w:cs="Arial"/>
                  </w:rPr>
                </w:pPr>
                <w:r>
                  <w:rPr>
                    <w:rStyle w:val="PlaceholderText"/>
                    <w:rFonts w:cs="Arial"/>
                  </w:rPr>
                  <w:t xml:space="preserve">Invesco </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419BFB16" w:rsidR="00B327E9" w:rsidRPr="00AB6D88" w:rsidRDefault="00A662FE"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71DE3">
                  <w:rPr>
                    <w:rFonts w:cs="Arial"/>
                  </w:rPr>
                  <w:t>Investment Services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1B675611" w:rsidR="00B327E9" w:rsidRPr="00AB6D88" w:rsidRDefault="00281E71"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759F1D95" w:rsidR="00B327E9" w:rsidRPr="00AB6D88" w:rsidRDefault="00D71DE3" w:rsidP="00F136AD">
                <w:pPr>
                  <w:rPr>
                    <w:rFonts w:cs="Arial"/>
                  </w:rPr>
                </w:pPr>
                <w:r>
                  <w:rPr>
                    <w:rFonts w:cs="Arial"/>
                  </w:rPr>
                  <w:t>International</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05DEB0B8" w14:textId="521CC90F" w:rsidR="00D71DE3" w:rsidRDefault="00D71DE3" w:rsidP="00D71DE3">
      <w:permStart w:id="411981036" w:edGrp="everyone"/>
      <w:r>
        <w:t>Invesco welcomes the opportunity to comment on the ESAs’ draft RTS on Taxonomy-aligned disclosures under SFDR. In addition to the more specific responses to the questions posed by the ESAs below, we would like to make three high-level remarks that we believe need to be considered in developing these RTS:</w:t>
      </w:r>
    </w:p>
    <w:p w14:paraId="4B2E42C2" w14:textId="77777777" w:rsidR="00D71DE3" w:rsidRDefault="00D71DE3" w:rsidP="00D71DE3"/>
    <w:p w14:paraId="48C3E3FE" w14:textId="77777777" w:rsidR="00D71DE3" w:rsidRDefault="00D71DE3" w:rsidP="00D71DE3">
      <w:r>
        <w:t>1.</w:t>
      </w:r>
      <w:r>
        <w:tab/>
        <w:t xml:space="preserve">Coherence and consistency with broader sustainable finance regulation: these product-level disclosures are part of a much wider package of regulations and it is therefore essential that consistency and coherence is maintained across the board. In particular, we believe that the approach suggested in some parts of this RTS could be better aligned with the approach proposed under the TR Article 8 disclosures for investee companies and asset managers, as well as the proposed eco-label for green investment products currently under development. </w:t>
      </w:r>
    </w:p>
    <w:p w14:paraId="1E0E671C" w14:textId="77777777" w:rsidR="00D71DE3" w:rsidRDefault="00D71DE3" w:rsidP="00D71DE3"/>
    <w:p w14:paraId="29965CDD" w14:textId="77777777" w:rsidR="00D71DE3" w:rsidRDefault="00D71DE3" w:rsidP="00D71DE3">
      <w:r>
        <w:t>2.</w:t>
      </w:r>
      <w:r>
        <w:tab/>
        <w:t xml:space="preserve">Qualitative disclosures on the Taxonomy: we believe that the ESAs approach places too much of a focus on the Taxonomy KPI, to the detriment of more qualitative information that investors may find more useful or meaningful. </w:t>
      </w:r>
      <w:proofErr w:type="gramStart"/>
      <w:r>
        <w:t>In particular, when</w:t>
      </w:r>
      <w:proofErr w:type="gramEnd"/>
      <w:r>
        <w:t xml:space="preserve"> we compare these proposed disclosures with those set under for Article 8 disclosures under the Taxonomy, the Article 8 disclosures, in our view rightly, ensure that corporate can contextualise the KPIs on which they report. We believe that a similar logic should apply to the product-level disclosures and should allow product providers to provide more context as to how they integrate the Taxonomy into their investment process. For example, a product provider may wish to set out how they are investing in companies that don’t yet meet the Taxonomy thresholds but are actively undertaking steps to transition and therefore are expected to become Taxonomy-aligned over time or they may wish to demonstrate how they are actively engaging with companies to encourage them to increase their Taxonomy-alignment over time. </w:t>
      </w:r>
    </w:p>
    <w:p w14:paraId="08754CE6" w14:textId="77777777" w:rsidR="00D71DE3" w:rsidRDefault="00D71DE3" w:rsidP="00D71DE3"/>
    <w:p w14:paraId="1713D964" w14:textId="77777777" w:rsidR="00D71DE3" w:rsidRDefault="00D71DE3" w:rsidP="00D71DE3">
      <w:r>
        <w:t>3.</w:t>
      </w:r>
      <w:r>
        <w:tab/>
        <w:t xml:space="preserve">Scope and treatment of non-Taxonomy-aligned investments: The EU Taxonomy is but one tool that can be used to measure sustainable investments, which is defined more broadly under the SFDR, as well as those making use of the Climate Transition Benchmarks and Paris-Aligned Benchmarks under Article 9(3). As of today, the Taxonomy remains limited to climate change mitigation and adaptation and will only over time be expanded to include other environmental objectives. Product providers are likely to utilise a broader range of frameworks for assessing sustainable investments, such as the Sustainable Development Goals or in-house sustainability frameworks, which should not be de-legitimised in the eyes of investors. While we broadly agree with the ESAs’ approach to the scope of products that should be required to comply with these additional Taxonomy-related disclosures, we believe that some of the proposed wording is too heavily focused on the Taxonomy as the sole tool to assess sustainability, and needs to be revised to be made more neutral towards other approaches which meet the definition of a sustainable investment under SFDR or making use of CTB/PAB benchmarks. We would also suggest that product providers report on what percentage of the portfolio is Taxonomy eligible as well as aligned, since there are likely to be significant proportions of the portfolio that are ineligible for the Taxonomy. </w:t>
      </w:r>
    </w:p>
    <w:p w14:paraId="6F878FE4" w14:textId="77777777" w:rsidR="00D71DE3" w:rsidRDefault="00D71DE3" w:rsidP="00D71DE3"/>
    <w:p w14:paraId="3EA8115E" w14:textId="77777777" w:rsidR="00D71DE3" w:rsidRDefault="00D71DE3" w:rsidP="00D71DE3">
      <w:r>
        <w:t>4.</w:t>
      </w:r>
      <w:r>
        <w:tab/>
        <w:t xml:space="preserve">Addressing data gaps: a key challenge for the industry in implementing these new requirements will be the lack of reliable Taxonomy-aligned information available. While investee companies subject to the Taxonomy will be required to disclose such information, there is a timing mismatch between the entry </w:t>
      </w:r>
      <w:r>
        <w:lastRenderedPageBreak/>
        <w:t xml:space="preserve">into effect of these product disclosures and the timing of reporting by the investee companies. This will be exacerbated by the most recent Delegated Acts proposed by the European Commission, which proposes that companies only report on the percentage of Taxonomy-eligible activities in 2022 and only report their Taxonomy-aligned KPIs from 2023 onwards. Even once these obligations take effect, only a subset of the investment universe will be subject to the mandatory Taxonomy reporting requirements, leaving investors with significant data gaps that they will be required to address in order to report against this framework. This challenge is only aggravated by the fact that, as of today, the Delegated Acts specifying which economic activities qualify as environmentally sustainable under the Taxonomy have yet to be finalised and then only for climate change, with the other environmental objectives yet to be defined. This means that any systems which tries to model such data cannot yet be built. Beyond the operational challenges this represents, this raises serious questions for investor protection, since the reliability of these disclosures and the underlying data could give a misleading view to investors as to the environmental sustainability of a product. As highlighted in ESMA’s earlier report on TR Article 8 disclosures for asset managers, product providers will need to rely on estimations and modelled data in order to provide Taxonomy-aligned reporting given the significant proportion of investments that will not be providing Taxonomy-aligned reporting under NFRD. We believe that to address any potential concerns regarding greenwashing, product providers should disclose what percentage of the data is based on publicly reported information and what percentage is based on modelled data or estimations. </w:t>
      </w:r>
    </w:p>
    <w:p w14:paraId="50AF2095" w14:textId="77777777" w:rsidR="00D71DE3" w:rsidRDefault="00D71DE3" w:rsidP="00D71DE3"/>
    <w:p w14:paraId="6A3CB061" w14:textId="4FA63E84" w:rsidR="00B327E9" w:rsidRDefault="00D71DE3" w:rsidP="00D71DE3">
      <w:r>
        <w:t>5.</w:t>
      </w:r>
      <w:r>
        <w:tab/>
        <w:t xml:space="preserve">Implementing sequencing and phase-in: As set out above, there are significant challenges in terms of complying with the Taxonomy-related reporting in light of the lack of reliable data from investee companies, which will not be available until 2023 under the most recent proposals by the European Commission. We believe that until such data is made available by investee companies under Article 8 of the Taxonomy, product providers should only be required to disclose qualitative information regarding how they contribute to the environmental objectives set out in the Taxonomy but should not be required to make quantitative disclosures on the Taxonomy KPI until such time as there is sufficient data to make such disclosures meaningful, which is unlikely until 2024.  </w:t>
      </w:r>
    </w:p>
    <w:permEnd w:id="411981036"/>
    <w:p w14:paraId="6A3CB062" w14:textId="67968787" w:rsidR="00B327E9" w:rsidRPr="00BF28DA" w:rsidRDefault="00B327E9" w:rsidP="00B327E9">
      <w:r w:rsidRPr="00BF28DA">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0A9CBEE9" w14:textId="77777777" w:rsidR="00057042" w:rsidRPr="00057042" w:rsidRDefault="00057042" w:rsidP="00057042">
      <w:pPr>
        <w:rPr>
          <w:rFonts w:cs="Arial"/>
        </w:rPr>
      </w:pPr>
      <w:permStart w:id="1221819945" w:edGrp="everyone"/>
      <w:r w:rsidRPr="00057042">
        <w:rPr>
          <w:rFonts w:cs="Arial"/>
        </w:rPr>
        <w:t xml:space="preserve">While we are in principle supportive of having a unified set of rules that can ensure that product disclosures are consistent and coherent for investors, our primary concern in relation to the proposed approach by the ESAs would be in respect of the timing implications of such an approach. As set out by the ESAs in the consultation, the proposed combined RTS would only be finalised towards the end of June or early July. Given the need for the RTS to be adopted by the European Commission and then subject to scrutiny by the co-legislators of threefor3 months, the final RTS may not appear in the Official Journal until October, leaving very little time for the industry to prepare for the entry in to force for the RTS. </w:t>
      </w:r>
    </w:p>
    <w:p w14:paraId="3A54A71E" w14:textId="77777777" w:rsidR="00057042" w:rsidRPr="00057042" w:rsidRDefault="00057042" w:rsidP="00057042">
      <w:pPr>
        <w:rPr>
          <w:rFonts w:cs="Arial"/>
        </w:rPr>
      </w:pPr>
    </w:p>
    <w:p w14:paraId="5C9C05C2" w14:textId="77777777" w:rsidR="00057042" w:rsidRPr="00057042" w:rsidRDefault="00057042" w:rsidP="00057042">
      <w:pPr>
        <w:rPr>
          <w:rFonts w:cs="Arial"/>
        </w:rPr>
      </w:pPr>
      <w:r w:rsidRPr="00057042">
        <w:rPr>
          <w:rFonts w:cs="Arial"/>
        </w:rPr>
        <w:t xml:space="preserve">Given that these additional Taxonomy-aligned disclosures only apply to a subset of Article 8 and Article 9 products, we would advise against delaying the adoption of the existing RTS by attempting to combine the two sets of rules, to ensure that the wider population of Article 8 and 9 funds have sufficient time to prepare the required disclosures in time for January 2022. </w:t>
      </w:r>
    </w:p>
    <w:p w14:paraId="6895D7D7" w14:textId="77777777" w:rsidR="00057042" w:rsidRPr="00057042" w:rsidRDefault="00057042" w:rsidP="00057042">
      <w:pPr>
        <w:rPr>
          <w:rFonts w:cs="Arial"/>
        </w:rPr>
      </w:pPr>
    </w:p>
    <w:p w14:paraId="57863051" w14:textId="56C94573" w:rsidR="00057042" w:rsidRDefault="00057042" w:rsidP="00057042">
      <w:pPr>
        <w:rPr>
          <w:rFonts w:cs="Arial"/>
        </w:rPr>
      </w:pPr>
      <w:r w:rsidRPr="00057042">
        <w:rPr>
          <w:rFonts w:cs="Arial"/>
        </w:rPr>
        <w:t>As per our introductory comments above, in light of the lack of final rules on Taxonomy-alignment and lack of reliable data on which product providers can base these disclosures, we would urge the ESAs to have a phased-in approach to compliance with these revised RTS, based on the following:</w:t>
      </w:r>
    </w:p>
    <w:p w14:paraId="027A39E1" w14:textId="77777777" w:rsidR="00057042" w:rsidRPr="00057042" w:rsidRDefault="00057042" w:rsidP="00057042">
      <w:pPr>
        <w:rPr>
          <w:rFonts w:cs="Arial"/>
        </w:rPr>
      </w:pPr>
    </w:p>
    <w:p w14:paraId="51F86BC4" w14:textId="118DD59E" w:rsidR="00057042" w:rsidRPr="00057042" w:rsidRDefault="00057042" w:rsidP="00057042">
      <w:pPr>
        <w:pStyle w:val="ListParagraph"/>
        <w:numPr>
          <w:ilvl w:val="0"/>
          <w:numId w:val="41"/>
        </w:numPr>
        <w:rPr>
          <w:rFonts w:cs="Arial"/>
        </w:rPr>
      </w:pPr>
      <w:r w:rsidRPr="00057042">
        <w:rPr>
          <w:rFonts w:cs="Arial"/>
        </w:rPr>
        <w:t xml:space="preserve">From 1 January 2022: high-level principles-based compliance, requiring TR Article 5 and 6 funds to set out the environmental objectives to which the product contributes and qualitative disclosures on to what extent they are aligning with the Taxonomy. </w:t>
      </w:r>
    </w:p>
    <w:p w14:paraId="274BE4AB" w14:textId="23214BBB" w:rsidR="00057042" w:rsidRPr="00057042" w:rsidRDefault="00057042" w:rsidP="00057042">
      <w:pPr>
        <w:pStyle w:val="ListParagraph"/>
        <w:numPr>
          <w:ilvl w:val="0"/>
          <w:numId w:val="41"/>
        </w:numPr>
        <w:rPr>
          <w:rFonts w:cs="Arial"/>
        </w:rPr>
      </w:pPr>
      <w:r w:rsidRPr="00057042">
        <w:rPr>
          <w:rFonts w:cs="Arial"/>
        </w:rPr>
        <w:t>From 1 January 2024: Quantitative reporting on the Taxonomy KPI</w:t>
      </w:r>
    </w:p>
    <w:permEnd w:id="1221819945"/>
    <w:p w14:paraId="0F1F4245" w14:textId="694215D1"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31D42CA6" w14:textId="77777777" w:rsidR="00057042" w:rsidRDefault="00057042" w:rsidP="00057042">
      <w:pPr>
        <w:spacing w:line="276" w:lineRule="auto"/>
        <w:ind w:left="222" w:right="228"/>
        <w:jc w:val="both"/>
        <w:rPr>
          <w:iCs/>
        </w:rPr>
      </w:pPr>
      <w:permStart w:id="729947415" w:edGrp="everyone"/>
      <w:r>
        <w:rPr>
          <w:iCs/>
        </w:rPr>
        <w:t xml:space="preserve">While we understand the objective is to have a single Taxonomy alignment number to aid investor comprehension, we do not agree that product providers should have to apply the same approach to all investments made by the financial product, as this is likely to be misleading to investors where it does not match the investment strategy pursued. </w:t>
      </w:r>
    </w:p>
    <w:p w14:paraId="33C1ACEE" w14:textId="77777777" w:rsidR="00057042" w:rsidRDefault="00057042" w:rsidP="00057042">
      <w:pPr>
        <w:spacing w:line="276" w:lineRule="auto"/>
        <w:ind w:left="222" w:right="228"/>
        <w:jc w:val="both"/>
        <w:rPr>
          <w:iCs/>
        </w:rPr>
      </w:pPr>
    </w:p>
    <w:p w14:paraId="2813EB06" w14:textId="77777777" w:rsidR="00057042" w:rsidRDefault="00057042" w:rsidP="00057042">
      <w:pPr>
        <w:spacing w:line="276" w:lineRule="auto"/>
        <w:ind w:left="222" w:right="228"/>
        <w:jc w:val="both"/>
        <w:rPr>
          <w:iCs/>
        </w:rPr>
      </w:pPr>
      <w:r>
        <w:rPr>
          <w:iCs/>
        </w:rPr>
        <w:t xml:space="preserve">When assessing an investee company’s contribution to an environmental objective, it is highly likely that portfolio managers will seek to use a combination of turnover and Capex, depending on the company. For example, turnover is likely to be used to assess “pure green” companies that are already actively commercialising green technologies, while </w:t>
      </w:r>
      <w:proofErr w:type="spellStart"/>
      <w:r>
        <w:rPr>
          <w:iCs/>
        </w:rPr>
        <w:t>CapEx</w:t>
      </w:r>
      <w:proofErr w:type="spellEnd"/>
      <w:r>
        <w:rPr>
          <w:iCs/>
        </w:rPr>
        <w:t xml:space="preserve"> is likely to be more relevant for companies in established sectors that are looking to transition their business to more sustainable activities but have yet to generate significant revenues from these activities. Requiring disclosures on only one of these indicators is therefore likely to give a misleading picture as to the Taxonomy-alignment of the financial product and the basis on which the underlying investments were made. </w:t>
      </w:r>
    </w:p>
    <w:p w14:paraId="1F2C0060" w14:textId="77777777" w:rsidR="00057042" w:rsidRDefault="00057042" w:rsidP="00057042">
      <w:pPr>
        <w:spacing w:line="276" w:lineRule="auto"/>
        <w:ind w:left="222" w:right="228"/>
        <w:jc w:val="both"/>
        <w:rPr>
          <w:iCs/>
        </w:rPr>
      </w:pPr>
    </w:p>
    <w:p w14:paraId="76172961" w14:textId="77777777" w:rsidR="00057042" w:rsidRDefault="00057042" w:rsidP="00057042">
      <w:pPr>
        <w:spacing w:line="276" w:lineRule="auto"/>
        <w:ind w:left="222" w:right="228"/>
        <w:jc w:val="both"/>
        <w:rPr>
          <w:iCs/>
        </w:rPr>
      </w:pPr>
      <w:r>
        <w:rPr>
          <w:iCs/>
        </w:rPr>
        <w:t xml:space="preserve">We would also highlight that adopting such an approach would lead to significant inconsistencies with other areas of EU legislation, most notably the proposed Eco-label, which uses a combined Taxonomy “greenness factor” utilising both turnover and Capex to determine eligibility. </w:t>
      </w:r>
    </w:p>
    <w:p w14:paraId="719B6B84" w14:textId="77777777" w:rsidR="00057042" w:rsidRDefault="00057042" w:rsidP="00057042">
      <w:pPr>
        <w:spacing w:line="276" w:lineRule="auto"/>
        <w:ind w:left="222" w:right="228"/>
        <w:jc w:val="both"/>
        <w:rPr>
          <w:iCs/>
        </w:rPr>
      </w:pPr>
    </w:p>
    <w:p w14:paraId="72789BC3" w14:textId="77777777" w:rsidR="00057042" w:rsidRPr="00A02455" w:rsidRDefault="00057042" w:rsidP="00057042">
      <w:pPr>
        <w:spacing w:line="276" w:lineRule="auto"/>
        <w:ind w:left="222" w:right="228"/>
        <w:jc w:val="both"/>
        <w:rPr>
          <w:iCs/>
        </w:rPr>
      </w:pPr>
      <w:r>
        <w:rPr>
          <w:iCs/>
        </w:rPr>
        <w:t xml:space="preserve">We would therefore suggest that the ESAs align with the eco-label methodology for calculating Taxonomy-alignment or allow product providers to show a combination of KPIs. </w:t>
      </w:r>
    </w:p>
    <w:p w14:paraId="17FC8EF0" w14:textId="77777777" w:rsidR="00057042" w:rsidRDefault="00057042" w:rsidP="00057042">
      <w:pPr>
        <w:spacing w:line="276" w:lineRule="auto"/>
        <w:ind w:left="222" w:right="228"/>
        <w:jc w:val="both"/>
        <w:rPr>
          <w:iCs/>
        </w:rPr>
      </w:pPr>
    </w:p>
    <w:p w14:paraId="4F0453D8" w14:textId="77777777" w:rsidR="00057042" w:rsidRDefault="00057042" w:rsidP="00057042">
      <w:pPr>
        <w:spacing w:line="276" w:lineRule="auto"/>
        <w:ind w:left="222" w:right="228"/>
        <w:jc w:val="both"/>
        <w:rPr>
          <w:iCs/>
        </w:rPr>
      </w:pPr>
      <w:r>
        <w:rPr>
          <w:iCs/>
        </w:rPr>
        <w:t xml:space="preserve">An issue that is not made clear by the ESAs is whether such Taxonomy-alignment should only cover the environmental objective to which the product contributes, or whether the KPI is designed to cover all Taxonomy-aligned investments. For example, should a fund that targets only climate change be reporting only on the extent to which the underlying investments meet the Taxonomy criteria for climate change mitigation or adaptation or should it be reporting a total number of Taxonomy-alignment across all six environmental objectives? We would suggest that only Taxonomy-aligned investments that contribute to the environmental objective of the product should be included, but we would suggest that this should be clarified in the RTS. </w:t>
      </w:r>
    </w:p>
    <w:p w14:paraId="74116A52" w14:textId="77777777" w:rsidR="00057042" w:rsidRDefault="00057042" w:rsidP="00057042">
      <w:pPr>
        <w:spacing w:line="276" w:lineRule="auto"/>
        <w:ind w:left="222" w:right="228"/>
        <w:jc w:val="both"/>
        <w:rPr>
          <w:iCs/>
        </w:rPr>
      </w:pPr>
    </w:p>
    <w:p w14:paraId="5B28B85C" w14:textId="77777777" w:rsidR="00057042" w:rsidRDefault="00057042" w:rsidP="00057042">
      <w:pPr>
        <w:spacing w:line="276" w:lineRule="auto"/>
        <w:ind w:left="222" w:right="228"/>
        <w:jc w:val="both"/>
        <w:rPr>
          <w:iCs/>
        </w:rPr>
      </w:pPr>
      <w:r>
        <w:rPr>
          <w:iCs/>
        </w:rPr>
        <w:t xml:space="preserve">We would also highlight that it is not clear in the periodic reporting, whether product providers should be reporting on Taxonomy-alignment of the entire portfolio or only that portion that is designated as sustainable investments. Since the Taxonomy is based on economic activities, it is likely that some investee companies that may have low levels of Taxonomy alignment that may be included in the broader portfolio, without the Taxonomy-alignment being significant enough to be classed as a sustainable investment. </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2473C36F" w14:textId="77777777" w:rsidR="00057042" w:rsidRPr="004C3800" w:rsidRDefault="00057042" w:rsidP="00057042">
      <w:pPr>
        <w:spacing w:line="276" w:lineRule="auto"/>
        <w:ind w:left="222" w:right="230"/>
        <w:jc w:val="both"/>
        <w:rPr>
          <w:iCs/>
        </w:rPr>
      </w:pPr>
      <w:permStart w:id="1220688604" w:edGrp="everyone"/>
      <w:r>
        <w:rPr>
          <w:iCs/>
        </w:rPr>
        <w:t>We believe that derivatives whose underlying is an equity of debt instrument, for example a total return swap on a listed equity index, should be included in such disclosures.</w:t>
      </w:r>
    </w:p>
    <w:permEnd w:id="1220688604"/>
    <w:p w14:paraId="53DA6878" w14:textId="3826CEB9"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lastRenderedPageBreak/>
        <w:t>&lt;ESA_QUESTION_</w:t>
      </w:r>
      <w:r w:rsidR="00C86E1C">
        <w:rPr>
          <w:rFonts w:cs="Arial"/>
        </w:rPr>
        <w:t>ESG</w:t>
      </w:r>
      <w:r>
        <w:rPr>
          <w:rFonts w:cs="Arial"/>
        </w:rPr>
        <w:t>_6&gt;</w:t>
      </w:r>
    </w:p>
    <w:p w14:paraId="24A0A272" w14:textId="77777777" w:rsidR="00057042" w:rsidRDefault="00057042" w:rsidP="00057042">
      <w:pPr>
        <w:spacing w:line="276" w:lineRule="auto"/>
        <w:ind w:left="222" w:right="232"/>
        <w:jc w:val="both"/>
        <w:rPr>
          <w:iCs/>
        </w:rPr>
      </w:pPr>
      <w:permStart w:id="418122716" w:edGrp="everyone"/>
      <w:r>
        <w:rPr>
          <w:iCs/>
        </w:rPr>
        <w:t xml:space="preserve">While in principle, we would be in favour of excluding assets that cannot be assessed for Taxonomy-alignment in the denominator to avoid giving a misleading picture as to the maximum potential Taxonomy-alignment of a product, we believe that it is important to retain consistency between different disclosures obligations, in particular the TR Article 8 disclosures by asset managers. </w:t>
      </w:r>
    </w:p>
    <w:p w14:paraId="4184A37D" w14:textId="77777777" w:rsidR="00057042" w:rsidRDefault="00057042" w:rsidP="00057042">
      <w:pPr>
        <w:spacing w:line="276" w:lineRule="auto"/>
        <w:ind w:left="222" w:right="232"/>
        <w:jc w:val="both"/>
        <w:rPr>
          <w:iCs/>
        </w:rPr>
      </w:pPr>
    </w:p>
    <w:p w14:paraId="1880D578" w14:textId="77777777" w:rsidR="00057042" w:rsidRDefault="00057042" w:rsidP="00057042">
      <w:pPr>
        <w:spacing w:line="276" w:lineRule="auto"/>
        <w:ind w:left="222" w:right="232"/>
        <w:jc w:val="both"/>
        <w:rPr>
          <w:iCs/>
        </w:rPr>
      </w:pPr>
      <w:r>
        <w:rPr>
          <w:iCs/>
        </w:rPr>
        <w:t xml:space="preserve">However, we believe that it would be important to include, either in the pie chart itself or in the narrative disclosure, the percentage of assets that are “Taxonomy eligible” so that investors can understand to what extent the Taxonomy-alignment KPI relates to assets that can be assessed against the Taxonomy and ensure consistency with the TR Article 8 disclosures made by investee companies. This is important not only for sovereign bonds but also for equities and corporate bonds, since, as of today, only a small portion of economic activities have been assessed and have technical screening criteria developed for Taxonomy assessment, and therefore a significant proportion of assets cannot be screened against the Taxonomy. </w:t>
      </w:r>
    </w:p>
    <w:p w14:paraId="218A1504" w14:textId="77777777" w:rsidR="00057042" w:rsidRDefault="00057042" w:rsidP="00057042">
      <w:pPr>
        <w:spacing w:line="276" w:lineRule="auto"/>
        <w:ind w:left="222" w:right="232"/>
        <w:jc w:val="both"/>
        <w:rPr>
          <w:iCs/>
        </w:rPr>
      </w:pPr>
    </w:p>
    <w:p w14:paraId="49550BAD" w14:textId="77777777" w:rsidR="00057042" w:rsidRPr="00F86608" w:rsidRDefault="00057042" w:rsidP="00057042">
      <w:pPr>
        <w:spacing w:line="276" w:lineRule="auto"/>
        <w:ind w:left="222" w:right="232"/>
        <w:jc w:val="both"/>
        <w:rPr>
          <w:bCs/>
          <w:iCs/>
        </w:rPr>
      </w:pPr>
      <w:r>
        <w:rPr>
          <w:iCs/>
        </w:rPr>
        <w:t>In connection with this point, we strongly disagree with the formulation of the question “</w:t>
      </w:r>
      <w:r>
        <w:rPr>
          <w:b/>
          <w:i/>
        </w:rPr>
        <w:t>Why does the financial product invest in economic activities that are not environmentally</w:t>
      </w:r>
      <w:r>
        <w:rPr>
          <w:b/>
          <w:i/>
          <w:spacing w:val="-4"/>
        </w:rPr>
        <w:t xml:space="preserve"> </w:t>
      </w:r>
      <w:r>
        <w:rPr>
          <w:b/>
          <w:i/>
        </w:rPr>
        <w:t xml:space="preserve">sustainable?” </w:t>
      </w:r>
      <w:r>
        <w:rPr>
          <w:bCs/>
          <w:iCs/>
        </w:rPr>
        <w:t xml:space="preserve"> The wording of this question is very pejorative and could be interpreted very negatively by investors and likely to cause confusion. As recognised by the ESAs, product providers may use other methodologies or frameworks for measuring sustainable investments, including investments contributing to environmental objectives.  However, it  also fails to consider that even financial products investing in the Taxonomy are likely to be invested in economic activities that are not Taxonomy-aligned where the underlying investee company is active in multiple business lines, not all of which will be Taxonomy-eligible. We strongly urge the ESAs to delete this question in its entirety. </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6960F510" w14:textId="77777777" w:rsidR="00057042" w:rsidRDefault="00057042" w:rsidP="00057042">
      <w:pPr>
        <w:spacing w:before="1" w:line="276" w:lineRule="auto"/>
        <w:ind w:left="222" w:right="233"/>
        <w:jc w:val="both"/>
        <w:rPr>
          <w:iCs/>
        </w:rPr>
      </w:pPr>
      <w:permStart w:id="569465455" w:edGrp="everyone"/>
      <w:r>
        <w:rPr>
          <w:iCs/>
        </w:rPr>
        <w:t xml:space="preserve">We strongly disagree with the need to have a statement of Taxonomy compliance assessed by a third party. As a regulatory framework, it should not be necessary to have a third-party assessment on such information, since much of the information should be coming directly from the investee companies themselves and therefore additional third party assessments at the financial product level should not be necessary. </w:t>
      </w:r>
    </w:p>
    <w:p w14:paraId="47A663A5" w14:textId="77777777" w:rsidR="00057042" w:rsidRDefault="00057042" w:rsidP="00057042">
      <w:pPr>
        <w:spacing w:before="1" w:line="276" w:lineRule="auto"/>
        <w:ind w:left="222" w:right="233"/>
        <w:jc w:val="both"/>
        <w:rPr>
          <w:iCs/>
        </w:rPr>
      </w:pPr>
    </w:p>
    <w:p w14:paraId="55497BF2" w14:textId="77777777" w:rsidR="00057042" w:rsidRPr="00136EDA" w:rsidRDefault="00057042" w:rsidP="00057042">
      <w:pPr>
        <w:spacing w:before="1" w:line="276" w:lineRule="auto"/>
        <w:ind w:left="222" w:right="233"/>
        <w:jc w:val="both"/>
        <w:rPr>
          <w:iCs/>
        </w:rPr>
      </w:pPr>
      <w:r>
        <w:rPr>
          <w:iCs/>
        </w:rPr>
        <w:t xml:space="preserve">However, we recognise that access to publicly disclosed Taxonomy data from investee companies is likely to be limited and therefore many disclosures are likely to be based on modelled data. We believe that it would make sense to require product providers to disclose the percentage of Taxonomy-alignment that is based on reported data compared with modelled data, and to include in the website disclosures information about the methodology used. </w:t>
      </w:r>
    </w:p>
    <w:permEnd w:id="569465455"/>
    <w:p w14:paraId="2267AC0F" w14:textId="00044BD1"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ListParagraph"/>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3A167355" w14:textId="77777777" w:rsidR="00057042" w:rsidRPr="000E1AE1" w:rsidRDefault="00057042" w:rsidP="00057042">
      <w:pPr>
        <w:spacing w:before="1" w:line="273" w:lineRule="auto"/>
        <w:ind w:left="222" w:right="233"/>
        <w:jc w:val="both"/>
        <w:rPr>
          <w:iCs/>
        </w:rPr>
      </w:pPr>
      <w:permStart w:id="1713528049" w:edGrp="everyone"/>
      <w:r>
        <w:rPr>
          <w:iCs/>
        </w:rPr>
        <w:t xml:space="preserve">We agree that the periodic disclosures should mirror the pre-contractual disclosures, subject to our comments above and below. </w:t>
      </w:r>
    </w:p>
    <w:permEnd w:id="1713528049"/>
    <w:p w14:paraId="6DB9AF7D" w14:textId="789B574E" w:rsidR="003E573C" w:rsidRDefault="003E573C" w:rsidP="003E573C">
      <w:pPr>
        <w:rPr>
          <w:rFonts w:cs="Arial"/>
        </w:rPr>
      </w:pPr>
      <w:r>
        <w:rPr>
          <w:rFonts w:cs="Arial"/>
        </w:rPr>
        <w:lastRenderedPageBreak/>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4C3C42E1" w14:textId="77777777" w:rsidR="00057042" w:rsidRDefault="00057042" w:rsidP="00057042">
      <w:pPr>
        <w:spacing w:before="1"/>
        <w:ind w:left="222"/>
        <w:rPr>
          <w:iCs/>
        </w:rPr>
      </w:pPr>
      <w:permStart w:id="221670941" w:edGrp="everyone"/>
      <w:r>
        <w:rPr>
          <w:iCs/>
        </w:rPr>
        <w:t>We would have the following comments on the amended pre-contractual and period templates:</w:t>
      </w:r>
    </w:p>
    <w:p w14:paraId="3EDE9E29" w14:textId="77777777" w:rsidR="00057042" w:rsidRDefault="00057042" w:rsidP="00057042">
      <w:pPr>
        <w:pStyle w:val="ListParagraph"/>
        <w:spacing w:before="1"/>
        <w:ind w:left="582"/>
        <w:rPr>
          <w:iCs/>
        </w:rPr>
      </w:pPr>
    </w:p>
    <w:p w14:paraId="7D665E5C" w14:textId="77777777" w:rsidR="00057042" w:rsidRDefault="00057042" w:rsidP="00057042">
      <w:pPr>
        <w:pStyle w:val="ListParagraph"/>
        <w:spacing w:before="1"/>
        <w:ind w:left="222"/>
        <w:rPr>
          <w:iCs/>
        </w:rPr>
      </w:pPr>
      <w:r>
        <w:rPr>
          <w:iCs/>
        </w:rPr>
        <w:t xml:space="preserve">In the main box at the top of the template, we believe that the wording relating to whether the product invests in Taxonomy-aligned activities should be re-worded to reflect the fact that only a portion of the sustainable investments may be Taxonomy-aligned, i.e. “of which a minimum proportion is invested in Taxonomy-aligned environmentally sustainable activities”. This language would align with the recently published MiFID Delegated Acts on sustainability preferences. We also do not see the need for the negative disclaimer relating to whether the product does not invest in Taxonomy-aligned activities, as this is likely to prejudice investors’ views against products that fall outside the scope of the Taxonomy, such as those with a social objective. </w:t>
      </w:r>
    </w:p>
    <w:p w14:paraId="5B3EFCF6" w14:textId="77777777" w:rsidR="00057042" w:rsidRDefault="00057042" w:rsidP="00057042">
      <w:pPr>
        <w:pStyle w:val="ListParagraph"/>
        <w:spacing w:before="1"/>
        <w:ind w:left="222"/>
        <w:rPr>
          <w:iCs/>
        </w:rPr>
      </w:pPr>
    </w:p>
    <w:p w14:paraId="1DFA6E4F" w14:textId="77777777" w:rsidR="00057042" w:rsidRDefault="00057042" w:rsidP="00057042">
      <w:pPr>
        <w:pStyle w:val="ListParagraph"/>
        <w:spacing w:before="1"/>
        <w:ind w:left="222"/>
        <w:rPr>
          <w:iCs/>
        </w:rPr>
      </w:pPr>
      <w:r>
        <w:rPr>
          <w:iCs/>
        </w:rPr>
        <w:t xml:space="preserve">In relation to the main section relating to the Taxonomy disclosures, we believe that the question “what is the minimum share of investments aligned with the EU Taxonomy” should only apply to products that consider the Taxonomy as part of their investment process, i.e. </w:t>
      </w:r>
      <w:r w:rsidRPr="008552BD">
        <w:rPr>
          <w:iCs/>
        </w:rPr>
        <w:t>products referred to in Article</w:t>
      </w:r>
      <w:r>
        <w:rPr>
          <w:iCs/>
        </w:rPr>
        <w:t xml:space="preserve"> 5 and</w:t>
      </w:r>
      <w:r w:rsidRPr="008552BD">
        <w:rPr>
          <w:iCs/>
        </w:rPr>
        <w:t xml:space="preserve"> 6 of Regulation (EU) 2020/852 with sustainable investments in environmentally sustainable economic activities</w:t>
      </w:r>
      <w:r>
        <w:rPr>
          <w:iCs/>
        </w:rPr>
        <w:t xml:space="preserve">. </w:t>
      </w:r>
    </w:p>
    <w:p w14:paraId="1A638114" w14:textId="77777777" w:rsidR="00057042" w:rsidRDefault="00057042" w:rsidP="00057042">
      <w:pPr>
        <w:pStyle w:val="ListParagraph"/>
        <w:spacing w:before="1"/>
        <w:ind w:left="222"/>
        <w:rPr>
          <w:iCs/>
        </w:rPr>
      </w:pPr>
    </w:p>
    <w:p w14:paraId="03D317B6" w14:textId="7F529BF1" w:rsidR="00057042" w:rsidRDefault="00057042" w:rsidP="00057042">
      <w:pPr>
        <w:pStyle w:val="ListParagraph"/>
        <w:spacing w:before="1"/>
        <w:ind w:left="222"/>
        <w:rPr>
          <w:iCs/>
        </w:rPr>
      </w:pPr>
      <w:r>
        <w:rPr>
          <w:iCs/>
        </w:rPr>
        <w:t xml:space="preserve">For Article 5 and 6 products that do not invest in Taxonomy-aligned activities, we believe it should be </w:t>
      </w:r>
      <w:proofErr w:type="spellStart"/>
      <w:r>
        <w:rPr>
          <w:iCs/>
        </w:rPr>
        <w:t>sufficnet</w:t>
      </w:r>
      <w:proofErr w:type="spellEnd"/>
      <w:r>
        <w:rPr>
          <w:iCs/>
        </w:rPr>
        <w:t xml:space="preserve"> for such funds to include a statement to that effect, rather than having to display a pie chart that says 0% and should instead follow the rules pertaining to “sustainable investments”, which should not make reference to the Taxonomy, i.e. the questions “what is the minimum share of sustainable investments that are not aligned to the EU Taxonomy” and “why does the product invest in economic activities that are not environmentally sustainable” should be removed/reformulated to refer to sustainable investments more generally, as per the earlier draft of the template. </w:t>
      </w:r>
    </w:p>
    <w:p w14:paraId="54416035" w14:textId="77777777" w:rsidR="00057042" w:rsidRDefault="00057042" w:rsidP="00057042">
      <w:pPr>
        <w:pStyle w:val="ListParagraph"/>
        <w:spacing w:before="1"/>
        <w:ind w:left="222"/>
        <w:rPr>
          <w:iCs/>
        </w:rPr>
      </w:pPr>
    </w:p>
    <w:p w14:paraId="6B14A8D8" w14:textId="77777777" w:rsidR="00057042" w:rsidRPr="00D5707D" w:rsidRDefault="00057042" w:rsidP="00057042">
      <w:pPr>
        <w:pStyle w:val="ListParagraph"/>
        <w:spacing w:before="1"/>
        <w:ind w:left="222"/>
        <w:rPr>
          <w:iCs/>
        </w:rPr>
      </w:pPr>
      <w:r>
        <w:rPr>
          <w:iCs/>
        </w:rPr>
        <w:t xml:space="preserve">We would also suggest that details relating to the calculation methodology for the Taxonomy should be moved to the website disclosures rather than forming part of the template itself. </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1" w:name="_Hlk18829484"/>
      <w:r>
        <w:t xml:space="preserve">: </w:t>
      </w:r>
      <w:bookmarkEnd w:id="1"/>
      <w:r w:rsidR="001969F6" w:rsidRPr="001969F6">
        <w:t>The draft RTS propose unified pre-contractual and periodic templates applicable to all Article 8 and 9 SFDR products (including Article 5 and 6 TR products which are a sub-set of Article 8 and 9 SFDR products). Do you believe it would be preferable to have separate pre-contractual 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60C4EC69" w14:textId="77777777" w:rsidR="00057042" w:rsidRPr="008552BD" w:rsidRDefault="00057042" w:rsidP="00057042">
      <w:pPr>
        <w:spacing w:line="276" w:lineRule="auto"/>
        <w:ind w:left="222" w:right="228"/>
        <w:jc w:val="both"/>
        <w:rPr>
          <w:iCs/>
        </w:rPr>
      </w:pPr>
      <w:permStart w:id="610013876" w:edGrp="everyone"/>
      <w:r>
        <w:rPr>
          <w:iCs/>
        </w:rPr>
        <w:t xml:space="preserve">In principle, we would agree that it makes sense to have a unified template for all products, with sufficient flexibility for product providers to only complete those sections that are relevant to the product strategy. </w:t>
      </w:r>
    </w:p>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lastRenderedPageBreak/>
        <w:t>&lt;ESA_QUESTION_</w:t>
      </w:r>
      <w:r w:rsidR="00C86E1C">
        <w:rPr>
          <w:rFonts w:cs="Arial"/>
        </w:rPr>
        <w:t>ESG</w:t>
      </w:r>
      <w:r>
        <w:rPr>
          <w:rFonts w:cs="Arial"/>
        </w:rPr>
        <w:t>_11&gt;</w:t>
      </w:r>
    </w:p>
    <w:p w14:paraId="4C3C560E" w14:textId="77777777" w:rsidR="00BA5D49" w:rsidRDefault="00057042" w:rsidP="0093026A">
      <w:pPr>
        <w:spacing w:line="276" w:lineRule="auto"/>
        <w:ind w:left="222" w:right="231"/>
        <w:jc w:val="both"/>
        <w:rPr>
          <w:iCs/>
        </w:rPr>
      </w:pPr>
      <w:permStart w:id="790175202" w:edGrp="everyone"/>
      <w:r>
        <w:rPr>
          <w:iCs/>
        </w:rPr>
        <w:t xml:space="preserve">As per our comments above, we are concerned that the proposed approach might put non-Taxonomy aligned sustainable investments in a negative light due to the way the questions in the template have been formulated. </w:t>
      </w:r>
      <w:r w:rsidR="00BA5D49">
        <w:rPr>
          <w:iCs/>
        </w:rPr>
        <w:t xml:space="preserve">In our view, this is prejudicial not only to funds with a social objective, but also Article 5 and 6 TR products that are following a different strategy, for example where they are using a Climate Transition Benchmark or Paris-Aligned Benchmark, which are specifically acknowledged under Article 9(3) of SFDR. </w:t>
      </w:r>
    </w:p>
    <w:p w14:paraId="39D7B537" w14:textId="77777777" w:rsidR="00BA5D49" w:rsidRDefault="00BA5D49" w:rsidP="0093026A">
      <w:pPr>
        <w:spacing w:line="276" w:lineRule="auto"/>
        <w:ind w:left="222" w:right="231"/>
        <w:jc w:val="both"/>
        <w:rPr>
          <w:iCs/>
        </w:rPr>
      </w:pPr>
    </w:p>
    <w:p w14:paraId="2C20F899" w14:textId="41BE3A84" w:rsidR="00057042" w:rsidRPr="0093026A" w:rsidRDefault="00057042" w:rsidP="0093026A">
      <w:pPr>
        <w:spacing w:line="276" w:lineRule="auto"/>
        <w:ind w:left="222" w:right="231"/>
        <w:jc w:val="both"/>
        <w:rPr>
          <w:iCs/>
        </w:rPr>
      </w:pPr>
      <w:r>
        <w:rPr>
          <w:iCs/>
        </w:rPr>
        <w:t xml:space="preserve">As per our proposal above, while we agree that the template should require product providers to clearly identify where the product seeks to invest in Taxonomy-aligned activities, we do not agree that there should be a negative disclosure (i.e. where product providers do not invest in the Taxonomy) and we do not agree that other sustainable investments that are not Taxonomy-aligned should be presented in a negative way, as is currently the case. We believe that more neutral language around sustainable investments without reference to the Taxonomy, including environmental investments that are not Taxonomy-aligned or indeed social investments would resolve this issue. </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622A931F" w14:textId="77777777" w:rsidR="00AA1B9D" w:rsidRDefault="00AA1B9D" w:rsidP="00AA1B9D">
      <w:pPr>
        <w:rPr>
          <w:rFonts w:cs="Arial"/>
        </w:rPr>
      </w:pPr>
      <w:permStart w:id="1771197561" w:edGrp="everyone"/>
      <w:r>
        <w:rPr>
          <w:rFonts w:cs="Arial"/>
        </w:rPr>
        <w:t>TYPE YOUR TEXT HERE</w:t>
      </w:r>
    </w:p>
    <w:permEnd w:id="1771197561"/>
    <w:p w14:paraId="3577FCF9" w14:textId="5E3290C3" w:rsidR="007118EB" w:rsidRPr="007118EB" w:rsidRDefault="007118EB" w:rsidP="007118EB">
      <w:pPr>
        <w:rPr>
          <w:lang w:eastAsia="en-US"/>
        </w:rPr>
      </w:pPr>
      <w:r>
        <w:rPr>
          <w:lang w:eastAsia="en-US"/>
        </w:rPr>
        <w:t>&lt;ESA_QUESTION_ESG_12&gt;</w:t>
      </w:r>
    </w:p>
    <w:sectPr w:rsidR="007118EB" w:rsidRPr="007118EB"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2B437" w14:textId="77777777" w:rsidR="00A662FE" w:rsidRDefault="00A662FE">
      <w:r>
        <w:separator/>
      </w:r>
    </w:p>
    <w:p w14:paraId="62D88389" w14:textId="77777777" w:rsidR="00A662FE" w:rsidRDefault="00A662FE"/>
  </w:endnote>
  <w:endnote w:type="continuationSeparator" w:id="0">
    <w:p w14:paraId="1F3A697F" w14:textId="77777777" w:rsidR="00A662FE" w:rsidRDefault="00A662FE">
      <w:r>
        <w:continuationSeparator/>
      </w:r>
    </w:p>
    <w:p w14:paraId="1EEDFB97" w14:textId="77777777" w:rsidR="00A662FE" w:rsidRDefault="00A662FE"/>
  </w:endnote>
  <w:endnote w:type="continuationNotice" w:id="1">
    <w:p w14:paraId="7695B9C7" w14:textId="77777777" w:rsidR="00A662FE" w:rsidRDefault="00A662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43B88" w14:textId="77777777" w:rsidR="00A662FE" w:rsidRDefault="00A662FE">
      <w:r>
        <w:separator/>
      </w:r>
    </w:p>
    <w:p w14:paraId="3A7C8D66" w14:textId="77777777" w:rsidR="00A662FE" w:rsidRDefault="00A662FE"/>
  </w:footnote>
  <w:footnote w:type="continuationSeparator" w:id="0">
    <w:p w14:paraId="338289D2" w14:textId="77777777" w:rsidR="00A662FE" w:rsidRDefault="00A662FE">
      <w:r>
        <w:continuationSeparator/>
      </w:r>
    </w:p>
    <w:p w14:paraId="31EE0FF0" w14:textId="77777777" w:rsidR="00A662FE" w:rsidRDefault="00A662FE"/>
  </w:footnote>
  <w:footnote w:type="continuationNotice" w:id="1">
    <w:p w14:paraId="5D0F5D47" w14:textId="77777777" w:rsidR="00A662FE" w:rsidRDefault="00A662FE"/>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4845E0"/>
    <w:multiLevelType w:val="hybridMultilevel"/>
    <w:tmpl w:val="8FB6A06C"/>
    <w:lvl w:ilvl="0" w:tplc="EEE6826A">
      <w:numFmt w:val="bullet"/>
      <w:lvlText w:val="-"/>
      <w:lvlJc w:val="left"/>
      <w:pPr>
        <w:ind w:left="1070" w:hanging="71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8F2A7E"/>
    <w:multiLevelType w:val="hybridMultilevel"/>
    <w:tmpl w:val="C888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6"/>
  </w:num>
  <w:num w:numId="5">
    <w:abstractNumId w:val="29"/>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4"/>
  </w:num>
  <w:num w:numId="14">
    <w:abstractNumId w:val="25"/>
  </w:num>
  <w:num w:numId="15">
    <w:abstractNumId w:val="10"/>
  </w:num>
  <w:num w:numId="16">
    <w:abstractNumId w:val="1"/>
  </w:num>
  <w:num w:numId="17">
    <w:abstractNumId w:val="16"/>
  </w:num>
  <w:num w:numId="18">
    <w:abstractNumId w:val="17"/>
  </w:num>
  <w:num w:numId="19">
    <w:abstractNumId w:val="19"/>
  </w:num>
  <w:num w:numId="20">
    <w:abstractNumId w:val="30"/>
  </w:num>
  <w:num w:numId="21">
    <w:abstractNumId w:val="39"/>
  </w:num>
  <w:num w:numId="22">
    <w:abstractNumId w:val="28"/>
  </w:num>
  <w:num w:numId="23">
    <w:abstractNumId w:val="9"/>
  </w:num>
  <w:num w:numId="24">
    <w:abstractNumId w:val="33"/>
  </w:num>
  <w:num w:numId="25">
    <w:abstractNumId w:val="32"/>
  </w:num>
  <w:num w:numId="26">
    <w:abstractNumId w:val="21"/>
  </w:num>
  <w:num w:numId="27">
    <w:abstractNumId w:val="36"/>
  </w:num>
  <w:num w:numId="28">
    <w:abstractNumId w:val="41"/>
  </w:num>
  <w:num w:numId="29">
    <w:abstractNumId w:val="7"/>
  </w:num>
  <w:num w:numId="30">
    <w:abstractNumId w:val="3"/>
  </w:num>
  <w:num w:numId="31">
    <w:abstractNumId w:val="24"/>
  </w:num>
  <w:num w:numId="32">
    <w:abstractNumId w:val="22"/>
  </w:num>
  <w:num w:numId="33">
    <w:abstractNumId w:val="38"/>
  </w:num>
  <w:num w:numId="34">
    <w:abstractNumId w:val="37"/>
  </w:num>
  <w:num w:numId="35">
    <w:abstractNumId w:val="11"/>
  </w:num>
  <w:num w:numId="36">
    <w:abstractNumId w:val="12"/>
  </w:num>
  <w:num w:numId="37">
    <w:abstractNumId w:val="14"/>
  </w:num>
  <w:num w:numId="38">
    <w:abstractNumId w:val="27"/>
  </w:num>
  <w:num w:numId="39">
    <w:abstractNumId w:val="23"/>
  </w:num>
  <w:num w:numId="40">
    <w:abstractNumId w:val="6"/>
  </w:num>
  <w:num w:numId="41">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042"/>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26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2FE"/>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5D49"/>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9F0"/>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1A37"/>
    <w:rsid w:val="00D6240A"/>
    <w:rsid w:val="00D63093"/>
    <w:rsid w:val="00D63599"/>
    <w:rsid w:val="00D63EBD"/>
    <w:rsid w:val="00D64B69"/>
    <w:rsid w:val="00D67101"/>
    <w:rsid w:val="00D7106D"/>
    <w:rsid w:val="00D71B45"/>
    <w:rsid w:val="00D71DE3"/>
    <w:rsid w:val="00D71F8A"/>
    <w:rsid w:val="00D75603"/>
    <w:rsid w:val="00D75FEE"/>
    <w:rsid w:val="00D76933"/>
    <w:rsid w:val="00D76D88"/>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B9D"/>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7118EB"/>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ESMA34-45-1218</_dlc_DocId>
    <_dlc_DocIdUrl xmlns="35c8e399-07b8-49e4-91bf-01a20105d4df">
      <Url>https://sherpa.esma.europa.eu/sites/INIIVM/_layouts/15/DocIdRedir.aspx?ID=ESMA34-45-1218</Url>
      <Description>ESMA34-45-1218</Description>
    </_dlc_DocIdUrl>
    <MeetingDate xmlns="35c8e399-07b8-49e4-91bf-01a20105d4df" xsi:nil="true"/>
    <TaxCatchAll xmlns="35c8e399-07b8-49e4-91bf-01a20105d4df">
      <Value>257</Value>
      <Value>66</Value>
      <Value>87</Value>
      <Value>72</Value>
      <Value>38</Value>
    </TaxCatchAll>
    <Year xmlns="35c8e399-07b8-49e4-91bf-01a20105d4df">2021</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f1a52b52-917d-42ef-9667-945839604bb2</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3f3f5c47-29f7-449c-ab20-04ae7736b23b</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F5C0F0B1-A3F1-4B95-8DA2-61925826A351}">
  <ds:schemaRefs>
    <ds:schemaRef ds:uri="http://schemas.openxmlformats.org/officeDocument/2006/bibliography"/>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35c8e399-07b8-49e4-91bf-01a20105d4df"/>
  </ds:schemaRefs>
</ds:datastoreItem>
</file>

<file path=customXml/itemProps6.xml><?xml version="1.0" encoding="utf-8"?>
<ds:datastoreItem xmlns:ds="http://schemas.openxmlformats.org/officeDocument/2006/customXml" ds:itemID="{0EEA42A5-84E9-48B4-AED0-CBEF87EA7F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3671</Words>
  <Characters>20931</Characters>
  <Application>Microsoft Office Word</Application>
  <DocSecurity>8</DocSecurity>
  <Lines>174</Lines>
  <Paragraphs>49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24553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Elizabeth</cp:lastModifiedBy>
  <cp:revision>5</cp:revision>
  <cp:lastPrinted>2015-02-18T11:01:00Z</cp:lastPrinted>
  <dcterms:created xsi:type="dcterms:W3CDTF">2021-05-12T18:31:00Z</dcterms:created>
  <dcterms:modified xsi:type="dcterms:W3CDTF">2021-05-12T18:42:00Z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