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30749A2D" w:rsidR="00C2094B" w:rsidRPr="004E49B0" w:rsidRDefault="00C2094B" w:rsidP="00337A3F">
            <w:pPr>
              <w:pStyle w:val="00bDBInfo"/>
              <w:rPr>
                <w:rFonts w:cs="Arial"/>
              </w:rPr>
            </w:pP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7021ABA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 xml:space="preserve">ning </w:t>
            </w:r>
            <w:r w:rsidR="00281E71">
              <w:t xml:space="preserve"> </w:t>
            </w:r>
            <w:r w:rsidR="00281E71" w:rsidRPr="00281E71">
              <w:rPr>
                <w:rFonts w:cs="Arial"/>
              </w:rPr>
              <w:t>Taxonomy-related sustainability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100BAE9D" w14:textId="6CAF0146" w:rsidR="005F6BE3" w:rsidRDefault="00620D7C" w:rsidP="005F6BE3">
            <w:pPr>
              <w:pStyle w:val="02Date"/>
              <w:rPr>
                <w:rFonts w:cs="Arial"/>
              </w:rPr>
            </w:pPr>
            <w:r w:rsidRPr="004E49B0">
              <w:rPr>
                <w:rFonts w:cs="Arial"/>
              </w:rPr>
              <w:lastRenderedPageBreak/>
              <w:t xml:space="preserve">Date: </w:t>
            </w:r>
            <w:r w:rsidR="00E92A28">
              <w:rPr>
                <w:rFonts w:cs="Arial"/>
              </w:rPr>
              <w:t>17 March 2021</w:t>
            </w:r>
          </w:p>
          <w:p w14:paraId="6A3CB033" w14:textId="02EF4BF2" w:rsidR="00704EED" w:rsidRPr="004E49B0" w:rsidRDefault="00704EED" w:rsidP="005F6BE3">
            <w:pPr>
              <w:pStyle w:val="02Date"/>
              <w:rPr>
                <w:rFonts w:cs="Arial"/>
              </w:rPr>
            </w:pPr>
            <w:r>
              <w:rPr>
                <w:rFonts w:cs="Arial"/>
                <w:shd w:val="clear" w:color="auto" w:fill="FFFFFF" w:themeFill="background1"/>
              </w:rPr>
              <w:t>ESMA</w:t>
            </w:r>
            <w:r w:rsidR="006C795E">
              <w:rPr>
                <w:rFonts w:cs="Arial"/>
                <w:shd w:val="clear" w:color="auto" w:fill="FFFFFF" w:themeFill="background1"/>
              </w:rPr>
              <w:t>34-45-1218</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2B6B0430" w:rsidR="00754AC4" w:rsidRDefault="005F6BE3" w:rsidP="00754AC4">
      <w:pPr>
        <w:spacing w:after="240"/>
        <w:jc w:val="both"/>
        <w:rPr>
          <w:rStyle w:val="SubtleEmphasis"/>
          <w:b w:val="0"/>
          <w:bCs/>
          <w:sz w:val="22"/>
        </w:rPr>
      </w:pPr>
      <w:r w:rsidRPr="005F6BE3">
        <w:rPr>
          <w:rStyle w:val="SubtleEmphasis"/>
          <w:b w:val="0"/>
          <w:bCs/>
          <w:sz w:val="22"/>
        </w:rPr>
        <w:t>The European Supervisory Authorities (ESAs) welcome comments on this consultation paper setting out the proposed Regulatory Technical Standards (hereinafter “RTS”) on content and presentation of disclosures pursuant to Article 8(4), 9(6) and 11(5) of Regulation (EU) 2019/2088 (hereinafter Sustainable Finance Disclosure Regulation “SFDR”)</w:t>
      </w:r>
      <w:r w:rsidR="00281E71">
        <w:rPr>
          <w:rStyle w:val="SubtleEmphasis"/>
          <w:b w:val="0"/>
          <w:bCs/>
          <w:sz w:val="22"/>
        </w:rPr>
        <w:t xml:space="preserve"> </w:t>
      </w:r>
      <w:r w:rsidR="00754AC4"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03F3D16A" w:rsidR="00197794" w:rsidRP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under the heading ‘Your input - Consultations’ by</w:t>
      </w:r>
      <w:r w:rsidR="005F6BE3">
        <w:rPr>
          <w:rStyle w:val="SubtleEmphasis"/>
          <w:b w:val="0"/>
          <w:sz w:val="22"/>
        </w:rPr>
        <w:t xml:space="preserve"> </w:t>
      </w:r>
      <w:r w:rsidR="00AA1B9D">
        <w:rPr>
          <w:rStyle w:val="SubtleEmphasis"/>
          <w:b w:val="0"/>
          <w:sz w:val="22"/>
        </w:rPr>
        <w:t>12 May 2021</w:t>
      </w:r>
      <w:r w:rsidRPr="00197794">
        <w:rPr>
          <w:rStyle w:val="SubtleEmphasis"/>
          <w:b w:val="0"/>
          <w:sz w:val="22"/>
        </w:rPr>
        <w:t>.</w:t>
      </w:r>
    </w:p>
    <w:p w14:paraId="2481E1E6" w14:textId="67CDDA3F" w:rsid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5F6BE3">
      <w:pPr>
        <w:jc w:val="both"/>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5F6BE3">
      <w:pPr>
        <w:jc w:val="both"/>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00ACB0C8" w:rsidR="00B327E9" w:rsidRPr="00AB6D88" w:rsidRDefault="00655CE3" w:rsidP="00F136AD">
                <w:pPr>
                  <w:rPr>
                    <w:rStyle w:val="PlaceholderText"/>
                    <w:rFonts w:cs="Arial"/>
                  </w:rPr>
                </w:pPr>
                <w:r>
                  <w:rPr>
                    <w:rStyle w:val="PlaceholderText"/>
                    <w:rFonts w:cs="Arial"/>
                  </w:rPr>
                  <w:t>IHS Markit</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195743A2" w:rsidR="00B327E9" w:rsidRPr="00AB6D88" w:rsidRDefault="001C7421"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55CE3">
                  <w:rPr>
                    <w:rFonts w:cs="Arial"/>
                  </w:rPr>
                  <w:t>Other Financial service providers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6A3CB057" w14:textId="7F3C5E18" w:rsidR="00B327E9" w:rsidRPr="00AB6D88" w:rsidRDefault="00655CE3"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5A1C0A95" w:rsidR="00B327E9" w:rsidRPr="00AB6D88" w:rsidRDefault="000E3F47" w:rsidP="00F136AD">
                <w:pPr>
                  <w:rPr>
                    <w:rFonts w:cs="Arial"/>
                  </w:rPr>
                </w:pPr>
                <w:r>
                  <w:rPr>
                    <w:rFonts w:cs="Arial"/>
                  </w:rPr>
                  <w:t>International</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3548D5D2" w14:textId="77777777" w:rsidR="00836E04" w:rsidRDefault="00836E04" w:rsidP="00704A92">
      <w:permStart w:id="411981036" w:edGrp="everyone"/>
    </w:p>
    <w:p w14:paraId="56D050E8" w14:textId="77777777" w:rsidR="00836E04" w:rsidRDefault="00836E04" w:rsidP="00836E04">
      <w:pPr>
        <w:jc w:val="both"/>
      </w:pPr>
      <w:r>
        <w:t xml:space="preserve">IHS Markit is a world leader in critical information, analytics and solutions for the major industries and markets that drive economies worldwide. The company delivers next-generation information, </w:t>
      </w:r>
      <w:proofErr w:type="gramStart"/>
      <w:r>
        <w:t>analytics</w:t>
      </w:r>
      <w:proofErr w:type="gramEnd"/>
      <w:r>
        <w:t xml:space="preserve"> and solutions to customers in business, finance and government, improving their operational efficiency and providing deep insights that lead to well-informed, confident decisions. With a global reach and offices in 10 EU member states, IHS Markit has more than 50,000 key business and government customers, including 80 percent of the Fortune Global 500 and the world’s leading financial institutions. IHS Markit resources include more than 5,000 analysts, data scientists, financial </w:t>
      </w:r>
      <w:proofErr w:type="gramStart"/>
      <w:r>
        <w:t>experts</w:t>
      </w:r>
      <w:proofErr w:type="gramEnd"/>
      <w:r>
        <w:t xml:space="preserve"> and industry specialists. Our global information expertise spans numerous industries, including leading positions in finance, </w:t>
      </w:r>
      <w:proofErr w:type="gramStart"/>
      <w:r>
        <w:t>energy</w:t>
      </w:r>
      <w:proofErr w:type="gramEnd"/>
      <w:r>
        <w:t xml:space="preserve"> and transportation. </w:t>
      </w:r>
    </w:p>
    <w:p w14:paraId="10BCBCE2" w14:textId="77777777" w:rsidR="00836E04" w:rsidRDefault="00836E04" w:rsidP="00836E04">
      <w:pPr>
        <w:jc w:val="both"/>
      </w:pPr>
    </w:p>
    <w:p w14:paraId="33A6F375" w14:textId="77777777" w:rsidR="00836E04" w:rsidRDefault="00836E04" w:rsidP="00836E04">
      <w:pPr>
        <w:jc w:val="both"/>
      </w:pPr>
      <w:r>
        <w:t xml:space="preserve">IHS Markit welcomes the opportunity to respond to the ESA </w:t>
      </w:r>
      <w:r w:rsidRPr="00331CDE">
        <w:t>Joint Consultation Paper concerning Taxonomy-related sustainability disclosure</w:t>
      </w:r>
      <w:r>
        <w:t xml:space="preserve">s (the CP). We broadly support the direction set out by the joint ESAs in the CP. We have responded to the </w:t>
      </w:r>
      <w:proofErr w:type="gramStart"/>
      <w:r>
        <w:t>particular questions</w:t>
      </w:r>
      <w:proofErr w:type="gramEnd"/>
      <w:r>
        <w:t xml:space="preserve"> but have summarised our main points below: </w:t>
      </w:r>
    </w:p>
    <w:p w14:paraId="26D6A2AD" w14:textId="77777777" w:rsidR="00836E04" w:rsidRDefault="00836E04" w:rsidP="00836E04">
      <w:pPr>
        <w:jc w:val="both"/>
      </w:pPr>
    </w:p>
    <w:p w14:paraId="132B9227" w14:textId="77777777" w:rsidR="00836E04" w:rsidRDefault="00836E04" w:rsidP="00836E04">
      <w:pPr>
        <w:pStyle w:val="ListParagraph"/>
        <w:numPr>
          <w:ilvl w:val="0"/>
          <w:numId w:val="40"/>
        </w:numPr>
        <w:jc w:val="both"/>
      </w:pPr>
      <w:r>
        <w:t xml:space="preserve">We are concerned about investments providers being able to select turnover, operational expenditure or capital expenditure as the KPI. This could allow potentially misleading self-selection by the providers of investment products based on whichever would appear more attractive and lead to difficulties in investors comparing between providers. Rather, we believe it would be better to require either a single measure or, ideally, present all three categories calculated </w:t>
      </w:r>
      <w:proofErr w:type="gramStart"/>
      <w:r>
        <w:t>separately;</w:t>
      </w:r>
      <w:proofErr w:type="gramEnd"/>
    </w:p>
    <w:p w14:paraId="0992AAB4" w14:textId="77777777" w:rsidR="00836E04" w:rsidRDefault="00836E04" w:rsidP="00836E04">
      <w:pPr>
        <w:pStyle w:val="ListParagraph"/>
        <w:numPr>
          <w:ilvl w:val="0"/>
          <w:numId w:val="40"/>
        </w:numPr>
        <w:jc w:val="both"/>
      </w:pPr>
      <w:r>
        <w:t xml:space="preserve">Although corporate and sovereign bonds need to be treated differently, </w:t>
      </w:r>
      <w:r w:rsidRPr="006B0F9F">
        <w:t>it is possible to assess sovereign bonds for taxonomy</w:t>
      </w:r>
      <w:r>
        <w:t xml:space="preserve"> </w:t>
      </w:r>
      <w:r w:rsidRPr="006B0F9F">
        <w:t>alignment</w:t>
      </w:r>
      <w:r>
        <w:t xml:space="preserve"> and we believe that not including assessment for </w:t>
      </w:r>
      <w:r w:rsidRPr="006B0F9F">
        <w:t>sovereign entities would lead to a sub-optimal framework and se</w:t>
      </w:r>
      <w:r>
        <w:t xml:space="preserve">t an </w:t>
      </w:r>
      <w:r w:rsidRPr="006B0F9F">
        <w:t xml:space="preserve">unhelpful </w:t>
      </w:r>
      <w:r>
        <w:t>example to the private sector; and</w:t>
      </w:r>
    </w:p>
    <w:p w14:paraId="5AAB6845" w14:textId="77777777" w:rsidR="00836E04" w:rsidRDefault="00836E04" w:rsidP="00836E04">
      <w:pPr>
        <w:pStyle w:val="ListParagraph"/>
        <w:numPr>
          <w:ilvl w:val="0"/>
          <w:numId w:val="40"/>
        </w:numPr>
        <w:jc w:val="both"/>
      </w:pPr>
      <w:r>
        <w:t xml:space="preserve">The final RTS should focus as much as possible on quantitative data. Qualitative data </w:t>
      </w:r>
      <w:r w:rsidRPr="004234C0">
        <w:t>is likely to be converted to quantitative data by ESG vendors thus applying vendor bias which could alter the intent of the information as published by the company. This makes the data suboptimal for investors and significantly reduces comparability.</w:t>
      </w:r>
    </w:p>
    <w:p w14:paraId="28CA9C74" w14:textId="77777777" w:rsidR="00E446CA" w:rsidRDefault="00E446CA" w:rsidP="00E446CA"/>
    <w:p w14:paraId="6A3CB061" w14:textId="50325E11" w:rsidR="00B327E9" w:rsidRDefault="00B327E9" w:rsidP="00704A92"/>
    <w:permEnd w:id="411981036"/>
    <w:p w14:paraId="6A3CB062" w14:textId="67968787" w:rsidR="00B327E9" w:rsidRPr="00BF28DA" w:rsidRDefault="00B327E9" w:rsidP="00B327E9">
      <w:r w:rsidRPr="00BF28DA">
        <w:t>&lt;ESA_COMMENT_</w:t>
      </w:r>
      <w:r w:rsidR="00C86E1C">
        <w:rPr>
          <w:rStyle w:val="SubtleEmphasis"/>
          <w:b w:val="0"/>
          <w:sz w:val="22"/>
        </w:rPr>
        <w:t>ESG</w:t>
      </w:r>
      <w:r w:rsidR="000A58BE">
        <w:t>_</w:t>
      </w:r>
      <w:r w:rsidRPr="00BF28DA">
        <w:t>1&gt;</w:t>
      </w:r>
    </w:p>
    <w:p w14:paraId="6A3CB063" w14:textId="77777777" w:rsidR="00F31E57" w:rsidRPr="00BF28DA" w:rsidRDefault="00F31E57" w:rsidP="00D34282"/>
    <w:p w14:paraId="741317CF" w14:textId="3418CC97" w:rsidR="003E573C" w:rsidRDefault="00F31E57" w:rsidP="007118EB">
      <w:pPr>
        <w:pStyle w:val="Questionstyle"/>
      </w:pPr>
      <w:r w:rsidRPr="0075015C">
        <w:br w:type="page"/>
      </w:r>
      <w:r w:rsidR="003E573C">
        <w:lastRenderedPageBreak/>
        <w:t xml:space="preserve">: </w:t>
      </w:r>
      <w:r w:rsidR="001969F6" w:rsidRPr="001969F6">
        <w:t>Do you have any views regarding the ESAs’ proposed approach to amend the existing SFDR RTS instead of drafting a new set of draft RTS?</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226041FC" w14:textId="77777777" w:rsidR="00785C21" w:rsidRDefault="00785C21" w:rsidP="003E573C">
      <w:pPr>
        <w:rPr>
          <w:rFonts w:cs="Arial"/>
        </w:rPr>
      </w:pPr>
      <w:permStart w:id="1221819945" w:edGrp="everyone"/>
    </w:p>
    <w:p w14:paraId="273DBEB3" w14:textId="77777777" w:rsidR="008535AB" w:rsidRDefault="008535AB" w:rsidP="008535AB">
      <w:pPr>
        <w:jc w:val="both"/>
        <w:rPr>
          <w:rFonts w:cs="Arial"/>
        </w:rPr>
      </w:pPr>
      <w:r>
        <w:rPr>
          <w:rFonts w:cs="Arial"/>
        </w:rPr>
        <w:t xml:space="preserve">The EU should be praised on taking the global lead on regulation related to ESG disclosure. However, with multiple pieces of legislation it can be confusing and difficult for market participants to track all relevant regulation. We would therefore support the proposed approach of amending existing SFDR RTS instead of drafting a new set of RTS. </w:t>
      </w:r>
    </w:p>
    <w:p w14:paraId="71720E42" w14:textId="77777777" w:rsidR="005F6629" w:rsidRDefault="005F6629" w:rsidP="003E573C">
      <w:pPr>
        <w:rPr>
          <w:rFonts w:cs="Arial"/>
        </w:rPr>
      </w:pPr>
    </w:p>
    <w:p w14:paraId="20834730" w14:textId="77777777" w:rsidR="00D21C13" w:rsidRDefault="00D21C13" w:rsidP="003E573C">
      <w:pPr>
        <w:rPr>
          <w:rFonts w:cs="Arial"/>
        </w:rPr>
      </w:pPr>
    </w:p>
    <w:permEnd w:id="1221819945"/>
    <w:p w14:paraId="0F1F4245" w14:textId="36456D6A"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5CDEC866" w:rsidR="003E573C" w:rsidRDefault="003E573C" w:rsidP="007118EB">
      <w:pPr>
        <w:pStyle w:val="Questionstyle"/>
      </w:pPr>
      <w:r>
        <w:t xml:space="preserve">: </w:t>
      </w:r>
      <w:r w:rsidR="001969F6" w:rsidRPr="001969F6">
        <w:t>Do you have any views on the KPI for the disclosure of the extent to which investments are aligned with the taxonomy, which is based on the share of the taxonomy-aligned turnover, capital expenditure or operational expenditure of all underlying non-financial investee companies? Do you agree with that the same approach should apply to all investments made by a given financial product?</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0F351BDF" w14:textId="77777777" w:rsidR="00CC78A6" w:rsidRDefault="00CC78A6" w:rsidP="003E573C">
      <w:pPr>
        <w:rPr>
          <w:rFonts w:cs="Arial"/>
        </w:rPr>
      </w:pPr>
      <w:permStart w:id="729947415" w:edGrp="everyone"/>
    </w:p>
    <w:p w14:paraId="037B022C" w14:textId="77777777" w:rsidR="00CC78A6" w:rsidRDefault="00CC78A6" w:rsidP="00CC78A6">
      <w:pPr>
        <w:jc w:val="both"/>
        <w:rPr>
          <w:rFonts w:cs="Arial"/>
        </w:rPr>
      </w:pPr>
      <w:r>
        <w:rPr>
          <w:rFonts w:cs="Arial"/>
        </w:rPr>
        <w:t>While understand that the CP is looking to provide flexibility for fund managers under the draft RTS, we have some concerns that the system of optionality is not in the best interests of the investors. Individual fund managers may be incentivised to select the criteria that would provide the most favourable demonstration of sustainability. This ability to choose the most suitable metrics may not be readily understandable to investors (particularly retail investors) and does not seem consistent with the objectives of improving investors’ capacity to compare investments. Even though each individual fund manager needs to present its KPI consistently, this will not help investors compare between providers. It also seems contrary to the</w:t>
      </w:r>
      <w:r w:rsidRPr="009F5579">
        <w:t xml:space="preserve"> </w:t>
      </w:r>
      <w:r>
        <w:t>EU objective that “</w:t>
      </w:r>
      <w:r>
        <w:rPr>
          <w:rFonts w:cs="Arial"/>
        </w:rPr>
        <w:t>c</w:t>
      </w:r>
      <w:r w:rsidRPr="009F5579">
        <w:rPr>
          <w:rFonts w:cs="Arial"/>
        </w:rPr>
        <w:t>ompanies making ‘green claims’ should substantiate these against a standard methodology to assess their impact on the environment</w:t>
      </w:r>
      <w:r>
        <w:rPr>
          <w:rFonts w:cs="Arial"/>
        </w:rPr>
        <w:t>” (as set out in the EU Green Deal communication – COM(2019)64)</w:t>
      </w:r>
      <w:r w:rsidRPr="009F5579">
        <w:rPr>
          <w:rFonts w:cs="Arial"/>
        </w:rPr>
        <w:t>.</w:t>
      </w:r>
      <w:r>
        <w:rPr>
          <w:rFonts w:cs="Arial"/>
        </w:rPr>
        <w:t xml:space="preserve"> </w:t>
      </w:r>
    </w:p>
    <w:p w14:paraId="210F0264" w14:textId="77777777" w:rsidR="00CC78A6" w:rsidRDefault="00CC78A6" w:rsidP="00CC78A6">
      <w:pPr>
        <w:jc w:val="both"/>
        <w:rPr>
          <w:rFonts w:cs="Arial"/>
        </w:rPr>
      </w:pPr>
    </w:p>
    <w:p w14:paraId="57DB76D7" w14:textId="77777777" w:rsidR="00CC78A6" w:rsidRDefault="00CC78A6" w:rsidP="00CC78A6">
      <w:pPr>
        <w:jc w:val="both"/>
        <w:rPr>
          <w:rFonts w:cs="Arial"/>
        </w:rPr>
      </w:pPr>
      <w:r>
        <w:rPr>
          <w:rFonts w:cs="Arial"/>
        </w:rPr>
        <w:t>Rather, we believe that it would be more effective to map investments against all three factors (</w:t>
      </w:r>
      <w:r w:rsidRPr="001969F6">
        <w:t>turnover, capital expenditure or operational expenditure</w:t>
      </w:r>
      <w:r>
        <w:t xml:space="preserve">). </w:t>
      </w:r>
      <w:r>
        <w:rPr>
          <w:rFonts w:cs="Arial"/>
        </w:rPr>
        <w:t xml:space="preserve"> This approach would be clearer for the investor and better for comparability between investment providers. This would also be more in line with the CP statement that the ESAs’ “</w:t>
      </w:r>
      <w:r w:rsidRPr="00ED180F">
        <w:rPr>
          <w:rFonts w:cs="Arial"/>
        </w:rPr>
        <w:t xml:space="preserve">favoured approach </w:t>
      </w:r>
      <w:r>
        <w:rPr>
          <w:rFonts w:cs="Arial"/>
        </w:rPr>
        <w:t>…</w:t>
      </w:r>
      <w:r w:rsidRPr="00ED180F">
        <w:rPr>
          <w:rFonts w:cs="Arial"/>
        </w:rPr>
        <w:t xml:space="preserve"> is to focus on the value of the information passed to end-investors and their capacity to compare the information provided</w:t>
      </w:r>
      <w:r>
        <w:rPr>
          <w:rFonts w:cs="Arial"/>
        </w:rPr>
        <w:t xml:space="preserve">” (CP page 54). Ideally all figures would be expressed against EUR to eliminate domestic currency bias. </w:t>
      </w:r>
    </w:p>
    <w:p w14:paraId="196AFF02" w14:textId="77777777" w:rsidR="00CC78A6" w:rsidRDefault="00CC78A6" w:rsidP="00CC78A6">
      <w:pPr>
        <w:jc w:val="both"/>
        <w:rPr>
          <w:rFonts w:cs="Arial"/>
        </w:rPr>
      </w:pPr>
    </w:p>
    <w:p w14:paraId="38C5AE98" w14:textId="77777777" w:rsidR="00CC78A6" w:rsidRDefault="00CC78A6" w:rsidP="00CC78A6">
      <w:pPr>
        <w:jc w:val="both"/>
        <w:rPr>
          <w:rFonts w:cs="Arial"/>
        </w:rPr>
      </w:pPr>
      <w:r>
        <w:rPr>
          <w:rFonts w:cs="Arial"/>
        </w:rPr>
        <w:t xml:space="preserve">More effective standardisation with quantitative figures will also aid automation of business processes used to consume, </w:t>
      </w:r>
      <w:proofErr w:type="gramStart"/>
      <w:r>
        <w:rPr>
          <w:rFonts w:cs="Arial"/>
        </w:rPr>
        <w:t>analyse</w:t>
      </w:r>
      <w:proofErr w:type="gramEnd"/>
      <w:r>
        <w:rPr>
          <w:rFonts w:cs="Arial"/>
        </w:rPr>
        <w:t xml:space="preserve"> and communicate the investment process and choices more effectively and efficiently.</w:t>
      </w:r>
      <w:r w:rsidRPr="00000095">
        <w:t xml:space="preserve"> </w:t>
      </w:r>
      <w:r>
        <w:t>W</w:t>
      </w:r>
      <w:r w:rsidRPr="00000095">
        <w:rPr>
          <w:rFonts w:cs="Arial"/>
        </w:rPr>
        <w:t>e would ask that each individual question is either a fixed data point or multi</w:t>
      </w:r>
      <w:r>
        <w:rPr>
          <w:rFonts w:cs="Arial"/>
        </w:rPr>
        <w:t>ple-choice</w:t>
      </w:r>
      <w:r w:rsidRPr="00000095">
        <w:rPr>
          <w:rFonts w:cs="Arial"/>
        </w:rPr>
        <w:t xml:space="preserve"> response as a minimum</w:t>
      </w:r>
      <w:r>
        <w:rPr>
          <w:rFonts w:cs="Arial"/>
        </w:rPr>
        <w:t>,</w:t>
      </w:r>
      <w:r w:rsidRPr="00000095">
        <w:rPr>
          <w:rFonts w:cs="Arial"/>
        </w:rPr>
        <w:t xml:space="preserve"> </w:t>
      </w:r>
      <w:r>
        <w:rPr>
          <w:rFonts w:cs="Arial"/>
        </w:rPr>
        <w:t>with</w:t>
      </w:r>
      <w:r w:rsidRPr="00000095">
        <w:rPr>
          <w:rFonts w:cs="Arial"/>
        </w:rPr>
        <w:t xml:space="preserve"> the option </w:t>
      </w:r>
      <w:r>
        <w:rPr>
          <w:rFonts w:cs="Arial"/>
        </w:rPr>
        <w:t>of</w:t>
      </w:r>
      <w:r w:rsidRPr="00000095">
        <w:rPr>
          <w:rFonts w:cs="Arial"/>
        </w:rPr>
        <w:t xml:space="preserve"> add</w:t>
      </w:r>
      <w:r>
        <w:rPr>
          <w:rFonts w:cs="Arial"/>
        </w:rPr>
        <w:t>ing</w:t>
      </w:r>
      <w:r w:rsidRPr="00000095">
        <w:rPr>
          <w:rFonts w:cs="Arial"/>
        </w:rPr>
        <w:t xml:space="preserve"> additional commentary</w:t>
      </w:r>
      <w:r>
        <w:rPr>
          <w:rFonts w:cs="Arial"/>
        </w:rPr>
        <w:t xml:space="preserve"> where appropriate</w:t>
      </w:r>
      <w:r w:rsidRPr="00000095">
        <w:rPr>
          <w:rFonts w:cs="Arial"/>
        </w:rPr>
        <w:t>.</w:t>
      </w:r>
    </w:p>
    <w:p w14:paraId="12C7BFE8" w14:textId="77777777" w:rsidR="00CC78A6" w:rsidRDefault="00CC78A6" w:rsidP="00CC78A6">
      <w:pPr>
        <w:jc w:val="both"/>
        <w:rPr>
          <w:rFonts w:cs="Arial"/>
        </w:rPr>
      </w:pPr>
    </w:p>
    <w:p w14:paraId="1419F416" w14:textId="77777777" w:rsidR="00CC78A6" w:rsidRDefault="00CC78A6" w:rsidP="00CC78A6">
      <w:pPr>
        <w:jc w:val="both"/>
        <w:rPr>
          <w:rFonts w:cs="Arial"/>
        </w:rPr>
      </w:pPr>
      <w:r>
        <w:rPr>
          <w:rFonts w:cs="Arial"/>
        </w:rPr>
        <w:t>Finally, the CP seems to suggest that it would be preferable for firms to obtain information directly from firms and only use data providers if it was not possible to collect data directly. We would strongly disagree with such an approach. Specialist data providers have the technology and expertise to collect and facilitate the analysis of data more efficiently and consistently than having each firm perform such activities individually. Furthermore, if every firm was collecting the data individually, this would lead to huge duplication of effort across providers of investments, which would ultimately lead to higher costs for investors. Using data providers would allow the mutualisation of these costs. A data provider would collect the data to a high standard once and then share the cost among its clients – something that would be much more efficient then every firm doing a similar activity itself.</w:t>
      </w:r>
    </w:p>
    <w:p w14:paraId="42B5AA70" w14:textId="77777777" w:rsidR="00CC78A6" w:rsidRDefault="00CC78A6" w:rsidP="00CC78A6">
      <w:pPr>
        <w:rPr>
          <w:rFonts w:cs="Arial"/>
        </w:rPr>
      </w:pPr>
    </w:p>
    <w:p w14:paraId="7ED248FB" w14:textId="77777777" w:rsidR="00CC78A6" w:rsidRDefault="00CC78A6" w:rsidP="003E573C">
      <w:pPr>
        <w:rPr>
          <w:rFonts w:cs="Arial"/>
        </w:rPr>
      </w:pPr>
    </w:p>
    <w:permEnd w:id="729947415"/>
    <w:p w14:paraId="6415E03C" w14:textId="45BB9ACC" w:rsidR="003E573C" w:rsidRDefault="003E573C" w:rsidP="003E573C">
      <w:pPr>
        <w:rPr>
          <w:rFonts w:cs="Arial"/>
        </w:rPr>
      </w:pPr>
      <w:r>
        <w:rPr>
          <w:rFonts w:cs="Arial"/>
        </w:rPr>
        <w:lastRenderedPageBreak/>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50B7F361" w:rsidR="003E573C" w:rsidRDefault="003E573C" w:rsidP="007118EB">
      <w:pPr>
        <w:pStyle w:val="Questionstyle"/>
      </w:pPr>
      <w:r>
        <w:t xml:space="preserve">: </w:t>
      </w:r>
      <w:r w:rsidR="001969F6" w:rsidRPr="001969F6">
        <w:t>Do you have any views on the benefits and drawbacks of including specifically operational expenditure of underlying non-financial investee companies as one of the possible ways to calculate the KPI referred to in question 2?</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2F69A0BB" w14:textId="77777777" w:rsidR="00FE2E27" w:rsidRDefault="00FE2E27" w:rsidP="003E573C">
      <w:pPr>
        <w:rPr>
          <w:rFonts w:cs="Arial"/>
        </w:rPr>
      </w:pPr>
      <w:permStart w:id="677205538" w:edGrp="everyone"/>
    </w:p>
    <w:p w14:paraId="0247F92F" w14:textId="77777777" w:rsidR="00FE2E27" w:rsidRDefault="00FE2E27" w:rsidP="00FE2E27">
      <w:pPr>
        <w:jc w:val="both"/>
        <w:rPr>
          <w:rFonts w:cs="Arial"/>
          <w:lang w:val="en-US"/>
        </w:rPr>
      </w:pPr>
      <w:r>
        <w:rPr>
          <w:rFonts w:cs="Arial"/>
          <w:lang w:val="en-US"/>
        </w:rPr>
        <w:t xml:space="preserve">As set out in our response to Q2, providing optionality for providers of investments to choose how they present the sustainability of their products is likely to inhibit comparability and provide opportunities funds to be presented in whichever way appears to be most desirable to investors. This will add to the difficulties for investors in comparing between potential investment providers. Rather, we would suggest that the information to be presented in a </w:t>
      </w:r>
      <w:proofErr w:type="spellStart"/>
      <w:r>
        <w:rPr>
          <w:rFonts w:cs="Arial"/>
          <w:lang w:val="en-US"/>
        </w:rPr>
        <w:t>standardised</w:t>
      </w:r>
      <w:proofErr w:type="spellEnd"/>
      <w:r>
        <w:rPr>
          <w:rFonts w:cs="Arial"/>
          <w:lang w:val="en-US"/>
        </w:rPr>
        <w:t xml:space="preserve"> manner using either one measure consistently across all providers or, preferably, all three measures be used every time. </w:t>
      </w:r>
    </w:p>
    <w:p w14:paraId="1CED392D" w14:textId="77777777" w:rsidR="00FE2E27" w:rsidRDefault="00FE2E27" w:rsidP="003E573C">
      <w:pPr>
        <w:rPr>
          <w:rFonts w:cs="Arial"/>
        </w:rPr>
      </w:pPr>
    </w:p>
    <w:p w14:paraId="72A23BA0" w14:textId="53B723FA" w:rsidR="003E573C" w:rsidRDefault="003E573C" w:rsidP="003E573C">
      <w:pPr>
        <w:rPr>
          <w:rFonts w:cs="Arial"/>
        </w:rPr>
      </w:pP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1064B109" w:rsidR="003E573C" w:rsidRDefault="003E573C" w:rsidP="007118EB">
      <w:pPr>
        <w:pStyle w:val="Questionstyle"/>
      </w:pPr>
      <w:r>
        <w:t xml:space="preserve">: </w:t>
      </w:r>
      <w:r w:rsidR="001969F6" w:rsidRPr="001969F6">
        <w:t>The proposed KPI includes equity and debt instruments issued by financial and non-financial undertakings and real estate assets, do you agree that this could also be extended to derivatives such as contracts for differences?</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685163BD" w14:textId="77777777" w:rsidR="00A667A8" w:rsidRDefault="00A667A8" w:rsidP="003E573C">
      <w:pPr>
        <w:rPr>
          <w:rFonts w:cs="Arial"/>
        </w:rPr>
      </w:pPr>
      <w:permStart w:id="1220688604" w:edGrp="everyone"/>
    </w:p>
    <w:p w14:paraId="156C3EED" w14:textId="77777777" w:rsidR="00A667A8" w:rsidRDefault="00A667A8" w:rsidP="00A667A8">
      <w:pPr>
        <w:jc w:val="both"/>
        <w:rPr>
          <w:rFonts w:cs="Arial"/>
          <w:lang w:val="en-US"/>
        </w:rPr>
      </w:pPr>
      <w:r w:rsidRPr="009570D5">
        <w:rPr>
          <w:rFonts w:cs="Arial"/>
          <w:lang w:val="en-US"/>
        </w:rPr>
        <w:t>Derivatives perform a</w:t>
      </w:r>
      <w:r>
        <w:rPr>
          <w:rFonts w:cs="Arial"/>
          <w:lang w:val="en-US"/>
        </w:rPr>
        <w:t xml:space="preserve"> vital role in the financial system, facilitating the raising and allocation of capital and helping participants manage risk (both non-ESG investment risks and, often through more recently developed derivatives, ESG risks such as renewable energy and weather). Given their central importance to investment, we would support including derivatives but only those that specifically meet the sustainability objectives being promoted by the financial product (i.e. derivatives used to hedge against currency or interest rate risks should not be included). Extending the KPI to all derivatives would not provide meaningful information, could be misleading for investors (particularly if investment providers include derivatives that simply appear to improve the sustainable position of investments) and would be disproportionate for investors, who ultimately bear the costs of the disclosures through higher costs and lower returns. This should be made clear in the RTS.</w:t>
      </w:r>
    </w:p>
    <w:p w14:paraId="49DC931F" w14:textId="77777777" w:rsidR="00A667A8" w:rsidRDefault="00A667A8" w:rsidP="003E573C">
      <w:pPr>
        <w:rPr>
          <w:rFonts w:cs="Arial"/>
        </w:rPr>
      </w:pPr>
    </w:p>
    <w:p w14:paraId="784D9858" w14:textId="2E04E427" w:rsidR="003E573C" w:rsidRDefault="003E573C" w:rsidP="003E573C">
      <w:pPr>
        <w:rPr>
          <w:rFonts w:cs="Arial"/>
        </w:rPr>
      </w:pP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63ED05A3" w:rsidR="003E573C" w:rsidRDefault="003E573C" w:rsidP="007118EB">
      <w:pPr>
        <w:pStyle w:val="Questionstyle"/>
      </w:pPr>
      <w:r>
        <w:t xml:space="preserve">: </w:t>
      </w:r>
      <w:r w:rsidR="001969F6" w:rsidRPr="001969F6">
        <w:t>Is the use of “equities” and “debt instruments” sufficiently clear to capture relevant instruments issued by investee companies? If not, how could that be clarified? Are any specific valuation criteria necessary to ensure that the disclosures are comparable?</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5E01DD5E" w14:textId="77777777" w:rsidR="00971223" w:rsidRDefault="00971223" w:rsidP="003E573C">
      <w:pPr>
        <w:rPr>
          <w:rFonts w:cs="Arial"/>
        </w:rPr>
      </w:pPr>
      <w:permStart w:id="209390932" w:edGrp="everyone"/>
    </w:p>
    <w:p w14:paraId="08965756" w14:textId="588554B6" w:rsidR="00971223" w:rsidRDefault="00971223" w:rsidP="00971223">
      <w:pPr>
        <w:jc w:val="both"/>
        <w:rPr>
          <w:rFonts w:cs="Arial"/>
          <w:lang w:val="en-US"/>
        </w:rPr>
      </w:pPr>
      <w:r w:rsidRPr="00BA3710">
        <w:rPr>
          <w:rFonts w:cs="Arial"/>
          <w:lang w:val="en-US"/>
        </w:rPr>
        <w:t xml:space="preserve">It may be worth </w:t>
      </w:r>
      <w:r>
        <w:rPr>
          <w:rFonts w:cs="Arial"/>
          <w:lang w:val="en-US"/>
        </w:rPr>
        <w:t xml:space="preserve">further </w:t>
      </w:r>
      <w:r w:rsidRPr="00BA3710">
        <w:rPr>
          <w:rFonts w:cs="Arial"/>
          <w:lang w:val="en-US"/>
        </w:rPr>
        <w:t>clarifying the definition to ensure that the relevant instruments a</w:t>
      </w:r>
      <w:r>
        <w:rPr>
          <w:rFonts w:cs="Arial"/>
          <w:lang w:val="en-US"/>
        </w:rPr>
        <w:t xml:space="preserve">nd sustainability metrics should always be </w:t>
      </w:r>
      <w:r w:rsidRPr="00BA3710">
        <w:rPr>
          <w:rFonts w:cs="Arial"/>
          <w:lang w:val="en-US"/>
        </w:rPr>
        <w:t xml:space="preserve">based on the underlying investment and not the security that is issued against it. </w:t>
      </w:r>
      <w:r>
        <w:rPr>
          <w:rFonts w:cs="Arial"/>
          <w:lang w:val="en-US"/>
        </w:rPr>
        <w:t>It should also be noted that the same methodology cannot be applied to</w:t>
      </w:r>
      <w:r w:rsidRPr="00BA3710">
        <w:rPr>
          <w:rFonts w:cs="Arial"/>
          <w:lang w:val="en-US"/>
        </w:rPr>
        <w:t xml:space="preserve"> </w:t>
      </w:r>
      <w:r>
        <w:rPr>
          <w:rFonts w:cs="Arial"/>
          <w:lang w:val="en-US"/>
        </w:rPr>
        <w:t>s</w:t>
      </w:r>
      <w:r w:rsidRPr="00BA3710">
        <w:rPr>
          <w:rFonts w:cs="Arial"/>
          <w:lang w:val="en-US"/>
        </w:rPr>
        <w:t xml:space="preserve">overeign </w:t>
      </w:r>
      <w:r>
        <w:rPr>
          <w:rFonts w:cs="Arial"/>
          <w:lang w:val="en-US"/>
        </w:rPr>
        <w:t>b</w:t>
      </w:r>
      <w:r w:rsidRPr="00BA3710">
        <w:rPr>
          <w:rFonts w:cs="Arial"/>
          <w:lang w:val="en-US"/>
        </w:rPr>
        <w:t>ond</w:t>
      </w:r>
      <w:r>
        <w:rPr>
          <w:rFonts w:cs="Arial"/>
          <w:lang w:val="en-US"/>
        </w:rPr>
        <w:t>s that would be appropriate for corporate b</w:t>
      </w:r>
      <w:r w:rsidRPr="00BA3710">
        <w:rPr>
          <w:rFonts w:cs="Arial"/>
          <w:lang w:val="en-US"/>
        </w:rPr>
        <w:t>ond</w:t>
      </w:r>
      <w:r>
        <w:rPr>
          <w:rFonts w:cs="Arial"/>
          <w:lang w:val="en-US"/>
        </w:rPr>
        <w:t>s (</w:t>
      </w:r>
      <w:r>
        <w:rPr>
          <w:rFonts w:cs="Arial"/>
          <w:lang w:val="en-US"/>
        </w:rPr>
        <w:t xml:space="preserve">please also </w:t>
      </w:r>
      <w:r>
        <w:rPr>
          <w:rFonts w:cs="Arial"/>
          <w:lang w:val="en-US"/>
        </w:rPr>
        <w:t>see our response to Q6 below)</w:t>
      </w:r>
      <w:r w:rsidRPr="00BA3710">
        <w:rPr>
          <w:rFonts w:cs="Arial"/>
          <w:lang w:val="en-US"/>
        </w:rPr>
        <w:t>.</w:t>
      </w:r>
    </w:p>
    <w:p w14:paraId="0E0FC17B" w14:textId="0D7E4CBA" w:rsidR="00403101" w:rsidRDefault="00403101" w:rsidP="00971223">
      <w:pPr>
        <w:jc w:val="both"/>
        <w:rPr>
          <w:rFonts w:cs="Arial"/>
          <w:lang w:val="en-US"/>
        </w:rPr>
      </w:pPr>
    </w:p>
    <w:p w14:paraId="41522229" w14:textId="226125B9" w:rsidR="00403101" w:rsidRPr="00BA3710" w:rsidRDefault="00403101" w:rsidP="00971223">
      <w:pPr>
        <w:jc w:val="both"/>
        <w:rPr>
          <w:rFonts w:cs="Arial"/>
          <w:lang w:val="en-US"/>
        </w:rPr>
      </w:pPr>
      <w:r w:rsidRPr="00BA3710">
        <w:rPr>
          <w:rFonts w:cs="Arial"/>
          <w:lang w:val="en-US"/>
        </w:rPr>
        <w:t xml:space="preserve">Valuation of hard to value assets is a challenge and </w:t>
      </w:r>
      <w:r>
        <w:rPr>
          <w:rFonts w:cs="Arial"/>
          <w:lang w:val="en-US"/>
        </w:rPr>
        <w:t>the RTS should ensure incentives to use independent expert valuation whenever it is appropriate and proportionate. This would further help ensure robust data and effective comparability between investments.</w:t>
      </w:r>
    </w:p>
    <w:p w14:paraId="667B58B1" w14:textId="77777777" w:rsidR="00971223" w:rsidRDefault="00971223" w:rsidP="003E573C">
      <w:pPr>
        <w:rPr>
          <w:rFonts w:cs="Arial"/>
        </w:rPr>
      </w:pPr>
    </w:p>
    <w:p w14:paraId="4EE27C0A" w14:textId="25065C56" w:rsidR="003E573C" w:rsidRDefault="003E573C" w:rsidP="003E573C">
      <w:pPr>
        <w:rPr>
          <w:rFonts w:cs="Arial"/>
        </w:rPr>
      </w:pP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417ECB66" w:rsidR="003E573C" w:rsidRDefault="003E573C" w:rsidP="007118EB">
      <w:pPr>
        <w:pStyle w:val="Questionstyle"/>
      </w:pPr>
      <w:r>
        <w:t xml:space="preserve">: </w:t>
      </w:r>
      <w:r w:rsidR="001969F6" w:rsidRPr="001969F6">
        <w:t>Do you have any views about including all investments, including sovereign bonds and other assets that cannot be assessed for taxonomy-alignment, of the financial product in the denominator for the KPI?</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3664BA93" w14:textId="77777777" w:rsidR="00044712" w:rsidRDefault="00044712" w:rsidP="003E573C">
      <w:pPr>
        <w:rPr>
          <w:rFonts w:cs="Arial"/>
        </w:rPr>
      </w:pPr>
      <w:permStart w:id="418122716" w:edGrp="everyone"/>
    </w:p>
    <w:p w14:paraId="5156671A" w14:textId="77777777" w:rsidR="00044712" w:rsidRDefault="00044712" w:rsidP="00044712">
      <w:pPr>
        <w:jc w:val="both"/>
        <w:rPr>
          <w:rFonts w:cs="Arial"/>
        </w:rPr>
      </w:pPr>
      <w:r>
        <w:rPr>
          <w:rFonts w:cs="Arial"/>
        </w:rPr>
        <w:t xml:space="preserve">Although it is impossible to treat sovereign (or sub-sovereign in some locations) and corporate bonds in the same way, it is possible to assess sovereign bonds for taxonomy alignment. Such an assessment could include specific and detailed economic metrics analysing the ‘impact’ of the state, including the state’s own activities from state facilities as well as all domestic </w:t>
      </w:r>
      <w:r w:rsidRPr="00AC40E5">
        <w:rPr>
          <w:rFonts w:cs="Arial"/>
        </w:rPr>
        <w:t xml:space="preserve">companies </w:t>
      </w:r>
      <w:r>
        <w:rPr>
          <w:rFonts w:cs="Arial"/>
        </w:rPr>
        <w:t>(</w:t>
      </w:r>
      <w:r w:rsidRPr="00AC40E5">
        <w:rPr>
          <w:rFonts w:cs="Arial"/>
        </w:rPr>
        <w:t xml:space="preserve">public </w:t>
      </w:r>
      <w:r>
        <w:rPr>
          <w:rFonts w:cs="Arial"/>
        </w:rPr>
        <w:t>and</w:t>
      </w:r>
      <w:r w:rsidRPr="00AC40E5">
        <w:rPr>
          <w:rFonts w:cs="Arial"/>
        </w:rPr>
        <w:t xml:space="preserve"> private</w:t>
      </w:r>
      <w:r>
        <w:rPr>
          <w:rFonts w:cs="Arial"/>
        </w:rPr>
        <w:t>)</w:t>
      </w:r>
      <w:r w:rsidRPr="00AC40E5">
        <w:rPr>
          <w:rFonts w:cs="Arial"/>
        </w:rPr>
        <w:t xml:space="preserve"> </w:t>
      </w:r>
      <w:r>
        <w:rPr>
          <w:rFonts w:cs="Arial"/>
        </w:rPr>
        <w:t>that are located</w:t>
      </w:r>
      <w:r w:rsidRPr="00AC40E5">
        <w:rPr>
          <w:rFonts w:cs="Arial"/>
        </w:rPr>
        <w:t xml:space="preserve"> in a country as </w:t>
      </w:r>
      <w:r>
        <w:rPr>
          <w:rFonts w:cs="Arial"/>
        </w:rPr>
        <w:t>a proxy for</w:t>
      </w:r>
      <w:r w:rsidRPr="00AC40E5">
        <w:rPr>
          <w:rFonts w:cs="Arial"/>
        </w:rPr>
        <w:t xml:space="preserve"> the activities of state</w:t>
      </w:r>
      <w:r>
        <w:rPr>
          <w:rFonts w:cs="Arial"/>
        </w:rPr>
        <w:t xml:space="preserve"> (as these enterprises’ activities are determined by state legislation). </w:t>
      </w:r>
    </w:p>
    <w:p w14:paraId="7ABE3825" w14:textId="77777777" w:rsidR="00044712" w:rsidRDefault="00044712" w:rsidP="00044712">
      <w:pPr>
        <w:jc w:val="both"/>
        <w:rPr>
          <w:rFonts w:cs="Arial"/>
        </w:rPr>
      </w:pPr>
    </w:p>
    <w:p w14:paraId="6E7CCC43" w14:textId="77777777" w:rsidR="00044712" w:rsidRDefault="00044712" w:rsidP="00044712">
      <w:pPr>
        <w:jc w:val="both"/>
        <w:rPr>
          <w:rFonts w:cs="Arial"/>
        </w:rPr>
      </w:pPr>
      <w:r>
        <w:rPr>
          <w:rFonts w:cs="Arial"/>
        </w:rPr>
        <w:t xml:space="preserve">All entities should be capable of reporting turnover, capital expenditure and operational expenditure. Exempting sovereign entities from assessment would lead to a sub-optimal framework and be an unhelpful message to those firms falling under the scope of enhanced reporting under the Taxonomy Regulation. </w:t>
      </w:r>
    </w:p>
    <w:p w14:paraId="308DCA86" w14:textId="77777777" w:rsidR="00044712" w:rsidRDefault="00044712" w:rsidP="003E573C">
      <w:pPr>
        <w:rPr>
          <w:rFonts w:cs="Arial"/>
        </w:rPr>
      </w:pPr>
    </w:p>
    <w:p w14:paraId="46FB187E" w14:textId="4A9F3D43" w:rsidR="003E573C" w:rsidRDefault="003E573C" w:rsidP="003E573C">
      <w:pPr>
        <w:rPr>
          <w:rFonts w:cs="Arial"/>
        </w:rPr>
      </w:pP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2C94FA30" w:rsidR="003E573C" w:rsidRDefault="003E573C" w:rsidP="007118EB">
      <w:pPr>
        <w:pStyle w:val="Questionstyle"/>
      </w:pPr>
      <w:r>
        <w:t xml:space="preserve">: </w:t>
      </w:r>
      <w:r w:rsidR="001969F6" w:rsidRPr="001969F6">
        <w:t>Do you have any views on the statement of taxonomy compliance of the activities the financial product invests in and whether those statements should be subject to assessment by external or third parties?</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34E1145E" w14:textId="77777777" w:rsidR="00E20868" w:rsidRDefault="00E20868" w:rsidP="003E573C">
      <w:pPr>
        <w:rPr>
          <w:rFonts w:cs="Arial"/>
        </w:rPr>
      </w:pPr>
      <w:permStart w:id="569465455" w:edGrp="everyone"/>
    </w:p>
    <w:p w14:paraId="39D71E8F" w14:textId="77777777" w:rsidR="00E20868" w:rsidRDefault="00E20868" w:rsidP="00E20868">
      <w:pPr>
        <w:jc w:val="both"/>
        <w:rPr>
          <w:rFonts w:cs="Arial"/>
        </w:rPr>
      </w:pPr>
      <w:r w:rsidRPr="00BC3F43">
        <w:rPr>
          <w:rFonts w:cs="Arial"/>
        </w:rPr>
        <w:t xml:space="preserve">The costs of assurance for taxonomy compliance will be significant because of the complexity of the regulation. These costs </w:t>
      </w:r>
      <w:r>
        <w:rPr>
          <w:rFonts w:cs="Arial"/>
        </w:rPr>
        <w:t>are likely to</w:t>
      </w:r>
      <w:r w:rsidRPr="00BC3F43">
        <w:rPr>
          <w:rFonts w:cs="Arial"/>
        </w:rPr>
        <w:t xml:space="preserve"> impact investors who </w:t>
      </w:r>
      <w:r>
        <w:rPr>
          <w:rFonts w:cs="Arial"/>
        </w:rPr>
        <w:t>could</w:t>
      </w:r>
      <w:r w:rsidRPr="00BC3F43">
        <w:rPr>
          <w:rFonts w:cs="Arial"/>
        </w:rPr>
        <w:t xml:space="preserve"> see charges rise for </w:t>
      </w:r>
      <w:r>
        <w:rPr>
          <w:rFonts w:cs="Arial"/>
        </w:rPr>
        <w:t>‘</w:t>
      </w:r>
      <w:r w:rsidRPr="00BC3F43">
        <w:rPr>
          <w:rFonts w:cs="Arial"/>
        </w:rPr>
        <w:t>dark green</w:t>
      </w:r>
      <w:r>
        <w:rPr>
          <w:rFonts w:cs="Arial"/>
        </w:rPr>
        <w:t xml:space="preserve">’ products, risking them becoming less attractive and running counter to EU objectives to see such funds becoming </w:t>
      </w:r>
      <w:r w:rsidRPr="00BC3F43">
        <w:rPr>
          <w:rFonts w:cs="Arial"/>
        </w:rPr>
        <w:t>a larger part of the investment cycle. S</w:t>
      </w:r>
      <w:r>
        <w:rPr>
          <w:rFonts w:cs="Arial"/>
        </w:rPr>
        <w:t xml:space="preserve">ubjecting statements to external or third-party </w:t>
      </w:r>
      <w:r w:rsidRPr="00BC3F43">
        <w:rPr>
          <w:rFonts w:cs="Arial"/>
        </w:rPr>
        <w:t>assessments could</w:t>
      </w:r>
      <w:r>
        <w:rPr>
          <w:rFonts w:cs="Arial"/>
        </w:rPr>
        <w:t>,</w:t>
      </w:r>
      <w:r w:rsidRPr="00BC3F43">
        <w:rPr>
          <w:rFonts w:cs="Arial"/>
        </w:rPr>
        <w:t xml:space="preserve"> therefore</w:t>
      </w:r>
      <w:r>
        <w:rPr>
          <w:rFonts w:cs="Arial"/>
        </w:rPr>
        <w:t>,</w:t>
      </w:r>
      <w:r w:rsidRPr="00BC3F43">
        <w:rPr>
          <w:rFonts w:cs="Arial"/>
        </w:rPr>
        <w:t xml:space="preserve"> be counter</w:t>
      </w:r>
      <w:r>
        <w:rPr>
          <w:rFonts w:cs="Arial"/>
        </w:rPr>
        <w:t>-</w:t>
      </w:r>
      <w:r w:rsidRPr="00BC3F43">
        <w:rPr>
          <w:rFonts w:cs="Arial"/>
        </w:rPr>
        <w:t xml:space="preserve">productive to the core objectives of the legislation. </w:t>
      </w:r>
    </w:p>
    <w:p w14:paraId="0CBC2793" w14:textId="77777777" w:rsidR="00E20868" w:rsidRDefault="00E20868" w:rsidP="00E20868">
      <w:pPr>
        <w:jc w:val="both"/>
        <w:rPr>
          <w:rFonts w:cs="Arial"/>
        </w:rPr>
      </w:pPr>
    </w:p>
    <w:p w14:paraId="2946DACA" w14:textId="77777777" w:rsidR="00E20868" w:rsidRPr="00BC3F43" w:rsidRDefault="00E20868" w:rsidP="00E20868">
      <w:pPr>
        <w:jc w:val="both"/>
        <w:rPr>
          <w:rFonts w:cs="Arial"/>
        </w:rPr>
      </w:pPr>
      <w:r w:rsidRPr="00BC3F43">
        <w:rPr>
          <w:rFonts w:cs="Arial"/>
        </w:rPr>
        <w:t xml:space="preserve">This situation could </w:t>
      </w:r>
      <w:r>
        <w:rPr>
          <w:rFonts w:cs="Arial"/>
        </w:rPr>
        <w:t xml:space="preserve">also </w:t>
      </w:r>
      <w:r w:rsidRPr="00BC3F43">
        <w:rPr>
          <w:rFonts w:cs="Arial"/>
        </w:rPr>
        <w:t xml:space="preserve">be </w:t>
      </w:r>
      <w:r>
        <w:rPr>
          <w:rFonts w:cs="Arial"/>
        </w:rPr>
        <w:t>ex</w:t>
      </w:r>
      <w:r w:rsidRPr="00BC3F43">
        <w:rPr>
          <w:rFonts w:cs="Arial"/>
        </w:rPr>
        <w:t xml:space="preserve">acerbated </w:t>
      </w:r>
      <w:r>
        <w:rPr>
          <w:rFonts w:cs="Arial"/>
        </w:rPr>
        <w:t>by a</w:t>
      </w:r>
      <w:r w:rsidRPr="00BC3F43">
        <w:rPr>
          <w:rFonts w:cs="Arial"/>
        </w:rPr>
        <w:t xml:space="preserve"> lack of detailed disclosure by securities that form part of any </w:t>
      </w:r>
      <w:r>
        <w:rPr>
          <w:rFonts w:cs="Arial"/>
        </w:rPr>
        <w:t>‘</w:t>
      </w:r>
      <w:r w:rsidRPr="00BC3F43">
        <w:rPr>
          <w:rFonts w:cs="Arial"/>
        </w:rPr>
        <w:t>dark green</w:t>
      </w:r>
      <w:r>
        <w:rPr>
          <w:rFonts w:cs="Arial"/>
        </w:rPr>
        <w:t>’</w:t>
      </w:r>
      <w:r w:rsidRPr="00BC3F43">
        <w:rPr>
          <w:rFonts w:cs="Arial"/>
        </w:rPr>
        <w:t xml:space="preserve"> </w:t>
      </w:r>
      <w:r>
        <w:rPr>
          <w:rFonts w:cs="Arial"/>
        </w:rPr>
        <w:t>products</w:t>
      </w:r>
      <w:r w:rsidRPr="00BC3F43">
        <w:rPr>
          <w:rFonts w:cs="Arial"/>
        </w:rPr>
        <w:t>. To</w:t>
      </w:r>
      <w:r>
        <w:rPr>
          <w:rFonts w:cs="Arial"/>
        </w:rPr>
        <w:t xml:space="preserve"> help mitigate</w:t>
      </w:r>
      <w:r w:rsidRPr="00BC3F43">
        <w:rPr>
          <w:rFonts w:cs="Arial"/>
        </w:rPr>
        <w:t xml:space="preserve"> </w:t>
      </w:r>
      <w:r>
        <w:rPr>
          <w:rFonts w:cs="Arial"/>
        </w:rPr>
        <w:t xml:space="preserve">these </w:t>
      </w:r>
      <w:r w:rsidRPr="00BC3F43">
        <w:rPr>
          <w:rFonts w:cs="Arial"/>
        </w:rPr>
        <w:t xml:space="preserve">costs and increase the efficacy of the data available to investors the EU </w:t>
      </w:r>
      <w:r>
        <w:rPr>
          <w:rFonts w:cs="Arial"/>
        </w:rPr>
        <w:t>should</w:t>
      </w:r>
      <w:r w:rsidRPr="00BC3F43">
        <w:rPr>
          <w:rFonts w:cs="Arial"/>
        </w:rPr>
        <w:t>:</w:t>
      </w:r>
    </w:p>
    <w:p w14:paraId="46F75CC8" w14:textId="77777777" w:rsidR="00E20868" w:rsidRDefault="00E20868" w:rsidP="00E20868">
      <w:pPr>
        <w:pStyle w:val="ListParagraph"/>
        <w:numPr>
          <w:ilvl w:val="0"/>
          <w:numId w:val="42"/>
        </w:numPr>
        <w:jc w:val="both"/>
        <w:rPr>
          <w:rFonts w:cs="Arial"/>
        </w:rPr>
      </w:pPr>
      <w:r w:rsidRPr="00E20868">
        <w:rPr>
          <w:rFonts w:cs="Arial"/>
        </w:rPr>
        <w:t xml:space="preserve">ensure that the CSDR legislation effectively mandate Taxonomy level disclosure for all public and private companies (although this will still leave material data gaps in non-EU securities data); and </w:t>
      </w:r>
    </w:p>
    <w:p w14:paraId="32B3634D" w14:textId="50C23EFD" w:rsidR="00E20868" w:rsidRPr="00E20868" w:rsidRDefault="00E20868" w:rsidP="00E20868">
      <w:pPr>
        <w:pStyle w:val="ListParagraph"/>
        <w:numPr>
          <w:ilvl w:val="0"/>
          <w:numId w:val="42"/>
        </w:numPr>
        <w:jc w:val="both"/>
        <w:rPr>
          <w:rFonts w:cs="Arial"/>
        </w:rPr>
      </w:pPr>
      <w:r w:rsidRPr="00E20868">
        <w:rPr>
          <w:rFonts w:cs="Arial"/>
        </w:rPr>
        <w:t xml:space="preserve">calculate and publish EU acceptable data models that can be used as a proxy for missing data where companies do not publish the required information in line with the Taxonomy </w:t>
      </w:r>
    </w:p>
    <w:p w14:paraId="2A4E35E8" w14:textId="77777777" w:rsidR="00E20868" w:rsidRDefault="00E20868" w:rsidP="00E20868">
      <w:pPr>
        <w:rPr>
          <w:rFonts w:cs="Arial"/>
        </w:rPr>
      </w:pPr>
    </w:p>
    <w:p w14:paraId="74EF7BA7" w14:textId="1576BCE2" w:rsidR="003E573C" w:rsidRDefault="003E573C" w:rsidP="00E20868">
      <w:pPr>
        <w:rPr>
          <w:rFonts w:cs="Arial"/>
        </w:rPr>
      </w:pPr>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47C75544" w:rsidR="003E573C" w:rsidRDefault="003E573C" w:rsidP="00666A17">
      <w:pPr>
        <w:pStyle w:val="ListParagraph"/>
        <w:numPr>
          <w:ilvl w:val="0"/>
          <w:numId w:val="37"/>
        </w:numPr>
        <w:rPr>
          <w:rFonts w:asciiTheme="minorHAnsi" w:eastAsiaTheme="minorEastAsia" w:hAnsiTheme="minorHAnsi" w:cstheme="minorBidi"/>
          <w:b/>
          <w:sz w:val="22"/>
          <w:szCs w:val="20"/>
          <w:lang w:eastAsia="en-US"/>
        </w:rPr>
      </w:pPr>
      <w:r w:rsidRPr="001969F6">
        <w:rPr>
          <w:b/>
          <w:bCs/>
        </w:rPr>
        <w:t xml:space="preserve">: </w:t>
      </w:r>
      <w:r w:rsidR="001969F6" w:rsidRPr="001969F6">
        <w:rPr>
          <w:rFonts w:asciiTheme="minorHAnsi" w:eastAsiaTheme="minorEastAsia" w:hAnsiTheme="minorHAnsi" w:cstheme="minorBidi"/>
          <w:b/>
          <w:sz w:val="22"/>
          <w:szCs w:val="20"/>
          <w:lang w:eastAsia="en-US"/>
        </w:rPr>
        <w:t>Do you have any views on the proposed periodic disclosures which mirror the proposals for pre-contractual amendments?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1D3C1E0C" w14:textId="77777777" w:rsidR="00E1701B" w:rsidRDefault="00E1701B" w:rsidP="003E573C">
      <w:pPr>
        <w:rPr>
          <w:rFonts w:cs="Arial"/>
        </w:rPr>
      </w:pPr>
      <w:permStart w:id="1713528049" w:edGrp="everyone"/>
    </w:p>
    <w:p w14:paraId="26598622" w14:textId="77777777" w:rsidR="00E1701B" w:rsidRDefault="00E1701B" w:rsidP="00E1701B">
      <w:pPr>
        <w:jc w:val="both"/>
        <w:rPr>
          <w:rFonts w:cs="Arial"/>
        </w:rPr>
      </w:pPr>
      <w:r>
        <w:rPr>
          <w:rFonts w:cs="Arial"/>
        </w:rPr>
        <w:t xml:space="preserve">In principle we support the proposal for periodic disclosures which mirror pre-contractual disclosures.  Of course, </w:t>
      </w:r>
      <w:proofErr w:type="gramStart"/>
      <w:r>
        <w:rPr>
          <w:rFonts w:cs="Arial"/>
        </w:rPr>
        <w:t>further</w:t>
      </w:r>
      <w:proofErr w:type="gramEnd"/>
      <w:r>
        <w:rPr>
          <w:rFonts w:cs="Arial"/>
        </w:rPr>
        <w:t xml:space="preserve"> or more frequent disclosure over and above a consistent base should be allowed and even encouraged. For example, funds and ETFs should be able to create real-time reporting via their websites </w:t>
      </w:r>
      <w:r>
        <w:rPr>
          <w:rFonts w:cs="Arial"/>
        </w:rPr>
        <w:lastRenderedPageBreak/>
        <w:t>as portfolios and constituent weightings change on a regular basis. We also believe that the requirement to maintain a consistent time series will provide useful information to investors who will be able to see if</w:t>
      </w:r>
      <w:r w:rsidRPr="00A26769">
        <w:rPr>
          <w:rFonts w:cs="Arial"/>
        </w:rPr>
        <w:t xml:space="preserve"> position</w:t>
      </w:r>
      <w:r>
        <w:rPr>
          <w:rFonts w:cs="Arial"/>
        </w:rPr>
        <w:t xml:space="preserve">s are </w:t>
      </w:r>
      <w:r w:rsidRPr="00A26769">
        <w:rPr>
          <w:rFonts w:cs="Arial"/>
        </w:rPr>
        <w:t>improving or declining</w:t>
      </w:r>
      <w:r>
        <w:rPr>
          <w:rFonts w:cs="Arial"/>
        </w:rPr>
        <w:t>.</w:t>
      </w:r>
    </w:p>
    <w:p w14:paraId="45D42472" w14:textId="77777777" w:rsidR="00E1701B" w:rsidRDefault="00E1701B" w:rsidP="003E573C">
      <w:pPr>
        <w:rPr>
          <w:rFonts w:cs="Arial"/>
        </w:rPr>
      </w:pPr>
    </w:p>
    <w:p w14:paraId="20440D29" w14:textId="768708F2" w:rsidR="003E573C" w:rsidRDefault="003E573C" w:rsidP="003E573C">
      <w:pPr>
        <w:rPr>
          <w:rFonts w:cs="Arial"/>
        </w:rPr>
      </w:pP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2A90ED5D" w:rsidR="003E573C" w:rsidRDefault="003E573C" w:rsidP="007118EB">
      <w:pPr>
        <w:pStyle w:val="Questionstyle"/>
      </w:pPr>
      <w:r>
        <w:t xml:space="preserve">: </w:t>
      </w:r>
      <w:r w:rsidR="001969F6" w:rsidRPr="001969F6">
        <w:t>Do you have any views on the amended pre-contractual and periodic templates?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212862EF" w:rsidR="003E573C" w:rsidRDefault="003E573C" w:rsidP="007118EB">
      <w:pPr>
        <w:pStyle w:val="Questionstyle"/>
      </w:pPr>
      <w:bookmarkStart w:id="1" w:name="_Hlk18829484"/>
      <w:r>
        <w:t xml:space="preserve">: </w:t>
      </w:r>
      <w:bookmarkEnd w:id="1"/>
      <w:r w:rsidR="001969F6" w:rsidRPr="001969F6">
        <w:t>The draft RTS propose unified pre-contractual and periodic templates applicable to all Article 8 and 9 SFDR products (including Article 5 and 6 TR products which are a sub-set of Article 8 and 9 SFDR products). Do you believe it would be preferable to have separate pre-contractual and periodic templates for Article 5-6 TR products, instead of using the same template for all Article 8-9 SFDR products?</w:t>
      </w:r>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55C90D3A" w14:textId="77777777" w:rsidR="00F35073" w:rsidRDefault="00F35073" w:rsidP="003E573C">
      <w:pPr>
        <w:rPr>
          <w:rFonts w:cs="Arial"/>
        </w:rPr>
      </w:pPr>
      <w:bookmarkStart w:id="2" w:name="_Hlk66781674"/>
      <w:permStart w:id="610013876" w:edGrp="everyone"/>
    </w:p>
    <w:p w14:paraId="1D0D5080" w14:textId="77777777" w:rsidR="00F35073" w:rsidRPr="00BD69DB" w:rsidRDefault="00F35073" w:rsidP="00F35073">
      <w:pPr>
        <w:rPr>
          <w:rFonts w:cs="Arial"/>
        </w:rPr>
      </w:pPr>
      <w:r>
        <w:rPr>
          <w:rFonts w:cs="Arial"/>
          <w:lang w:val="en-US"/>
        </w:rPr>
        <w:t xml:space="preserve">Assuming the status of the investment products is clear, we would support the use of the same templates. </w:t>
      </w:r>
    </w:p>
    <w:p w14:paraId="3D5354FE" w14:textId="54FCD7FE" w:rsidR="003E573C" w:rsidRDefault="003E573C" w:rsidP="003E573C">
      <w:pPr>
        <w:rPr>
          <w:rFonts w:cs="Arial"/>
        </w:rPr>
      </w:pPr>
    </w:p>
    <w:bookmarkEnd w:id="2"/>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5386165" w:rsidR="003E573C" w:rsidRDefault="003E573C" w:rsidP="007118EB">
      <w:pPr>
        <w:pStyle w:val="Questionstyle"/>
      </w:pPr>
      <w:r>
        <w:t xml:space="preserve">: </w:t>
      </w:r>
      <w:r w:rsidR="001969F6" w:rsidRPr="001969F6">
        <w:t>The draft RTS propose in the amended templates to identify whether products making sustainable investments do so according to the EU taxonomy. While this is done to clearly indicate whether Article 5 and 6 TR products (that make sustainable investments with environmental objectives) use the taxonomy, arguably this would have the effect of requiring Article 8 and 9 SFDR products making sustainable investments with social objectives to indicate that too. Do you agree with this proposal?</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0DE0D7E2" w14:textId="77777777" w:rsidR="00B0546A" w:rsidRDefault="00B0546A" w:rsidP="003E573C">
      <w:pPr>
        <w:rPr>
          <w:rFonts w:cs="Arial"/>
        </w:rPr>
      </w:pPr>
      <w:permStart w:id="790175202" w:edGrp="everyone"/>
    </w:p>
    <w:p w14:paraId="05C6BECA" w14:textId="77777777" w:rsidR="00B0546A" w:rsidRDefault="00B0546A" w:rsidP="00B0546A">
      <w:pPr>
        <w:jc w:val="both"/>
        <w:rPr>
          <w:rFonts w:cs="Arial"/>
          <w:lang w:val="en-US"/>
        </w:rPr>
      </w:pPr>
      <w:r>
        <w:rPr>
          <w:rFonts w:cs="Arial"/>
          <w:lang w:val="en-US"/>
        </w:rPr>
        <w:t xml:space="preserve">We support the proposal as being a sensible requirement. The Taxonomy should be the benchmark for all reporting of sustainable investments in the EU. However, we have a broader concern </w:t>
      </w:r>
      <w:r w:rsidRPr="006349FD">
        <w:rPr>
          <w:rFonts w:cs="Arial"/>
          <w:lang w:val="en-US"/>
        </w:rPr>
        <w:t xml:space="preserve">about the structure of the reporting in the templates. </w:t>
      </w:r>
      <w:r>
        <w:rPr>
          <w:rFonts w:cs="Arial"/>
          <w:lang w:val="en-US"/>
        </w:rPr>
        <w:t xml:space="preserve">We would urge the ESAs to ensure as much focus as possible </w:t>
      </w:r>
      <w:r w:rsidRPr="006349FD">
        <w:rPr>
          <w:rFonts w:cs="Arial"/>
          <w:lang w:val="en-US"/>
        </w:rPr>
        <w:t>on quantitative</w:t>
      </w:r>
      <w:r>
        <w:rPr>
          <w:rFonts w:cs="Arial"/>
          <w:lang w:val="en-US"/>
        </w:rPr>
        <w:t>,</w:t>
      </w:r>
      <w:r w:rsidRPr="006349FD">
        <w:rPr>
          <w:rFonts w:cs="Arial"/>
          <w:lang w:val="en-US"/>
        </w:rPr>
        <w:t xml:space="preserve"> </w:t>
      </w:r>
      <w:r>
        <w:rPr>
          <w:rFonts w:cs="Arial"/>
          <w:lang w:val="en-US"/>
        </w:rPr>
        <w:t>rather than</w:t>
      </w:r>
      <w:r w:rsidRPr="006349FD">
        <w:rPr>
          <w:rFonts w:cs="Arial"/>
          <w:lang w:val="en-US"/>
        </w:rPr>
        <w:t xml:space="preserve"> qualitative</w:t>
      </w:r>
      <w:r>
        <w:rPr>
          <w:rFonts w:cs="Arial"/>
          <w:lang w:val="en-US"/>
        </w:rPr>
        <w:t>,</w:t>
      </w:r>
      <w:r w:rsidRPr="006349FD">
        <w:rPr>
          <w:rFonts w:cs="Arial"/>
          <w:lang w:val="en-US"/>
        </w:rPr>
        <w:t xml:space="preserve"> metrics</w:t>
      </w:r>
      <w:r>
        <w:rPr>
          <w:rFonts w:cs="Arial"/>
          <w:lang w:val="en-US"/>
        </w:rPr>
        <w:t>.</w:t>
      </w:r>
      <w:r w:rsidRPr="006349FD">
        <w:rPr>
          <w:rFonts w:cs="Arial"/>
          <w:lang w:val="en-US"/>
        </w:rPr>
        <w:t xml:space="preserve"> </w:t>
      </w:r>
      <w:r>
        <w:rPr>
          <w:rFonts w:cs="Arial"/>
          <w:lang w:val="en-US"/>
        </w:rPr>
        <w:t xml:space="preserve">As with </w:t>
      </w:r>
      <w:r w:rsidRPr="006349FD">
        <w:rPr>
          <w:rFonts w:cs="Arial"/>
          <w:lang w:val="en-US"/>
        </w:rPr>
        <w:t>many aspects of data collection around non-financial reporting</w:t>
      </w:r>
      <w:r>
        <w:rPr>
          <w:rFonts w:cs="Arial"/>
          <w:lang w:val="en-US"/>
        </w:rPr>
        <w:t>,</w:t>
      </w:r>
      <w:r w:rsidRPr="006349FD">
        <w:rPr>
          <w:rFonts w:cs="Arial"/>
          <w:lang w:val="en-US"/>
        </w:rPr>
        <w:t xml:space="preserve"> </w:t>
      </w:r>
      <w:r>
        <w:rPr>
          <w:rFonts w:cs="Arial"/>
          <w:lang w:val="en-US"/>
        </w:rPr>
        <w:t xml:space="preserve">the disclosure of qualitative data results in the introduction of bias to the interpretation of the information provided. This is likely to skew the results, reduce the value of the information to investors and diminish comparability. </w:t>
      </w:r>
    </w:p>
    <w:p w14:paraId="4E232E31" w14:textId="77777777" w:rsidR="00B0546A" w:rsidRDefault="00B0546A" w:rsidP="003E573C">
      <w:pPr>
        <w:rPr>
          <w:rFonts w:cs="Arial"/>
        </w:rPr>
      </w:pPr>
    </w:p>
    <w:p w14:paraId="7211C31B" w14:textId="77777777" w:rsidR="00620990" w:rsidRDefault="00620990" w:rsidP="00620990">
      <w:pPr>
        <w:jc w:val="both"/>
        <w:rPr>
          <w:rFonts w:cs="Arial"/>
        </w:rPr>
      </w:pPr>
      <w:r>
        <w:rPr>
          <w:rFonts w:cs="Arial"/>
        </w:rPr>
        <w:t xml:space="preserve">More effective standardisation with quantitative figures will aid automation of business processes used to consume, </w:t>
      </w:r>
      <w:proofErr w:type="gramStart"/>
      <w:r>
        <w:rPr>
          <w:rFonts w:cs="Arial"/>
        </w:rPr>
        <w:t>analyse</w:t>
      </w:r>
      <w:proofErr w:type="gramEnd"/>
      <w:r>
        <w:rPr>
          <w:rFonts w:cs="Arial"/>
        </w:rPr>
        <w:t xml:space="preserve"> and communicate the investment process and choices more effectively and efficiently.</w:t>
      </w:r>
      <w:r w:rsidRPr="00000095">
        <w:t xml:space="preserve"> </w:t>
      </w:r>
      <w:r>
        <w:t>W</w:t>
      </w:r>
      <w:r w:rsidRPr="00000095">
        <w:rPr>
          <w:rFonts w:cs="Arial"/>
        </w:rPr>
        <w:t xml:space="preserve">e would ask that </w:t>
      </w:r>
      <w:r>
        <w:rPr>
          <w:rFonts w:cs="Arial"/>
        </w:rPr>
        <w:t>ESG</w:t>
      </w:r>
      <w:r w:rsidRPr="00000095">
        <w:rPr>
          <w:rFonts w:cs="Arial"/>
        </w:rPr>
        <w:t xml:space="preserve"> is </w:t>
      </w:r>
      <w:r>
        <w:rPr>
          <w:rFonts w:cs="Arial"/>
        </w:rPr>
        <w:t xml:space="preserve">disclosed through </w:t>
      </w:r>
      <w:r w:rsidRPr="00000095">
        <w:rPr>
          <w:rFonts w:cs="Arial"/>
        </w:rPr>
        <w:t>either a fixed data point or multi</w:t>
      </w:r>
      <w:r>
        <w:rPr>
          <w:rFonts w:cs="Arial"/>
        </w:rPr>
        <w:t>ple-choice</w:t>
      </w:r>
      <w:r w:rsidRPr="00000095">
        <w:rPr>
          <w:rFonts w:cs="Arial"/>
        </w:rPr>
        <w:t xml:space="preserve"> response as a minimum</w:t>
      </w:r>
      <w:r>
        <w:rPr>
          <w:rFonts w:cs="Arial"/>
        </w:rPr>
        <w:t>,</w:t>
      </w:r>
      <w:r w:rsidRPr="00000095">
        <w:rPr>
          <w:rFonts w:cs="Arial"/>
        </w:rPr>
        <w:t xml:space="preserve"> </w:t>
      </w:r>
      <w:r>
        <w:rPr>
          <w:rFonts w:cs="Arial"/>
        </w:rPr>
        <w:t>with</w:t>
      </w:r>
      <w:r w:rsidRPr="00000095">
        <w:rPr>
          <w:rFonts w:cs="Arial"/>
        </w:rPr>
        <w:t xml:space="preserve"> the option </w:t>
      </w:r>
      <w:r>
        <w:rPr>
          <w:rFonts w:cs="Arial"/>
        </w:rPr>
        <w:t>of</w:t>
      </w:r>
      <w:r w:rsidRPr="00000095">
        <w:rPr>
          <w:rFonts w:cs="Arial"/>
        </w:rPr>
        <w:t xml:space="preserve"> add</w:t>
      </w:r>
      <w:r>
        <w:rPr>
          <w:rFonts w:cs="Arial"/>
        </w:rPr>
        <w:t>ing</w:t>
      </w:r>
      <w:r w:rsidRPr="00000095">
        <w:rPr>
          <w:rFonts w:cs="Arial"/>
        </w:rPr>
        <w:t xml:space="preserve"> additional commentary</w:t>
      </w:r>
      <w:r>
        <w:rPr>
          <w:rFonts w:cs="Arial"/>
        </w:rPr>
        <w:t xml:space="preserve"> where appropriate</w:t>
      </w:r>
      <w:r w:rsidRPr="00000095">
        <w:rPr>
          <w:rFonts w:cs="Arial"/>
        </w:rPr>
        <w:t>.</w:t>
      </w:r>
    </w:p>
    <w:p w14:paraId="6AD33F21" w14:textId="77777777" w:rsidR="00620990" w:rsidRDefault="00620990" w:rsidP="003E573C">
      <w:pPr>
        <w:rPr>
          <w:rFonts w:cs="Arial"/>
        </w:rPr>
      </w:pP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5F67476B" w:rsidR="003E573C" w:rsidRDefault="003E573C" w:rsidP="003E573C">
      <w:pPr>
        <w:rPr>
          <w:rFonts w:cs="Arial"/>
        </w:rPr>
      </w:pPr>
    </w:p>
    <w:p w14:paraId="61320A13" w14:textId="067350C5" w:rsidR="007118EB" w:rsidRDefault="007118EB" w:rsidP="007118EB">
      <w:pPr>
        <w:pStyle w:val="Questionstyle"/>
      </w:pPr>
      <w:r>
        <w:t>:</w:t>
      </w:r>
      <w:r w:rsidR="001969F6" w:rsidRPr="001969F6">
        <w:t xml:space="preserve"> Do you have any views regarding the preliminary impact assessments? Can you provide more granular examples of costs associated with the policy options?</w:t>
      </w:r>
    </w:p>
    <w:p w14:paraId="02035181" w14:textId="6893B5C8" w:rsidR="007118EB" w:rsidRDefault="007118EB" w:rsidP="007118EB">
      <w:pPr>
        <w:rPr>
          <w:lang w:eastAsia="en-US"/>
        </w:rPr>
      </w:pPr>
      <w:r>
        <w:rPr>
          <w:lang w:eastAsia="en-US"/>
        </w:rPr>
        <w:lastRenderedPageBreak/>
        <w:t>&lt;ESA_QUESTION_ESG_12&gt;</w:t>
      </w:r>
    </w:p>
    <w:p w14:paraId="622A931F" w14:textId="77777777" w:rsidR="00AA1B9D" w:rsidRDefault="00AA1B9D" w:rsidP="00AA1B9D">
      <w:pPr>
        <w:rPr>
          <w:rFonts w:cs="Arial"/>
        </w:rPr>
      </w:pPr>
      <w:permStart w:id="1771197561" w:edGrp="everyone"/>
      <w:r>
        <w:rPr>
          <w:rFonts w:cs="Arial"/>
        </w:rPr>
        <w:t>TYPE YOUR TEXT HERE</w:t>
      </w:r>
    </w:p>
    <w:permEnd w:id="1771197561"/>
    <w:p w14:paraId="3577FCF9" w14:textId="5E3290C3" w:rsidR="007118EB" w:rsidRPr="007118EB" w:rsidRDefault="007118EB" w:rsidP="007118EB">
      <w:pPr>
        <w:rPr>
          <w:lang w:eastAsia="en-US"/>
        </w:rPr>
      </w:pPr>
      <w:r>
        <w:rPr>
          <w:lang w:eastAsia="en-US"/>
        </w:rPr>
        <w:t>&lt;ESA_QUESTION_ESG_12&gt;</w:t>
      </w:r>
    </w:p>
    <w:sectPr w:rsidR="007118EB" w:rsidRPr="007118EB"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9274A" w14:textId="77777777" w:rsidR="001C7421" w:rsidRDefault="001C7421">
      <w:r>
        <w:separator/>
      </w:r>
    </w:p>
    <w:p w14:paraId="57451FD7" w14:textId="77777777" w:rsidR="001C7421" w:rsidRDefault="001C7421"/>
  </w:endnote>
  <w:endnote w:type="continuationSeparator" w:id="0">
    <w:p w14:paraId="5DB6A61D" w14:textId="77777777" w:rsidR="001C7421" w:rsidRDefault="001C7421">
      <w:r>
        <w:continuationSeparator/>
      </w:r>
    </w:p>
    <w:p w14:paraId="430F895E" w14:textId="77777777" w:rsidR="001C7421" w:rsidRDefault="001C7421"/>
  </w:endnote>
  <w:endnote w:type="continuationNotice" w:id="1">
    <w:p w14:paraId="4768DB21" w14:textId="77777777" w:rsidR="001C7421" w:rsidRDefault="001C7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68570" w14:textId="77777777" w:rsidR="001C7421" w:rsidRDefault="001C7421">
      <w:r>
        <w:separator/>
      </w:r>
    </w:p>
    <w:p w14:paraId="700A14CB" w14:textId="77777777" w:rsidR="001C7421" w:rsidRDefault="001C7421"/>
  </w:footnote>
  <w:footnote w:type="continuationSeparator" w:id="0">
    <w:p w14:paraId="3D4AF445" w14:textId="77777777" w:rsidR="001C7421" w:rsidRDefault="001C7421">
      <w:r>
        <w:continuationSeparator/>
      </w:r>
    </w:p>
    <w:p w14:paraId="7F89D906" w14:textId="77777777" w:rsidR="001C7421" w:rsidRDefault="001C7421"/>
  </w:footnote>
  <w:footnote w:type="continuationNotice" w:id="1">
    <w:p w14:paraId="4D74BF17" w14:textId="77777777" w:rsidR="001C7421" w:rsidRDefault="001C7421"/>
  </w:footnote>
  <w:footnote w:id="2">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FC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6"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2E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6351B5"/>
    <w:multiLevelType w:val="hybridMultilevel"/>
    <w:tmpl w:val="139C8F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B5CCF242"/>
    <w:lvl w:ilvl="0" w:tplc="5F36106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CF200B1"/>
    <w:multiLevelType w:val="hybridMultilevel"/>
    <w:tmpl w:val="4CDCF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34815C5"/>
    <w:multiLevelType w:val="hybridMultilevel"/>
    <w:tmpl w:val="BB6E2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8"/>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4"/>
  </w:num>
  <w:num w:numId="14">
    <w:abstractNumId w:val="24"/>
  </w:num>
  <w:num w:numId="15">
    <w:abstractNumId w:val="9"/>
  </w:num>
  <w:num w:numId="16">
    <w:abstractNumId w:val="1"/>
  </w:num>
  <w:num w:numId="17">
    <w:abstractNumId w:val="15"/>
  </w:num>
  <w:num w:numId="18">
    <w:abstractNumId w:val="16"/>
  </w:num>
  <w:num w:numId="19">
    <w:abstractNumId w:val="18"/>
  </w:num>
  <w:num w:numId="20">
    <w:abstractNumId w:val="29"/>
  </w:num>
  <w:num w:numId="21">
    <w:abstractNumId w:val="40"/>
  </w:num>
  <w:num w:numId="22">
    <w:abstractNumId w:val="27"/>
  </w:num>
  <w:num w:numId="23">
    <w:abstractNumId w:val="8"/>
  </w:num>
  <w:num w:numId="24">
    <w:abstractNumId w:val="33"/>
  </w:num>
  <w:num w:numId="25">
    <w:abstractNumId w:val="32"/>
  </w:num>
  <w:num w:numId="26">
    <w:abstractNumId w:val="20"/>
  </w:num>
  <w:num w:numId="27">
    <w:abstractNumId w:val="37"/>
  </w:num>
  <w:num w:numId="28">
    <w:abstractNumId w:val="42"/>
  </w:num>
  <w:num w:numId="29">
    <w:abstractNumId w:val="6"/>
  </w:num>
  <w:num w:numId="30">
    <w:abstractNumId w:val="3"/>
  </w:num>
  <w:num w:numId="31">
    <w:abstractNumId w:val="23"/>
  </w:num>
  <w:num w:numId="32">
    <w:abstractNumId w:val="21"/>
  </w:num>
  <w:num w:numId="33">
    <w:abstractNumId w:val="39"/>
  </w:num>
  <w:num w:numId="34">
    <w:abstractNumId w:val="38"/>
  </w:num>
  <w:num w:numId="35">
    <w:abstractNumId w:val="10"/>
  </w:num>
  <w:num w:numId="36">
    <w:abstractNumId w:val="11"/>
  </w:num>
  <w:num w:numId="37">
    <w:abstractNumId w:val="13"/>
  </w:num>
  <w:num w:numId="38">
    <w:abstractNumId w:val="26"/>
  </w:num>
  <w:num w:numId="39">
    <w:abstractNumId w:val="22"/>
  </w:num>
  <w:num w:numId="40">
    <w:abstractNumId w:val="2"/>
  </w:num>
  <w:num w:numId="41">
    <w:abstractNumId w:val="31"/>
  </w:num>
  <w:num w:numId="42">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PlCUEaAvJr8Lb5jkry+wZ+XFSdqn0f3IBqahFJAhxoajC/E+IoKSpsKau2RKxbE/TsCjXDm8uSYLCv0ZdRDYw==" w:salt="1tIUBtEByNwPcaf2tV4ZA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4712"/>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3F4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3B4B"/>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69F6"/>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C7421"/>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E71"/>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1CDE"/>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B3F"/>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5BAD"/>
    <w:rsid w:val="003E68C7"/>
    <w:rsid w:val="003E79B0"/>
    <w:rsid w:val="003F0403"/>
    <w:rsid w:val="003F1094"/>
    <w:rsid w:val="003F29B4"/>
    <w:rsid w:val="003F2E45"/>
    <w:rsid w:val="003F3EFE"/>
    <w:rsid w:val="003F40B8"/>
    <w:rsid w:val="003F5C06"/>
    <w:rsid w:val="00400195"/>
    <w:rsid w:val="0040075B"/>
    <w:rsid w:val="0040254B"/>
    <w:rsid w:val="00403086"/>
    <w:rsid w:val="00403101"/>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2D9A"/>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8BD"/>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4DF9"/>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629"/>
    <w:rsid w:val="005F6BE3"/>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99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5CE3"/>
    <w:rsid w:val="00660B0D"/>
    <w:rsid w:val="00660BF0"/>
    <w:rsid w:val="0066189C"/>
    <w:rsid w:val="006630CF"/>
    <w:rsid w:val="00663EFF"/>
    <w:rsid w:val="00666A1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C795E"/>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A92"/>
    <w:rsid w:val="00704D25"/>
    <w:rsid w:val="00704EED"/>
    <w:rsid w:val="00710519"/>
    <w:rsid w:val="00710F6E"/>
    <w:rsid w:val="00711663"/>
    <w:rsid w:val="007116B4"/>
    <w:rsid w:val="007118EB"/>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5C2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04"/>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35AB"/>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4CDD"/>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223"/>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85C"/>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7B4"/>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0F6"/>
    <w:rsid w:val="009C634F"/>
    <w:rsid w:val="009C6C20"/>
    <w:rsid w:val="009D0219"/>
    <w:rsid w:val="009D0D55"/>
    <w:rsid w:val="009D2295"/>
    <w:rsid w:val="009D2511"/>
    <w:rsid w:val="009D291D"/>
    <w:rsid w:val="009D3E7C"/>
    <w:rsid w:val="009D55CA"/>
    <w:rsid w:val="009D5EF0"/>
    <w:rsid w:val="009D6401"/>
    <w:rsid w:val="009D72E8"/>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7A8"/>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B9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46A"/>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45"/>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3A59"/>
    <w:rsid w:val="00CB56B4"/>
    <w:rsid w:val="00CB7286"/>
    <w:rsid w:val="00CB7947"/>
    <w:rsid w:val="00CC1783"/>
    <w:rsid w:val="00CC1883"/>
    <w:rsid w:val="00CC38E9"/>
    <w:rsid w:val="00CC3B46"/>
    <w:rsid w:val="00CC3D8B"/>
    <w:rsid w:val="00CC4E27"/>
    <w:rsid w:val="00CC570C"/>
    <w:rsid w:val="00CC62B6"/>
    <w:rsid w:val="00CC76AA"/>
    <w:rsid w:val="00CC78A6"/>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1C13"/>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216A"/>
    <w:rsid w:val="00E04548"/>
    <w:rsid w:val="00E0484E"/>
    <w:rsid w:val="00E063F8"/>
    <w:rsid w:val="00E079AF"/>
    <w:rsid w:val="00E114D6"/>
    <w:rsid w:val="00E1166E"/>
    <w:rsid w:val="00E11DBD"/>
    <w:rsid w:val="00E13211"/>
    <w:rsid w:val="00E16FB5"/>
    <w:rsid w:val="00E1701B"/>
    <w:rsid w:val="00E179D6"/>
    <w:rsid w:val="00E20868"/>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6CA"/>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28"/>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099A"/>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EA6"/>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073"/>
    <w:rsid w:val="00F3568B"/>
    <w:rsid w:val="00F377CD"/>
    <w:rsid w:val="00F40C3B"/>
    <w:rsid w:val="00F40CE0"/>
    <w:rsid w:val="00F41BDD"/>
    <w:rsid w:val="00F42C4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2E27"/>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B9D"/>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7118EB"/>
    <w:pPr>
      <w:numPr>
        <w:numId w:val="37"/>
      </w:numPr>
      <w:spacing w:after="250" w:line="276" w:lineRule="auto"/>
      <w:ind w:hanging="294"/>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7118EB"/>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ESMA34-45-1218</_dlc_DocId>
    <_dlc_DocIdUrl xmlns="35c8e399-07b8-49e4-91bf-01a20105d4df">
      <Url>https://sherpa.esma.europa.eu/sites/INIIVM/_layouts/15/DocIdRedir.aspx?ID=ESMA34-45-1218</Url>
      <Description>ESMA34-45-1218</Description>
    </_dlc_DocIdUrl>
    <MeetingDate xmlns="35c8e399-07b8-49e4-91bf-01a20105d4df" xsi:nil="true"/>
    <TaxCatchAll xmlns="35c8e399-07b8-49e4-91bf-01a20105d4df">
      <Value>257</Value>
      <Value>66</Value>
      <Value>87</Value>
      <Value>72</Value>
      <Value>38</Value>
    </TaxCatchAll>
    <Year xmlns="35c8e399-07b8-49e4-91bf-01a20105d4df">2021</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f1a52b52-917d-42ef-9667-945839604bb2</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3f3f5c47-29f7-449c-ab20-04ae7736b23b</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3FC5BA4E-66DD-42F1-AB16-FCC70454E917}">
  <ds:schemaRefs>
    <ds:schemaRef ds:uri="http://schemas.openxmlformats.org/officeDocument/2006/bibliography"/>
  </ds:schemaRefs>
</ds:datastoreItem>
</file>

<file path=customXml/itemProps3.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5c8e399-07b8-49e4-91bf-01a20105d4df"/>
  </ds:schemaRefs>
</ds:datastoreItem>
</file>

<file path=customXml/itemProps6.xml><?xml version="1.0" encoding="utf-8"?>
<ds:datastoreItem xmlns:ds="http://schemas.openxmlformats.org/officeDocument/2006/customXml" ds:itemID="{F5C0F0B1-A3F1-4B95-8DA2-61925826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2757</Words>
  <Characters>15717</Characters>
  <Application>Microsoft Office Word</Application>
  <DocSecurity>8</DocSecurity>
  <Lines>130</Lines>
  <Paragraphs>36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18438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David Cook</cp:lastModifiedBy>
  <cp:revision>27</cp:revision>
  <cp:lastPrinted>2015-02-18T11:01:00Z</cp:lastPrinted>
  <dcterms:created xsi:type="dcterms:W3CDTF">2021-04-23T09:27:00Z</dcterms:created>
  <dcterms:modified xsi:type="dcterms:W3CDTF">2021-05-12T10:47:00Z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257;#Sustainable Finance|3f3f5c47-29f7-449c-ab20-04ae7736b23b</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71cff28a-b92d-4336-b344-c47118f9edc5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87;#Other Work|f1a52b52-917d-42ef-9667-945839604bb2</vt:lpwstr>
  </property>
  <property fmtid="{D5CDD505-2E9C-101B-9397-08002B2CF9AE}" pid="17" name="Project">
    <vt:lpwstr>103;#PRIIPs|a491fde9-7cc6-4ddd-9670-fcf5e94cd88f</vt:lpwstr>
  </property>
</Properties>
</file>