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30749A2D" w:rsidR="00C2094B" w:rsidRPr="004E49B0" w:rsidRDefault="00C2094B" w:rsidP="00337A3F">
            <w:pPr>
              <w:pStyle w:val="00bDBInfo"/>
              <w:rPr>
                <w:rFonts w:cs="Arial"/>
              </w:rPr>
            </w:pP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7021ABA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w:t>
            </w:r>
            <w:r w:rsidR="00511299">
              <w:rPr>
                <w:rFonts w:cs="Arial"/>
              </w:rPr>
              <w:t xml:space="preserve">ning </w:t>
            </w:r>
            <w:r w:rsidR="00281E71">
              <w:t xml:space="preserve"> </w:t>
            </w:r>
            <w:r w:rsidR="00281E71" w:rsidRPr="00281E71">
              <w:rPr>
                <w:rFonts w:cs="Arial"/>
              </w:rPr>
              <w:t>Taxonomy-related sustainability disclosures</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100BAE9D" w14:textId="6CAF0146" w:rsidR="005F6BE3" w:rsidRDefault="00620D7C" w:rsidP="005F6BE3">
            <w:pPr>
              <w:pStyle w:val="02Date"/>
              <w:rPr>
                <w:rFonts w:cs="Arial"/>
              </w:rPr>
            </w:pPr>
            <w:r w:rsidRPr="004E49B0">
              <w:rPr>
                <w:rFonts w:cs="Arial"/>
              </w:rPr>
              <w:lastRenderedPageBreak/>
              <w:t xml:space="preserve">Date: </w:t>
            </w:r>
            <w:r w:rsidR="00E92A28">
              <w:rPr>
                <w:rFonts w:cs="Arial"/>
              </w:rPr>
              <w:t>17 March 2021</w:t>
            </w:r>
          </w:p>
          <w:p w14:paraId="6A3CB033" w14:textId="02EF4BF2" w:rsidR="00704EED" w:rsidRPr="004E49B0" w:rsidRDefault="00704EED" w:rsidP="005F6BE3">
            <w:pPr>
              <w:pStyle w:val="02Date"/>
              <w:rPr>
                <w:rFonts w:cs="Arial"/>
              </w:rPr>
            </w:pPr>
            <w:r>
              <w:rPr>
                <w:rFonts w:cs="Arial"/>
                <w:shd w:val="clear" w:color="auto" w:fill="FFFFFF" w:themeFill="background1"/>
              </w:rPr>
              <w:t>ESMA</w:t>
            </w:r>
            <w:r w:rsidR="006C795E">
              <w:rPr>
                <w:rFonts w:cs="Arial"/>
                <w:shd w:val="clear" w:color="auto" w:fill="FFFFFF" w:themeFill="background1"/>
              </w:rPr>
              <w:t>34-45-1218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4256666B" w14:textId="2B6B0430" w:rsidR="00754AC4" w:rsidRDefault="005F6BE3" w:rsidP="00754AC4">
      <w:pPr>
        <w:spacing w:after="240"/>
        <w:jc w:val="both"/>
        <w:rPr>
          <w:rStyle w:val="SubtleEmphasis"/>
          <w:b w:val="0"/>
          <w:bCs/>
          <w:sz w:val="22"/>
        </w:rPr>
      </w:pPr>
      <w:r w:rsidRPr="005F6BE3">
        <w:rPr>
          <w:rStyle w:val="SubtleEmphasis"/>
          <w:b w:val="0"/>
          <w:bCs/>
          <w:sz w:val="22"/>
        </w:rPr>
        <w:t>The European Supervisory Authorities (ESAs) welcome comments on this consultation paper setting out the proposed Regulatory Technical Standards (hereinafter “RTS”) on content and presentation of disclosures pursuant to Article 8(4), 9(6) and 11(5) of Regulation (EU) 2019/2088 (hereinafter Sustainable Finance Disclosure Regulation “SFDR”)</w:t>
      </w:r>
      <w:r w:rsidR="00281E71">
        <w:rPr>
          <w:rStyle w:val="SubtleEmphasis"/>
          <w:b w:val="0"/>
          <w:bCs/>
          <w:sz w:val="22"/>
        </w:rPr>
        <w:t xml:space="preserve"> </w:t>
      </w:r>
      <w:r w:rsidR="00754AC4" w:rsidRPr="00754AC4">
        <w:rPr>
          <w:rStyle w:val="SubtleEmphasis"/>
          <w:b w:val="0"/>
          <w:bCs/>
          <w:sz w:val="22"/>
        </w:rPr>
        <w:t xml:space="preserve">and in particular on the specific questions summarised in Section 3 of the consultation paper under “Questions to stakeholders”. </w:t>
      </w:r>
    </w:p>
    <w:p w14:paraId="55CA6450" w14:textId="43B99A04" w:rsidR="00754AC4" w:rsidRPr="00754AC4" w:rsidRDefault="00754AC4" w:rsidP="00754AC4">
      <w:pPr>
        <w:spacing w:after="240"/>
        <w:jc w:val="both"/>
        <w:rPr>
          <w:rStyle w:val="SubtleEmphasis"/>
          <w:b w:val="0"/>
          <w:bCs/>
          <w:sz w:val="22"/>
        </w:rPr>
      </w:pPr>
      <w:r w:rsidRPr="00754AC4">
        <w:rPr>
          <w:rStyle w:val="SubtleEmphasis"/>
          <w:b w:val="0"/>
          <w:bCs/>
          <w:sz w:val="22"/>
        </w:rPr>
        <w:t>Comments are most helpful if they:</w:t>
      </w:r>
    </w:p>
    <w:p w14:paraId="443F1C2C"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contain a clear rationale; and</w:t>
      </w:r>
    </w:p>
    <w:p w14:paraId="44288AF1" w14:textId="77777777" w:rsidR="00754AC4" w:rsidRPr="00754AC4" w:rsidRDefault="00754AC4" w:rsidP="00666A17">
      <w:pPr>
        <w:pStyle w:val="ListParagraph"/>
        <w:numPr>
          <w:ilvl w:val="0"/>
          <w:numId w:val="39"/>
        </w:numPr>
        <w:spacing w:after="240"/>
        <w:jc w:val="both"/>
        <w:rPr>
          <w:rStyle w:val="SubtleEmphasis"/>
          <w:b w:val="0"/>
          <w:bCs/>
          <w:sz w:val="22"/>
        </w:rPr>
      </w:pPr>
      <w:r w:rsidRPr="00754AC4">
        <w:rPr>
          <w:rStyle w:val="SubtleEmphasis"/>
          <w:b w:val="0"/>
          <w:bCs/>
          <w:sz w:val="22"/>
        </w:rPr>
        <w:t>describe any alternatives the ESAs should consider.</w:t>
      </w:r>
    </w:p>
    <w:p w14:paraId="122FDDB2" w14:textId="5647B0AF" w:rsidR="00C86E1C" w:rsidRDefault="00C86E1C" w:rsidP="00754AC4">
      <w:pPr>
        <w:spacing w:after="240"/>
        <w:jc w:val="both"/>
        <w:rPr>
          <w:rStyle w:val="SubtleEmphasis"/>
          <w:b w:val="0"/>
          <w:bCs/>
          <w:sz w:val="22"/>
        </w:rPr>
      </w:pPr>
      <w:r>
        <w:rPr>
          <w:rStyle w:val="SubtleEmphasis"/>
          <w:b w:val="0"/>
          <w:bCs/>
          <w:sz w:val="22"/>
        </w:rPr>
        <w:t>When describing alternative approaches the ESAs encourage stakeholders to consider how the approach would achieve the aims of SFDR.</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681A708"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C86E1C">
        <w:rPr>
          <w:rStyle w:val="SubtleEmphasis"/>
          <w:b w:val="0"/>
          <w:sz w:val="22"/>
        </w:rPr>
        <w:t>ESG</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04FB3B90" w:rsidR="009A3017" w:rsidRPr="00E40A5C" w:rsidRDefault="009A3017" w:rsidP="00666A17">
      <w:pPr>
        <w:pStyle w:val="ListParagraph"/>
        <w:numPr>
          <w:ilvl w:val="0"/>
          <w:numId w:val="3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C86E1C">
        <w:rPr>
          <w:rStyle w:val="SubtleEmphasis"/>
          <w:b w:val="0"/>
          <w:sz w:val="22"/>
        </w:rPr>
        <w:t>ESG</w:t>
      </w:r>
      <w:r w:rsidRPr="00E40A5C">
        <w:rPr>
          <w:rStyle w:val="SubtleEmphasis"/>
          <w:b w:val="0"/>
          <w:sz w:val="22"/>
        </w:rPr>
        <w:t>_nameofrespondent_RESPONSEFORM. For example, for a respondent named ABCD, the response form would be entitled ESA_</w:t>
      </w:r>
      <w:r w:rsidR="00C86E1C">
        <w:rPr>
          <w:rStyle w:val="SubtleEmphasis"/>
          <w:b w:val="0"/>
          <w:sz w:val="22"/>
        </w:rPr>
        <w:t>ESG</w:t>
      </w:r>
      <w:r w:rsidRPr="00E40A5C">
        <w:rPr>
          <w:rStyle w:val="SubtleEmphasis"/>
          <w:b w:val="0"/>
          <w:sz w:val="22"/>
        </w:rPr>
        <w:t>_ABCD_RESPONSEFORM.</w:t>
      </w:r>
    </w:p>
    <w:p w14:paraId="180C2205" w14:textId="03F3D16A" w:rsidR="00197794" w:rsidRP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under the heading ‘Your input - Consultations’ by</w:t>
      </w:r>
      <w:r w:rsidR="005F6BE3">
        <w:rPr>
          <w:rStyle w:val="SubtleEmphasis"/>
          <w:b w:val="0"/>
          <w:sz w:val="22"/>
        </w:rPr>
        <w:t xml:space="preserve"> </w:t>
      </w:r>
      <w:r w:rsidR="00AA1B9D">
        <w:rPr>
          <w:rStyle w:val="SubtleEmphasis"/>
          <w:b w:val="0"/>
          <w:sz w:val="22"/>
        </w:rPr>
        <w:t>12 May 2021</w:t>
      </w:r>
      <w:r w:rsidRPr="00197794">
        <w:rPr>
          <w:rStyle w:val="SubtleEmphasis"/>
          <w:b w:val="0"/>
          <w:sz w:val="22"/>
        </w:rPr>
        <w:t>.</w:t>
      </w:r>
    </w:p>
    <w:p w14:paraId="2481E1E6" w14:textId="67CDDA3F" w:rsidR="00197794" w:rsidRDefault="00197794" w:rsidP="00666A17">
      <w:pPr>
        <w:pStyle w:val="ListParagraph"/>
        <w:numPr>
          <w:ilvl w:val="0"/>
          <w:numId w:val="36"/>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57F7F592" w:rsidR="00197794" w:rsidRDefault="00197794" w:rsidP="00197794">
      <w:pPr>
        <w:spacing w:after="240" w:line="276" w:lineRule="auto"/>
        <w:jc w:val="both"/>
        <w:rPr>
          <w:rStyle w:val="SubtleEmphasis"/>
          <w:b w:val="0"/>
          <w:sz w:val="22"/>
        </w:rPr>
      </w:pPr>
    </w:p>
    <w:p w14:paraId="5E94D042" w14:textId="77777777" w:rsidR="00D5594A" w:rsidRPr="00197794" w:rsidRDefault="00D5594A"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5F6BE3">
      <w:pPr>
        <w:jc w:val="both"/>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5F6BE3">
      <w:pPr>
        <w:jc w:val="both"/>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2"/>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Header"/>
              <w:rFonts w:cs="Arial"/>
              <w:color w:val="808080"/>
            </w:rPr>
            <w:id w:val="-1905066999"/>
            <w:text/>
          </w:sdtPr>
          <w:sdtContent>
            <w:tc>
              <w:tcPr>
                <w:tcW w:w="5595" w:type="dxa"/>
                <w:shd w:val="clear" w:color="auto" w:fill="auto"/>
              </w:tcPr>
              <w:p w14:paraId="6A3CB051" w14:textId="3918EC57" w:rsidR="00B327E9" w:rsidRPr="00AB6D88" w:rsidRDefault="000D40B4" w:rsidP="00F136AD">
                <w:pPr>
                  <w:rPr>
                    <w:rStyle w:val="PlaceholderText"/>
                    <w:rFonts w:cs="Arial"/>
                  </w:rPr>
                </w:pPr>
                <w:r w:rsidRPr="000D40B4">
                  <w:rPr>
                    <w:rStyle w:val="Header"/>
                    <w:rFonts w:cs="Arial"/>
                    <w:color w:val="808080"/>
                  </w:rPr>
                  <w:t>ESBG - The European Savings and Retail Banking Group</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614E05A5" w:rsidR="00B327E9" w:rsidRPr="00AB6D88" w:rsidRDefault="00D60AC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D40B4">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1B675611" w:rsidR="00B327E9" w:rsidRPr="00AB6D88" w:rsidRDefault="00281E71"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4A077A8" w:rsidR="00B327E9" w:rsidRPr="00AB6D88" w:rsidRDefault="000D40B4" w:rsidP="00F136AD">
                <w:pPr>
                  <w:rPr>
                    <w:rFonts w:cs="Arial"/>
                  </w:rPr>
                </w:pPr>
                <w:r>
                  <w:rPr>
                    <w:rFonts w:cs="Arial"/>
                  </w:rPr>
                  <w:t>Belgium</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7504F70A" w:rsidR="00B327E9" w:rsidRPr="006F4535" w:rsidRDefault="00B327E9" w:rsidP="00B327E9">
      <w:r w:rsidRPr="006F4535">
        <w:t>&lt;ESA_COMMENT_</w:t>
      </w:r>
      <w:r w:rsidR="00C86E1C">
        <w:rPr>
          <w:rStyle w:val="SubtleEmphasis"/>
          <w:b w:val="0"/>
          <w:sz w:val="22"/>
        </w:rPr>
        <w:t>ESG</w:t>
      </w:r>
      <w:r w:rsidRPr="006F4535">
        <w:t>_1&gt;</w:t>
      </w:r>
    </w:p>
    <w:p w14:paraId="0DFAE948" w14:textId="77777777" w:rsidR="000D40B4" w:rsidRDefault="000D40B4" w:rsidP="000D40B4">
      <w:pPr>
        <w:jc w:val="both"/>
      </w:pPr>
      <w:permStart w:id="411981036" w:edGrp="everyone"/>
      <w:r>
        <w:t>Considering that the Regulatory Technical Standards (RTS) of the SFDR have not yet been endorsed by the European Commission, Savings and Retail banks support the ESAs’ decision to amend the current SFDR RTS, instead of creating a new ruleset. We believe that from a regulatory point of view it is better to adapt the SFDR rules to the disclosure obligations required by the Taxonomy Regulation, rather than drafting and adopting a new RTS, to minimise duplication and complexity in this area.</w:t>
      </w:r>
    </w:p>
    <w:p w14:paraId="6DD428EC" w14:textId="77777777" w:rsidR="000D40B4" w:rsidRDefault="000D40B4" w:rsidP="000D40B4">
      <w:pPr>
        <w:jc w:val="both"/>
      </w:pPr>
    </w:p>
    <w:p w14:paraId="7F32E7A8" w14:textId="030A219B" w:rsidR="000D40B4" w:rsidRDefault="000D40B4" w:rsidP="000D40B4">
      <w:pPr>
        <w:jc w:val="both"/>
      </w:pPr>
      <w:r>
        <w:t>Therefore, we see the ESAs’ approach to having the RTS on disclosures rules function as a “single rulebook” for sustainability disclosures at Level 2 for both the original empowerments in SFDR and the additional ones added by the Taxonomy Regulation as a positive approach.</w:t>
      </w:r>
    </w:p>
    <w:permEnd w:id="411981036"/>
    <w:p w14:paraId="6A3CB062" w14:textId="67968787" w:rsidR="00B327E9" w:rsidRPr="00BF28DA" w:rsidRDefault="00B327E9" w:rsidP="00B327E9">
      <w:r w:rsidRPr="00BF28DA">
        <w:t>&lt;ESA_COMMENT_</w:t>
      </w:r>
      <w:r w:rsidR="00C86E1C">
        <w:rPr>
          <w:rStyle w:val="SubtleEmphasis"/>
          <w:b w:val="0"/>
          <w:sz w:val="22"/>
        </w:rPr>
        <w:t>ESG</w:t>
      </w:r>
      <w:r w:rsidR="000A58BE">
        <w:t>_</w:t>
      </w:r>
      <w:r w:rsidRPr="00BF28DA">
        <w:t>1&gt;</w:t>
      </w:r>
    </w:p>
    <w:p w14:paraId="6A3CB063" w14:textId="77777777" w:rsidR="00F31E57" w:rsidRPr="00BF28DA" w:rsidRDefault="00F31E57" w:rsidP="00D34282"/>
    <w:p w14:paraId="741317CF" w14:textId="3418CC97" w:rsidR="003E573C" w:rsidRDefault="00F31E57" w:rsidP="007118EB">
      <w:pPr>
        <w:pStyle w:val="Questionstyle"/>
      </w:pPr>
      <w:r w:rsidRPr="0075015C">
        <w:br w:type="page"/>
      </w:r>
      <w:r w:rsidR="003E573C">
        <w:lastRenderedPageBreak/>
        <w:t xml:space="preserve">: </w:t>
      </w:r>
      <w:r w:rsidR="001969F6" w:rsidRPr="001969F6">
        <w:t>Do you have any views regarding the ESAs’ proposed approach to amend the existing SFDR RTS instead of drafting a new set of draft RTS?</w:t>
      </w:r>
    </w:p>
    <w:p w14:paraId="1B855191" w14:textId="113C394D" w:rsidR="003E573C" w:rsidRDefault="003E573C" w:rsidP="003E573C">
      <w:pPr>
        <w:rPr>
          <w:rFonts w:cs="Arial"/>
        </w:rPr>
      </w:pPr>
      <w:r>
        <w:rPr>
          <w:rFonts w:cs="Arial"/>
        </w:rPr>
        <w:t>&lt;ESA_QUESTION_</w:t>
      </w:r>
      <w:r w:rsidR="00C86E1C">
        <w:rPr>
          <w:rFonts w:cs="Arial"/>
        </w:rPr>
        <w:t>ESG</w:t>
      </w:r>
      <w:r>
        <w:rPr>
          <w:rFonts w:cs="Arial"/>
        </w:rPr>
        <w:t>_1&gt;</w:t>
      </w:r>
    </w:p>
    <w:p w14:paraId="4AB034E3" w14:textId="77777777" w:rsidR="000D40B4" w:rsidRPr="00682F9D" w:rsidRDefault="000D40B4" w:rsidP="000D40B4">
      <w:pPr>
        <w:jc w:val="both"/>
        <w:rPr>
          <w:rFonts w:cs="Arial"/>
        </w:rPr>
      </w:pPr>
      <w:permStart w:id="1221819945" w:edGrp="everyone"/>
      <w:r>
        <w:rPr>
          <w:rFonts w:cs="Arial"/>
        </w:rPr>
        <w:t>Savings and retail banks</w:t>
      </w:r>
      <w:r w:rsidRPr="00682F9D">
        <w:rPr>
          <w:rFonts w:cs="Arial"/>
        </w:rPr>
        <w:t xml:space="preserve"> prefer ESAs’ proposed approach of having a consolidated RTS.</w:t>
      </w:r>
    </w:p>
    <w:p w14:paraId="64E9C706" w14:textId="77777777" w:rsidR="000D40B4" w:rsidRPr="00682F9D" w:rsidRDefault="000D40B4" w:rsidP="000D40B4">
      <w:pPr>
        <w:jc w:val="both"/>
        <w:rPr>
          <w:rFonts w:cs="Arial"/>
        </w:rPr>
      </w:pPr>
    </w:p>
    <w:p w14:paraId="778513DB" w14:textId="77777777" w:rsidR="000D40B4" w:rsidRPr="00682F9D" w:rsidRDefault="000D40B4" w:rsidP="000D40B4">
      <w:pPr>
        <w:jc w:val="both"/>
        <w:rPr>
          <w:rFonts w:cs="Arial"/>
        </w:rPr>
      </w:pPr>
      <w:r w:rsidRPr="00682F9D">
        <w:rPr>
          <w:rFonts w:cs="Arial"/>
        </w:rPr>
        <w:t xml:space="preserve">However, we noticed that from the adoption of the final RTS to the time of its application at least 9 months are required for the implementation of the complex specified rules. </w:t>
      </w:r>
    </w:p>
    <w:p w14:paraId="4757C13A" w14:textId="77777777" w:rsidR="000D40B4" w:rsidRPr="00682F9D" w:rsidRDefault="000D40B4" w:rsidP="000D40B4">
      <w:pPr>
        <w:jc w:val="both"/>
        <w:rPr>
          <w:rFonts w:cs="Arial"/>
        </w:rPr>
      </w:pPr>
      <w:r w:rsidRPr="00682F9D">
        <w:rPr>
          <w:rFonts w:cs="Arial"/>
        </w:rPr>
        <w:t xml:space="preserve"> </w:t>
      </w:r>
    </w:p>
    <w:p w14:paraId="0C9CB3E7" w14:textId="77777777" w:rsidR="000D40B4" w:rsidRDefault="000D40B4" w:rsidP="000D40B4">
      <w:pPr>
        <w:jc w:val="both"/>
        <w:rPr>
          <w:rFonts w:cs="Arial"/>
        </w:rPr>
      </w:pPr>
      <w:r w:rsidRPr="00682F9D">
        <w:rPr>
          <w:rFonts w:cs="Arial"/>
        </w:rPr>
        <w:t>We, therefore, ask the ESAs to set a sufficient period before the application of the RTS.</w:t>
      </w:r>
    </w:p>
    <w:permEnd w:id="1221819945"/>
    <w:p w14:paraId="0F1F4245" w14:textId="105822F6" w:rsidR="003E573C" w:rsidRDefault="003E573C" w:rsidP="003E573C">
      <w:pPr>
        <w:rPr>
          <w:rFonts w:cs="Arial"/>
        </w:rPr>
      </w:pPr>
      <w:r>
        <w:rPr>
          <w:rFonts w:cs="Arial"/>
        </w:rPr>
        <w:t>&lt;ESA_QUESTION_</w:t>
      </w:r>
      <w:r w:rsidR="00C86E1C">
        <w:rPr>
          <w:rFonts w:cs="Arial"/>
        </w:rPr>
        <w:t>ESG</w:t>
      </w:r>
      <w:r>
        <w:rPr>
          <w:rFonts w:cs="Arial"/>
        </w:rPr>
        <w:t>_1&gt;</w:t>
      </w:r>
    </w:p>
    <w:p w14:paraId="3D3DF75B" w14:textId="77777777" w:rsidR="003E573C" w:rsidRDefault="003E573C" w:rsidP="003E573C">
      <w:pPr>
        <w:rPr>
          <w:rFonts w:cs="Arial"/>
        </w:rPr>
      </w:pPr>
    </w:p>
    <w:p w14:paraId="0D4730EF" w14:textId="5CDEC866" w:rsidR="003E573C" w:rsidRDefault="003E573C" w:rsidP="007118EB">
      <w:pPr>
        <w:pStyle w:val="Questionstyle"/>
      </w:pPr>
      <w:r>
        <w:t xml:space="preserve">: </w:t>
      </w:r>
      <w:r w:rsidR="001969F6" w:rsidRPr="001969F6">
        <w:t>Do you have any views on the KPI for the disclosure of the extent to which investments are aligned with the taxonomy, which is based on the share of the taxonomy-aligned turnover, capital expenditure or operational expenditure of all underlying non-financial investee companies? Do you agree with that the same approach should apply to all investments made by a given financial product?</w:t>
      </w:r>
    </w:p>
    <w:p w14:paraId="7F2CF040" w14:textId="1F02EDCD" w:rsidR="003E573C" w:rsidRDefault="003E573C" w:rsidP="003E573C">
      <w:pPr>
        <w:rPr>
          <w:rFonts w:cs="Arial"/>
        </w:rPr>
      </w:pPr>
      <w:r>
        <w:rPr>
          <w:rFonts w:cs="Arial"/>
        </w:rPr>
        <w:t>&lt;ESA_QUESTION_</w:t>
      </w:r>
      <w:r w:rsidR="00C86E1C">
        <w:rPr>
          <w:rFonts w:cs="Arial"/>
        </w:rPr>
        <w:t>ESG</w:t>
      </w:r>
      <w:r>
        <w:rPr>
          <w:rFonts w:cs="Arial"/>
        </w:rPr>
        <w:t>_2&gt;</w:t>
      </w:r>
    </w:p>
    <w:p w14:paraId="3307E627" w14:textId="77777777" w:rsidR="00B7708F" w:rsidRPr="00612B1E" w:rsidRDefault="00B7708F" w:rsidP="00B7708F">
      <w:pPr>
        <w:jc w:val="both"/>
        <w:rPr>
          <w:rFonts w:cs="Arial"/>
        </w:rPr>
      </w:pPr>
      <w:permStart w:id="729947415" w:edGrp="everyone"/>
      <w:r w:rsidRPr="00612B1E">
        <w:rPr>
          <w:rFonts w:cs="Arial"/>
        </w:rPr>
        <w:t>For Savings and Retail banks, the biggest issue with the proposed KPIs is the lack of companies’ data that makes the application of the proposed formula challenging. Under the Taxonomy, FMPs will have to disclose to what extent the activities that their financial products fund meets the EU Taxonomy by reference to the technical screening criteria established by Taxonomy delegated acts.  Additionally, large financial and non-financial companies that fall under the scope of the Non-Financial Reporting Directive (NFRD) and going forward entities that will be reporting under the new CSRD must disclose in their non-financial statements published after 1 January 2022, the extent to which their activities are aligned with the Taxonomy by reference to these delegated acts.</w:t>
      </w:r>
    </w:p>
    <w:p w14:paraId="511533A5" w14:textId="77777777" w:rsidR="00B7708F" w:rsidRPr="00612B1E" w:rsidRDefault="00B7708F" w:rsidP="00B7708F">
      <w:pPr>
        <w:jc w:val="both"/>
        <w:rPr>
          <w:rFonts w:cs="Arial"/>
        </w:rPr>
      </w:pPr>
    </w:p>
    <w:p w14:paraId="356B13BD" w14:textId="77777777" w:rsidR="00B7708F" w:rsidRPr="00612B1E" w:rsidRDefault="00B7708F" w:rsidP="00B7708F">
      <w:pPr>
        <w:jc w:val="both"/>
        <w:rPr>
          <w:rFonts w:cs="Arial"/>
        </w:rPr>
      </w:pPr>
      <w:r w:rsidRPr="00612B1E">
        <w:rPr>
          <w:rFonts w:cs="Arial"/>
        </w:rPr>
        <w:t xml:space="preserve">The Taxonomy-related sustainability disclosures RTS amending the ESAs' RTS under the SFDR will be published by the ESAs only after the Commission´s endorsement of the draft SFDR RTS in June 2021. We would also like to highlight that the proposal for the revision of the NFRD has just been adopted and it best-case, at least four years, in the best case scenario, to be applicable. In particular, the information required for identifying the extent of an undertaking’s activities’ alignment with the Taxonomy criteria will not be made available by investee companies reporting under the current NFRD by 30 December 2021. Even more important, for investee companies not subject to the NFRD, this information will not be available until 2024, when the CSRD disclosures should enter into force.  Moreover, it will be very difficult to reach the level of granularity required to provide reliable information on sustainable activities of investment products until listed companies comply with these reporting obligations. As it will only be companies that are subject to NFRD that will be required to report on this data - however, months after the FMPs have been required to start reporting - it is unclear how the data issue for all other companies/investments shall be dealt with. For banks subject to NFRD, it is suggested that proxies can be used. No similar suggestion has been done in this RTS. However, we would like to emphasize that FMPs required to disclose under the RTS are currently refining the way they measure data and in some cases, they still need to use proxies, which the European Commission stresses that should be avoided in the reports we publish. Therefore, it needs to be clarified how FMPs shall deal with the lack of data.  </w:t>
      </w:r>
    </w:p>
    <w:p w14:paraId="67E1087C" w14:textId="77777777" w:rsidR="00B7708F" w:rsidRPr="00612B1E" w:rsidRDefault="00B7708F" w:rsidP="00B7708F">
      <w:pPr>
        <w:jc w:val="both"/>
        <w:rPr>
          <w:rFonts w:cs="Arial"/>
        </w:rPr>
      </w:pPr>
    </w:p>
    <w:p w14:paraId="3F0F5A2F" w14:textId="77777777" w:rsidR="00B7708F" w:rsidRPr="00612B1E" w:rsidRDefault="00B7708F" w:rsidP="00B7708F">
      <w:pPr>
        <w:jc w:val="both"/>
        <w:rPr>
          <w:rFonts w:cs="Arial"/>
        </w:rPr>
      </w:pPr>
      <w:r w:rsidRPr="00612B1E">
        <w:rPr>
          <w:rFonts w:cs="Arial"/>
        </w:rPr>
        <w:t>Lastly, we would like to address the absence of a social taxonomy and the timeframe until it becomes applicable. The taxonomy is not adequately defined as it only defines sustainability from an environmental perspective. Also, the degree of sustainability is not determined yet. So far, the Taxonomy has only considered activities that are most relevant for reductions in greenhouse gas emissions and for improving climate resilience. No information is available yet on social factors. That is misleading. There is no (quota) comparability beyond this. Thus, industries would be disadvantaged under the scope of the current Taxonomy.</w:t>
      </w:r>
    </w:p>
    <w:p w14:paraId="4B038E72" w14:textId="77777777" w:rsidR="00B7708F" w:rsidRPr="00612B1E" w:rsidRDefault="00B7708F" w:rsidP="00B7708F">
      <w:pPr>
        <w:jc w:val="both"/>
        <w:rPr>
          <w:rFonts w:cs="Arial"/>
        </w:rPr>
      </w:pPr>
    </w:p>
    <w:p w14:paraId="627C8F4B" w14:textId="77777777" w:rsidR="00B7708F" w:rsidRPr="00612B1E" w:rsidRDefault="00B7708F" w:rsidP="00B7708F">
      <w:pPr>
        <w:jc w:val="both"/>
        <w:rPr>
          <w:rFonts w:cs="Arial"/>
        </w:rPr>
      </w:pPr>
      <w:r w:rsidRPr="00612B1E">
        <w:rPr>
          <w:rFonts w:cs="Arial"/>
        </w:rPr>
        <w:lastRenderedPageBreak/>
        <w:t xml:space="preserve">The mandatory reference value should be turnover, the other factors should be voluntary information. If the manufacturer had a choice between turnover, Capex and </w:t>
      </w:r>
      <w:proofErr w:type="spellStart"/>
      <w:r w:rsidRPr="00612B1E">
        <w:rPr>
          <w:rFonts w:cs="Arial"/>
        </w:rPr>
        <w:t>Opex</w:t>
      </w:r>
      <w:proofErr w:type="spellEnd"/>
      <w:r w:rsidRPr="00612B1E">
        <w:rPr>
          <w:rFonts w:cs="Arial"/>
        </w:rPr>
        <w:t>, this would mean major problems for funds and asset management, since it is not possible to add different reference values. In this respect, we understand that the mandatory indicators should be measurable (% of turnover aligned). The other two (</w:t>
      </w:r>
      <w:proofErr w:type="spellStart"/>
      <w:r w:rsidRPr="00612B1E">
        <w:rPr>
          <w:rFonts w:cs="Arial"/>
        </w:rPr>
        <w:t>Opex</w:t>
      </w:r>
      <w:proofErr w:type="spellEnd"/>
      <w:r w:rsidRPr="00612B1E">
        <w:rPr>
          <w:rFonts w:cs="Arial"/>
        </w:rPr>
        <w:t xml:space="preserve"> and Capex) should be voluntary.  </w:t>
      </w:r>
    </w:p>
    <w:p w14:paraId="5F920EF4" w14:textId="77777777" w:rsidR="00B7708F" w:rsidRPr="00612B1E" w:rsidRDefault="00B7708F" w:rsidP="00B7708F">
      <w:pPr>
        <w:jc w:val="both"/>
        <w:rPr>
          <w:rFonts w:cs="Arial"/>
        </w:rPr>
      </w:pPr>
    </w:p>
    <w:p w14:paraId="01549743" w14:textId="77777777" w:rsidR="00B7708F" w:rsidRPr="00B74E22" w:rsidRDefault="00B7708F" w:rsidP="00B7708F">
      <w:pPr>
        <w:jc w:val="both"/>
        <w:rPr>
          <w:rFonts w:cs="Arial"/>
        </w:rPr>
      </w:pPr>
      <w:r w:rsidRPr="00612B1E">
        <w:rPr>
          <w:rFonts w:cs="Arial"/>
        </w:rPr>
        <w:t xml:space="preserve">Policy and decision-makers should consider that identification and evaluation require a lot of time, human and financial resources not only for the FMPs but also impacts the cost for the customers. The adaptation of the FMP's internal IT systems to the new disclosure obligations requires considerable administrative effort and goes hand in hand with an adaptation in the documentation.  </w:t>
      </w:r>
    </w:p>
    <w:permEnd w:id="729947415"/>
    <w:p w14:paraId="6415E03C" w14:textId="45BB9ACC" w:rsidR="003E573C" w:rsidRDefault="003E573C" w:rsidP="003E573C">
      <w:pPr>
        <w:rPr>
          <w:rFonts w:cs="Arial"/>
        </w:rPr>
      </w:pPr>
      <w:r>
        <w:rPr>
          <w:rFonts w:cs="Arial"/>
        </w:rPr>
        <w:t>&lt;ESA_QUESTION_</w:t>
      </w:r>
      <w:r w:rsidR="00C86E1C">
        <w:rPr>
          <w:rFonts w:cs="Arial"/>
        </w:rPr>
        <w:t>ESG</w:t>
      </w:r>
      <w:r>
        <w:rPr>
          <w:rFonts w:cs="Arial"/>
        </w:rPr>
        <w:t>_2&gt;</w:t>
      </w:r>
    </w:p>
    <w:p w14:paraId="36483E3B" w14:textId="77777777" w:rsidR="003E573C" w:rsidRDefault="003E573C" w:rsidP="003E573C">
      <w:pPr>
        <w:rPr>
          <w:rFonts w:cs="Arial"/>
        </w:rPr>
      </w:pPr>
    </w:p>
    <w:p w14:paraId="0C882E82" w14:textId="50B7F361" w:rsidR="003E573C" w:rsidRDefault="003E573C" w:rsidP="007118EB">
      <w:pPr>
        <w:pStyle w:val="Questionstyle"/>
      </w:pPr>
      <w:r>
        <w:t xml:space="preserve">: </w:t>
      </w:r>
      <w:r w:rsidR="001969F6" w:rsidRPr="001969F6">
        <w:t>Do you have any views on the benefits and drawbacks of including specifically operational expenditure of underlying non-financial investee companies as one of the possible ways to calculate the KPI referred to in question 2?</w:t>
      </w:r>
    </w:p>
    <w:p w14:paraId="5F6CF93B" w14:textId="11E86FB0" w:rsidR="003E573C" w:rsidRDefault="003E573C" w:rsidP="003E573C">
      <w:pPr>
        <w:rPr>
          <w:rFonts w:cs="Arial"/>
        </w:rPr>
      </w:pPr>
      <w:r>
        <w:rPr>
          <w:rFonts w:cs="Arial"/>
        </w:rPr>
        <w:t>&lt;ESA_QUESTION_</w:t>
      </w:r>
      <w:r w:rsidR="00C86E1C">
        <w:rPr>
          <w:rFonts w:cs="Arial"/>
        </w:rPr>
        <w:t>ESG</w:t>
      </w:r>
      <w:r>
        <w:rPr>
          <w:rFonts w:cs="Arial"/>
        </w:rPr>
        <w:t>_3&gt;</w:t>
      </w:r>
    </w:p>
    <w:p w14:paraId="25256B86" w14:textId="77777777" w:rsidR="0034536A" w:rsidRPr="00612B1E" w:rsidRDefault="0034536A" w:rsidP="0034536A">
      <w:pPr>
        <w:jc w:val="both"/>
        <w:rPr>
          <w:rFonts w:cs="Arial"/>
        </w:rPr>
      </w:pPr>
      <w:permStart w:id="677205538" w:edGrp="everyone"/>
      <w:r w:rsidRPr="00612B1E">
        <w:rPr>
          <w:rFonts w:cs="Arial"/>
        </w:rPr>
        <w:t xml:space="preserve">Please see question 2: </w:t>
      </w:r>
    </w:p>
    <w:p w14:paraId="279AC49B" w14:textId="77777777" w:rsidR="0034536A" w:rsidRPr="00612B1E" w:rsidRDefault="0034536A" w:rsidP="0034536A">
      <w:pPr>
        <w:jc w:val="both"/>
        <w:rPr>
          <w:rFonts w:cs="Arial"/>
        </w:rPr>
      </w:pPr>
      <w:r w:rsidRPr="00612B1E">
        <w:rPr>
          <w:rFonts w:cs="Arial"/>
        </w:rPr>
        <w:t xml:space="preserve">It would be advantageous for the FMP to choose OPEX as a way of calculating the KPI for the disclosure of the extent to which investments are aligned with the taxonomy and to show the efforts of a company to transition their business into becoming more taxonomy-aligned. </w:t>
      </w:r>
    </w:p>
    <w:p w14:paraId="77752860" w14:textId="77777777" w:rsidR="0034536A" w:rsidRPr="00612B1E" w:rsidRDefault="0034536A" w:rsidP="0034536A">
      <w:pPr>
        <w:jc w:val="both"/>
        <w:rPr>
          <w:rFonts w:cs="Arial"/>
        </w:rPr>
      </w:pPr>
    </w:p>
    <w:p w14:paraId="649AE24F" w14:textId="77777777" w:rsidR="0034536A" w:rsidRPr="00612B1E" w:rsidRDefault="0034536A" w:rsidP="0034536A">
      <w:pPr>
        <w:jc w:val="both"/>
        <w:rPr>
          <w:rFonts w:cs="Arial"/>
        </w:rPr>
      </w:pPr>
      <w:r w:rsidRPr="00612B1E">
        <w:rPr>
          <w:rFonts w:cs="Arial"/>
        </w:rPr>
        <w:t>The main disadvantages identified are: on the one hand, it could distort the calculation concerning the real activity of the company (in case that a company allocates a large part of its OPEX to renewable energy consumption but its commercial activity is not sustainable) and, on the other hand, this information does not necessarily have been disclosed.</w:t>
      </w:r>
    </w:p>
    <w:p w14:paraId="24E8DF38" w14:textId="77777777" w:rsidR="0034536A" w:rsidRPr="00612B1E" w:rsidRDefault="0034536A" w:rsidP="0034536A">
      <w:pPr>
        <w:jc w:val="both"/>
        <w:rPr>
          <w:rFonts w:cs="Arial"/>
        </w:rPr>
      </w:pPr>
    </w:p>
    <w:p w14:paraId="14C83E1D" w14:textId="77777777" w:rsidR="0034536A" w:rsidRPr="00612B1E" w:rsidRDefault="0034536A" w:rsidP="0034536A">
      <w:pPr>
        <w:jc w:val="both"/>
        <w:rPr>
          <w:rFonts w:cs="Arial"/>
        </w:rPr>
      </w:pPr>
      <w:r w:rsidRPr="00612B1E">
        <w:rPr>
          <w:rFonts w:cs="Arial"/>
        </w:rPr>
        <w:t>Also, we are concerned about the qualitative nature of individual factors.</w:t>
      </w:r>
    </w:p>
    <w:p w14:paraId="61039F0C" w14:textId="77777777" w:rsidR="0034536A" w:rsidRPr="00612B1E" w:rsidRDefault="0034536A" w:rsidP="0034536A">
      <w:pPr>
        <w:jc w:val="both"/>
        <w:rPr>
          <w:rFonts w:cs="Arial"/>
        </w:rPr>
      </w:pPr>
    </w:p>
    <w:p w14:paraId="62F97842" w14:textId="77777777" w:rsidR="0034536A" w:rsidRPr="00612B1E" w:rsidRDefault="0034536A" w:rsidP="0034536A">
      <w:pPr>
        <w:jc w:val="both"/>
        <w:rPr>
          <w:rFonts w:cs="Arial"/>
        </w:rPr>
      </w:pPr>
      <w:r w:rsidRPr="00612B1E">
        <w:rPr>
          <w:rFonts w:cs="Arial"/>
        </w:rPr>
        <w:t>Moreover, the connection between the chosen KPI denominator and sustainability is unclear and cannot be understood by the customer/investor.</w:t>
      </w:r>
    </w:p>
    <w:p w14:paraId="17876135" w14:textId="77777777" w:rsidR="0034536A" w:rsidRPr="00612B1E" w:rsidRDefault="0034536A" w:rsidP="0034536A">
      <w:pPr>
        <w:jc w:val="both"/>
        <w:rPr>
          <w:rFonts w:cs="Arial"/>
        </w:rPr>
      </w:pPr>
    </w:p>
    <w:p w14:paraId="72A23BA0" w14:textId="73785569" w:rsidR="003E573C" w:rsidRDefault="0034536A" w:rsidP="0034536A">
      <w:pPr>
        <w:jc w:val="both"/>
        <w:rPr>
          <w:rFonts w:cs="Arial"/>
        </w:rPr>
      </w:pPr>
      <w:r w:rsidRPr="00612B1E">
        <w:rPr>
          <w:rFonts w:cs="Arial"/>
        </w:rPr>
        <w:t>Lastly, a lot of time and human resources are required to convey the content of specifically operational expenditure of underlying non-financial investee companies.</w:t>
      </w:r>
    </w:p>
    <w:permEnd w:id="677205538"/>
    <w:p w14:paraId="54D6583E" w14:textId="3F05E884" w:rsidR="003E573C" w:rsidRDefault="003E573C" w:rsidP="003E573C">
      <w:pPr>
        <w:rPr>
          <w:rFonts w:cs="Arial"/>
        </w:rPr>
      </w:pPr>
      <w:r>
        <w:rPr>
          <w:rFonts w:cs="Arial"/>
        </w:rPr>
        <w:t>&lt;ESA_QUESTION_</w:t>
      </w:r>
      <w:r w:rsidR="00C86E1C">
        <w:rPr>
          <w:rFonts w:cs="Arial"/>
        </w:rPr>
        <w:t>ESG</w:t>
      </w:r>
      <w:r>
        <w:rPr>
          <w:rFonts w:cs="Arial"/>
        </w:rPr>
        <w:t>_3&gt;</w:t>
      </w:r>
    </w:p>
    <w:p w14:paraId="3E042AC0" w14:textId="77777777" w:rsidR="003E573C" w:rsidRDefault="003E573C" w:rsidP="003E573C">
      <w:pPr>
        <w:rPr>
          <w:rFonts w:cs="Arial"/>
        </w:rPr>
      </w:pPr>
    </w:p>
    <w:p w14:paraId="40E8D4A0" w14:textId="1064B109" w:rsidR="003E573C" w:rsidRDefault="003E573C" w:rsidP="007118EB">
      <w:pPr>
        <w:pStyle w:val="Questionstyle"/>
      </w:pPr>
      <w:r>
        <w:t xml:space="preserve">: </w:t>
      </w:r>
      <w:r w:rsidR="001969F6" w:rsidRPr="001969F6">
        <w:t>The proposed KPI includes equity and debt instruments issued by financial and non-financial undertakings and real estate assets, do you agree that this could also be extended to derivatives such as contracts for differences?</w:t>
      </w:r>
    </w:p>
    <w:p w14:paraId="3F31E5E7" w14:textId="3F49B1BC" w:rsidR="003E573C" w:rsidRDefault="003E573C" w:rsidP="003E573C">
      <w:pPr>
        <w:rPr>
          <w:rFonts w:cs="Arial"/>
        </w:rPr>
      </w:pPr>
      <w:r>
        <w:rPr>
          <w:rFonts w:cs="Arial"/>
        </w:rPr>
        <w:t>&lt;ESA_QUESTION_</w:t>
      </w:r>
      <w:r w:rsidR="00C86E1C">
        <w:rPr>
          <w:rFonts w:cs="Arial"/>
        </w:rPr>
        <w:t>ESG</w:t>
      </w:r>
      <w:r>
        <w:rPr>
          <w:rFonts w:cs="Arial"/>
        </w:rPr>
        <w:t>_4&gt;</w:t>
      </w:r>
    </w:p>
    <w:p w14:paraId="40B6B04C" w14:textId="77777777" w:rsidR="0034536A" w:rsidRPr="00041532" w:rsidRDefault="0034536A" w:rsidP="000B4E13">
      <w:pPr>
        <w:jc w:val="both"/>
        <w:rPr>
          <w:rFonts w:cs="Arial"/>
        </w:rPr>
      </w:pPr>
      <w:permStart w:id="1220688604" w:edGrp="everyone"/>
      <w:r w:rsidRPr="00041532">
        <w:rPr>
          <w:rFonts w:cs="Arial"/>
        </w:rPr>
        <w:t xml:space="preserve">We do not agree with the inclusion of derivatives as a) they are used to hedge business risks, i.e. for considerations in which ESG criteria do not play a role, b) derivatives are not direct exposures and c) due to the lack of data on derivatives. </w:t>
      </w:r>
    </w:p>
    <w:p w14:paraId="3B961CD1" w14:textId="77777777" w:rsidR="0034536A" w:rsidRPr="00041532" w:rsidRDefault="0034536A" w:rsidP="000B4E13">
      <w:pPr>
        <w:jc w:val="both"/>
        <w:rPr>
          <w:rFonts w:cs="Arial"/>
        </w:rPr>
      </w:pPr>
    </w:p>
    <w:p w14:paraId="08DC432A" w14:textId="77777777" w:rsidR="0034536A" w:rsidRPr="00041532" w:rsidRDefault="0034536A" w:rsidP="000B4E13">
      <w:pPr>
        <w:jc w:val="both"/>
        <w:rPr>
          <w:rFonts w:cs="Arial"/>
        </w:rPr>
      </w:pPr>
      <w:r w:rsidRPr="00041532">
        <w:rPr>
          <w:rFonts w:cs="Arial"/>
        </w:rPr>
        <w:t xml:space="preserve">The question regarding the inclusion of derivatives in the KPIs should also align with how derivatives are treated in Article 8 of the Taxonomy. </w:t>
      </w:r>
    </w:p>
    <w:p w14:paraId="05094F72" w14:textId="77777777" w:rsidR="0034536A" w:rsidRPr="00041532" w:rsidRDefault="0034536A" w:rsidP="000B4E13">
      <w:pPr>
        <w:jc w:val="both"/>
        <w:rPr>
          <w:rFonts w:cs="Arial"/>
        </w:rPr>
      </w:pPr>
    </w:p>
    <w:p w14:paraId="38A2944D" w14:textId="77777777" w:rsidR="0034536A" w:rsidRDefault="0034536A" w:rsidP="003E573C">
      <w:pPr>
        <w:rPr>
          <w:rFonts w:cs="Arial"/>
        </w:rPr>
      </w:pPr>
      <w:r w:rsidRPr="00041532">
        <w:rPr>
          <w:rFonts w:cs="Arial"/>
        </w:rPr>
        <w:t>A suggestion would also be to solely include derivatives where derivatives are used to attain the environmental or social characteristics of financial products or sustainable investments, using the same principles as the ones already used in the SFDR.</w:t>
      </w:r>
    </w:p>
    <w:permEnd w:id="1220688604"/>
    <w:p w14:paraId="53DA6878" w14:textId="4289B99D" w:rsidR="003E573C" w:rsidRDefault="003E573C" w:rsidP="003E573C">
      <w:pPr>
        <w:rPr>
          <w:rFonts w:cs="Arial"/>
        </w:rPr>
      </w:pPr>
      <w:r>
        <w:rPr>
          <w:rFonts w:cs="Arial"/>
        </w:rPr>
        <w:t>&lt;ESA_QUESTION_</w:t>
      </w:r>
      <w:r w:rsidR="00C86E1C">
        <w:rPr>
          <w:rFonts w:cs="Arial"/>
        </w:rPr>
        <w:t>ESG</w:t>
      </w:r>
      <w:r>
        <w:rPr>
          <w:rFonts w:cs="Arial"/>
        </w:rPr>
        <w:t>_4&gt;</w:t>
      </w:r>
    </w:p>
    <w:p w14:paraId="7CE6B136" w14:textId="77777777" w:rsidR="003E573C" w:rsidRDefault="003E573C" w:rsidP="003E573C">
      <w:pPr>
        <w:rPr>
          <w:rFonts w:cs="Arial"/>
        </w:rPr>
      </w:pPr>
    </w:p>
    <w:p w14:paraId="39295ADB" w14:textId="63ED05A3" w:rsidR="003E573C" w:rsidRDefault="003E573C" w:rsidP="007118EB">
      <w:pPr>
        <w:pStyle w:val="Questionstyle"/>
      </w:pPr>
      <w:r>
        <w:lastRenderedPageBreak/>
        <w:t xml:space="preserve">: </w:t>
      </w:r>
      <w:r w:rsidR="001969F6" w:rsidRPr="001969F6">
        <w:t>Is the use of “equities” and “debt instruments” sufficiently clear to capture relevant instruments issued by investee companies? If not, how could that be clarified? Are any specific valuation criteria necessary to ensure that the disclosures are comparable?</w:t>
      </w:r>
    </w:p>
    <w:p w14:paraId="028F4F51" w14:textId="6BF830DE" w:rsidR="003E573C" w:rsidRDefault="003E573C" w:rsidP="003E573C">
      <w:pPr>
        <w:rPr>
          <w:rFonts w:cs="Arial"/>
        </w:rPr>
      </w:pPr>
      <w:r>
        <w:rPr>
          <w:rFonts w:cs="Arial"/>
        </w:rPr>
        <w:t>&lt;ESA_QUESTION_</w:t>
      </w:r>
      <w:r w:rsidR="00C86E1C">
        <w:rPr>
          <w:rFonts w:cs="Arial"/>
        </w:rPr>
        <w:t>ESG</w:t>
      </w:r>
      <w:r>
        <w:rPr>
          <w:rFonts w:cs="Arial"/>
        </w:rPr>
        <w:t>_5&gt;</w:t>
      </w:r>
    </w:p>
    <w:p w14:paraId="0C028015" w14:textId="77777777" w:rsidR="0034536A" w:rsidRDefault="0034536A" w:rsidP="0034536A">
      <w:pPr>
        <w:rPr>
          <w:rFonts w:cs="Arial"/>
        </w:rPr>
      </w:pPr>
      <w:permStart w:id="209390932" w:edGrp="everyone"/>
      <w:r>
        <w:rPr>
          <w:rFonts w:cs="Arial"/>
        </w:rPr>
        <w:t xml:space="preserve">We do not have enough data to answer this question. </w:t>
      </w:r>
    </w:p>
    <w:permEnd w:id="209390932"/>
    <w:p w14:paraId="61BD6C84" w14:textId="2768234A" w:rsidR="003E573C" w:rsidRDefault="003E573C" w:rsidP="003E573C">
      <w:pPr>
        <w:rPr>
          <w:rFonts w:cs="Arial"/>
        </w:rPr>
      </w:pPr>
      <w:r>
        <w:rPr>
          <w:rFonts w:cs="Arial"/>
        </w:rPr>
        <w:t>&lt;ESA_QUESTION_</w:t>
      </w:r>
      <w:r w:rsidR="00C86E1C">
        <w:rPr>
          <w:rFonts w:cs="Arial"/>
        </w:rPr>
        <w:t>ESG</w:t>
      </w:r>
      <w:r>
        <w:rPr>
          <w:rFonts w:cs="Arial"/>
        </w:rPr>
        <w:t>_5&gt;</w:t>
      </w:r>
    </w:p>
    <w:p w14:paraId="3AF8EF7A" w14:textId="77777777" w:rsidR="003E573C" w:rsidRDefault="003E573C" w:rsidP="003E573C">
      <w:pPr>
        <w:rPr>
          <w:rFonts w:cs="Arial"/>
        </w:rPr>
      </w:pPr>
    </w:p>
    <w:p w14:paraId="7B07E7E5" w14:textId="417ECB66" w:rsidR="003E573C" w:rsidRDefault="003E573C" w:rsidP="007118EB">
      <w:pPr>
        <w:pStyle w:val="Questionstyle"/>
      </w:pPr>
      <w:r>
        <w:t xml:space="preserve">: </w:t>
      </w:r>
      <w:r w:rsidR="001969F6" w:rsidRPr="001969F6">
        <w:t>Do you have any views about including all investments, including sovereign bonds and other assets that cannot be assessed for taxonomy-alignment, of the financial product in the denominator for the KPI?</w:t>
      </w:r>
    </w:p>
    <w:p w14:paraId="79582E74" w14:textId="6F09E1E7" w:rsidR="003E573C" w:rsidRDefault="003E573C" w:rsidP="003E573C">
      <w:pPr>
        <w:rPr>
          <w:rFonts w:cs="Arial"/>
        </w:rPr>
      </w:pPr>
      <w:r>
        <w:rPr>
          <w:rFonts w:cs="Arial"/>
        </w:rPr>
        <w:t>&lt;ESA_QUESTION_</w:t>
      </w:r>
      <w:r w:rsidR="00C86E1C">
        <w:rPr>
          <w:rFonts w:cs="Arial"/>
        </w:rPr>
        <w:t>ESG</w:t>
      </w:r>
      <w:r>
        <w:rPr>
          <w:rFonts w:cs="Arial"/>
        </w:rPr>
        <w:t>_6&gt;</w:t>
      </w:r>
    </w:p>
    <w:p w14:paraId="14A624F6" w14:textId="77777777" w:rsidR="0034536A" w:rsidRPr="009C410D" w:rsidRDefault="0034536A" w:rsidP="0034536A">
      <w:pPr>
        <w:jc w:val="both"/>
        <w:rPr>
          <w:rFonts w:cs="Arial"/>
        </w:rPr>
      </w:pPr>
      <w:permStart w:id="418122716" w:edGrp="everyone"/>
      <w:r w:rsidRPr="009C410D">
        <w:rPr>
          <w:rFonts w:cs="Arial"/>
        </w:rPr>
        <w:t>Including sovereign bonds and other assets that cannot be assessed for taxonomy-alignment in the taxonomy-alignment calculation would be very challenging. At this stage, it would be preferable to exclude from the numerator and denominator all assets that cannot be assessed for taxonomy alignment. Therefore, sovereign bonds (other than those that could be issued as green in the near future) should be excluded for the time being, as they are strictly non-eligible under the taxonomy.</w:t>
      </w:r>
    </w:p>
    <w:p w14:paraId="44E4A3CC" w14:textId="77777777" w:rsidR="0034536A" w:rsidRPr="009C410D" w:rsidRDefault="0034536A" w:rsidP="0034536A">
      <w:pPr>
        <w:jc w:val="both"/>
        <w:rPr>
          <w:rFonts w:cs="Arial"/>
        </w:rPr>
      </w:pPr>
    </w:p>
    <w:p w14:paraId="126C9175" w14:textId="77777777" w:rsidR="0034536A" w:rsidRPr="009C410D" w:rsidRDefault="0034536A" w:rsidP="0034536A">
      <w:pPr>
        <w:jc w:val="both"/>
        <w:rPr>
          <w:rFonts w:cs="Arial"/>
        </w:rPr>
      </w:pPr>
    </w:p>
    <w:p w14:paraId="6A14E41B" w14:textId="77777777" w:rsidR="0034536A" w:rsidRPr="009C410D" w:rsidRDefault="0034536A" w:rsidP="0034536A">
      <w:pPr>
        <w:jc w:val="both"/>
        <w:rPr>
          <w:rFonts w:cs="Arial"/>
        </w:rPr>
      </w:pPr>
      <w:r w:rsidRPr="009C410D">
        <w:rPr>
          <w:rFonts w:cs="Arial"/>
        </w:rPr>
        <w:t>Total investments including those which are not eligible under the taxonomy (including sovereign bonds and other investments that cannot be assessed for taxonomy-alignment) could still be reported and explained separately to provide a more transparent picture of the product.</w:t>
      </w:r>
    </w:p>
    <w:p w14:paraId="3E7FDF43" w14:textId="77777777" w:rsidR="0034536A" w:rsidRPr="009C410D" w:rsidRDefault="0034536A" w:rsidP="0034536A">
      <w:pPr>
        <w:jc w:val="both"/>
        <w:rPr>
          <w:rFonts w:cs="Arial"/>
        </w:rPr>
      </w:pPr>
    </w:p>
    <w:p w14:paraId="4AA4E60E" w14:textId="77777777" w:rsidR="0034536A" w:rsidRPr="009C410D" w:rsidRDefault="0034536A" w:rsidP="0034536A">
      <w:pPr>
        <w:jc w:val="both"/>
        <w:rPr>
          <w:rFonts w:cs="Arial"/>
        </w:rPr>
      </w:pPr>
      <w:r w:rsidRPr="009C410D">
        <w:rPr>
          <w:rFonts w:cs="Arial"/>
        </w:rPr>
        <w:t xml:space="preserve">Sovereign bonds are an important asset class for financial market participants, especially for the types of products in the scope of the SFDR. Given the importance of this asset class for financial products, there are important concerns about the inclusion of all investments in the denominator as this would dilute and undermine the meaningfulness of the proposed KPI. Likewise, the inclusion of all investment could lead to undue divestment pressure on non-eligible assets (e.g. sovereign bonds) without justification from a risk perspective to achieve a better KPI. </w:t>
      </w:r>
    </w:p>
    <w:p w14:paraId="331A8353" w14:textId="77777777" w:rsidR="0034536A" w:rsidRPr="009C410D" w:rsidRDefault="0034536A" w:rsidP="0034536A">
      <w:pPr>
        <w:jc w:val="both"/>
        <w:rPr>
          <w:rFonts w:cs="Arial"/>
        </w:rPr>
      </w:pPr>
    </w:p>
    <w:p w14:paraId="1B2CD1A2" w14:textId="77777777" w:rsidR="0034536A" w:rsidRDefault="0034536A" w:rsidP="0034536A">
      <w:pPr>
        <w:jc w:val="both"/>
        <w:rPr>
          <w:rFonts w:cs="Arial"/>
        </w:rPr>
      </w:pPr>
      <w:r w:rsidRPr="009C410D">
        <w:rPr>
          <w:rFonts w:cs="Arial"/>
        </w:rPr>
        <w:t>Apart from this, it would also be challenging to consider publicly traded companies pursuing economic activities that are not yet included in the Taxonomy. Therefore, the results of the proposed method will not be comparable. In the long term, it certainly makes sense to refer to the entire portfolio. However, the figures for the products should only be determined and published once a Taxonomy for all economic activities is in place.</w:t>
      </w:r>
    </w:p>
    <w:permEnd w:id="418122716"/>
    <w:p w14:paraId="29E77975" w14:textId="6590E75B" w:rsidR="003E573C" w:rsidRDefault="003E573C" w:rsidP="003E573C">
      <w:pPr>
        <w:rPr>
          <w:rFonts w:cs="Arial"/>
        </w:rPr>
      </w:pPr>
      <w:r>
        <w:rPr>
          <w:rFonts w:cs="Arial"/>
        </w:rPr>
        <w:t>&lt;ESA_QUESTION_</w:t>
      </w:r>
      <w:r w:rsidR="00C86E1C">
        <w:rPr>
          <w:rFonts w:cs="Arial"/>
        </w:rPr>
        <w:t>ESG</w:t>
      </w:r>
      <w:r>
        <w:rPr>
          <w:rFonts w:cs="Arial"/>
        </w:rPr>
        <w:t>_6&gt;</w:t>
      </w:r>
    </w:p>
    <w:p w14:paraId="302B559F" w14:textId="77777777" w:rsidR="003E573C" w:rsidRDefault="003E573C" w:rsidP="003E573C">
      <w:pPr>
        <w:rPr>
          <w:rFonts w:cs="Arial"/>
        </w:rPr>
      </w:pPr>
    </w:p>
    <w:p w14:paraId="09807F9E" w14:textId="2C94FA30" w:rsidR="003E573C" w:rsidRDefault="003E573C" w:rsidP="007118EB">
      <w:pPr>
        <w:pStyle w:val="Questionstyle"/>
      </w:pPr>
      <w:r>
        <w:t xml:space="preserve">: </w:t>
      </w:r>
      <w:r w:rsidR="001969F6" w:rsidRPr="001969F6">
        <w:t>Do you have any views on the statement of taxonomy compliance of the activities the financial product invests in and whether those statements should be subject to assessment by external or third parties?</w:t>
      </w:r>
    </w:p>
    <w:p w14:paraId="21AC957C" w14:textId="7580C8F9" w:rsidR="003E573C" w:rsidRDefault="003E573C" w:rsidP="003E573C">
      <w:pPr>
        <w:rPr>
          <w:rFonts w:cs="Arial"/>
        </w:rPr>
      </w:pPr>
      <w:r>
        <w:rPr>
          <w:rFonts w:cs="Arial"/>
        </w:rPr>
        <w:t>&lt;ESA_QUESTION_</w:t>
      </w:r>
      <w:r w:rsidR="00C86E1C">
        <w:rPr>
          <w:rFonts w:cs="Arial"/>
        </w:rPr>
        <w:t>ESG</w:t>
      </w:r>
      <w:r>
        <w:rPr>
          <w:rFonts w:cs="Arial"/>
        </w:rPr>
        <w:t>_7&gt;</w:t>
      </w:r>
    </w:p>
    <w:p w14:paraId="1D3ACB9D" w14:textId="77777777" w:rsidR="00E2065B" w:rsidRPr="009C410D" w:rsidRDefault="00E2065B" w:rsidP="000B4E13">
      <w:pPr>
        <w:jc w:val="both"/>
        <w:rPr>
          <w:rFonts w:cs="Arial"/>
        </w:rPr>
      </w:pPr>
      <w:permStart w:id="569465455" w:edGrp="everyone"/>
      <w:r w:rsidRPr="009C410D">
        <w:rPr>
          <w:rFonts w:cs="Arial"/>
        </w:rPr>
        <w:t xml:space="preserve">Savings and retail banks are against the publication of a statement of taxonomy compliance of the activities the financial product invests in. The costs are not proportionate to the potential benefits. </w:t>
      </w:r>
    </w:p>
    <w:p w14:paraId="73A20280" w14:textId="77777777" w:rsidR="00E2065B" w:rsidRPr="009C410D" w:rsidRDefault="00E2065B" w:rsidP="000B4E13">
      <w:pPr>
        <w:jc w:val="both"/>
        <w:rPr>
          <w:rFonts w:cs="Arial"/>
        </w:rPr>
      </w:pPr>
    </w:p>
    <w:p w14:paraId="2946D8BF" w14:textId="77777777" w:rsidR="00E2065B" w:rsidRPr="009C410D" w:rsidRDefault="00E2065B" w:rsidP="000B4E13">
      <w:pPr>
        <w:jc w:val="both"/>
        <w:rPr>
          <w:rFonts w:cs="Arial"/>
        </w:rPr>
      </w:pPr>
      <w:r w:rsidRPr="009C410D">
        <w:rPr>
          <w:rFonts w:cs="Arial"/>
        </w:rPr>
        <w:t xml:space="preserve">Firstly, it should be stressed that there would be an overlap of information. </w:t>
      </w:r>
    </w:p>
    <w:p w14:paraId="1DF5CEC3" w14:textId="77777777" w:rsidR="00E2065B" w:rsidRPr="009C410D" w:rsidRDefault="00E2065B" w:rsidP="000B4E13">
      <w:pPr>
        <w:jc w:val="both"/>
        <w:rPr>
          <w:rFonts w:cs="Arial"/>
        </w:rPr>
      </w:pPr>
    </w:p>
    <w:p w14:paraId="7A09CB3B" w14:textId="77777777" w:rsidR="00E2065B" w:rsidRPr="009C410D" w:rsidRDefault="00E2065B" w:rsidP="000B4E13">
      <w:pPr>
        <w:jc w:val="both"/>
        <w:rPr>
          <w:rFonts w:cs="Arial"/>
        </w:rPr>
      </w:pPr>
      <w:r w:rsidRPr="009C410D">
        <w:rPr>
          <w:rFonts w:cs="Arial"/>
        </w:rPr>
        <w:t xml:space="preserve">Moreover, we are against the proposal that any statement should be subject to assessment by an external or third party. It is unclear what the external or third party should assess. </w:t>
      </w:r>
    </w:p>
    <w:p w14:paraId="64C67FB5" w14:textId="77777777" w:rsidR="00E2065B" w:rsidRPr="009C410D" w:rsidRDefault="00E2065B" w:rsidP="000B4E13">
      <w:pPr>
        <w:jc w:val="both"/>
        <w:rPr>
          <w:rFonts w:cs="Arial"/>
        </w:rPr>
      </w:pPr>
    </w:p>
    <w:p w14:paraId="2E1E2489" w14:textId="77777777" w:rsidR="00E2065B" w:rsidRPr="009C410D" w:rsidRDefault="00E2065B" w:rsidP="000B4E13">
      <w:pPr>
        <w:jc w:val="both"/>
        <w:rPr>
          <w:rFonts w:cs="Arial"/>
        </w:rPr>
      </w:pPr>
      <w:r w:rsidRPr="009C410D">
        <w:rPr>
          <w:rFonts w:cs="Arial"/>
        </w:rPr>
        <w:t xml:space="preserve">Also, it is provided that ‘where information relating to the taxonomy alignment of investments is not readily available from public disclosures by investee companies, [the FMP must] include details of how equivalent </w:t>
      </w:r>
      <w:r w:rsidRPr="009C410D">
        <w:rPr>
          <w:rFonts w:cs="Arial"/>
        </w:rPr>
        <w:lastRenderedPageBreak/>
        <w:t xml:space="preserve">information was obtained directly from investee companies or third party providers. This requirement should not be on the FMPs but instead on the company providing the data, i.e. research/rating/analysis companies or the company subject to NFRD. </w:t>
      </w:r>
    </w:p>
    <w:p w14:paraId="556C772E" w14:textId="77777777" w:rsidR="00E2065B" w:rsidRPr="009C410D" w:rsidRDefault="00E2065B" w:rsidP="000B4E13">
      <w:pPr>
        <w:jc w:val="both"/>
        <w:rPr>
          <w:rFonts w:cs="Arial"/>
        </w:rPr>
      </w:pPr>
    </w:p>
    <w:p w14:paraId="3D2510A1" w14:textId="77777777" w:rsidR="00E2065B" w:rsidRPr="009C410D" w:rsidRDefault="00E2065B" w:rsidP="000B4E13">
      <w:pPr>
        <w:jc w:val="both"/>
        <w:rPr>
          <w:rFonts w:cs="Arial"/>
        </w:rPr>
      </w:pPr>
      <w:r w:rsidRPr="009C410D">
        <w:rPr>
          <w:rFonts w:cs="Arial"/>
        </w:rPr>
        <w:t xml:space="preserve">Finally, such an assessment would be costly, which would add further costs to the customer. </w:t>
      </w:r>
    </w:p>
    <w:p w14:paraId="51FBC010" w14:textId="77777777" w:rsidR="00E2065B" w:rsidRPr="009C410D" w:rsidRDefault="00E2065B" w:rsidP="000B4E13">
      <w:pPr>
        <w:jc w:val="both"/>
        <w:rPr>
          <w:rFonts w:cs="Arial"/>
        </w:rPr>
      </w:pPr>
    </w:p>
    <w:p w14:paraId="466A2696" w14:textId="77777777" w:rsidR="00E2065B" w:rsidRDefault="00E2065B" w:rsidP="003E573C">
      <w:pPr>
        <w:rPr>
          <w:rFonts w:cs="Arial"/>
        </w:rPr>
      </w:pPr>
      <w:r w:rsidRPr="009C410D">
        <w:rPr>
          <w:rFonts w:cs="Arial"/>
        </w:rPr>
        <w:t>We are not sure what is the difference between the external and third party. Please clarify.</w:t>
      </w:r>
    </w:p>
    <w:permEnd w:id="569465455"/>
    <w:p w14:paraId="2267AC0F" w14:textId="25B907BA" w:rsidR="003E573C" w:rsidRDefault="003E573C" w:rsidP="003E573C">
      <w:pPr>
        <w:rPr>
          <w:rFonts w:cs="Arial"/>
        </w:rPr>
      </w:pPr>
      <w:r>
        <w:rPr>
          <w:rFonts w:cs="Arial"/>
        </w:rPr>
        <w:t>&lt;ESA_QUESTION_</w:t>
      </w:r>
      <w:r w:rsidR="00C86E1C">
        <w:rPr>
          <w:rFonts w:cs="Arial"/>
        </w:rPr>
        <w:t>ESG</w:t>
      </w:r>
      <w:r>
        <w:rPr>
          <w:rFonts w:cs="Arial"/>
        </w:rPr>
        <w:t>_7&gt;</w:t>
      </w:r>
    </w:p>
    <w:p w14:paraId="7E406E9F" w14:textId="77777777" w:rsidR="003E573C" w:rsidRDefault="003E573C" w:rsidP="003E573C">
      <w:pPr>
        <w:rPr>
          <w:rFonts w:cs="Arial"/>
        </w:rPr>
      </w:pPr>
    </w:p>
    <w:p w14:paraId="08E0CC4A" w14:textId="47C75544" w:rsidR="003E573C" w:rsidRDefault="003E573C" w:rsidP="00666A17">
      <w:pPr>
        <w:pStyle w:val="ListParagraph"/>
        <w:numPr>
          <w:ilvl w:val="0"/>
          <w:numId w:val="37"/>
        </w:numPr>
        <w:rPr>
          <w:rFonts w:asciiTheme="minorHAnsi" w:eastAsiaTheme="minorEastAsia" w:hAnsiTheme="minorHAnsi" w:cstheme="minorBidi"/>
          <w:b/>
          <w:sz w:val="22"/>
          <w:szCs w:val="20"/>
          <w:lang w:eastAsia="en-US"/>
        </w:rPr>
      </w:pPr>
      <w:r w:rsidRPr="001969F6">
        <w:rPr>
          <w:b/>
          <w:bCs/>
        </w:rPr>
        <w:t xml:space="preserve">: </w:t>
      </w:r>
      <w:r w:rsidR="001969F6" w:rsidRPr="001969F6">
        <w:rPr>
          <w:rFonts w:asciiTheme="minorHAnsi" w:eastAsiaTheme="minorEastAsia" w:hAnsiTheme="minorHAnsi" w:cstheme="minorBidi"/>
          <w:b/>
          <w:sz w:val="22"/>
          <w:szCs w:val="20"/>
          <w:lang w:eastAsia="en-US"/>
        </w:rPr>
        <w:t>Do you have any views on the proposed periodic disclosures which mirror the proposals for pre-contractual amendments?</w:t>
      </w:r>
    </w:p>
    <w:p w14:paraId="62D07B51" w14:textId="77777777" w:rsidR="002A73F1" w:rsidRPr="002A73F1" w:rsidRDefault="002A73F1" w:rsidP="002A73F1">
      <w:pPr>
        <w:pStyle w:val="ListParagraph"/>
        <w:rPr>
          <w:rFonts w:asciiTheme="minorHAnsi" w:eastAsiaTheme="minorEastAsia" w:hAnsiTheme="minorHAnsi" w:cstheme="minorBidi"/>
          <w:b/>
          <w:sz w:val="22"/>
          <w:szCs w:val="20"/>
          <w:lang w:eastAsia="en-US"/>
        </w:rPr>
      </w:pPr>
    </w:p>
    <w:p w14:paraId="3309F68B" w14:textId="243D301F" w:rsidR="003E573C" w:rsidRDefault="003E573C" w:rsidP="003E573C">
      <w:pPr>
        <w:rPr>
          <w:rFonts w:cs="Arial"/>
        </w:rPr>
      </w:pPr>
      <w:r>
        <w:rPr>
          <w:rFonts w:cs="Arial"/>
        </w:rPr>
        <w:t>&lt;ESA_QUESTION_</w:t>
      </w:r>
      <w:r w:rsidR="00C86E1C">
        <w:rPr>
          <w:rFonts w:cs="Arial"/>
        </w:rPr>
        <w:t>ESG</w:t>
      </w:r>
      <w:r>
        <w:rPr>
          <w:rFonts w:cs="Arial"/>
        </w:rPr>
        <w:t>_8&gt;</w:t>
      </w:r>
    </w:p>
    <w:p w14:paraId="4C5968A3" w14:textId="77777777" w:rsidR="00982A30" w:rsidRPr="009C410D" w:rsidRDefault="00982A30" w:rsidP="00982A30">
      <w:pPr>
        <w:jc w:val="both"/>
        <w:rPr>
          <w:rFonts w:cs="Arial"/>
        </w:rPr>
      </w:pPr>
      <w:permStart w:id="1713528049" w:edGrp="everyone"/>
      <w:r w:rsidRPr="009C410D">
        <w:rPr>
          <w:rFonts w:cs="Arial"/>
        </w:rPr>
        <w:t>Savings and retail banks find the mirroring of periodic disclosures to pre-contractual disclosures positive if it is included by cross-reference to the extent the information is relevant to be requested in both disclosures. In general, less information should be included in the pre-contractual disclosure compared to the periodic report.</w:t>
      </w:r>
    </w:p>
    <w:p w14:paraId="1D102370" w14:textId="77777777" w:rsidR="00982A30" w:rsidRPr="009C410D" w:rsidRDefault="00982A30" w:rsidP="00982A30">
      <w:pPr>
        <w:jc w:val="both"/>
        <w:rPr>
          <w:rFonts w:cs="Arial"/>
        </w:rPr>
      </w:pPr>
    </w:p>
    <w:p w14:paraId="0F2C3A96" w14:textId="77777777" w:rsidR="00982A30" w:rsidRDefault="00982A30" w:rsidP="00982A30">
      <w:pPr>
        <w:jc w:val="both"/>
        <w:rPr>
          <w:rFonts w:cs="Arial"/>
        </w:rPr>
      </w:pPr>
      <w:r w:rsidRPr="009C410D">
        <w:rPr>
          <w:rFonts w:cs="Arial"/>
        </w:rPr>
        <w:t>However, it should be noted that, due to the abundance of information, there is still the risk of information overload.</w:t>
      </w:r>
    </w:p>
    <w:permEnd w:id="1713528049"/>
    <w:p w14:paraId="6DB9AF7D" w14:textId="789B574E" w:rsidR="003E573C" w:rsidRDefault="003E573C" w:rsidP="003E573C">
      <w:pPr>
        <w:rPr>
          <w:rFonts w:cs="Arial"/>
        </w:rPr>
      </w:pPr>
      <w:r>
        <w:rPr>
          <w:rFonts w:cs="Arial"/>
        </w:rPr>
        <w:t>&lt;ESA_QUESTION_</w:t>
      </w:r>
      <w:r w:rsidR="00C86E1C">
        <w:rPr>
          <w:rFonts w:cs="Arial"/>
        </w:rPr>
        <w:t>ESG</w:t>
      </w:r>
      <w:r>
        <w:rPr>
          <w:rFonts w:cs="Arial"/>
        </w:rPr>
        <w:t>_8&gt;</w:t>
      </w:r>
    </w:p>
    <w:p w14:paraId="078E4733" w14:textId="77777777" w:rsidR="003E573C" w:rsidRDefault="003E573C" w:rsidP="003E573C">
      <w:pPr>
        <w:rPr>
          <w:rFonts w:cs="Arial"/>
        </w:rPr>
      </w:pPr>
    </w:p>
    <w:p w14:paraId="784E1B82" w14:textId="2A90ED5D" w:rsidR="003E573C" w:rsidRDefault="003E573C" w:rsidP="007118EB">
      <w:pPr>
        <w:pStyle w:val="Questionstyle"/>
      </w:pPr>
      <w:r>
        <w:t xml:space="preserve">: </w:t>
      </w:r>
      <w:r w:rsidR="001969F6" w:rsidRPr="001969F6">
        <w:t>Do you have any views on the amended pre-contractual and periodic templates?</w:t>
      </w:r>
    </w:p>
    <w:p w14:paraId="67823BF7" w14:textId="671B4280" w:rsidR="003E573C" w:rsidRDefault="003E573C" w:rsidP="003E573C">
      <w:pPr>
        <w:rPr>
          <w:rFonts w:cs="Arial"/>
        </w:rPr>
      </w:pPr>
      <w:r>
        <w:rPr>
          <w:rFonts w:cs="Arial"/>
        </w:rPr>
        <w:t>&lt;ESA_QUESTION_</w:t>
      </w:r>
      <w:r w:rsidR="00C86E1C">
        <w:rPr>
          <w:rFonts w:cs="Arial"/>
        </w:rPr>
        <w:t>ESG</w:t>
      </w:r>
      <w:r>
        <w:rPr>
          <w:rFonts w:cs="Arial"/>
        </w:rPr>
        <w:t>_9&gt;</w:t>
      </w:r>
    </w:p>
    <w:p w14:paraId="2F5E5F37" w14:textId="77777777" w:rsidR="00982A30" w:rsidRPr="009C410D" w:rsidRDefault="00982A30" w:rsidP="00982A30">
      <w:pPr>
        <w:jc w:val="both"/>
        <w:rPr>
          <w:rFonts w:cs="Arial"/>
          <w:lang w:val="en-BE"/>
        </w:rPr>
      </w:pPr>
      <w:permStart w:id="221670941" w:edGrp="everyone"/>
      <w:r w:rsidRPr="009C410D">
        <w:rPr>
          <w:rFonts w:cs="Arial"/>
          <w:lang w:val="en-BE"/>
        </w:rPr>
        <w:t>The amended pre-contractual and periodic templates could be helpful for the implementation of the disclosure obligations, however, they are very confusing and the requirements related to the pre-contractual disclosures do not reflect how pre-contractual disclosures work in practice.</w:t>
      </w:r>
    </w:p>
    <w:p w14:paraId="52777D5F" w14:textId="77777777" w:rsidR="00982A30" w:rsidRPr="009C410D" w:rsidRDefault="00982A30" w:rsidP="00982A30">
      <w:pPr>
        <w:jc w:val="both"/>
        <w:rPr>
          <w:rFonts w:cs="Arial"/>
          <w:lang w:val="en-BE"/>
        </w:rPr>
      </w:pPr>
    </w:p>
    <w:p w14:paraId="4D118EC9" w14:textId="77777777" w:rsidR="00982A30" w:rsidRPr="009C410D" w:rsidRDefault="00982A30" w:rsidP="00982A30">
      <w:pPr>
        <w:jc w:val="both"/>
        <w:rPr>
          <w:rFonts w:cs="Arial"/>
          <w:lang w:val="en-BE"/>
        </w:rPr>
      </w:pPr>
      <w:r w:rsidRPr="009C410D">
        <w:rPr>
          <w:rFonts w:cs="Arial"/>
          <w:lang w:val="en-BE"/>
        </w:rPr>
        <w:t>We would like the ESAs to clarify whether the format and graphics included in the templates are mandatory to be used as presented (for example the second grey box on page 40 or the icon grey box on page 47). The consultation paper does not provide any information regarding the use of graphics, i.e. graphic rights. Its use poses major technical problems for banks as not every reporting IT system can process these graphics. We are also concerned about using the tree and pie chart as depicted on pages 34-35, 38-39, 42-43. </w:t>
      </w:r>
    </w:p>
    <w:p w14:paraId="359F96BA" w14:textId="77777777" w:rsidR="00982A30" w:rsidRPr="009C410D" w:rsidRDefault="00982A30" w:rsidP="00982A30">
      <w:pPr>
        <w:jc w:val="both"/>
        <w:rPr>
          <w:rFonts w:cs="Arial"/>
          <w:lang w:val="en-BE"/>
        </w:rPr>
      </w:pPr>
    </w:p>
    <w:p w14:paraId="46663204" w14:textId="77777777" w:rsidR="00982A30" w:rsidRPr="009C410D" w:rsidRDefault="00982A30" w:rsidP="00982A30">
      <w:pPr>
        <w:jc w:val="both"/>
        <w:rPr>
          <w:rFonts w:cs="Arial"/>
          <w:lang w:val="en-BE"/>
        </w:rPr>
      </w:pPr>
      <w:r w:rsidRPr="009C410D">
        <w:rPr>
          <w:rFonts w:cs="Arial"/>
          <w:lang w:val="en-BE"/>
        </w:rPr>
        <w:t>We are also concerned about the fact that compared to the previous templates, the amended templates require to state whether products pursuing sustainable investments are aligned or not with the EU taxonomy. This division is not suitable for products that invest in areas that are not yet included in the Taxonomy for example social products or branch-specific products for which Taxonomy definitions are not yet available.</w:t>
      </w:r>
    </w:p>
    <w:p w14:paraId="59999220" w14:textId="77777777" w:rsidR="00982A30" w:rsidRPr="009C410D" w:rsidRDefault="00982A30" w:rsidP="00982A30">
      <w:pPr>
        <w:jc w:val="both"/>
        <w:rPr>
          <w:rFonts w:cs="Arial"/>
          <w:lang w:val="en-BE"/>
        </w:rPr>
      </w:pPr>
    </w:p>
    <w:p w14:paraId="7387CB2F" w14:textId="77777777" w:rsidR="00982A30" w:rsidRPr="009C410D" w:rsidRDefault="00982A30" w:rsidP="00982A30">
      <w:pPr>
        <w:jc w:val="both"/>
        <w:rPr>
          <w:rFonts w:cs="Arial"/>
          <w:lang w:val="en-BE"/>
        </w:rPr>
      </w:pPr>
      <w:r w:rsidRPr="009C410D">
        <w:rPr>
          <w:rFonts w:cs="Arial"/>
          <w:lang w:val="en-BE"/>
        </w:rPr>
        <w:t>Also, the division between Article 8 and 9 products in the templates, and in particular on pages 33 and 37 should be reconsidered as it is currently misleading.</w:t>
      </w:r>
    </w:p>
    <w:p w14:paraId="3B8ACA0D" w14:textId="77777777" w:rsidR="00982A30" w:rsidRPr="009C410D" w:rsidRDefault="00982A30" w:rsidP="00982A30">
      <w:pPr>
        <w:jc w:val="both"/>
        <w:rPr>
          <w:rFonts w:cs="Arial"/>
          <w:lang w:val="en-BE"/>
        </w:rPr>
      </w:pPr>
    </w:p>
    <w:p w14:paraId="567637DA" w14:textId="77777777" w:rsidR="00982A30" w:rsidRPr="009C410D" w:rsidRDefault="00982A30" w:rsidP="00982A30">
      <w:pPr>
        <w:jc w:val="both"/>
        <w:rPr>
          <w:rFonts w:cs="Arial"/>
          <w:lang w:val="en-BE"/>
        </w:rPr>
      </w:pPr>
      <w:r w:rsidRPr="009C410D">
        <w:rPr>
          <w:rFonts w:cs="Arial"/>
          <w:lang w:val="en-BE"/>
        </w:rPr>
        <w:t>The proposed pre-contractual disclosure seems to be based on the fact that data on the assets of the financial product already exists, e.g. art 16(a)(1)(a)(ii)(iii), art 16(a)(2)(b), however for some financial products, e.g. portfolio management services, no product exists when the pre-contractual documentation is established. This information can therefore not be provided for.</w:t>
      </w:r>
    </w:p>
    <w:p w14:paraId="10498BF3" w14:textId="77777777" w:rsidR="00982A30" w:rsidRPr="009C410D" w:rsidRDefault="00982A30" w:rsidP="00982A30">
      <w:pPr>
        <w:jc w:val="both"/>
        <w:rPr>
          <w:rFonts w:cs="Arial"/>
          <w:lang w:val="en-BE"/>
        </w:rPr>
      </w:pPr>
    </w:p>
    <w:p w14:paraId="708AB660" w14:textId="77777777" w:rsidR="00982A30" w:rsidRPr="009C410D" w:rsidRDefault="00982A30" w:rsidP="00982A30">
      <w:pPr>
        <w:jc w:val="both"/>
        <w:rPr>
          <w:rFonts w:cs="Arial"/>
          <w:lang w:val="en-BE"/>
        </w:rPr>
      </w:pPr>
      <w:r w:rsidRPr="009C410D">
        <w:rPr>
          <w:rFonts w:cs="Arial"/>
          <w:lang w:val="en-BE"/>
        </w:rPr>
        <w:t>Further, the pre-contractual disclosure should not reflect data at a specific date but focus on the strategy and what the portfolio manager is bound to do when making investment decisions. The data should instead be included in the periodic report. The proposed pre-contractual disclosure seems to not follow this principle. This could lead to information being misleading for the customer. </w:t>
      </w:r>
    </w:p>
    <w:p w14:paraId="14837D8F" w14:textId="77777777" w:rsidR="00982A30" w:rsidRPr="009C410D" w:rsidRDefault="00982A30" w:rsidP="00982A30">
      <w:pPr>
        <w:jc w:val="both"/>
        <w:rPr>
          <w:rFonts w:cs="Arial"/>
          <w:lang w:val="en-BE"/>
        </w:rPr>
      </w:pPr>
    </w:p>
    <w:p w14:paraId="13749405" w14:textId="77777777" w:rsidR="00982A30" w:rsidRPr="009C410D" w:rsidRDefault="00982A30" w:rsidP="00982A30">
      <w:pPr>
        <w:jc w:val="both"/>
        <w:rPr>
          <w:rFonts w:cs="Arial"/>
          <w:lang w:val="en-BE"/>
        </w:rPr>
      </w:pPr>
      <w:r w:rsidRPr="009C410D">
        <w:rPr>
          <w:rFonts w:cs="Arial"/>
          <w:lang w:val="en-BE"/>
        </w:rPr>
        <w:lastRenderedPageBreak/>
        <w:t>The fact that a minimum proportion of Taxonomy-aligned investments are set instead of a target will lead to FMPs putting a very low threshold, especially considering that data on taxonomy-aligned investments are lacking. A risk of doing so is also that portfolio managers are bound to invest in such investment, which could lead to such investments being over-priced as the number of such investments will most likely be quite limited, at least to a start. </w:t>
      </w:r>
    </w:p>
    <w:p w14:paraId="7A5F38B6" w14:textId="77777777" w:rsidR="00982A30" w:rsidRPr="009C410D" w:rsidRDefault="00982A30" w:rsidP="00982A30">
      <w:pPr>
        <w:jc w:val="both"/>
        <w:rPr>
          <w:rFonts w:cs="Arial"/>
          <w:lang w:val="en-BE"/>
        </w:rPr>
      </w:pPr>
    </w:p>
    <w:p w14:paraId="320FA776" w14:textId="77777777" w:rsidR="00982A30" w:rsidRPr="009C410D" w:rsidRDefault="00982A30" w:rsidP="00982A30">
      <w:pPr>
        <w:jc w:val="both"/>
        <w:rPr>
          <w:rFonts w:cs="Arial"/>
          <w:lang w:val="en-BE"/>
        </w:rPr>
      </w:pPr>
      <w:r w:rsidRPr="009C410D">
        <w:rPr>
          <w:rFonts w:cs="Arial"/>
          <w:lang w:val="en-BE"/>
        </w:rPr>
        <w:t>We also question the suggestion to divide the minimum proportion into enabling and transitioning for multiple reasons. First, and linked to our argument on minimum proportion described above, this limits the portfolio manager even further and the risk for over-pricing becomes even higher. Secondly, a customer will not understand what this means. Thirdly, the Taxonomy is based on three categories, i.e. enabling, transitioning and green. By defining only the two of these, the third category will not be visible to the customer.  </w:t>
      </w:r>
    </w:p>
    <w:p w14:paraId="1D9831C3" w14:textId="77777777" w:rsidR="00982A30" w:rsidRPr="009C410D" w:rsidRDefault="00982A30" w:rsidP="00982A30">
      <w:pPr>
        <w:jc w:val="both"/>
        <w:rPr>
          <w:rFonts w:cs="Arial"/>
          <w:lang w:val="en-BE"/>
        </w:rPr>
      </w:pPr>
    </w:p>
    <w:p w14:paraId="72B9BBC9" w14:textId="77777777" w:rsidR="00982A30" w:rsidRPr="009C410D" w:rsidRDefault="00982A30" w:rsidP="00982A30">
      <w:pPr>
        <w:jc w:val="both"/>
        <w:rPr>
          <w:rFonts w:cs="Arial"/>
          <w:lang w:val="en-BE"/>
        </w:rPr>
      </w:pPr>
      <w:r w:rsidRPr="009C410D">
        <w:rPr>
          <w:rFonts w:cs="Arial"/>
          <w:lang w:val="en-BE"/>
        </w:rPr>
        <w:t>Article 14 (1) RTS relates to Article 8 SFDR products which promote, among other characteristics, environmental or social characteristics. On the other hand, Article 14 (2) RTS applies - due to the reference to Article 6 Taxonomy - only to Article 8 products that promote environmental characteristics. It is not clear whether Article 14 (2) RTS applies only to Article 8 products SFDR that contribute to a sustainable investment under the Taxonomy. Considering the wording of Article 14 (2) RTS, which refers to a sustainable investment ("[...] </w:t>
      </w:r>
      <w:r w:rsidRPr="009C410D">
        <w:rPr>
          <w:rFonts w:cs="Arial"/>
          <w:i/>
          <w:iCs/>
          <w:lang w:val="en-BE"/>
        </w:rPr>
        <w:t>identify the environmental objectives to which the stainable investment [...] contributes</w:t>
      </w:r>
      <w:r w:rsidRPr="009C410D">
        <w:rPr>
          <w:rFonts w:cs="Arial"/>
          <w:lang w:val="en-BE"/>
        </w:rPr>
        <w:t>"), it seems that Article 8 SFDR products that do not contribute to sustainable investments are not required to provide any information on the degree of their taxonomy compliance. Please clarify.</w:t>
      </w:r>
    </w:p>
    <w:permEnd w:id="221670941"/>
    <w:p w14:paraId="57161E15" w14:textId="0A160962" w:rsidR="003E573C" w:rsidRDefault="003E573C" w:rsidP="003E573C">
      <w:pPr>
        <w:rPr>
          <w:rFonts w:cs="Arial"/>
        </w:rPr>
      </w:pPr>
      <w:r>
        <w:rPr>
          <w:rFonts w:cs="Arial"/>
        </w:rPr>
        <w:t>&lt;ESA_QUESTION_</w:t>
      </w:r>
      <w:r w:rsidR="00C86E1C">
        <w:rPr>
          <w:rFonts w:cs="Arial"/>
        </w:rPr>
        <w:t>ESG</w:t>
      </w:r>
      <w:r>
        <w:rPr>
          <w:rFonts w:cs="Arial"/>
        </w:rPr>
        <w:t>_9&gt;</w:t>
      </w:r>
    </w:p>
    <w:p w14:paraId="068CFC66" w14:textId="77777777" w:rsidR="003E573C" w:rsidRDefault="003E573C" w:rsidP="003E573C">
      <w:pPr>
        <w:rPr>
          <w:rFonts w:cs="Arial"/>
        </w:rPr>
      </w:pPr>
    </w:p>
    <w:p w14:paraId="69BB96B1" w14:textId="212862EF" w:rsidR="003E573C" w:rsidRDefault="003E573C" w:rsidP="007118EB">
      <w:pPr>
        <w:pStyle w:val="Questionstyle"/>
      </w:pPr>
      <w:bookmarkStart w:id="1" w:name="_Hlk18829484"/>
      <w:r>
        <w:t xml:space="preserve">: </w:t>
      </w:r>
      <w:bookmarkEnd w:id="1"/>
      <w:r w:rsidR="001969F6" w:rsidRPr="001969F6">
        <w:t>The draft RTS propose unified pre-contractual and periodic templates applicable to all Article 8 and 9 SFDR products (including Article 5 and 6 TR products which are a sub-set of Article 8 and 9 SFDR products). Do you believe it would be preferable to have separate pre-contractual and periodic templates for Article 5-6 TR products, instead of using the same template for all Article 8-9 SFDR products?</w:t>
      </w:r>
    </w:p>
    <w:p w14:paraId="5C90E2A2" w14:textId="6C4211F4" w:rsidR="003E573C" w:rsidRDefault="003E573C" w:rsidP="003E573C">
      <w:pPr>
        <w:rPr>
          <w:rFonts w:cs="Arial"/>
        </w:rPr>
      </w:pPr>
      <w:r>
        <w:rPr>
          <w:rFonts w:cs="Arial"/>
        </w:rPr>
        <w:t>&lt;ESA_QUESTION_</w:t>
      </w:r>
      <w:r w:rsidR="00C86E1C">
        <w:rPr>
          <w:rFonts w:cs="Arial"/>
        </w:rPr>
        <w:t>ESG</w:t>
      </w:r>
      <w:r>
        <w:rPr>
          <w:rFonts w:cs="Arial"/>
        </w:rPr>
        <w:t>_10&gt;</w:t>
      </w:r>
    </w:p>
    <w:p w14:paraId="0034485F" w14:textId="77777777" w:rsidR="00050511" w:rsidRPr="009C410D" w:rsidRDefault="00050511" w:rsidP="00050511">
      <w:pPr>
        <w:jc w:val="both"/>
        <w:rPr>
          <w:rFonts w:cs="Arial"/>
        </w:rPr>
      </w:pPr>
      <w:permStart w:id="610013876" w:edGrp="everyone"/>
      <w:r w:rsidRPr="009C410D">
        <w:rPr>
          <w:rFonts w:cs="Arial"/>
        </w:rPr>
        <w:t>We believe that no separate templates are needed with regards to the information required products that make sustainable investments with environmental objectives (i.e. Articles 5 and 6 Taxonomy Regulation).</w:t>
      </w:r>
    </w:p>
    <w:p w14:paraId="70C911FE" w14:textId="77777777" w:rsidR="00050511" w:rsidRPr="009C410D" w:rsidRDefault="00050511" w:rsidP="00050511">
      <w:pPr>
        <w:jc w:val="both"/>
        <w:rPr>
          <w:rFonts w:cs="Arial"/>
        </w:rPr>
      </w:pPr>
    </w:p>
    <w:p w14:paraId="6CC420ED" w14:textId="77777777" w:rsidR="00050511" w:rsidRDefault="00050511" w:rsidP="00050511">
      <w:pPr>
        <w:jc w:val="both"/>
        <w:rPr>
          <w:rFonts w:cs="Arial"/>
        </w:rPr>
      </w:pPr>
      <w:r w:rsidRPr="009C410D">
        <w:rPr>
          <w:rFonts w:cs="Arial"/>
        </w:rPr>
        <w:t>To be able to consider product-specific features, it should be possible to deviate from the templates for individual details.</w:t>
      </w:r>
    </w:p>
    <w:permEnd w:id="610013876"/>
    <w:p w14:paraId="40F05C94" w14:textId="484F0F04" w:rsidR="003E573C" w:rsidRDefault="003E573C" w:rsidP="003E573C">
      <w:pPr>
        <w:rPr>
          <w:rFonts w:cs="Arial"/>
        </w:rPr>
      </w:pPr>
      <w:r>
        <w:rPr>
          <w:rFonts w:cs="Arial"/>
        </w:rPr>
        <w:t>&lt;ESA_QUESTION_</w:t>
      </w:r>
      <w:r w:rsidR="00C86E1C">
        <w:rPr>
          <w:rFonts w:cs="Arial"/>
        </w:rPr>
        <w:t>ESG</w:t>
      </w:r>
      <w:r>
        <w:rPr>
          <w:rFonts w:cs="Arial"/>
        </w:rPr>
        <w:t>_10&gt;</w:t>
      </w:r>
    </w:p>
    <w:p w14:paraId="601C7E78" w14:textId="77777777" w:rsidR="003E573C" w:rsidRDefault="003E573C" w:rsidP="003E573C">
      <w:pPr>
        <w:rPr>
          <w:rFonts w:cs="Arial"/>
        </w:rPr>
      </w:pPr>
    </w:p>
    <w:p w14:paraId="402CA03A" w14:textId="75386165" w:rsidR="003E573C" w:rsidRDefault="003E573C" w:rsidP="007118EB">
      <w:pPr>
        <w:pStyle w:val="Questionstyle"/>
      </w:pPr>
      <w:r>
        <w:t xml:space="preserve">: </w:t>
      </w:r>
      <w:r w:rsidR="001969F6" w:rsidRPr="001969F6">
        <w:t>The draft RTS propose in the amended templates to identify whether products making sustainable investments do so according to the EU taxonomy. While this is done to clearly indicate whether Article 5 and 6 TR products (that make sustainable investments with environmental objectives) use the taxonomy, arguably this would have the effect of requiring Article 8 and 9 SFDR products making sustainable investments with social objectives to indicate that too. Do you agree with this proposal?</w:t>
      </w:r>
    </w:p>
    <w:p w14:paraId="0B0BBAB9" w14:textId="4260C65C" w:rsidR="003E573C" w:rsidRDefault="003E573C" w:rsidP="003E573C">
      <w:pPr>
        <w:rPr>
          <w:rFonts w:cs="Arial"/>
        </w:rPr>
      </w:pPr>
      <w:r>
        <w:rPr>
          <w:rFonts w:cs="Arial"/>
        </w:rPr>
        <w:t>&lt;ESA_QUESTION_</w:t>
      </w:r>
      <w:r w:rsidR="00C86E1C">
        <w:rPr>
          <w:rFonts w:cs="Arial"/>
        </w:rPr>
        <w:t>ESG</w:t>
      </w:r>
      <w:r>
        <w:rPr>
          <w:rFonts w:cs="Arial"/>
        </w:rPr>
        <w:t>_11&gt;</w:t>
      </w:r>
    </w:p>
    <w:p w14:paraId="7304BFF8" w14:textId="77777777" w:rsidR="00D60AC5" w:rsidRPr="0059516B" w:rsidRDefault="00D60AC5" w:rsidP="00D60AC5">
      <w:pPr>
        <w:jc w:val="both"/>
        <w:rPr>
          <w:rFonts w:cs="Arial"/>
        </w:rPr>
      </w:pPr>
      <w:permStart w:id="790175202" w:edGrp="everyone"/>
      <w:r w:rsidRPr="0059516B">
        <w:rPr>
          <w:rFonts w:cs="Arial"/>
        </w:rPr>
        <w:t>Requiring Article 8 and 9 SFDR products making sustainable investments with social objectives to indicate their Taxonomy-alignment would be desirable in the long term, only when a Taxonomy for social objectives is developed, all economic activities are included in the scope and sufficient data is available in the market.</w:t>
      </w:r>
    </w:p>
    <w:p w14:paraId="18458B0D" w14:textId="77777777" w:rsidR="00D60AC5" w:rsidRPr="0059516B" w:rsidRDefault="00D60AC5" w:rsidP="00D60AC5">
      <w:pPr>
        <w:jc w:val="both"/>
        <w:rPr>
          <w:rFonts w:cs="Arial"/>
        </w:rPr>
      </w:pPr>
    </w:p>
    <w:p w14:paraId="3EF4323C" w14:textId="77777777" w:rsidR="00D60AC5" w:rsidRDefault="00D60AC5" w:rsidP="00D60AC5">
      <w:pPr>
        <w:jc w:val="both"/>
        <w:rPr>
          <w:rFonts w:cs="Arial"/>
        </w:rPr>
      </w:pPr>
      <w:r w:rsidRPr="0059516B">
        <w:rPr>
          <w:rFonts w:cs="Arial"/>
        </w:rPr>
        <w:t>To not disadvantage financial products making investments in social objectives or environmental objectives that have not started to apply, there should be a clarification on the fact that the Taxonomy is limited to climate-related objectives.</w:t>
      </w:r>
    </w:p>
    <w:permEnd w:id="790175202"/>
    <w:p w14:paraId="140C09C0" w14:textId="31257444" w:rsidR="003E573C" w:rsidRDefault="003E573C" w:rsidP="003E573C">
      <w:pPr>
        <w:rPr>
          <w:rFonts w:cs="Arial"/>
        </w:rPr>
      </w:pPr>
      <w:r>
        <w:rPr>
          <w:rFonts w:cs="Arial"/>
        </w:rPr>
        <w:t>&lt;ESA_QUESTION_</w:t>
      </w:r>
      <w:r w:rsidR="00C86E1C">
        <w:rPr>
          <w:rFonts w:cs="Arial"/>
        </w:rPr>
        <w:t>ESG</w:t>
      </w:r>
      <w:r>
        <w:rPr>
          <w:rFonts w:cs="Arial"/>
        </w:rPr>
        <w:t>_11&gt;</w:t>
      </w:r>
    </w:p>
    <w:p w14:paraId="2CDEB4F0" w14:textId="5F67476B" w:rsidR="003E573C" w:rsidRDefault="003E573C" w:rsidP="003E573C">
      <w:pPr>
        <w:rPr>
          <w:rFonts w:cs="Arial"/>
        </w:rPr>
      </w:pPr>
    </w:p>
    <w:p w14:paraId="61320A13" w14:textId="067350C5" w:rsidR="007118EB" w:rsidRDefault="007118EB" w:rsidP="007118EB">
      <w:pPr>
        <w:pStyle w:val="Questionstyle"/>
      </w:pPr>
      <w:r>
        <w:t>:</w:t>
      </w:r>
      <w:r w:rsidR="001969F6" w:rsidRPr="001969F6">
        <w:t xml:space="preserve"> Do you have any views regarding the preliminary impact assessments? Can you provide more granular examples of costs associated with the policy options?</w:t>
      </w:r>
    </w:p>
    <w:p w14:paraId="02035181" w14:textId="6893B5C8" w:rsidR="007118EB" w:rsidRDefault="007118EB" w:rsidP="007118EB">
      <w:pPr>
        <w:rPr>
          <w:lang w:eastAsia="en-US"/>
        </w:rPr>
      </w:pPr>
      <w:r>
        <w:rPr>
          <w:lang w:eastAsia="en-US"/>
        </w:rPr>
        <w:t>&lt;ESA_QUESTION_ESG_12&gt;</w:t>
      </w:r>
    </w:p>
    <w:p w14:paraId="2FD86252" w14:textId="77777777" w:rsidR="00D60AC5" w:rsidRPr="00C3589C" w:rsidRDefault="00D60AC5" w:rsidP="00D60AC5">
      <w:pPr>
        <w:jc w:val="both"/>
        <w:rPr>
          <w:rFonts w:cs="Arial"/>
        </w:rPr>
      </w:pPr>
      <w:permStart w:id="1771197561" w:edGrp="everyone"/>
      <w:r w:rsidRPr="00C3589C">
        <w:rPr>
          <w:rFonts w:cs="Arial"/>
        </w:rPr>
        <w:t>With regards to Policy issue 1: 'Relevance of prescribing a mandatory template for pre-contractual and periodic disclosures', option 2: 'A non-binding template' is the most desirable because, as explained in question 10, it should be possible to deviate from the templates in case of individual details to be able to consider product-specific features.</w:t>
      </w:r>
    </w:p>
    <w:p w14:paraId="1B40C14D" w14:textId="77777777" w:rsidR="00D60AC5" w:rsidRPr="00C3589C" w:rsidRDefault="00D60AC5" w:rsidP="00D60AC5">
      <w:pPr>
        <w:jc w:val="both"/>
        <w:rPr>
          <w:rFonts w:cs="Arial"/>
        </w:rPr>
      </w:pPr>
    </w:p>
    <w:p w14:paraId="1E4474D3" w14:textId="77777777" w:rsidR="00D60AC5" w:rsidRPr="00C3589C" w:rsidRDefault="00D60AC5" w:rsidP="00D60AC5">
      <w:pPr>
        <w:jc w:val="both"/>
        <w:rPr>
          <w:rFonts w:cs="Arial"/>
        </w:rPr>
      </w:pPr>
      <w:r w:rsidRPr="00C3589C">
        <w:rPr>
          <w:rFonts w:cs="Arial"/>
        </w:rPr>
        <w:t xml:space="preserve">With regards to policy issue 3: 'Taxonomy alignment of economic activities', we prefer option 3.1: 'Non-binding statement'. We are against the publication of a statement of taxonomy compliance of the activities the financial product invests in. The costs are not proportionate to the potential benefits.  </w:t>
      </w:r>
    </w:p>
    <w:p w14:paraId="434291ED" w14:textId="77777777" w:rsidR="00D60AC5" w:rsidRPr="00C3589C" w:rsidRDefault="00D60AC5" w:rsidP="00D60AC5">
      <w:pPr>
        <w:jc w:val="both"/>
        <w:rPr>
          <w:rFonts w:cs="Arial"/>
        </w:rPr>
      </w:pPr>
    </w:p>
    <w:p w14:paraId="6BE511AE" w14:textId="77777777" w:rsidR="00D60AC5" w:rsidRDefault="00D60AC5" w:rsidP="00D60AC5">
      <w:pPr>
        <w:jc w:val="both"/>
        <w:rPr>
          <w:rFonts w:cs="Arial"/>
        </w:rPr>
      </w:pPr>
      <w:r w:rsidRPr="00C3589C">
        <w:rPr>
          <w:rFonts w:cs="Arial"/>
        </w:rPr>
        <w:t>With regards to Policy issue 4: 'Periodic disclosure', we prefer Option 4.1: 'High-level periodic disclosures'.</w:t>
      </w:r>
    </w:p>
    <w:permEnd w:id="1771197561"/>
    <w:p w14:paraId="3577FCF9" w14:textId="5E3290C3" w:rsidR="007118EB" w:rsidRPr="007118EB" w:rsidRDefault="007118EB" w:rsidP="007118EB">
      <w:pPr>
        <w:rPr>
          <w:lang w:eastAsia="en-US"/>
        </w:rPr>
      </w:pPr>
      <w:r>
        <w:rPr>
          <w:lang w:eastAsia="en-US"/>
        </w:rPr>
        <w:t>&lt;ESA_QUESTION_ESG_12&gt;</w:t>
      </w:r>
    </w:p>
    <w:sectPr w:rsidR="007118EB" w:rsidRPr="007118EB"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649D" w14:textId="77777777" w:rsidR="003E5BAD" w:rsidRDefault="003E5BAD">
      <w:r>
        <w:separator/>
      </w:r>
    </w:p>
    <w:p w14:paraId="0E9BC570" w14:textId="77777777" w:rsidR="003E5BAD" w:rsidRDefault="003E5BAD"/>
  </w:endnote>
  <w:endnote w:type="continuationSeparator" w:id="0">
    <w:p w14:paraId="48885A96" w14:textId="77777777" w:rsidR="003E5BAD" w:rsidRDefault="003E5BAD">
      <w:r>
        <w:continuationSeparator/>
      </w:r>
    </w:p>
    <w:p w14:paraId="320800CA" w14:textId="77777777" w:rsidR="003E5BAD" w:rsidRDefault="003E5BAD"/>
  </w:endnote>
  <w:endnote w:type="continuationNotice" w:id="1">
    <w:p w14:paraId="0CDEAAB5" w14:textId="77777777" w:rsidR="003E5BAD" w:rsidRDefault="003E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EF036" w14:textId="77777777" w:rsidR="003E5BAD" w:rsidRDefault="003E5BAD">
      <w:r>
        <w:separator/>
      </w:r>
    </w:p>
    <w:p w14:paraId="5A721C0F" w14:textId="77777777" w:rsidR="003E5BAD" w:rsidRDefault="003E5BAD"/>
  </w:footnote>
  <w:footnote w:type="continuationSeparator" w:id="0">
    <w:p w14:paraId="57A16A9C" w14:textId="77777777" w:rsidR="003E5BAD" w:rsidRDefault="003E5BAD">
      <w:r>
        <w:continuationSeparator/>
      </w:r>
    </w:p>
    <w:p w14:paraId="6683BC49" w14:textId="77777777" w:rsidR="003E5BAD" w:rsidRDefault="003E5BAD"/>
  </w:footnote>
  <w:footnote w:type="continuationNotice" w:id="1">
    <w:p w14:paraId="7F5A090E" w14:textId="77777777" w:rsidR="003E5BAD" w:rsidRDefault="003E5BAD"/>
  </w:footnote>
  <w:footnote w:id="2">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0FC3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2E0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B5CCF242"/>
    <w:lvl w:ilvl="0" w:tplc="5F36106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A041B"/>
    <w:multiLevelType w:val="hybridMultilevel"/>
    <w:tmpl w:val="4E1A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4"/>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4"/>
  </w:num>
  <w:num w:numId="18">
    <w:abstractNumId w:val="15"/>
  </w:num>
  <w:num w:numId="19">
    <w:abstractNumId w:val="17"/>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19"/>
  </w:num>
  <w:num w:numId="27">
    <w:abstractNumId w:val="34"/>
  </w:num>
  <w:num w:numId="28">
    <w:abstractNumId w:val="39"/>
  </w:num>
  <w:num w:numId="29">
    <w:abstractNumId w:val="5"/>
  </w:num>
  <w:num w:numId="30">
    <w:abstractNumId w:val="2"/>
  </w:num>
  <w:num w:numId="31">
    <w:abstractNumId w:val="22"/>
  </w:num>
  <w:num w:numId="32">
    <w:abstractNumId w:val="20"/>
  </w:num>
  <w:num w:numId="33">
    <w:abstractNumId w:val="36"/>
  </w:num>
  <w:num w:numId="34">
    <w:abstractNumId w:val="35"/>
  </w:num>
  <w:num w:numId="35">
    <w:abstractNumId w:val="9"/>
  </w:num>
  <w:num w:numId="36">
    <w:abstractNumId w:val="10"/>
  </w:num>
  <w:num w:numId="37">
    <w:abstractNumId w:val="12"/>
  </w:num>
  <w:num w:numId="38">
    <w:abstractNumId w:val="25"/>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PlCUEaAvJr8Lb5jkry+wZ+XFSdqn0f3IBqahFJAhxoajC/E+IoKSpsKau2RKxbE/TsCjXDm8uSYLCv0ZdRDYw==" w:salt="1tIUBtEByNwPcaf2tV4ZAQ=="/>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0511"/>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0B4"/>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3B4B"/>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69F6"/>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12A2"/>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1E71"/>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A73F1"/>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36A"/>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B3F"/>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5BAD"/>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B2A"/>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2D9A"/>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29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4DF9"/>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6BE3"/>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A1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0C8"/>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C795E"/>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3E9A"/>
    <w:rsid w:val="0070421B"/>
    <w:rsid w:val="007043F0"/>
    <w:rsid w:val="0070482E"/>
    <w:rsid w:val="00704D25"/>
    <w:rsid w:val="00704EED"/>
    <w:rsid w:val="00710519"/>
    <w:rsid w:val="00710F6E"/>
    <w:rsid w:val="00711663"/>
    <w:rsid w:val="007116B4"/>
    <w:rsid w:val="007118EB"/>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4AC4"/>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2A30"/>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0F6"/>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24E"/>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B9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7708F"/>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E1C"/>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3A59"/>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1134"/>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594A"/>
    <w:rsid w:val="00D56321"/>
    <w:rsid w:val="00D56AC0"/>
    <w:rsid w:val="00D6081B"/>
    <w:rsid w:val="00D60AC5"/>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EB7"/>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216A"/>
    <w:rsid w:val="00E04548"/>
    <w:rsid w:val="00E0484E"/>
    <w:rsid w:val="00E063F8"/>
    <w:rsid w:val="00E079AF"/>
    <w:rsid w:val="00E114D6"/>
    <w:rsid w:val="00E1166E"/>
    <w:rsid w:val="00E11DBD"/>
    <w:rsid w:val="00E13211"/>
    <w:rsid w:val="00E16FB5"/>
    <w:rsid w:val="00E179D6"/>
    <w:rsid w:val="00E2065B"/>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4D5D"/>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28"/>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099A"/>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C41"/>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B9D"/>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7118EB"/>
    <w:pPr>
      <w:numPr>
        <w:numId w:val="37"/>
      </w:numPr>
      <w:spacing w:after="250" w:line="276" w:lineRule="auto"/>
      <w:ind w:hanging="294"/>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7118EB"/>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ther Work Document" ma:contentTypeID="0x010100DD70E92362DEE14191597B20A60D97FF021000965AB77F8A9CDA4F84DF757DE0E7E0EB" ma:contentTypeVersion="139" ma:contentTypeDescription="" ma:contentTypeScope="" ma:versionID="1dade7e22ff44667bf538f766b29126c">
  <xsd:schema xmlns:xsd="http://www.w3.org/2001/XMLSchema" xmlns:xs="http://www.w3.org/2001/XMLSchema" xmlns:p="http://schemas.microsoft.com/office/2006/metadata/properties" xmlns:ns2="35c8e399-07b8-49e4-91bf-01a20105d4df" targetNamespace="http://schemas.microsoft.com/office/2006/metadata/properties" ma:root="true" ma:fieldsID="3efdec30530f1486a49bd24a2216b6f4"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7;#Other Work|f1a52b52-917d-42ef-9667-945839604bb2"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a11a6b21-db06-4e7f-a75f-2a10b1559aa2"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ESMA34-45-1218</_dlc_DocId>
    <_dlc_DocIdUrl xmlns="35c8e399-07b8-49e4-91bf-01a20105d4df">
      <Url>https://sherpa.esma.europa.eu/sites/INIIVM/_layouts/15/DocIdRedir.aspx?ID=ESMA34-45-1218</Url>
      <Description>ESMA34-45-1218</Description>
    </_dlc_DocIdUrl>
    <MeetingDate xmlns="35c8e399-07b8-49e4-91bf-01a20105d4df" xsi:nil="true"/>
    <TaxCatchAll xmlns="35c8e399-07b8-49e4-91bf-01a20105d4df">
      <Value>257</Value>
      <Value>66</Value>
      <Value>87</Value>
      <Value>72</Value>
      <Value>38</Value>
    </TaxCatchAll>
    <Year xmlns="35c8e399-07b8-49e4-91bf-01a20105d4df">2021</Year>
    <k9db3a09612944c49e649e0ff38a506b xmlns="35c8e399-07b8-49e4-91bf-01a20105d4df">
      <Terms xmlns="http://schemas.microsoft.com/office/infopath/2007/PartnerControl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Other Work</TermName>
          <TermId xmlns="http://schemas.microsoft.com/office/infopath/2007/PartnerControls">f1a52b52-917d-42ef-9667-945839604bb2</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3f3f5c47-29f7-449c-ab20-04ae7736b23b</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3FC5BA4E-66DD-42F1-AB16-FCC70454E917}">
  <ds:schemaRefs>
    <ds:schemaRef ds:uri="http://schemas.openxmlformats.org/officeDocument/2006/bibliography"/>
  </ds:schemaRefs>
</ds:datastoreItem>
</file>

<file path=customXml/itemProps3.xml><?xml version="1.0" encoding="utf-8"?>
<ds:datastoreItem xmlns:ds="http://schemas.openxmlformats.org/officeDocument/2006/customXml" ds:itemID="{DB48F0BA-D32A-4B60-B310-EF8735E9B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1823ED9-4C25-4A0F-AA35-0F2F3F3B90A3}">
  <ds:schemaRefs>
    <ds:schemaRef ds:uri="http://schemas.microsoft.com/office/infopath/2007/PartnerControls"/>
    <ds:schemaRef ds:uri="http://www.w3.org/XML/1998/namespace"/>
    <ds:schemaRef ds:uri="35c8e399-07b8-49e4-91bf-01a20105d4d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6.xml><?xml version="1.0" encoding="utf-8"?>
<ds:datastoreItem xmlns:ds="http://schemas.openxmlformats.org/officeDocument/2006/customXml" ds:itemID="{F5C0F0B1-A3F1-4B95-8DA2-61925826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3476</Words>
  <Characters>19438</Characters>
  <Application>Microsoft Office Word</Application>
  <DocSecurity>8</DocSecurity>
  <Lines>161</Lines>
  <Paragraphs>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22869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Myrto Pargana</cp:lastModifiedBy>
  <cp:revision>9</cp:revision>
  <cp:lastPrinted>2015-02-18T11:01:00Z</cp:lastPrinted>
  <dcterms:created xsi:type="dcterms:W3CDTF">2021-05-12T08:33:00Z</dcterms:created>
  <dcterms:modified xsi:type="dcterms:W3CDTF">2021-05-12T08:43:00Z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0x010100DD70E92362DEE14191597B20A60D97FF021000965AB77F8A9CDA4F84DF757DE0E7E0EB</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257;#Sustainable Finance|3f3f5c47-29f7-449c-ab20-04ae7736b23b</vt:lpwstr>
  </property>
  <property fmtid="{D5CDD505-2E9C-101B-9397-08002B2CF9AE}" pid="6" name="SubTopic">
    <vt:lpwstr/>
  </property>
  <property fmtid="{D5CDD505-2E9C-101B-9397-08002B2CF9AE}" pid="7" name="DocumentType">
    <vt:lpwstr>66;#Questionnaire|a849d609-a31c-415e-a1a8-503bcc16b083</vt:lpwstr>
  </property>
  <property fmtid="{D5CDD505-2E9C-101B-9397-08002B2CF9AE}" pid="8" name="ConfidentialityLevel">
    <vt:lpwstr>72;#Public|a0c619ff-bd46-48f0-b213-6b7c03fe156d</vt:lpwstr>
  </property>
  <property fmtid="{D5CDD505-2E9C-101B-9397-08002B2CF9AE}" pid="9" name="_dlc_DocIdItemGuid">
    <vt:lpwstr>71cff28a-b92d-4336-b344-c47118f9edc5</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87;#Other Work|f1a52b52-917d-42ef-9667-945839604bb2</vt:lpwstr>
  </property>
  <property fmtid="{D5CDD505-2E9C-101B-9397-08002B2CF9AE}" pid="17" name="Project">
    <vt:lpwstr>103;#PRIIPs|a491fde9-7cc6-4ddd-9670-fcf5e94cd88f</vt:lpwstr>
  </property>
</Properties>
</file>