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4E49B0" w14:paraId="6A3CB02C" w14:textId="77777777" w:rsidTr="00315E96">
        <w:trPr>
          <w:trHeight w:val="284"/>
        </w:trPr>
        <w:tc>
          <w:tcPr>
            <w:tcW w:w="9412" w:type="dxa"/>
          </w:tcPr>
          <w:p w14:paraId="6A3CB02B" w14:textId="30749A2D" w:rsidR="00C2094B" w:rsidRPr="004E49B0" w:rsidRDefault="00C2094B" w:rsidP="00337A3F">
            <w:pPr>
              <w:pStyle w:val="00bDBInfo"/>
              <w:rPr>
                <w:rFonts w:cs="Arial"/>
              </w:rPr>
            </w:pPr>
          </w:p>
        </w:tc>
      </w:tr>
    </w:tbl>
    <w:p w14:paraId="6A3CB02D" w14:textId="77777777" w:rsidR="00FD7A8D" w:rsidRPr="00616B9B" w:rsidRDefault="00FD7A8D" w:rsidP="00FD7A8D">
      <w:pPr>
        <w:rPr>
          <w:rFonts w:cs="Arial"/>
          <w:vanish/>
        </w:rPr>
      </w:pPr>
    </w:p>
    <w:tbl>
      <w:tblPr>
        <w:tblpPr w:leftFromText="8505" w:vertAnchor="page" w:horzAnchor="margin" w:tblpY="3801"/>
        <w:tblW w:w="10051" w:type="dxa"/>
        <w:tblLayout w:type="fixed"/>
        <w:tblCellMar>
          <w:left w:w="0" w:type="dxa"/>
          <w:right w:w="0" w:type="dxa"/>
        </w:tblCellMar>
        <w:tblLook w:val="01E0" w:firstRow="1" w:lastRow="1" w:firstColumn="1" w:lastColumn="1" w:noHBand="0" w:noVBand="0"/>
      </w:tblPr>
      <w:tblGrid>
        <w:gridCol w:w="10051"/>
      </w:tblGrid>
      <w:tr w:rsidR="006F4535" w:rsidRPr="00616B9B" w14:paraId="6A3CB02F" w14:textId="77777777" w:rsidTr="00210E59">
        <w:trPr>
          <w:trHeight w:hRule="exact" w:val="1620"/>
        </w:trPr>
        <w:tc>
          <w:tcPr>
            <w:tcW w:w="10051" w:type="dxa"/>
            <w:vAlign w:val="bottom"/>
          </w:tcPr>
          <w:p w14:paraId="0967745D" w14:textId="7021ABAC" w:rsidR="00EC1154" w:rsidRPr="00391CB0" w:rsidRDefault="006F4535" w:rsidP="00EC1154">
            <w:pPr>
              <w:pStyle w:val="01aDBTitle"/>
              <w:jc w:val="left"/>
              <w:rPr>
                <w:rFonts w:cs="Arial"/>
              </w:rPr>
            </w:pPr>
            <w:r w:rsidRPr="00EC1154">
              <w:rPr>
                <w:rFonts w:cs="Arial"/>
              </w:rPr>
              <w:t>Re</w:t>
            </w:r>
            <w:r w:rsidR="009A3017" w:rsidRPr="00EC1154">
              <w:rPr>
                <w:rFonts w:cs="Arial"/>
              </w:rPr>
              <w:t>sponse</w:t>
            </w:r>
            <w:r w:rsidRPr="00EC1154">
              <w:rPr>
                <w:rFonts w:cs="Arial"/>
              </w:rPr>
              <w:t xml:space="preserve"> form for </w:t>
            </w:r>
            <w:r w:rsidR="00AF38AF" w:rsidRPr="00EC1154">
              <w:rPr>
                <w:rFonts w:cs="Arial"/>
              </w:rPr>
              <w:t xml:space="preserve">the </w:t>
            </w:r>
            <w:r w:rsidR="00197794">
              <w:rPr>
                <w:rFonts w:cs="Arial"/>
              </w:rPr>
              <w:t xml:space="preserve">Joint </w:t>
            </w:r>
            <w:r w:rsidRPr="00EC1154">
              <w:rPr>
                <w:rFonts w:cs="Arial"/>
              </w:rPr>
              <w:t xml:space="preserve">Consultation Paper </w:t>
            </w:r>
            <w:r w:rsidR="00197794">
              <w:rPr>
                <w:rFonts w:cs="Arial"/>
              </w:rPr>
              <w:t>concer</w:t>
            </w:r>
            <w:r w:rsidR="00511299">
              <w:rPr>
                <w:rFonts w:cs="Arial"/>
              </w:rPr>
              <w:t xml:space="preserve">ning </w:t>
            </w:r>
            <w:r w:rsidR="00281E71">
              <w:t xml:space="preserve"> </w:t>
            </w:r>
            <w:r w:rsidR="00281E71" w:rsidRPr="00281E71">
              <w:rPr>
                <w:rFonts w:cs="Arial"/>
              </w:rPr>
              <w:t>Taxonomy-related sustainability disclosures</w:t>
            </w:r>
          </w:p>
          <w:p w14:paraId="6A3CB02E" w14:textId="368D9A61" w:rsidR="006F4535" w:rsidRPr="009A053D" w:rsidRDefault="006F4535" w:rsidP="00210E59">
            <w:pPr>
              <w:pStyle w:val="01aDBTitle"/>
              <w:jc w:val="left"/>
              <w:rPr>
                <w:rFonts w:cs="Arial"/>
                <w:sz w:val="32"/>
              </w:rPr>
            </w:pPr>
          </w:p>
        </w:tc>
      </w:tr>
      <w:tr w:rsidR="006F4535" w:rsidRPr="00616B9B" w14:paraId="6A3CB031" w14:textId="77777777" w:rsidTr="00210E59">
        <w:trPr>
          <w:trHeight w:hRule="exact" w:val="809"/>
        </w:trPr>
        <w:tc>
          <w:tcPr>
            <w:tcW w:w="10051" w:type="dxa"/>
            <w:tcMar>
              <w:top w:w="142" w:type="dxa"/>
            </w:tcMar>
          </w:tcPr>
          <w:p w14:paraId="6A3CB030" w14:textId="77777777" w:rsidR="006F4535" w:rsidRPr="009A053D" w:rsidRDefault="006F4535" w:rsidP="006F4535">
            <w:pPr>
              <w:pStyle w:val="01bDBSubtitle"/>
              <w:rPr>
                <w:rFonts w:ascii="Arial" w:hAnsi="Arial" w:cs="Arial"/>
                <w:sz w:val="32"/>
              </w:rPr>
            </w:pPr>
            <w:r w:rsidRPr="009A053D">
              <w:rPr>
                <w:rFonts w:ascii="Arial" w:hAnsi="Arial" w:cs="Arial"/>
                <w:sz w:val="32"/>
              </w:rPr>
              <w:t xml:space="preserve"> </w:t>
            </w:r>
          </w:p>
        </w:tc>
      </w:tr>
    </w:tbl>
    <w:p w14:paraId="6A3CB032" w14:textId="77777777" w:rsidR="00620D7C" w:rsidRPr="00616B9B" w:rsidRDefault="00620D7C" w:rsidP="00C00012">
      <w:pPr>
        <w:pStyle w:val="05HeadlinenoIndex"/>
        <w:rPr>
          <w:rFonts w:cs="Arial"/>
        </w:rPr>
        <w:sectPr w:rsidR="00620D7C" w:rsidRPr="00616B9B" w:rsidSect="006E3C72">
          <w:headerReference w:type="even" r:id="rId13"/>
          <w:headerReference w:type="default" r:id="rId14"/>
          <w:footerReference w:type="even" r:id="rId15"/>
          <w:footerReference w:type="default" r:id="rId16"/>
          <w:headerReference w:type="first" r:id="rId17"/>
          <w:footerReference w:type="first" r:id="rId18"/>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14:paraId="6A3CB034" w14:textId="77777777" w:rsidTr="00315E96">
        <w:trPr>
          <w:trHeight w:hRule="exact" w:val="964"/>
        </w:trPr>
        <w:tc>
          <w:tcPr>
            <w:tcW w:w="2325" w:type="dxa"/>
          </w:tcPr>
          <w:p w14:paraId="100BAE9D" w14:textId="6CAF0146" w:rsidR="005F6BE3" w:rsidRDefault="00620D7C" w:rsidP="005F6BE3">
            <w:pPr>
              <w:pStyle w:val="02Date"/>
              <w:rPr>
                <w:rFonts w:cs="Arial"/>
              </w:rPr>
            </w:pPr>
            <w:r w:rsidRPr="004E49B0">
              <w:rPr>
                <w:rFonts w:cs="Arial"/>
              </w:rPr>
              <w:lastRenderedPageBreak/>
              <w:t xml:space="preserve">Date: </w:t>
            </w:r>
            <w:r w:rsidR="00E92A28">
              <w:rPr>
                <w:rFonts w:cs="Arial"/>
              </w:rPr>
              <w:t>17 March 2021</w:t>
            </w:r>
          </w:p>
          <w:p w14:paraId="6A3CB033" w14:textId="02EF4BF2" w:rsidR="00704EED" w:rsidRPr="004E49B0" w:rsidRDefault="00704EED" w:rsidP="005F6BE3">
            <w:pPr>
              <w:pStyle w:val="02Date"/>
              <w:rPr>
                <w:rFonts w:cs="Arial"/>
              </w:rPr>
            </w:pPr>
            <w:r>
              <w:rPr>
                <w:rFonts w:cs="Arial"/>
                <w:shd w:val="clear" w:color="auto" w:fill="FFFFFF" w:themeFill="background1"/>
              </w:rPr>
              <w:t>ESMA</w:t>
            </w:r>
            <w:r w:rsidR="006C795E">
              <w:rPr>
                <w:rFonts w:cs="Arial"/>
                <w:shd w:val="clear" w:color="auto" w:fill="FFFFFF" w:themeFill="background1"/>
              </w:rPr>
              <w:t>34-45-1218</w:t>
            </w:r>
          </w:p>
        </w:tc>
      </w:tr>
    </w:tbl>
    <w:p w14:paraId="6A3CB035" w14:textId="77777777"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14:paraId="4256666B" w14:textId="2B6B0430" w:rsidR="00754AC4" w:rsidRDefault="005F6BE3" w:rsidP="00754AC4">
      <w:pPr>
        <w:spacing w:after="240"/>
        <w:jc w:val="both"/>
        <w:rPr>
          <w:rStyle w:val="SchwacheHervorhebung"/>
          <w:b w:val="0"/>
          <w:bCs/>
          <w:sz w:val="22"/>
        </w:rPr>
      </w:pPr>
      <w:r w:rsidRPr="005F6BE3">
        <w:rPr>
          <w:rStyle w:val="SchwacheHervorhebung"/>
          <w:b w:val="0"/>
          <w:bCs/>
          <w:sz w:val="22"/>
        </w:rPr>
        <w:t>The European Supervisory Authorities (ESAs) welcome comments on this consultation paper setting out the proposed Regulatory Technical Standards (hereinafter “RTS”) on content and presentation of disclosures pursuant to Article 8(4), 9(6) and 11(5) of Regulation (EU) 2019/2088 (hereinafter Sustainable Finance Disclosure Regulation “SFDR”)</w:t>
      </w:r>
      <w:r w:rsidR="00281E71">
        <w:rPr>
          <w:rStyle w:val="SchwacheHervorhebung"/>
          <w:b w:val="0"/>
          <w:bCs/>
          <w:sz w:val="22"/>
        </w:rPr>
        <w:t xml:space="preserve"> </w:t>
      </w:r>
      <w:r w:rsidR="00754AC4" w:rsidRPr="00754AC4">
        <w:rPr>
          <w:rStyle w:val="SchwacheHervorhebung"/>
          <w:b w:val="0"/>
          <w:bCs/>
          <w:sz w:val="22"/>
        </w:rPr>
        <w:t xml:space="preserve">and in particular on the specific questions summarised in Section 3 of the consultation paper under “Questions to stakeholders”. </w:t>
      </w:r>
    </w:p>
    <w:p w14:paraId="55CA6450" w14:textId="43B99A04" w:rsidR="00754AC4" w:rsidRPr="00754AC4" w:rsidRDefault="00754AC4" w:rsidP="00754AC4">
      <w:pPr>
        <w:spacing w:after="240"/>
        <w:jc w:val="both"/>
        <w:rPr>
          <w:rStyle w:val="SchwacheHervorhebung"/>
          <w:b w:val="0"/>
          <w:bCs/>
          <w:sz w:val="22"/>
        </w:rPr>
      </w:pPr>
      <w:r w:rsidRPr="00754AC4">
        <w:rPr>
          <w:rStyle w:val="SchwacheHervorhebung"/>
          <w:b w:val="0"/>
          <w:bCs/>
          <w:sz w:val="22"/>
        </w:rPr>
        <w:t>Comments are most helpful if they:</w:t>
      </w:r>
    </w:p>
    <w:p w14:paraId="443F1C2C" w14:textId="77777777" w:rsidR="00754AC4" w:rsidRPr="00754AC4" w:rsidRDefault="00754AC4" w:rsidP="00666A17">
      <w:pPr>
        <w:pStyle w:val="Listenabsatz"/>
        <w:numPr>
          <w:ilvl w:val="0"/>
          <w:numId w:val="39"/>
        </w:numPr>
        <w:spacing w:after="240"/>
        <w:jc w:val="both"/>
        <w:rPr>
          <w:rStyle w:val="SchwacheHervorhebung"/>
          <w:b w:val="0"/>
          <w:bCs/>
          <w:sz w:val="22"/>
        </w:rPr>
      </w:pPr>
      <w:r w:rsidRPr="00754AC4">
        <w:rPr>
          <w:rStyle w:val="SchwacheHervorhebung"/>
          <w:b w:val="0"/>
          <w:bCs/>
          <w:sz w:val="22"/>
        </w:rPr>
        <w:t>contain a clear rationale; and</w:t>
      </w:r>
    </w:p>
    <w:p w14:paraId="44288AF1" w14:textId="77777777" w:rsidR="00754AC4" w:rsidRPr="00754AC4" w:rsidRDefault="00754AC4" w:rsidP="00666A17">
      <w:pPr>
        <w:pStyle w:val="Listenabsatz"/>
        <w:numPr>
          <w:ilvl w:val="0"/>
          <w:numId w:val="39"/>
        </w:numPr>
        <w:spacing w:after="240"/>
        <w:jc w:val="both"/>
        <w:rPr>
          <w:rStyle w:val="SchwacheHervorhebung"/>
          <w:b w:val="0"/>
          <w:bCs/>
          <w:sz w:val="22"/>
        </w:rPr>
      </w:pPr>
      <w:r w:rsidRPr="00754AC4">
        <w:rPr>
          <w:rStyle w:val="SchwacheHervorhebung"/>
          <w:b w:val="0"/>
          <w:bCs/>
          <w:sz w:val="22"/>
        </w:rPr>
        <w:t>describe any alternatives the ESAs should consider.</w:t>
      </w:r>
    </w:p>
    <w:p w14:paraId="122FDDB2" w14:textId="5647B0AF" w:rsidR="00C86E1C" w:rsidRDefault="00C86E1C" w:rsidP="00754AC4">
      <w:pPr>
        <w:spacing w:after="240"/>
        <w:jc w:val="both"/>
        <w:rPr>
          <w:rStyle w:val="SchwacheHervorhebung"/>
          <w:b w:val="0"/>
          <w:bCs/>
          <w:sz w:val="22"/>
        </w:rPr>
      </w:pPr>
      <w:r>
        <w:rPr>
          <w:rStyle w:val="SchwacheHervorhebung"/>
          <w:b w:val="0"/>
          <w:bCs/>
          <w:sz w:val="22"/>
        </w:rPr>
        <w:t>When describing alternative approaches the ESAs encourage stakeholders to consider how the approach would achieve the aims of SFDR.</w:t>
      </w:r>
    </w:p>
    <w:p w14:paraId="62803BA4" w14:textId="77777777" w:rsidR="00EC1154" w:rsidRDefault="00EC1154" w:rsidP="00AF38AF">
      <w:pPr>
        <w:rPr>
          <w:rStyle w:val="SchwacheHervorhebung"/>
          <w:b w:val="0"/>
          <w:sz w:val="22"/>
        </w:rPr>
      </w:pPr>
    </w:p>
    <w:p w14:paraId="6A3CB03F" w14:textId="77777777" w:rsidR="009A3017" w:rsidRPr="00E40A5C" w:rsidRDefault="009A3017" w:rsidP="009A3017">
      <w:pPr>
        <w:spacing w:after="120"/>
        <w:jc w:val="both"/>
        <w:rPr>
          <w:rStyle w:val="SchwacheHervorhebung"/>
          <w:sz w:val="22"/>
        </w:rPr>
      </w:pPr>
      <w:r w:rsidRPr="00E40A5C">
        <w:rPr>
          <w:rStyle w:val="SchwacheHervorhebung"/>
          <w:sz w:val="22"/>
        </w:rPr>
        <w:t>Instructions</w:t>
      </w:r>
    </w:p>
    <w:p w14:paraId="6A3CB040" w14:textId="77777777" w:rsidR="009A3017" w:rsidRPr="00E40A5C" w:rsidRDefault="009A3017" w:rsidP="009A3017">
      <w:pPr>
        <w:spacing w:after="240"/>
        <w:jc w:val="both"/>
        <w:rPr>
          <w:rStyle w:val="SchwacheHervorhebung"/>
          <w:b w:val="0"/>
          <w:sz w:val="22"/>
        </w:rPr>
      </w:pPr>
      <w:r w:rsidRPr="00E40A5C">
        <w:rPr>
          <w:rStyle w:val="SchwacheHervorhebung"/>
          <w:b w:val="0"/>
          <w:sz w:val="22"/>
        </w:rPr>
        <w:t>In order to facilitate analysis of responses to the Consultation Paper, respondents are requested to follow the below steps when preparing and submitting their response:</w:t>
      </w:r>
    </w:p>
    <w:p w14:paraId="6A3CB041" w14:textId="77777777" w:rsidR="009A3017" w:rsidRPr="00E40A5C" w:rsidRDefault="009A3017" w:rsidP="00666A17">
      <w:pPr>
        <w:pStyle w:val="Listenabsatz"/>
        <w:numPr>
          <w:ilvl w:val="0"/>
          <w:numId w:val="36"/>
        </w:numPr>
        <w:spacing w:after="240" w:line="276" w:lineRule="auto"/>
        <w:ind w:left="567" w:hanging="567"/>
        <w:contextualSpacing w:val="0"/>
        <w:jc w:val="both"/>
        <w:rPr>
          <w:rStyle w:val="SchwacheHervorhebung"/>
          <w:b w:val="0"/>
          <w:sz w:val="22"/>
        </w:rPr>
      </w:pPr>
      <w:r w:rsidRPr="00E40A5C">
        <w:rPr>
          <w:rStyle w:val="SchwacheHervorhebung"/>
          <w:b w:val="0"/>
          <w:sz w:val="22"/>
        </w:rPr>
        <w:t xml:space="preserve">Insert your responses to the questions in the Consultation Paper in </w:t>
      </w:r>
      <w:r w:rsidR="00963D60">
        <w:rPr>
          <w:rStyle w:val="SchwacheHervorhebung"/>
          <w:b w:val="0"/>
          <w:sz w:val="22"/>
        </w:rPr>
        <w:t>the present</w:t>
      </w:r>
      <w:r w:rsidR="00963D60" w:rsidRPr="00E40A5C">
        <w:rPr>
          <w:rStyle w:val="SchwacheHervorhebung"/>
          <w:b w:val="0"/>
          <w:sz w:val="22"/>
        </w:rPr>
        <w:t xml:space="preserve"> </w:t>
      </w:r>
      <w:r w:rsidR="00315895">
        <w:rPr>
          <w:rStyle w:val="SchwacheHervorhebung"/>
          <w:b w:val="0"/>
          <w:sz w:val="22"/>
        </w:rPr>
        <w:t xml:space="preserve">response </w:t>
      </w:r>
      <w:r w:rsidRPr="00E40A5C">
        <w:rPr>
          <w:rStyle w:val="SchwacheHervorhebung"/>
          <w:b w:val="0"/>
          <w:sz w:val="22"/>
        </w:rPr>
        <w:t>form</w:t>
      </w:r>
      <w:r w:rsidR="00963D60">
        <w:rPr>
          <w:rStyle w:val="SchwacheHervorhebung"/>
          <w:b w:val="0"/>
          <w:sz w:val="22"/>
        </w:rPr>
        <w:t>.</w:t>
      </w:r>
      <w:r w:rsidRPr="00E40A5C">
        <w:rPr>
          <w:rStyle w:val="SchwacheHervorhebung"/>
          <w:b w:val="0"/>
          <w:sz w:val="22"/>
        </w:rPr>
        <w:t xml:space="preserve"> </w:t>
      </w:r>
    </w:p>
    <w:p w14:paraId="6A3CB042" w14:textId="7681A708" w:rsidR="009A3017" w:rsidRPr="00E40A5C" w:rsidRDefault="009A3017" w:rsidP="00666A17">
      <w:pPr>
        <w:pStyle w:val="Listenabsatz"/>
        <w:numPr>
          <w:ilvl w:val="0"/>
          <w:numId w:val="36"/>
        </w:numPr>
        <w:spacing w:after="240" w:line="276" w:lineRule="auto"/>
        <w:ind w:left="567" w:hanging="567"/>
        <w:contextualSpacing w:val="0"/>
        <w:jc w:val="both"/>
        <w:rPr>
          <w:rStyle w:val="SchwacheHervorhebung"/>
          <w:b w:val="0"/>
          <w:sz w:val="22"/>
        </w:rPr>
      </w:pPr>
      <w:r w:rsidRPr="00E40A5C">
        <w:rPr>
          <w:rStyle w:val="SchwacheHervorhebung"/>
          <w:b w:val="0"/>
          <w:sz w:val="22"/>
        </w:rPr>
        <w:t>Please do not remove tags of the type &lt;ESA_QUESTION_</w:t>
      </w:r>
      <w:r w:rsidR="00C86E1C">
        <w:rPr>
          <w:rStyle w:val="SchwacheHervorhebung"/>
          <w:b w:val="0"/>
          <w:sz w:val="22"/>
        </w:rPr>
        <w:t>ESG</w:t>
      </w:r>
      <w:r w:rsidRPr="00E40A5C">
        <w:rPr>
          <w:rStyle w:val="SchwacheHervorhebung"/>
          <w:b w:val="0"/>
          <w:sz w:val="22"/>
        </w:rPr>
        <w:t>_1&gt;. Your response to each question has to be framed by the two tags corresponding to the question.</w:t>
      </w:r>
    </w:p>
    <w:p w14:paraId="6A3CB043" w14:textId="77777777" w:rsidR="009A3017" w:rsidRPr="00E40A5C" w:rsidRDefault="009A3017" w:rsidP="00666A17">
      <w:pPr>
        <w:pStyle w:val="Listenabsatz"/>
        <w:numPr>
          <w:ilvl w:val="0"/>
          <w:numId w:val="36"/>
        </w:numPr>
        <w:spacing w:after="240" w:line="276" w:lineRule="auto"/>
        <w:ind w:left="567" w:hanging="567"/>
        <w:contextualSpacing w:val="0"/>
        <w:jc w:val="both"/>
        <w:rPr>
          <w:rStyle w:val="SchwacheHervorhebung"/>
          <w:b w:val="0"/>
          <w:sz w:val="22"/>
        </w:rPr>
      </w:pPr>
      <w:r w:rsidRPr="00E40A5C">
        <w:rPr>
          <w:rStyle w:val="SchwacheHervorhebung"/>
          <w:b w:val="0"/>
          <w:sz w:val="22"/>
        </w:rPr>
        <w:t>If you do not wish to respond to a given question, please do not delete it but simply leave the text “TYPE YOUR TEXT HERE” between the tags.</w:t>
      </w:r>
    </w:p>
    <w:p w14:paraId="6A3CB044" w14:textId="04FB3B90" w:rsidR="009A3017" w:rsidRPr="00E40A5C" w:rsidRDefault="009A3017" w:rsidP="00666A17">
      <w:pPr>
        <w:pStyle w:val="Listenabsatz"/>
        <w:numPr>
          <w:ilvl w:val="0"/>
          <w:numId w:val="36"/>
        </w:numPr>
        <w:spacing w:after="240" w:line="276" w:lineRule="auto"/>
        <w:ind w:left="567" w:hanging="567"/>
        <w:contextualSpacing w:val="0"/>
        <w:jc w:val="both"/>
        <w:rPr>
          <w:rStyle w:val="SchwacheHervorhebung"/>
          <w:b w:val="0"/>
          <w:sz w:val="22"/>
        </w:rPr>
      </w:pPr>
      <w:r w:rsidRPr="00E40A5C">
        <w:rPr>
          <w:rStyle w:val="SchwacheHervorhebung"/>
          <w:b w:val="0"/>
          <w:sz w:val="22"/>
        </w:rPr>
        <w:t>When you have drafted your response, name your response form according to the following convention: ESA_</w:t>
      </w:r>
      <w:r w:rsidR="00C86E1C">
        <w:rPr>
          <w:rStyle w:val="SchwacheHervorhebung"/>
          <w:b w:val="0"/>
          <w:sz w:val="22"/>
        </w:rPr>
        <w:t>ESG</w:t>
      </w:r>
      <w:r w:rsidRPr="00E40A5C">
        <w:rPr>
          <w:rStyle w:val="SchwacheHervorhebung"/>
          <w:b w:val="0"/>
          <w:sz w:val="22"/>
        </w:rPr>
        <w:t>_nameofrespondent_RESPONSEFORM. For example, for a respondent named ABCD, the response form would be entitled ESA_</w:t>
      </w:r>
      <w:r w:rsidR="00C86E1C">
        <w:rPr>
          <w:rStyle w:val="SchwacheHervorhebung"/>
          <w:b w:val="0"/>
          <w:sz w:val="22"/>
        </w:rPr>
        <w:t>ESG</w:t>
      </w:r>
      <w:r w:rsidRPr="00E40A5C">
        <w:rPr>
          <w:rStyle w:val="SchwacheHervorhebung"/>
          <w:b w:val="0"/>
          <w:sz w:val="22"/>
        </w:rPr>
        <w:t>_ABCD_RESPONSEFORM.</w:t>
      </w:r>
    </w:p>
    <w:p w14:paraId="180C2205" w14:textId="03F3D16A" w:rsidR="00197794" w:rsidRPr="00197794" w:rsidRDefault="00197794" w:rsidP="00666A17">
      <w:pPr>
        <w:pStyle w:val="Listenabsatz"/>
        <w:numPr>
          <w:ilvl w:val="0"/>
          <w:numId w:val="36"/>
        </w:numPr>
        <w:spacing w:after="240" w:line="276" w:lineRule="auto"/>
        <w:ind w:left="567" w:hanging="567"/>
        <w:contextualSpacing w:val="0"/>
        <w:jc w:val="both"/>
        <w:rPr>
          <w:rStyle w:val="SchwacheHervorhebung"/>
          <w:b w:val="0"/>
          <w:sz w:val="22"/>
        </w:rPr>
      </w:pPr>
      <w:r w:rsidRPr="00197794">
        <w:rPr>
          <w:rStyle w:val="SchwacheHervorhebung"/>
          <w:b w:val="0"/>
          <w:sz w:val="22"/>
        </w:rPr>
        <w:t>The consultation paper is available on the websites of the three ESAs</w:t>
      </w:r>
      <w:r w:rsidR="00764042">
        <w:rPr>
          <w:rStyle w:val="SchwacheHervorhebung"/>
          <w:b w:val="0"/>
          <w:sz w:val="22"/>
        </w:rPr>
        <w:t xml:space="preserve"> and the Joint Committee</w:t>
      </w:r>
      <w:r w:rsidRPr="00197794">
        <w:rPr>
          <w:rStyle w:val="SchwacheHervorhebung"/>
          <w:b w:val="0"/>
          <w:sz w:val="22"/>
        </w:rPr>
        <w:t xml:space="preserve">. Comments on this consultation paper can be sent using the response form, via the </w:t>
      </w:r>
      <w:hyperlink r:id="rId19" w:history="1">
        <w:r w:rsidRPr="00197794">
          <w:rPr>
            <w:rStyle w:val="Hyperlink"/>
            <w:rFonts w:cs="Arial"/>
            <w:sz w:val="22"/>
          </w:rPr>
          <w:t>ESMA website</w:t>
        </w:r>
      </w:hyperlink>
      <w:r w:rsidRPr="00197794">
        <w:rPr>
          <w:rStyle w:val="SchwacheHervorhebung"/>
          <w:b w:val="0"/>
          <w:sz w:val="24"/>
        </w:rPr>
        <w:t xml:space="preserve"> </w:t>
      </w:r>
      <w:r w:rsidRPr="00197794">
        <w:rPr>
          <w:rStyle w:val="SchwacheHervorhebung"/>
          <w:b w:val="0"/>
          <w:sz w:val="22"/>
        </w:rPr>
        <w:t>under the heading ‘Your input - Consultations’ by</w:t>
      </w:r>
      <w:r w:rsidR="005F6BE3">
        <w:rPr>
          <w:rStyle w:val="SchwacheHervorhebung"/>
          <w:b w:val="0"/>
          <w:sz w:val="22"/>
        </w:rPr>
        <w:t xml:space="preserve"> </w:t>
      </w:r>
      <w:r w:rsidR="00AA1B9D">
        <w:rPr>
          <w:rStyle w:val="SchwacheHervorhebung"/>
          <w:b w:val="0"/>
          <w:sz w:val="22"/>
        </w:rPr>
        <w:t>12 May 2021</w:t>
      </w:r>
      <w:r w:rsidRPr="00197794">
        <w:rPr>
          <w:rStyle w:val="SchwacheHervorhebung"/>
          <w:b w:val="0"/>
          <w:sz w:val="22"/>
        </w:rPr>
        <w:t>.</w:t>
      </w:r>
    </w:p>
    <w:p w14:paraId="2481E1E6" w14:textId="67CDDA3F" w:rsidR="00197794" w:rsidRDefault="00197794" w:rsidP="00666A17">
      <w:pPr>
        <w:pStyle w:val="Listenabsatz"/>
        <w:numPr>
          <w:ilvl w:val="0"/>
          <w:numId w:val="36"/>
        </w:numPr>
        <w:spacing w:after="240" w:line="276" w:lineRule="auto"/>
        <w:ind w:left="567" w:hanging="567"/>
        <w:contextualSpacing w:val="0"/>
        <w:jc w:val="both"/>
        <w:rPr>
          <w:rStyle w:val="SchwacheHervorhebung"/>
          <w:b w:val="0"/>
          <w:sz w:val="22"/>
        </w:rPr>
      </w:pPr>
      <w:r w:rsidRPr="00197794">
        <w:rPr>
          <w:rStyle w:val="SchwacheHervorhebung"/>
          <w:b w:val="0"/>
          <w:sz w:val="22"/>
        </w:rPr>
        <w:t>Contributions not provided in the template for comments, or after the deadline will not be processed.</w:t>
      </w:r>
    </w:p>
    <w:p w14:paraId="5F3A7F1F" w14:textId="57F7F592" w:rsidR="00197794" w:rsidRDefault="00197794" w:rsidP="00197794">
      <w:pPr>
        <w:spacing w:after="240" w:line="276" w:lineRule="auto"/>
        <w:jc w:val="both"/>
        <w:rPr>
          <w:rStyle w:val="SchwacheHervorhebung"/>
          <w:b w:val="0"/>
          <w:sz w:val="22"/>
        </w:rPr>
      </w:pPr>
    </w:p>
    <w:p w14:paraId="5E94D042" w14:textId="77777777" w:rsidR="00D5594A" w:rsidRPr="00197794" w:rsidRDefault="00D5594A" w:rsidP="00197794">
      <w:pPr>
        <w:spacing w:after="240" w:line="276" w:lineRule="auto"/>
        <w:jc w:val="both"/>
        <w:rPr>
          <w:rStyle w:val="SchwacheHervorhebung"/>
          <w:b w:val="0"/>
          <w:sz w:val="22"/>
        </w:rPr>
      </w:pPr>
    </w:p>
    <w:p w14:paraId="6A3CB046" w14:textId="77777777" w:rsidR="00210E59" w:rsidRPr="00210E59" w:rsidRDefault="00210E59" w:rsidP="00210E59">
      <w:pPr>
        <w:spacing w:after="120"/>
        <w:jc w:val="both"/>
        <w:rPr>
          <w:rStyle w:val="SchwacheHervorhebung"/>
          <w:sz w:val="22"/>
        </w:rPr>
      </w:pPr>
      <w:r w:rsidRPr="00210E59">
        <w:rPr>
          <w:rStyle w:val="SchwacheHervorhebung"/>
          <w:sz w:val="22"/>
        </w:rPr>
        <w:t>Publication of responses</w:t>
      </w:r>
    </w:p>
    <w:p w14:paraId="0B308639" w14:textId="77777777" w:rsidR="00197794" w:rsidRPr="00197794" w:rsidRDefault="00197794" w:rsidP="005F6BE3">
      <w:pPr>
        <w:jc w:val="both"/>
        <w:rPr>
          <w:sz w:val="22"/>
          <w:szCs w:val="22"/>
        </w:rPr>
      </w:pPr>
      <w:r w:rsidRPr="00197794">
        <w:rPr>
          <w:sz w:val="22"/>
          <w:szCs w:val="22"/>
        </w:rPr>
        <w:t>All contributions received will be published following the close of the consultation, unless you request otherwise in the respective field in the template for comments. A standard confidentiality statement in an email message will not be treated as a request for non-disclosure. A confidential response may be requested from us in accordance with ESAs rules on public access to documents. We may consult you if we receive such a request. Any decision we make not to disclose the response is reviewable by ESAs Board of Appeal and the European Ombudsman.</w:t>
      </w:r>
    </w:p>
    <w:p w14:paraId="0D1FEFE7" w14:textId="77777777" w:rsidR="00197794" w:rsidRDefault="00197794" w:rsidP="004E6AE4">
      <w:pPr>
        <w:rPr>
          <w:rStyle w:val="SchwacheHervorhebung"/>
          <w:sz w:val="22"/>
          <w:lang w:eastAsia="en-GB"/>
        </w:rPr>
      </w:pPr>
    </w:p>
    <w:p w14:paraId="3561D6A6" w14:textId="77777777" w:rsidR="00197794" w:rsidRDefault="00197794" w:rsidP="004E6AE4">
      <w:pPr>
        <w:rPr>
          <w:rStyle w:val="SchwacheHervorhebung"/>
          <w:sz w:val="22"/>
          <w:lang w:eastAsia="en-GB"/>
        </w:rPr>
      </w:pPr>
    </w:p>
    <w:p w14:paraId="6A3CB048" w14:textId="1D432EA9" w:rsidR="009A3017" w:rsidRPr="00E40A5C" w:rsidRDefault="009A3017" w:rsidP="004E6AE4">
      <w:pPr>
        <w:rPr>
          <w:rStyle w:val="SchwacheHervorhebung"/>
          <w:sz w:val="22"/>
          <w:lang w:eastAsia="en-GB"/>
        </w:rPr>
      </w:pPr>
      <w:r w:rsidRPr="00E40A5C">
        <w:rPr>
          <w:rStyle w:val="SchwacheHervorhebung"/>
          <w:sz w:val="22"/>
          <w:lang w:eastAsia="en-GB"/>
        </w:rPr>
        <w:t>Data protection</w:t>
      </w:r>
    </w:p>
    <w:p w14:paraId="56AA910E" w14:textId="77777777" w:rsidR="00197794" w:rsidRDefault="00197794" w:rsidP="00210E59">
      <w:pPr>
        <w:rPr>
          <w:sz w:val="22"/>
        </w:rPr>
      </w:pPr>
    </w:p>
    <w:p w14:paraId="5054EF54" w14:textId="656E48F9" w:rsidR="00197794" w:rsidRPr="00197794" w:rsidRDefault="00197794" w:rsidP="005F6BE3">
      <w:pPr>
        <w:jc w:val="both"/>
        <w:rPr>
          <w:rFonts w:cs="Arial"/>
          <w:sz w:val="24"/>
        </w:rPr>
      </w:pPr>
      <w:r w:rsidRPr="00197794">
        <w:rPr>
          <w:rFonts w:cs="Arial"/>
          <w:sz w:val="22"/>
        </w:rPr>
        <w:t>The protection of individuals with regard to the processing of personal data by the ESAs is based on Regulation (EU) 2018/1725</w:t>
      </w:r>
      <w:r w:rsidRPr="00197794">
        <w:rPr>
          <w:rStyle w:val="Funotenzeichen"/>
          <w:rFonts w:cs="Arial"/>
          <w:sz w:val="22"/>
        </w:rPr>
        <w:footnoteReference w:id="2"/>
      </w:r>
      <w:r w:rsidRPr="00197794">
        <w:rPr>
          <w:rFonts w:cs="Arial"/>
          <w:sz w:val="22"/>
        </w:rPr>
        <w:t xml:space="preserve">. Further information on data protection can be found under the </w:t>
      </w:r>
      <w:hyperlink r:id="rId20" w:history="1">
        <w:r w:rsidRPr="00197794">
          <w:rPr>
            <w:rStyle w:val="Hyperlink"/>
            <w:rFonts w:cs="Arial"/>
            <w:sz w:val="22"/>
          </w:rPr>
          <w:t>Legal notice</w:t>
        </w:r>
      </w:hyperlink>
      <w:r w:rsidRPr="00197794">
        <w:rPr>
          <w:rFonts w:cs="Arial"/>
          <w:sz w:val="22"/>
        </w:rPr>
        <w:t xml:space="preserve"> section of the EBA website and under the </w:t>
      </w:r>
      <w:hyperlink r:id="rId21" w:history="1">
        <w:r w:rsidRPr="00197794">
          <w:rPr>
            <w:rStyle w:val="Hyperlink"/>
            <w:rFonts w:cs="Arial"/>
            <w:sz w:val="22"/>
          </w:rPr>
          <w:t>Legal notice</w:t>
        </w:r>
      </w:hyperlink>
      <w:r w:rsidRPr="00197794">
        <w:rPr>
          <w:rFonts w:cs="Arial"/>
          <w:sz w:val="22"/>
        </w:rPr>
        <w:t xml:space="preserve"> section of the EIOPA website and under the </w:t>
      </w:r>
      <w:hyperlink r:id="rId22" w:history="1">
        <w:r w:rsidRPr="00197794">
          <w:rPr>
            <w:rStyle w:val="Hyperlink"/>
            <w:rFonts w:cs="Arial"/>
            <w:sz w:val="22"/>
          </w:rPr>
          <w:t>Legal notice</w:t>
        </w:r>
      </w:hyperlink>
      <w:r w:rsidRPr="00197794">
        <w:rPr>
          <w:rFonts w:cs="Arial"/>
          <w:sz w:val="22"/>
        </w:rPr>
        <w:t xml:space="preserve"> section of the ESMA website.</w:t>
      </w:r>
    </w:p>
    <w:p w14:paraId="6A3CB04A" w14:textId="77777777" w:rsidR="00210E59" w:rsidRDefault="00210E59" w:rsidP="009A3017">
      <w:pPr>
        <w:spacing w:after="120"/>
        <w:jc w:val="both"/>
        <w:rPr>
          <w:rStyle w:val="SchwacheHervorhebung"/>
          <w:sz w:val="22"/>
          <w:lang w:eastAsia="en-GB"/>
        </w:rPr>
      </w:pPr>
    </w:p>
    <w:bookmarkEnd w:id="0"/>
    <w:p w14:paraId="04AFE464" w14:textId="77777777" w:rsidR="002E4F86" w:rsidRPr="00EC1154" w:rsidRDefault="002E4F86" w:rsidP="00EC1154">
      <w:pPr>
        <w:rPr>
          <w:sz w:val="22"/>
        </w:rPr>
      </w:pPr>
    </w:p>
    <w:p w14:paraId="6A3CB04D" w14:textId="77777777" w:rsidR="00332304" w:rsidRDefault="00332304" w:rsidP="004E6AE4">
      <w:pPr>
        <w:rPr>
          <w:rFonts w:cs="Arial"/>
          <w:b/>
          <w:bCs/>
          <w:kern w:val="32"/>
          <w:sz w:val="24"/>
          <w:szCs w:val="32"/>
        </w:rPr>
      </w:pPr>
      <w:r>
        <w:br w:type="page"/>
      </w:r>
    </w:p>
    <w:p w14:paraId="6A3CB04E" w14:textId="77777777" w:rsidR="00B327E9" w:rsidRPr="00AB6D88" w:rsidRDefault="00B327E9" w:rsidP="00B327E9">
      <w:pPr>
        <w:pStyle w:val="berschrift1"/>
        <w:numPr>
          <w:ilvl w:val="0"/>
          <w:numId w:val="0"/>
        </w:numPr>
      </w:pPr>
      <w:r w:rsidRPr="00AB6D88">
        <w:lastRenderedPageBreak/>
        <w:t>General information about respondent</w:t>
      </w:r>
    </w:p>
    <w:p w14:paraId="6A3CB04F" w14:textId="77777777" w:rsidR="00B327E9" w:rsidRDefault="00B327E9" w:rsidP="00B327E9">
      <w:pPr>
        <w:spacing w:after="120" w:line="264" w:lineRule="auto"/>
      </w:pP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B327E9" w:rsidRPr="00AB6D88" w14:paraId="6A3CB052" w14:textId="77777777" w:rsidTr="00F136AD">
        <w:tc>
          <w:tcPr>
            <w:tcW w:w="3929" w:type="dxa"/>
            <w:shd w:val="clear" w:color="auto" w:fill="auto"/>
          </w:tcPr>
          <w:p w14:paraId="6A3CB050" w14:textId="77777777" w:rsidR="00B327E9" w:rsidRPr="00E40A5C" w:rsidRDefault="00B327E9" w:rsidP="00F136AD">
            <w:pPr>
              <w:rPr>
                <w:rFonts w:cs="Arial"/>
                <w:sz w:val="22"/>
              </w:rPr>
            </w:pPr>
            <w:permStart w:id="233722365" w:edGrp="everyone" w:colFirst="1" w:colLast="1"/>
            <w:r w:rsidRPr="00E40A5C">
              <w:rPr>
                <w:rFonts w:cs="Arial"/>
                <w:sz w:val="22"/>
              </w:rPr>
              <w:t>Name of the company / organisation</w:t>
            </w:r>
          </w:p>
        </w:tc>
        <w:sdt>
          <w:sdtPr>
            <w:rPr>
              <w:rStyle w:val="Platzhaltertext"/>
              <w:rFonts w:cs="Arial"/>
            </w:rPr>
            <w:id w:val="-1905066999"/>
            <w:text/>
          </w:sdtPr>
          <w:sdtEndPr>
            <w:rPr>
              <w:rStyle w:val="Platzhaltertext"/>
            </w:rPr>
          </w:sdtEndPr>
          <w:sdtContent>
            <w:tc>
              <w:tcPr>
                <w:tcW w:w="5595" w:type="dxa"/>
                <w:shd w:val="clear" w:color="auto" w:fill="auto"/>
              </w:tcPr>
              <w:p w14:paraId="6A3CB051" w14:textId="32806C0B" w:rsidR="00B327E9" w:rsidRPr="00AB6D88" w:rsidRDefault="004733D0" w:rsidP="004733D0">
                <w:pPr>
                  <w:rPr>
                    <w:rStyle w:val="Platzhaltertext"/>
                    <w:rFonts w:cs="Arial"/>
                  </w:rPr>
                </w:pPr>
                <w:proofErr w:type="spellStart"/>
                <w:r>
                  <w:rPr>
                    <w:rStyle w:val="Platzhaltertext"/>
                    <w:rFonts w:cs="Arial"/>
                  </w:rPr>
                  <w:t>Deutscher</w:t>
                </w:r>
                <w:proofErr w:type="spellEnd"/>
                <w:r>
                  <w:rPr>
                    <w:rStyle w:val="Platzhaltertext"/>
                    <w:rFonts w:cs="Arial"/>
                  </w:rPr>
                  <w:t xml:space="preserve"> Derivate </w:t>
                </w:r>
                <w:proofErr w:type="spellStart"/>
                <w:r>
                  <w:rPr>
                    <w:rStyle w:val="Platzhaltertext"/>
                    <w:rFonts w:cs="Arial"/>
                  </w:rPr>
                  <w:t>Verband</w:t>
                </w:r>
                <w:proofErr w:type="spellEnd"/>
              </w:p>
            </w:tc>
          </w:sdtContent>
        </w:sdt>
      </w:tr>
      <w:tr w:rsidR="00B327E9" w:rsidRPr="00AB6D88" w14:paraId="6A3CB055" w14:textId="77777777" w:rsidTr="00F136AD">
        <w:tc>
          <w:tcPr>
            <w:tcW w:w="3929" w:type="dxa"/>
            <w:shd w:val="clear" w:color="auto" w:fill="auto"/>
          </w:tcPr>
          <w:p w14:paraId="6A3CB053" w14:textId="77777777" w:rsidR="00B327E9" w:rsidRPr="00E40A5C" w:rsidRDefault="00B327E9" w:rsidP="00F136AD">
            <w:pPr>
              <w:rPr>
                <w:rFonts w:cs="Arial"/>
                <w:sz w:val="22"/>
              </w:rPr>
            </w:pPr>
            <w:permStart w:id="804592539" w:edGrp="everyone" w:colFirst="1" w:colLast="1"/>
            <w:permEnd w:id="233722365"/>
            <w:r w:rsidRPr="00E40A5C">
              <w:rPr>
                <w:rFonts w:cs="Arial"/>
                <w:sz w:val="22"/>
              </w:rPr>
              <w:t>Activity</w:t>
            </w:r>
          </w:p>
        </w:tc>
        <w:tc>
          <w:tcPr>
            <w:tcW w:w="5595" w:type="dxa"/>
            <w:shd w:val="clear" w:color="auto" w:fill="auto"/>
          </w:tcPr>
          <w:p w14:paraId="6A3CB054" w14:textId="1DDCFFD8" w:rsidR="00B327E9" w:rsidRPr="00AB6D88" w:rsidRDefault="002E7D29" w:rsidP="00F136AD">
            <w:pPr>
              <w:rPr>
                <w:rFonts w:cs="Arial"/>
              </w:rPr>
            </w:pPr>
            <w:sdt>
              <w:sdtPr>
                <w:rPr>
                  <w:rFonts w:cs="Arial"/>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4733D0">
                  <w:rPr>
                    <w:rFonts w:cs="Arial"/>
                  </w:rPr>
                  <w:t>Banking sector</w:t>
                </w:r>
              </w:sdtContent>
            </w:sdt>
          </w:p>
        </w:tc>
      </w:tr>
      <w:tr w:rsidR="00B327E9" w:rsidRPr="00AB6D88" w14:paraId="6A3CB058" w14:textId="77777777" w:rsidTr="00F136AD">
        <w:tc>
          <w:tcPr>
            <w:tcW w:w="3929" w:type="dxa"/>
            <w:shd w:val="clear" w:color="auto" w:fill="auto"/>
          </w:tcPr>
          <w:p w14:paraId="6A3CB056" w14:textId="77777777" w:rsidR="00B327E9" w:rsidRPr="00E40A5C" w:rsidRDefault="00B327E9" w:rsidP="00F136AD">
            <w:pPr>
              <w:rPr>
                <w:rFonts w:cs="Arial"/>
                <w:sz w:val="22"/>
              </w:rPr>
            </w:pPr>
            <w:permStart w:id="925831249" w:edGrp="everyone" w:colFirst="1" w:colLast="1"/>
            <w:permEnd w:id="804592539"/>
            <w:r w:rsidRPr="00E40A5C">
              <w:rPr>
                <w:rFonts w:cs="Arial"/>
                <w:sz w:val="22"/>
              </w:rPr>
              <w:t>Are you representing an association?</w:t>
            </w:r>
          </w:p>
        </w:tc>
        <w:sdt>
          <w:sdtPr>
            <w:rPr>
              <w:rFonts w:cs="Arial"/>
            </w:rPr>
            <w:id w:val="-242871467"/>
            <w14:checkbox>
              <w14:checked w14:val="1"/>
              <w14:checkedState w14:val="2612" w14:font="MS Gothic"/>
              <w14:uncheckedState w14:val="2610" w14:font="MS Gothic"/>
            </w14:checkbox>
          </w:sdtPr>
          <w:sdtEndPr/>
          <w:sdtContent>
            <w:tc>
              <w:tcPr>
                <w:tcW w:w="5595" w:type="dxa"/>
                <w:shd w:val="clear" w:color="auto" w:fill="auto"/>
              </w:tcPr>
              <w:p w14:paraId="6A3CB057" w14:textId="23B0D693" w:rsidR="00B327E9" w:rsidRPr="00AB6D88" w:rsidRDefault="004733D0" w:rsidP="00F136AD">
                <w:pPr>
                  <w:rPr>
                    <w:rFonts w:cs="Arial"/>
                  </w:rPr>
                </w:pPr>
                <w:r>
                  <w:rPr>
                    <w:rFonts w:ascii="MS Gothic" w:eastAsia="MS Gothic" w:hAnsi="MS Gothic" w:cs="Arial" w:hint="eastAsia"/>
                  </w:rPr>
                  <w:t>☒</w:t>
                </w:r>
              </w:p>
            </w:tc>
          </w:sdtContent>
        </w:sdt>
      </w:tr>
      <w:tr w:rsidR="00B327E9" w:rsidRPr="00AB6D88" w14:paraId="6A3CB05B" w14:textId="77777777" w:rsidTr="00F136AD">
        <w:tc>
          <w:tcPr>
            <w:tcW w:w="3929" w:type="dxa"/>
            <w:shd w:val="clear" w:color="auto" w:fill="auto"/>
          </w:tcPr>
          <w:p w14:paraId="6A3CB059" w14:textId="77777777" w:rsidR="00B327E9" w:rsidRPr="00E40A5C" w:rsidRDefault="00B327E9" w:rsidP="00F136AD">
            <w:pPr>
              <w:rPr>
                <w:rFonts w:cs="Arial"/>
                <w:sz w:val="22"/>
              </w:rPr>
            </w:pPr>
            <w:permStart w:id="1842894382" w:edGrp="everyone" w:colFirst="1" w:colLast="1"/>
            <w:permEnd w:id="925831249"/>
            <w:r w:rsidRPr="00E40A5C">
              <w:rPr>
                <w:rFonts w:cs="Arial"/>
                <w:sz w:val="22"/>
              </w:rPr>
              <w:t>Country/Region</w:t>
            </w:r>
          </w:p>
        </w:tc>
        <w:sdt>
          <w:sdtPr>
            <w:rPr>
              <w:rFonts w:cs="Arial"/>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6A3CB05A" w14:textId="16D37D5E" w:rsidR="00B327E9" w:rsidRPr="00AB6D88" w:rsidRDefault="004733D0" w:rsidP="00F136AD">
                <w:pPr>
                  <w:rPr>
                    <w:rFonts w:cs="Arial"/>
                  </w:rPr>
                </w:pPr>
                <w:r>
                  <w:rPr>
                    <w:rFonts w:cs="Arial"/>
                  </w:rPr>
                  <w:t>Germany</w:t>
                </w:r>
              </w:p>
            </w:tc>
          </w:sdtContent>
        </w:sdt>
      </w:tr>
      <w:permEnd w:id="1842894382"/>
    </w:tbl>
    <w:p w14:paraId="6A3CB05C" w14:textId="77777777" w:rsidR="00B327E9" w:rsidRDefault="00B327E9" w:rsidP="00B327E9">
      <w:pPr>
        <w:spacing w:after="120" w:line="264" w:lineRule="auto"/>
      </w:pPr>
    </w:p>
    <w:p w14:paraId="6A3CB05D" w14:textId="77777777" w:rsidR="00B327E9" w:rsidRDefault="00B327E9" w:rsidP="00B327E9">
      <w:pPr>
        <w:pStyle w:val="berschrift1"/>
        <w:numPr>
          <w:ilvl w:val="0"/>
          <w:numId w:val="0"/>
        </w:numPr>
        <w:ind w:left="431" w:hanging="431"/>
      </w:pPr>
      <w:r>
        <w:t>Introduction</w:t>
      </w:r>
    </w:p>
    <w:p w14:paraId="6A3CB05E" w14:textId="77777777" w:rsidR="00B327E9" w:rsidRPr="00E40A5C" w:rsidRDefault="00B327E9" w:rsidP="00B327E9">
      <w:pPr>
        <w:rPr>
          <w:rStyle w:val="IntensiveHervorhebung"/>
          <w:sz w:val="22"/>
        </w:rPr>
      </w:pPr>
      <w:r w:rsidRPr="00E40A5C">
        <w:rPr>
          <w:rStyle w:val="IntensiveHervorhebung"/>
          <w:sz w:val="22"/>
        </w:rPr>
        <w:t>Please make your introductory comments below, if any:</w:t>
      </w:r>
    </w:p>
    <w:p w14:paraId="6A3CB05F" w14:textId="77777777" w:rsidR="00B327E9" w:rsidRPr="00BF28DA" w:rsidRDefault="00B327E9" w:rsidP="00B327E9"/>
    <w:p w14:paraId="6A3CB060" w14:textId="7504F70A" w:rsidR="00B327E9" w:rsidRPr="006F4535" w:rsidRDefault="00B327E9" w:rsidP="00B327E9">
      <w:r w:rsidRPr="006F4535">
        <w:t>&lt;ESA_COMMENT_</w:t>
      </w:r>
      <w:r w:rsidR="00C86E1C">
        <w:rPr>
          <w:rStyle w:val="SchwacheHervorhebung"/>
          <w:b w:val="0"/>
          <w:sz w:val="22"/>
        </w:rPr>
        <w:t>ESG</w:t>
      </w:r>
      <w:r w:rsidRPr="006F4535">
        <w:t>_1&gt;</w:t>
      </w:r>
    </w:p>
    <w:p w14:paraId="6D7C589B" w14:textId="77777777" w:rsidR="004733D0" w:rsidRDefault="004733D0" w:rsidP="004733D0">
      <w:pPr>
        <w:autoSpaceDE w:val="0"/>
        <w:autoSpaceDN w:val="0"/>
        <w:adjustRightInd w:val="0"/>
        <w:rPr>
          <w:bCs/>
        </w:rPr>
      </w:pPr>
      <w:permStart w:id="411981036" w:edGrp="everyone"/>
    </w:p>
    <w:p w14:paraId="7D3DD01D" w14:textId="42450923" w:rsidR="004733D0" w:rsidRPr="00C157BF" w:rsidRDefault="004733D0" w:rsidP="004733D0">
      <w:pPr>
        <w:autoSpaceDE w:val="0"/>
        <w:autoSpaceDN w:val="0"/>
        <w:adjustRightInd w:val="0"/>
        <w:rPr>
          <w:bCs/>
        </w:rPr>
      </w:pPr>
      <w:r w:rsidRPr="00C157BF">
        <w:rPr>
          <w:bCs/>
        </w:rPr>
        <w:t>The DDV welcomes the opportunity to respond</w:t>
      </w:r>
      <w:r w:rsidRPr="00C157BF">
        <w:rPr>
          <w:rFonts w:ascii="Calibri" w:hAnsi="Calibri" w:cs="Calibri"/>
        </w:rPr>
        <w:t xml:space="preserve"> to the ESAs’ Joint Consultation Paper “</w:t>
      </w:r>
      <w:r w:rsidRPr="00C157BF">
        <w:t>Taxonomy</w:t>
      </w:r>
      <w:r w:rsidRPr="00C157BF">
        <w:rPr>
          <w:rFonts w:ascii="Calibri" w:hAnsi="Calibri" w:cs="Calibri"/>
        </w:rPr>
        <w:t xml:space="preserve">-related sustainability disclosures - Draft regulatory technical standards with regard to the </w:t>
      </w:r>
      <w:r w:rsidRPr="00C157BF">
        <w:t>content</w:t>
      </w:r>
      <w:r w:rsidRPr="00C157BF">
        <w:rPr>
          <w:rFonts w:ascii="Calibri" w:hAnsi="Calibri" w:cs="Calibri"/>
        </w:rPr>
        <w:t xml:space="preserve"> and presentation of sustainability disclosures pursuant to Article 8(4), 9(6) and 11(5) of Regulation (EU) 2019/2088”</w:t>
      </w:r>
      <w:r w:rsidRPr="00C157BF">
        <w:rPr>
          <w:bCs/>
        </w:rPr>
        <w:t xml:space="preserve">. </w:t>
      </w:r>
    </w:p>
    <w:p w14:paraId="4765EA29" w14:textId="77777777" w:rsidR="004733D0" w:rsidRPr="00C157BF" w:rsidRDefault="004733D0" w:rsidP="004733D0">
      <w:pPr>
        <w:autoSpaceDE w:val="0"/>
        <w:autoSpaceDN w:val="0"/>
        <w:adjustRightInd w:val="0"/>
      </w:pPr>
    </w:p>
    <w:p w14:paraId="2BD50A07" w14:textId="77777777" w:rsidR="004733D0" w:rsidRPr="00C157BF" w:rsidRDefault="004733D0" w:rsidP="004733D0">
      <w:r w:rsidRPr="00C157BF">
        <w:t xml:space="preserve">The DDV recognises that the alignment of the real economy towards sustainability is one of the most important and demanding challenges of </w:t>
      </w:r>
      <w:proofErr w:type="gramStart"/>
      <w:r w:rsidRPr="00C157BF">
        <w:t>today’s</w:t>
      </w:r>
      <w:proofErr w:type="gramEnd"/>
      <w:r w:rsidRPr="00C157BF">
        <w:t xml:space="preserve"> global society. The members of the DDV are willing to contribute to this objective and have been actively involved in standard setting for sustainable structured investment products </w:t>
      </w:r>
      <w:r w:rsidRPr="00C157BF">
        <w:rPr>
          <w:rFonts w:cstheme="minorHAnsi"/>
          <w:color w:val="000000" w:themeColor="text1"/>
        </w:rPr>
        <w:t>(SSIPs)</w:t>
      </w:r>
      <w:r w:rsidRPr="00C157BF">
        <w:t xml:space="preserve"> for almost two years. In this context, the DDV published its Sustainable Finance Code of Conduct in April 2021, which members will have to comply with when marketing their structured products as sustainable. Even though the DDV is of the opinion that financial legislation on its own will not be sufficient to realise the full potential of the sustainable finance agenda, </w:t>
      </w:r>
      <w:r w:rsidRPr="00C157BF">
        <w:rPr>
          <w:rFonts w:cstheme="minorHAnsi"/>
          <w:color w:val="000000" w:themeColor="text1"/>
        </w:rPr>
        <w:t>disclosure</w:t>
      </w:r>
      <w:r w:rsidRPr="00C157BF">
        <w:t xml:space="preserve"> on sustainable financial products is definitely an important step that can be taken to encourage retail investors to become engaged in a meaningful way.</w:t>
      </w:r>
    </w:p>
    <w:p w14:paraId="26EE6DEF" w14:textId="77777777" w:rsidR="004733D0" w:rsidRPr="00C157BF" w:rsidRDefault="004733D0" w:rsidP="004733D0">
      <w:pPr>
        <w:autoSpaceDE w:val="0"/>
        <w:autoSpaceDN w:val="0"/>
        <w:adjustRightInd w:val="0"/>
        <w:rPr>
          <w:rFonts w:cstheme="minorHAnsi"/>
        </w:rPr>
      </w:pPr>
    </w:p>
    <w:p w14:paraId="23FC36ED" w14:textId="77777777" w:rsidR="004733D0" w:rsidRPr="00C157BF" w:rsidRDefault="004733D0" w:rsidP="004733D0">
      <w:pPr>
        <w:rPr>
          <w:rFonts w:cstheme="minorHAnsi"/>
        </w:rPr>
      </w:pPr>
      <w:r w:rsidRPr="00C157BF">
        <w:rPr>
          <w:rFonts w:cstheme="minorHAnsi"/>
        </w:rPr>
        <w:t xml:space="preserve">To this end, only a comprehensive and well-balanced set of sustainability disclosures encompassing </w:t>
      </w:r>
      <w:r w:rsidRPr="00C157BF">
        <w:rPr>
          <w:rFonts w:cstheme="minorHAnsi"/>
          <w:u w:val="single"/>
        </w:rPr>
        <w:t>the full range of financial instruments as defined in MiFID II,</w:t>
      </w:r>
      <w:r w:rsidRPr="00C157BF">
        <w:rPr>
          <w:rFonts w:cstheme="minorHAnsi"/>
        </w:rPr>
        <w:t xml:space="preserve"> while taking into account its respective specificities, will serve both investors´ needs and the overarching goal of reorienting private capital flows towards a more sustainable economy. The Level 1 text of the SFDR with its limitation to “financial products” instead of “financial instruments” does not meet this objective. On this issue, we reiterate our concerns that we previously expressed in our response to </w:t>
      </w:r>
      <w:r w:rsidRPr="00C157BF">
        <w:rPr>
          <w:rFonts w:cstheme="minorHAnsi"/>
          <w:color w:val="000000" w:themeColor="text1"/>
        </w:rPr>
        <w:t>the Joint Consultation Paper of the ESAs of 23 April 2020 (JC2020) (see DDV statement of September 2020).</w:t>
      </w:r>
    </w:p>
    <w:p w14:paraId="43157EFD" w14:textId="77777777" w:rsidR="004733D0" w:rsidRDefault="004733D0" w:rsidP="004733D0">
      <w:pPr>
        <w:rPr>
          <w:rFonts w:cstheme="minorHAnsi"/>
          <w:color w:val="000000" w:themeColor="text1"/>
        </w:rPr>
      </w:pPr>
      <w:r w:rsidRPr="00C157BF">
        <w:rPr>
          <w:rFonts w:cstheme="minorHAnsi"/>
          <w:color w:val="000000" w:themeColor="text1"/>
        </w:rPr>
        <w:t>With respect to the current consultation, we would like to confine our comments to Question 4, which is of fundamental importance for the marketability of sustainable structured investment products including a derivative component.</w:t>
      </w:r>
    </w:p>
    <w:p w14:paraId="1DD3F86B" w14:textId="356371E7" w:rsidR="004733D0" w:rsidRPr="00C157BF" w:rsidRDefault="004733D0" w:rsidP="004733D0">
      <w:pPr>
        <w:rPr>
          <w:rFonts w:cstheme="minorHAnsi"/>
          <w:color w:val="000000" w:themeColor="text1"/>
        </w:rPr>
      </w:pPr>
      <w:r w:rsidRPr="00C157BF">
        <w:rPr>
          <w:rFonts w:cstheme="minorHAnsi"/>
          <w:color w:val="000000" w:themeColor="text1"/>
        </w:rPr>
        <w:t xml:space="preserve"> </w:t>
      </w:r>
    </w:p>
    <w:permEnd w:id="411981036"/>
    <w:p w14:paraId="6A3CB062" w14:textId="67968787" w:rsidR="00B327E9" w:rsidRPr="00BF28DA" w:rsidRDefault="00B327E9" w:rsidP="00B327E9">
      <w:r w:rsidRPr="00BF28DA">
        <w:t>&lt;ESA_COMMENT_</w:t>
      </w:r>
      <w:r w:rsidR="00C86E1C">
        <w:rPr>
          <w:rStyle w:val="SchwacheHervorhebung"/>
          <w:b w:val="0"/>
          <w:sz w:val="22"/>
        </w:rPr>
        <w:t>ESG</w:t>
      </w:r>
      <w:r w:rsidR="000A58BE">
        <w:t>_</w:t>
      </w:r>
      <w:r w:rsidRPr="00BF28DA">
        <w:t>1&gt;</w:t>
      </w:r>
    </w:p>
    <w:p w14:paraId="6A3CB063" w14:textId="77777777" w:rsidR="00F31E57" w:rsidRPr="00BF28DA" w:rsidRDefault="00F31E57" w:rsidP="00D34282"/>
    <w:p w14:paraId="741317CF" w14:textId="3418CC97" w:rsidR="003E573C" w:rsidRDefault="00F31E57" w:rsidP="007118EB">
      <w:pPr>
        <w:pStyle w:val="Questionstyle"/>
      </w:pPr>
      <w:r w:rsidRPr="0075015C">
        <w:br w:type="page"/>
      </w:r>
      <w:r w:rsidR="003E573C">
        <w:lastRenderedPageBreak/>
        <w:t xml:space="preserve">: </w:t>
      </w:r>
      <w:r w:rsidR="001969F6" w:rsidRPr="001969F6">
        <w:t>Do you have any views regarding the ESAs’ proposed approach to amend the existing SFDR RTS instead of drafting a new set of draft RTS?</w:t>
      </w:r>
    </w:p>
    <w:p w14:paraId="1B855191" w14:textId="113C394D" w:rsidR="003E573C" w:rsidRDefault="003E573C" w:rsidP="003E573C">
      <w:pPr>
        <w:rPr>
          <w:rFonts w:cs="Arial"/>
        </w:rPr>
      </w:pPr>
      <w:r>
        <w:rPr>
          <w:rFonts w:cs="Arial"/>
        </w:rPr>
        <w:t>&lt;ESA_QUESTION_</w:t>
      </w:r>
      <w:r w:rsidR="00C86E1C">
        <w:rPr>
          <w:rFonts w:cs="Arial"/>
        </w:rPr>
        <w:t>ESG</w:t>
      </w:r>
      <w:r>
        <w:rPr>
          <w:rFonts w:cs="Arial"/>
        </w:rPr>
        <w:t>_1&gt;</w:t>
      </w:r>
    </w:p>
    <w:p w14:paraId="6496FAC5" w14:textId="77777777" w:rsidR="003E573C" w:rsidRDefault="003E573C" w:rsidP="003E573C">
      <w:pPr>
        <w:rPr>
          <w:rFonts w:cs="Arial"/>
        </w:rPr>
      </w:pPr>
      <w:permStart w:id="1221819945" w:edGrp="everyone"/>
      <w:r>
        <w:rPr>
          <w:rFonts w:cs="Arial"/>
        </w:rPr>
        <w:t>TYPE YOUR TEXT HERE</w:t>
      </w:r>
    </w:p>
    <w:permEnd w:id="1221819945"/>
    <w:p w14:paraId="0F1F4245" w14:textId="105822F6" w:rsidR="003E573C" w:rsidRDefault="003E573C" w:rsidP="003E573C">
      <w:pPr>
        <w:rPr>
          <w:rFonts w:cs="Arial"/>
        </w:rPr>
      </w:pPr>
      <w:r>
        <w:rPr>
          <w:rFonts w:cs="Arial"/>
        </w:rPr>
        <w:t>&lt;ESA_QUESTION_</w:t>
      </w:r>
      <w:r w:rsidR="00C86E1C">
        <w:rPr>
          <w:rFonts w:cs="Arial"/>
        </w:rPr>
        <w:t>ESG</w:t>
      </w:r>
      <w:r>
        <w:rPr>
          <w:rFonts w:cs="Arial"/>
        </w:rPr>
        <w:t>_1&gt;</w:t>
      </w:r>
    </w:p>
    <w:p w14:paraId="3D3DF75B" w14:textId="77777777" w:rsidR="003E573C" w:rsidRDefault="003E573C" w:rsidP="003E573C">
      <w:pPr>
        <w:rPr>
          <w:rFonts w:cs="Arial"/>
        </w:rPr>
      </w:pPr>
    </w:p>
    <w:p w14:paraId="0D4730EF" w14:textId="5CDEC866" w:rsidR="003E573C" w:rsidRDefault="003E573C" w:rsidP="007118EB">
      <w:pPr>
        <w:pStyle w:val="Questionstyle"/>
      </w:pPr>
      <w:r>
        <w:t xml:space="preserve">: </w:t>
      </w:r>
      <w:r w:rsidR="001969F6" w:rsidRPr="001969F6">
        <w:t>Do you have any views on the KPI for the disclosure of the extent to which investments are aligned with the taxonomy, which is based on the share of the taxonomy-aligned turnover, capital expenditure or operational expenditure of all underlying non-financial investee companies? Do you agree with that the same approach should apply to all investments made by a given financial product?</w:t>
      </w:r>
    </w:p>
    <w:p w14:paraId="7F2CF040" w14:textId="1F02EDCD" w:rsidR="003E573C" w:rsidRDefault="003E573C" w:rsidP="003E573C">
      <w:pPr>
        <w:rPr>
          <w:rFonts w:cs="Arial"/>
        </w:rPr>
      </w:pPr>
      <w:r>
        <w:rPr>
          <w:rFonts w:cs="Arial"/>
        </w:rPr>
        <w:t>&lt;ESA_QUESTION_</w:t>
      </w:r>
      <w:r w:rsidR="00C86E1C">
        <w:rPr>
          <w:rFonts w:cs="Arial"/>
        </w:rPr>
        <w:t>ESG</w:t>
      </w:r>
      <w:r>
        <w:rPr>
          <w:rFonts w:cs="Arial"/>
        </w:rPr>
        <w:t>_2&gt;</w:t>
      </w:r>
    </w:p>
    <w:p w14:paraId="7A09C6A0" w14:textId="77777777" w:rsidR="003E573C" w:rsidRDefault="003E573C" w:rsidP="003E573C">
      <w:pPr>
        <w:rPr>
          <w:rFonts w:cs="Arial"/>
        </w:rPr>
      </w:pPr>
      <w:permStart w:id="729947415" w:edGrp="everyone"/>
      <w:r>
        <w:rPr>
          <w:rFonts w:cs="Arial"/>
        </w:rPr>
        <w:t>TYPE YOUR TEXT HERE</w:t>
      </w:r>
    </w:p>
    <w:permEnd w:id="729947415"/>
    <w:p w14:paraId="6415E03C" w14:textId="45BB9ACC" w:rsidR="003E573C" w:rsidRDefault="003E573C" w:rsidP="003E573C">
      <w:pPr>
        <w:rPr>
          <w:rFonts w:cs="Arial"/>
        </w:rPr>
      </w:pPr>
      <w:r>
        <w:rPr>
          <w:rFonts w:cs="Arial"/>
        </w:rPr>
        <w:t>&lt;ESA_QUESTION_</w:t>
      </w:r>
      <w:r w:rsidR="00C86E1C">
        <w:rPr>
          <w:rFonts w:cs="Arial"/>
        </w:rPr>
        <w:t>ESG</w:t>
      </w:r>
      <w:r>
        <w:rPr>
          <w:rFonts w:cs="Arial"/>
        </w:rPr>
        <w:t>_2&gt;</w:t>
      </w:r>
    </w:p>
    <w:p w14:paraId="36483E3B" w14:textId="77777777" w:rsidR="003E573C" w:rsidRDefault="003E573C" w:rsidP="003E573C">
      <w:pPr>
        <w:rPr>
          <w:rFonts w:cs="Arial"/>
        </w:rPr>
      </w:pPr>
    </w:p>
    <w:p w14:paraId="0C882E82" w14:textId="50B7F361" w:rsidR="003E573C" w:rsidRDefault="003E573C" w:rsidP="007118EB">
      <w:pPr>
        <w:pStyle w:val="Questionstyle"/>
      </w:pPr>
      <w:r>
        <w:t xml:space="preserve">: </w:t>
      </w:r>
      <w:r w:rsidR="001969F6" w:rsidRPr="001969F6">
        <w:t>Do you have any views on the benefits and drawbacks of including specifically operational expenditure of underlying non-financial investee companies as one of the possible ways to calculate the KPI referred to in question 2?</w:t>
      </w:r>
    </w:p>
    <w:p w14:paraId="5F6CF93B" w14:textId="11E86FB0" w:rsidR="003E573C" w:rsidRDefault="003E573C" w:rsidP="003E573C">
      <w:pPr>
        <w:rPr>
          <w:rFonts w:cs="Arial"/>
        </w:rPr>
      </w:pPr>
      <w:r>
        <w:rPr>
          <w:rFonts w:cs="Arial"/>
        </w:rPr>
        <w:t>&lt;ESA_QUESTION_</w:t>
      </w:r>
      <w:r w:rsidR="00C86E1C">
        <w:rPr>
          <w:rFonts w:cs="Arial"/>
        </w:rPr>
        <w:t>ESG</w:t>
      </w:r>
      <w:r>
        <w:rPr>
          <w:rFonts w:cs="Arial"/>
        </w:rPr>
        <w:t>_3&gt;</w:t>
      </w:r>
    </w:p>
    <w:p w14:paraId="72A23BA0" w14:textId="77777777" w:rsidR="003E573C" w:rsidRDefault="003E573C" w:rsidP="003E573C">
      <w:pPr>
        <w:rPr>
          <w:rFonts w:cs="Arial"/>
        </w:rPr>
      </w:pPr>
      <w:permStart w:id="677205538" w:edGrp="everyone"/>
      <w:r>
        <w:rPr>
          <w:rFonts w:cs="Arial"/>
        </w:rPr>
        <w:t>TYPE YOUR TEXT HERE</w:t>
      </w:r>
    </w:p>
    <w:permEnd w:id="677205538"/>
    <w:p w14:paraId="54D6583E" w14:textId="3F05E884" w:rsidR="003E573C" w:rsidRDefault="003E573C" w:rsidP="003E573C">
      <w:pPr>
        <w:rPr>
          <w:rFonts w:cs="Arial"/>
        </w:rPr>
      </w:pPr>
      <w:r>
        <w:rPr>
          <w:rFonts w:cs="Arial"/>
        </w:rPr>
        <w:t>&lt;ESA_QUESTION_</w:t>
      </w:r>
      <w:r w:rsidR="00C86E1C">
        <w:rPr>
          <w:rFonts w:cs="Arial"/>
        </w:rPr>
        <w:t>ESG</w:t>
      </w:r>
      <w:r>
        <w:rPr>
          <w:rFonts w:cs="Arial"/>
        </w:rPr>
        <w:t>_3&gt;</w:t>
      </w:r>
    </w:p>
    <w:p w14:paraId="3E042AC0" w14:textId="77777777" w:rsidR="003E573C" w:rsidRDefault="003E573C" w:rsidP="003E573C">
      <w:pPr>
        <w:rPr>
          <w:rFonts w:cs="Arial"/>
        </w:rPr>
      </w:pPr>
    </w:p>
    <w:p w14:paraId="40E8D4A0" w14:textId="1064B109" w:rsidR="003E573C" w:rsidRDefault="003E573C" w:rsidP="007118EB">
      <w:pPr>
        <w:pStyle w:val="Questionstyle"/>
      </w:pPr>
      <w:r>
        <w:t xml:space="preserve">: </w:t>
      </w:r>
      <w:r w:rsidR="001969F6" w:rsidRPr="001969F6">
        <w:t>The proposed KPI includes equity and debt instruments issued by financial and non-financial undertakings and real estate assets, do you agree that this could also be extended to derivatives such as contracts for differences?</w:t>
      </w:r>
    </w:p>
    <w:p w14:paraId="3F31E5E7" w14:textId="3F49B1BC" w:rsidR="003E573C" w:rsidRDefault="003E573C" w:rsidP="003E573C">
      <w:pPr>
        <w:rPr>
          <w:rFonts w:cs="Arial"/>
        </w:rPr>
      </w:pPr>
      <w:r>
        <w:rPr>
          <w:rFonts w:cs="Arial"/>
        </w:rPr>
        <w:t>&lt;ESA_QUESTION_</w:t>
      </w:r>
      <w:r w:rsidR="00C86E1C">
        <w:rPr>
          <w:rFonts w:cs="Arial"/>
        </w:rPr>
        <w:t>ESG</w:t>
      </w:r>
      <w:r>
        <w:rPr>
          <w:rFonts w:cs="Arial"/>
        </w:rPr>
        <w:t>_4&gt;</w:t>
      </w:r>
    </w:p>
    <w:p w14:paraId="311E9D06" w14:textId="77777777" w:rsidR="002E7D29" w:rsidRPr="00C157BF" w:rsidRDefault="002E7D29" w:rsidP="002E7D29">
      <w:pPr>
        <w:rPr>
          <w:rFonts w:cstheme="minorHAnsi"/>
          <w:color w:val="000000" w:themeColor="text1"/>
        </w:rPr>
      </w:pPr>
      <w:permStart w:id="1220688604" w:edGrp="everyone"/>
      <w:r w:rsidRPr="00C157BF">
        <w:rPr>
          <w:rFonts w:cstheme="minorHAnsi"/>
          <w:color w:val="000000" w:themeColor="text1"/>
        </w:rPr>
        <w:t>We strongly support the inclusion of sustainable structured products and their derivative component in the KPI (share of taxonomy-compliant investments of a financial product) and its graphical representation.</w:t>
      </w:r>
    </w:p>
    <w:p w14:paraId="7E7AAE91" w14:textId="77777777" w:rsidR="002E7D29" w:rsidRPr="00C157BF" w:rsidRDefault="002E7D29" w:rsidP="002E7D29">
      <w:pPr>
        <w:rPr>
          <w:rFonts w:cstheme="minorHAnsi"/>
          <w:b/>
          <w:color w:val="000000" w:themeColor="text1"/>
        </w:rPr>
      </w:pPr>
      <w:r w:rsidRPr="00C157BF">
        <w:rPr>
          <w:rFonts w:cstheme="minorHAnsi"/>
          <w:b/>
          <w:color w:val="000000" w:themeColor="text1"/>
        </w:rPr>
        <w:t>Recital 31 of the draft RTS gives clear direction</w:t>
      </w:r>
    </w:p>
    <w:p w14:paraId="4387E424" w14:textId="77777777" w:rsidR="002E7D29" w:rsidRPr="00C157BF" w:rsidRDefault="002E7D29" w:rsidP="002E7D29">
      <w:pPr>
        <w:ind w:left="360"/>
        <w:rPr>
          <w:rFonts w:cstheme="minorHAnsi"/>
          <w:color w:val="000000" w:themeColor="text1"/>
        </w:rPr>
      </w:pPr>
      <w:r w:rsidRPr="00C157BF">
        <w:rPr>
          <w:rFonts w:cstheme="minorHAnsi"/>
          <w:color w:val="000000" w:themeColor="text1"/>
        </w:rPr>
        <w:t xml:space="preserve">The ESAs have already stated in </w:t>
      </w:r>
      <w:r w:rsidRPr="00C157BF">
        <w:rPr>
          <w:rFonts w:cstheme="minorHAnsi"/>
          <w:b/>
          <w:color w:val="000000" w:themeColor="text1"/>
        </w:rPr>
        <w:t>Recital 31</w:t>
      </w:r>
      <w:r w:rsidRPr="00C157BF">
        <w:t xml:space="preserve"> </w:t>
      </w:r>
      <w:r w:rsidRPr="00C157BF">
        <w:rPr>
          <w:rFonts w:cstheme="minorHAnsi"/>
          <w:color w:val="000000" w:themeColor="text1"/>
        </w:rPr>
        <w:t xml:space="preserve">of the draft RTS that indirect investments in securities issued by investee companies </w:t>
      </w:r>
      <w:proofErr w:type="gramStart"/>
      <w:r w:rsidRPr="00C157BF">
        <w:rPr>
          <w:rFonts w:cstheme="minorHAnsi"/>
          <w:color w:val="000000" w:themeColor="text1"/>
        </w:rPr>
        <w:t>can also be used</w:t>
      </w:r>
      <w:proofErr w:type="gramEnd"/>
      <w:r w:rsidRPr="00C157BF">
        <w:rPr>
          <w:rFonts w:cstheme="minorHAnsi"/>
          <w:color w:val="000000" w:themeColor="text1"/>
        </w:rPr>
        <w:t xml:space="preserve"> to justify the attainment of environmental or social characteristics or a sustainable investment objective. These indirect investments - as the ESAs explicitly clarify in Recital 31 - also include derivatives. This view is also reflected in Article 16(1</w:t>
      </w:r>
      <w:proofErr w:type="gramStart"/>
      <w:r w:rsidRPr="00C157BF">
        <w:rPr>
          <w:rFonts w:cstheme="minorHAnsi"/>
          <w:color w:val="000000" w:themeColor="text1"/>
        </w:rPr>
        <w:t>)(</w:t>
      </w:r>
      <w:proofErr w:type="gramEnd"/>
      <w:r w:rsidRPr="00C157BF">
        <w:rPr>
          <w:rFonts w:cstheme="minorHAnsi"/>
          <w:color w:val="000000" w:themeColor="text1"/>
        </w:rPr>
        <w:t>c) and Article 23(1)(b) of the draft RTS.</w:t>
      </w:r>
    </w:p>
    <w:p w14:paraId="4F480F78" w14:textId="77777777" w:rsidR="002E7D29" w:rsidRPr="00C157BF" w:rsidRDefault="002E7D29" w:rsidP="002E7D29">
      <w:pPr>
        <w:ind w:left="360"/>
        <w:rPr>
          <w:rFonts w:cstheme="minorHAnsi"/>
          <w:color w:val="000000" w:themeColor="text1"/>
        </w:rPr>
      </w:pPr>
    </w:p>
    <w:p w14:paraId="1A8658FF" w14:textId="77777777" w:rsidR="002E7D29" w:rsidRPr="00C157BF" w:rsidRDefault="002E7D29" w:rsidP="002E7D29">
      <w:pPr>
        <w:pStyle w:val="Listenabsatz"/>
        <w:numPr>
          <w:ilvl w:val="0"/>
          <w:numId w:val="41"/>
        </w:numPr>
        <w:spacing w:after="160" w:line="259" w:lineRule="auto"/>
        <w:rPr>
          <w:rFonts w:cstheme="minorHAnsi"/>
          <w:b/>
          <w:color w:val="000000" w:themeColor="text1"/>
        </w:rPr>
      </w:pPr>
      <w:r w:rsidRPr="00C157BF">
        <w:rPr>
          <w:rFonts w:cstheme="minorHAnsi"/>
          <w:b/>
          <w:color w:val="000000" w:themeColor="text1"/>
        </w:rPr>
        <w:t xml:space="preserve">Derivatives encompassed by the EBA´s Advice on Article 8 of the Taxonomy Regulation </w:t>
      </w:r>
    </w:p>
    <w:p w14:paraId="2F10DF6B" w14:textId="0C780540" w:rsidR="002E7D29" w:rsidRDefault="002E7D29" w:rsidP="002E7D29">
      <w:pPr>
        <w:ind w:left="360"/>
        <w:rPr>
          <w:color w:val="000000" w:themeColor="text1"/>
          <w:sz w:val="22"/>
          <w:szCs w:val="22"/>
        </w:rPr>
      </w:pPr>
      <w:r w:rsidRPr="00C157BF">
        <w:rPr>
          <w:rFonts w:cstheme="minorHAnsi"/>
          <w:color w:val="000000" w:themeColor="text1"/>
        </w:rPr>
        <w:t xml:space="preserve">The ESAs` approach </w:t>
      </w:r>
      <w:proofErr w:type="gramStart"/>
      <w:r w:rsidRPr="00C157BF">
        <w:rPr>
          <w:rFonts w:cstheme="minorHAnsi"/>
          <w:color w:val="000000" w:themeColor="text1"/>
        </w:rPr>
        <w:t>has recently been underpinned</w:t>
      </w:r>
      <w:proofErr w:type="gramEnd"/>
      <w:r w:rsidRPr="00C157BF">
        <w:rPr>
          <w:rFonts w:cstheme="minorHAnsi"/>
          <w:color w:val="000000" w:themeColor="text1"/>
        </w:rPr>
        <w:t xml:space="preserve"> by the EBA's Advice to the Commission on Article 8 of the Taxonomy Regulation (EBA/Rep/2021/03). The EBA recommends including not only spot market holdings, but also derivatives held in the trading book of an investment firm (being one component of its green asset ratio (GAR)) (cf., EBA's Advice to the Commission on Article 8 of the Taxonomy Regulation, paragraphs 215, 217, and 226). Evidently, the EBA ascribes the same market impact to the acquisition of an equity/debt derivative as to the direct acquisition of the underlying equity or debt instrument on the spot market. </w:t>
      </w:r>
      <w:proofErr w:type="gramStart"/>
      <w:r w:rsidRPr="00C157BF">
        <w:rPr>
          <w:rFonts w:cstheme="minorHAnsi"/>
          <w:color w:val="000000" w:themeColor="text1"/>
        </w:rPr>
        <w:t>This is also in line with the findings of numerous academic studies analysing the fundamental linkages between spot and derivative markets</w:t>
      </w:r>
      <w:r>
        <w:rPr>
          <w:rFonts w:cstheme="minorHAnsi"/>
          <w:color w:val="000000" w:themeColor="text1"/>
        </w:rPr>
        <w:t xml:space="preserve"> (for further reference see for example </w:t>
      </w:r>
      <w:r w:rsidRPr="00B6000F">
        <w:rPr>
          <w:color w:val="000000" w:themeColor="text1"/>
          <w:sz w:val="22"/>
          <w:szCs w:val="22"/>
        </w:rPr>
        <w:t xml:space="preserve">Deutsche Bundesbank, Derivatives and their feedback effects on the spot markets, </w:t>
      </w:r>
      <w:r w:rsidRPr="00B6000F">
        <w:rPr>
          <w:color w:val="000000" w:themeColor="text1"/>
          <w:sz w:val="22"/>
          <w:szCs w:val="22"/>
        </w:rPr>
        <w:lastRenderedPageBreak/>
        <w:t xml:space="preserve">Monthly Report July 2006 p. 5163; for the role of derivatives in sustainable finance see </w:t>
      </w:r>
      <w:proofErr w:type="spellStart"/>
      <w:r w:rsidRPr="00B6000F">
        <w:rPr>
          <w:color w:val="000000" w:themeColor="text1"/>
          <w:sz w:val="22"/>
          <w:szCs w:val="22"/>
        </w:rPr>
        <w:t>Lannoo</w:t>
      </w:r>
      <w:proofErr w:type="spellEnd"/>
      <w:r w:rsidRPr="00B6000F">
        <w:rPr>
          <w:color w:val="000000" w:themeColor="text1"/>
          <w:sz w:val="22"/>
          <w:szCs w:val="22"/>
        </w:rPr>
        <w:t xml:space="preserve"> and </w:t>
      </w:r>
      <w:proofErr w:type="spellStart"/>
      <w:r w:rsidRPr="00B6000F">
        <w:rPr>
          <w:color w:val="000000" w:themeColor="text1"/>
          <w:sz w:val="22"/>
          <w:szCs w:val="22"/>
        </w:rPr>
        <w:t>Thormadakis</w:t>
      </w:r>
      <w:proofErr w:type="spellEnd"/>
      <w:r w:rsidRPr="00B6000F">
        <w:rPr>
          <w:color w:val="000000" w:themeColor="text1"/>
          <w:sz w:val="22"/>
          <w:szCs w:val="22"/>
        </w:rPr>
        <w:t xml:space="preserve">, Derivatives in Sustainable Finance, </w:t>
      </w:r>
      <w:proofErr w:type="spellStart"/>
      <w:r w:rsidRPr="00B6000F">
        <w:rPr>
          <w:color w:val="000000" w:themeColor="text1"/>
          <w:sz w:val="22"/>
          <w:szCs w:val="22"/>
        </w:rPr>
        <w:t>Center</w:t>
      </w:r>
      <w:proofErr w:type="spellEnd"/>
      <w:r w:rsidRPr="00B6000F">
        <w:rPr>
          <w:color w:val="000000" w:themeColor="text1"/>
          <w:sz w:val="22"/>
          <w:szCs w:val="22"/>
        </w:rPr>
        <w:t xml:space="preserve"> for Europe</w:t>
      </w:r>
      <w:r>
        <w:rPr>
          <w:color w:val="000000" w:themeColor="text1"/>
        </w:rPr>
        <w:t>an Policy Studies (CEPS), 2020</w:t>
      </w:r>
      <w:r w:rsidRPr="00B6000F">
        <w:rPr>
          <w:color w:val="000000" w:themeColor="text1"/>
          <w:sz w:val="22"/>
          <w:szCs w:val="22"/>
        </w:rPr>
        <w:t>).</w:t>
      </w:r>
      <w:proofErr w:type="gramEnd"/>
      <w:r w:rsidRPr="00B6000F">
        <w:rPr>
          <w:color w:val="000000" w:themeColor="text1"/>
          <w:sz w:val="22"/>
          <w:szCs w:val="22"/>
        </w:rPr>
        <w:t xml:space="preserve"> </w:t>
      </w:r>
    </w:p>
    <w:p w14:paraId="736E11E8" w14:textId="77777777" w:rsidR="002E7D29" w:rsidRDefault="002E7D29" w:rsidP="002E7D29">
      <w:pPr>
        <w:ind w:left="360"/>
        <w:rPr>
          <w:color w:val="000000" w:themeColor="text1"/>
          <w:szCs w:val="20"/>
        </w:rPr>
      </w:pPr>
      <w:bookmarkStart w:id="1" w:name="_GoBack"/>
      <w:bookmarkEnd w:id="1"/>
    </w:p>
    <w:p w14:paraId="3557C8DD" w14:textId="77777777" w:rsidR="002E7D29" w:rsidRPr="00B6000F" w:rsidRDefault="002E7D29" w:rsidP="002E7D29">
      <w:pPr>
        <w:pStyle w:val="Listenabsatz"/>
        <w:numPr>
          <w:ilvl w:val="0"/>
          <w:numId w:val="41"/>
        </w:numPr>
        <w:spacing w:after="160" w:line="259" w:lineRule="auto"/>
        <w:rPr>
          <w:rFonts w:cstheme="minorHAnsi"/>
          <w:b/>
          <w:color w:val="000000" w:themeColor="text1"/>
        </w:rPr>
      </w:pPr>
      <w:r w:rsidRPr="00B6000F">
        <w:rPr>
          <w:rFonts w:cstheme="minorHAnsi"/>
          <w:b/>
          <w:color w:val="000000" w:themeColor="text1"/>
        </w:rPr>
        <w:t xml:space="preserve">Mandatory hedging creates demand for </w:t>
      </w:r>
      <w:proofErr w:type="spellStart"/>
      <w:r w:rsidRPr="00B6000F">
        <w:rPr>
          <w:rFonts w:cstheme="minorHAnsi"/>
          <w:b/>
          <w:color w:val="000000" w:themeColor="text1"/>
        </w:rPr>
        <w:t>underlyings</w:t>
      </w:r>
      <w:proofErr w:type="spellEnd"/>
      <w:r w:rsidRPr="00B6000F">
        <w:rPr>
          <w:rFonts w:cstheme="minorHAnsi"/>
          <w:b/>
          <w:color w:val="000000" w:themeColor="text1"/>
        </w:rPr>
        <w:t xml:space="preserve"> on the spot market</w:t>
      </w:r>
    </w:p>
    <w:p w14:paraId="03C19A95" w14:textId="77777777" w:rsidR="002E7D29" w:rsidRPr="00C157BF" w:rsidRDefault="002E7D29" w:rsidP="002E7D29">
      <w:pPr>
        <w:ind w:left="360"/>
        <w:rPr>
          <w:rFonts w:cstheme="minorHAnsi"/>
          <w:iCs/>
          <w:color w:val="000000" w:themeColor="text1"/>
        </w:rPr>
      </w:pPr>
      <w:r w:rsidRPr="00C157BF">
        <w:rPr>
          <w:rFonts w:cstheme="minorHAnsi"/>
          <w:color w:val="000000" w:themeColor="text1"/>
        </w:rPr>
        <w:t xml:space="preserve">We have already outlined in our comments on the Joint Consultation Paper of the ESAs of 23 April 2020 (JC2020) (see DDV statement of September 2020) that SSIPs </w:t>
      </w:r>
      <w:proofErr w:type="gramStart"/>
      <w:r w:rsidRPr="00C157BF">
        <w:rPr>
          <w:rFonts w:cstheme="minorHAnsi"/>
          <w:color w:val="000000" w:themeColor="text1"/>
        </w:rPr>
        <w:t>can usually be split</w:t>
      </w:r>
      <w:proofErr w:type="gramEnd"/>
      <w:r w:rsidRPr="00C157BF">
        <w:rPr>
          <w:rFonts w:cstheme="minorHAnsi"/>
          <w:color w:val="000000" w:themeColor="text1"/>
        </w:rPr>
        <w:t xml:space="preserve"> into two components: a bond component and a derivative component linked to a sustainable underlying. Both components should </w:t>
      </w:r>
      <w:proofErr w:type="gramStart"/>
      <w:r w:rsidRPr="00C157BF">
        <w:rPr>
          <w:rFonts w:cstheme="minorHAnsi"/>
          <w:color w:val="000000" w:themeColor="text1"/>
        </w:rPr>
        <w:t>be assessed</w:t>
      </w:r>
      <w:proofErr w:type="gramEnd"/>
      <w:r w:rsidRPr="00C157BF">
        <w:rPr>
          <w:rFonts w:cstheme="minorHAnsi"/>
          <w:color w:val="000000" w:themeColor="text1"/>
        </w:rPr>
        <w:t xml:space="preserve"> separately and then be aggregated for disclosure reasons. Our following remarks refer to the derivative component of an SSIP. </w:t>
      </w:r>
    </w:p>
    <w:p w14:paraId="355406DE" w14:textId="77777777" w:rsidR="002E7D29" w:rsidRPr="00C157BF" w:rsidRDefault="002E7D29" w:rsidP="002E7D29">
      <w:pPr>
        <w:ind w:left="360"/>
        <w:rPr>
          <w:rFonts w:cstheme="minorHAnsi"/>
          <w:color w:val="000000" w:themeColor="text1"/>
        </w:rPr>
      </w:pPr>
      <w:r w:rsidRPr="00C157BF">
        <w:rPr>
          <w:rFonts w:cstheme="minorHAnsi"/>
          <w:color w:val="000000" w:themeColor="text1"/>
        </w:rPr>
        <w:t xml:space="preserve">When a bank issues an SSIP, it is exposed to a market price risk to the extent the SSIP`s repayment profile depends on the price development of the underlying. For example, where the underlying consists of a basket of listed shares, the issuing bank </w:t>
      </w:r>
      <w:proofErr w:type="gramStart"/>
      <w:r w:rsidRPr="00C157BF">
        <w:rPr>
          <w:rFonts w:cstheme="minorHAnsi"/>
          <w:color w:val="000000" w:themeColor="text1"/>
        </w:rPr>
        <w:t>is exposed</w:t>
      </w:r>
      <w:proofErr w:type="gramEnd"/>
      <w:r w:rsidRPr="00C157BF">
        <w:rPr>
          <w:rFonts w:cstheme="minorHAnsi"/>
          <w:color w:val="000000" w:themeColor="text1"/>
        </w:rPr>
        <w:t xml:space="preserve"> to the risk that the market price of these shares rises. According to prudential law requirements, the bank is obliged to hedge this risk. </w:t>
      </w:r>
    </w:p>
    <w:p w14:paraId="73984A16" w14:textId="77777777" w:rsidR="002E7D29" w:rsidRPr="00C157BF" w:rsidRDefault="002E7D29" w:rsidP="002E7D29">
      <w:pPr>
        <w:pStyle w:val="Zitat"/>
        <w:jc w:val="left"/>
        <w:rPr>
          <w:rFonts w:cstheme="minorHAnsi"/>
          <w:color w:val="000000" w:themeColor="text1"/>
          <w:sz w:val="20"/>
          <w:szCs w:val="20"/>
          <w:lang w:val="en-GB"/>
        </w:rPr>
      </w:pPr>
      <w:r w:rsidRPr="00C157BF">
        <w:rPr>
          <w:i w:val="0"/>
          <w:color w:val="000000" w:themeColor="text1"/>
          <w:sz w:val="20"/>
          <w:szCs w:val="20"/>
          <w:lang w:val="en-GB"/>
        </w:rPr>
        <w:t>This</w:t>
      </w:r>
      <w:r w:rsidRPr="00C157BF">
        <w:rPr>
          <w:rFonts w:cstheme="minorHAnsi"/>
          <w:i w:val="0"/>
          <w:color w:val="000000" w:themeColor="text1"/>
          <w:lang w:val="en-GB"/>
        </w:rPr>
        <w:t xml:space="preserve"> </w:t>
      </w:r>
      <w:r w:rsidRPr="00C157BF">
        <w:rPr>
          <w:rFonts w:cstheme="minorHAnsi"/>
          <w:i w:val="0"/>
          <w:color w:val="000000" w:themeColor="text1"/>
          <w:sz w:val="20"/>
          <w:szCs w:val="20"/>
          <w:lang w:val="en-GB"/>
        </w:rPr>
        <w:t xml:space="preserve">derives mainly from </w:t>
      </w:r>
      <w:r w:rsidRPr="00C157BF">
        <w:rPr>
          <w:rFonts w:cstheme="minorHAnsi"/>
          <w:b/>
          <w:i w:val="0"/>
          <w:color w:val="000000" w:themeColor="text1"/>
          <w:sz w:val="20"/>
          <w:szCs w:val="20"/>
          <w:lang w:val="en-GB"/>
        </w:rPr>
        <w:t>Article 83(1) of CRD IV</w:t>
      </w:r>
      <w:r w:rsidRPr="00C157BF">
        <w:rPr>
          <w:rFonts w:cstheme="minorHAnsi"/>
          <w:i w:val="0"/>
          <w:color w:val="000000" w:themeColor="text1"/>
          <w:sz w:val="20"/>
          <w:szCs w:val="20"/>
          <w:lang w:val="en-GB"/>
        </w:rPr>
        <w:t>, which stipulates that a bank shall have implemented policies and processes for the identification, measurement and management of all material sources and effects of market risks.</w:t>
      </w:r>
      <w:r w:rsidRPr="00C157BF">
        <w:rPr>
          <w:rFonts w:cstheme="minorHAnsi"/>
          <w:color w:val="000000" w:themeColor="text1"/>
          <w:sz w:val="20"/>
          <w:szCs w:val="20"/>
          <w:lang w:val="en-GB"/>
        </w:rPr>
        <w:t xml:space="preserve"> </w:t>
      </w:r>
      <w:r w:rsidRPr="00C157BF">
        <w:rPr>
          <w:rFonts w:cstheme="minorHAnsi"/>
          <w:i w:val="0"/>
          <w:color w:val="000000" w:themeColor="text1"/>
          <w:sz w:val="20"/>
          <w:szCs w:val="20"/>
          <w:lang w:val="en-GB"/>
        </w:rPr>
        <w:t xml:space="preserve">Member States have to implement these provisions of CRD IV into their national law (cf. Article 288(3) of TFEU). In Germany, for example, this requirement </w:t>
      </w:r>
      <w:proofErr w:type="gramStart"/>
      <w:r w:rsidRPr="00C157BF">
        <w:rPr>
          <w:rFonts w:cstheme="minorHAnsi"/>
          <w:i w:val="0"/>
          <w:color w:val="000000" w:themeColor="text1"/>
          <w:sz w:val="20"/>
          <w:szCs w:val="20"/>
          <w:lang w:val="en-GB"/>
        </w:rPr>
        <w:t>is laid down in Section 25a of the German Banking Act (KWG) and specified in BTR 2 of the Minimum Requirements for Risk Management (</w:t>
      </w:r>
      <w:proofErr w:type="spellStart"/>
      <w:r w:rsidRPr="00C157BF">
        <w:rPr>
          <w:rFonts w:cstheme="minorHAnsi"/>
          <w:i w:val="0"/>
          <w:color w:val="000000" w:themeColor="text1"/>
          <w:sz w:val="20"/>
          <w:szCs w:val="20"/>
          <w:lang w:val="en-GB"/>
        </w:rPr>
        <w:t>MaRisk</w:t>
      </w:r>
      <w:proofErr w:type="spellEnd"/>
      <w:r w:rsidRPr="00C157BF">
        <w:rPr>
          <w:rFonts w:cstheme="minorHAnsi"/>
          <w:i w:val="0"/>
          <w:color w:val="000000" w:themeColor="text1"/>
          <w:sz w:val="20"/>
          <w:szCs w:val="20"/>
          <w:lang w:val="en-GB"/>
        </w:rPr>
        <w:t>)</w:t>
      </w:r>
      <w:proofErr w:type="gramEnd"/>
      <w:r w:rsidRPr="00C157BF">
        <w:rPr>
          <w:rFonts w:cstheme="minorHAnsi"/>
          <w:i w:val="0"/>
          <w:color w:val="000000" w:themeColor="text1"/>
          <w:sz w:val="20"/>
          <w:szCs w:val="20"/>
          <w:lang w:val="en-GB"/>
        </w:rPr>
        <w:t xml:space="preserve">. In addition, CRD IV entitles the EBA </w:t>
      </w:r>
      <w:proofErr w:type="gramStart"/>
      <w:r w:rsidRPr="00C157BF">
        <w:rPr>
          <w:rFonts w:cstheme="minorHAnsi"/>
          <w:i w:val="0"/>
          <w:color w:val="000000" w:themeColor="text1"/>
          <w:sz w:val="20"/>
          <w:szCs w:val="20"/>
          <w:lang w:val="en-GB"/>
        </w:rPr>
        <w:t>to further specify</w:t>
      </w:r>
      <w:proofErr w:type="gramEnd"/>
      <w:r w:rsidRPr="00C157BF">
        <w:rPr>
          <w:rFonts w:cstheme="minorHAnsi"/>
          <w:i w:val="0"/>
          <w:color w:val="000000" w:themeColor="text1"/>
          <w:sz w:val="20"/>
          <w:szCs w:val="20"/>
          <w:lang w:val="en-GB"/>
        </w:rPr>
        <w:t xml:space="preserve"> requirements for internal governance, including risk management. To this end, the </w:t>
      </w:r>
      <w:r w:rsidRPr="00C157BF">
        <w:rPr>
          <w:rFonts w:cstheme="minorHAnsi"/>
          <w:b/>
          <w:i w:val="0"/>
          <w:color w:val="000000" w:themeColor="text1"/>
          <w:sz w:val="20"/>
          <w:szCs w:val="20"/>
          <w:lang w:val="en-GB"/>
        </w:rPr>
        <w:t>EBA</w:t>
      </w:r>
      <w:r w:rsidRPr="00C157BF">
        <w:rPr>
          <w:rFonts w:cstheme="minorHAnsi"/>
          <w:i w:val="0"/>
          <w:color w:val="000000" w:themeColor="text1"/>
          <w:sz w:val="20"/>
          <w:szCs w:val="20"/>
          <w:lang w:val="en-GB"/>
        </w:rPr>
        <w:t xml:space="preserve"> has issued corresponding </w:t>
      </w:r>
      <w:r w:rsidRPr="00C157BF">
        <w:rPr>
          <w:rFonts w:cstheme="minorHAnsi"/>
          <w:b/>
          <w:i w:val="0"/>
          <w:color w:val="000000" w:themeColor="text1"/>
          <w:sz w:val="20"/>
          <w:szCs w:val="20"/>
          <w:lang w:val="en-GB"/>
        </w:rPr>
        <w:t>Guidelines on Internal Governance</w:t>
      </w:r>
      <w:r w:rsidRPr="00C157BF">
        <w:rPr>
          <w:rFonts w:cstheme="minorHAnsi"/>
          <w:i w:val="0"/>
          <w:color w:val="000000" w:themeColor="text1"/>
          <w:sz w:val="20"/>
          <w:szCs w:val="20"/>
          <w:lang w:val="en-GB"/>
        </w:rPr>
        <w:t xml:space="preserve"> (EBA/GL/2017/11). With regard to an institution’s risk management framework, these guidelines stipulate that all relevant risks should be encompassed in the risk management framework with appropriate consideration of both financial and non-financial risks, including credit, market, liquidity, concentration, operational, IT, reputational, legal, conduct, compliance, and strategic risks (paragraph 136). Further guidance on the assessment of market risks </w:t>
      </w:r>
      <w:proofErr w:type="gramStart"/>
      <w:r w:rsidRPr="00C157BF">
        <w:rPr>
          <w:rFonts w:cstheme="minorHAnsi"/>
          <w:i w:val="0"/>
          <w:color w:val="000000" w:themeColor="text1"/>
          <w:sz w:val="20"/>
          <w:szCs w:val="20"/>
          <w:lang w:val="en-GB"/>
        </w:rPr>
        <w:t>is provided for</w:t>
      </w:r>
      <w:proofErr w:type="gramEnd"/>
      <w:r w:rsidRPr="00C157BF">
        <w:rPr>
          <w:rFonts w:cstheme="minorHAnsi"/>
          <w:i w:val="0"/>
          <w:color w:val="000000" w:themeColor="text1"/>
          <w:sz w:val="20"/>
          <w:szCs w:val="20"/>
          <w:lang w:val="en-GB"/>
        </w:rPr>
        <w:t xml:space="preserve"> in the EBA Guidelines on common procedures and methodologies for the supervisory review and evaluation process (SREP) (paragraphs 197 et seq.).</w:t>
      </w:r>
    </w:p>
    <w:p w14:paraId="345F2D39" w14:textId="77777777" w:rsidR="002E7D29" w:rsidRPr="00C157BF" w:rsidRDefault="002E7D29" w:rsidP="002E7D29">
      <w:pPr>
        <w:ind w:left="360"/>
        <w:rPr>
          <w:rFonts w:cstheme="minorHAnsi"/>
          <w:color w:val="000000" w:themeColor="text1"/>
        </w:rPr>
      </w:pPr>
      <w:r w:rsidRPr="00C157BF">
        <w:rPr>
          <w:rFonts w:cstheme="minorHAnsi"/>
          <w:color w:val="000000" w:themeColor="text1"/>
        </w:rPr>
        <w:t xml:space="preserve">To hedge its market price risk, the bank </w:t>
      </w:r>
      <w:proofErr w:type="gramStart"/>
      <w:r w:rsidRPr="00C157BF">
        <w:rPr>
          <w:rFonts w:cstheme="minorHAnsi"/>
          <w:color w:val="000000" w:themeColor="text1"/>
        </w:rPr>
        <w:t>is expected</w:t>
      </w:r>
      <w:proofErr w:type="gramEnd"/>
      <w:r w:rsidRPr="00C157BF">
        <w:rPr>
          <w:rFonts w:cstheme="minorHAnsi"/>
          <w:color w:val="000000" w:themeColor="text1"/>
        </w:rPr>
        <w:t xml:space="preserve"> to conclude hedging transactions in its trading book. This does not necessarily mean that the bank physically acquires the underlying. However, the bank will enter into market transactions that place the bank in the same economic position as if it physically owned the underlying. By doing so, the bank is able to pass on the price development of the underlying to the investor without taking risks. This economic position </w:t>
      </w:r>
      <w:proofErr w:type="gramStart"/>
      <w:r w:rsidRPr="00C157BF">
        <w:rPr>
          <w:rFonts w:cstheme="minorHAnsi"/>
          <w:color w:val="000000" w:themeColor="text1"/>
        </w:rPr>
        <w:t>will be conveyed</w:t>
      </w:r>
      <w:proofErr w:type="gramEnd"/>
      <w:r w:rsidRPr="00C157BF">
        <w:rPr>
          <w:rFonts w:cstheme="minorHAnsi"/>
          <w:color w:val="000000" w:themeColor="text1"/>
        </w:rPr>
        <w:t xml:space="preserve"> to the bank through a chain of transactions, at the end of which there is always the physical acquisition of the underlying by a market participant. In this way, an SSIP whose </w:t>
      </w:r>
      <w:proofErr w:type="spellStart"/>
      <w:r w:rsidRPr="00C157BF">
        <w:rPr>
          <w:rFonts w:cstheme="minorHAnsi"/>
          <w:color w:val="000000" w:themeColor="text1"/>
        </w:rPr>
        <w:t>payout</w:t>
      </w:r>
      <w:proofErr w:type="spellEnd"/>
      <w:r w:rsidRPr="00C157BF">
        <w:rPr>
          <w:rFonts w:cstheme="minorHAnsi"/>
          <w:color w:val="000000" w:themeColor="text1"/>
        </w:rPr>
        <w:t xml:space="preserve"> profile depends on the price performance of an equity underlying always indirectly generates demand on the secondary (spot) market for the underlying in question. Notably, for this reason any assessment of the ESG eligibility of the derivative component of a structured investment product should take a holistic approach and – equivalent to the approach taken by the EBA – focus only on the underlying and its ESG eligibility.</w:t>
      </w:r>
    </w:p>
    <w:p w14:paraId="4256A7AB" w14:textId="77777777" w:rsidR="002E7D29" w:rsidRPr="00C157BF" w:rsidRDefault="002E7D29" w:rsidP="002E7D29">
      <w:pPr>
        <w:pStyle w:val="Listenabsatz"/>
        <w:numPr>
          <w:ilvl w:val="0"/>
          <w:numId w:val="41"/>
        </w:numPr>
        <w:spacing w:after="160" w:line="259" w:lineRule="auto"/>
        <w:rPr>
          <w:rFonts w:cstheme="minorHAnsi"/>
          <w:b/>
          <w:color w:val="000000" w:themeColor="text1"/>
        </w:rPr>
      </w:pPr>
      <w:r w:rsidRPr="00C157BF">
        <w:rPr>
          <w:rFonts w:cstheme="minorHAnsi"/>
          <w:b/>
          <w:color w:val="000000" w:themeColor="text1"/>
        </w:rPr>
        <w:t xml:space="preserve">Effects comparable to any secondary market acquisition </w:t>
      </w:r>
    </w:p>
    <w:p w14:paraId="116B1B4C" w14:textId="77777777" w:rsidR="002E7D29" w:rsidRPr="00C157BF" w:rsidRDefault="002E7D29" w:rsidP="002E7D29">
      <w:pPr>
        <w:ind w:left="360"/>
        <w:rPr>
          <w:rFonts w:cstheme="minorHAnsi"/>
          <w:color w:val="000000" w:themeColor="text1"/>
        </w:rPr>
      </w:pPr>
      <w:r w:rsidRPr="00C157BF">
        <w:rPr>
          <w:rFonts w:cstheme="minorHAnsi"/>
          <w:color w:val="000000" w:themeColor="text1"/>
        </w:rPr>
        <w:t xml:space="preserve">The indirect investment effect in favour of the investee companies (serving as underlying) described above is comparable to any secondary market transaction, including those exercised by investment funds such as UCITS and AIFs. They enhance the visibility and thus liquidity as well as the reputation of this asset, exercising a disciplining function on the company that </w:t>
      </w:r>
      <w:proofErr w:type="gramStart"/>
      <w:r w:rsidRPr="00C157BF">
        <w:rPr>
          <w:rFonts w:cstheme="minorHAnsi"/>
          <w:color w:val="000000" w:themeColor="text1"/>
        </w:rPr>
        <w:t>should not be underestimated</w:t>
      </w:r>
      <w:proofErr w:type="gramEnd"/>
      <w:r w:rsidRPr="00C157BF">
        <w:rPr>
          <w:rFonts w:cstheme="minorHAnsi"/>
          <w:color w:val="000000" w:themeColor="text1"/>
        </w:rPr>
        <w:t xml:space="preserve">. This also includes the use of these </w:t>
      </w:r>
      <w:proofErr w:type="spellStart"/>
      <w:r w:rsidRPr="00C157BF">
        <w:rPr>
          <w:rFonts w:cstheme="minorHAnsi"/>
          <w:color w:val="000000" w:themeColor="text1"/>
        </w:rPr>
        <w:t>underlyings</w:t>
      </w:r>
      <w:proofErr w:type="spellEnd"/>
      <w:r w:rsidRPr="00C157BF">
        <w:rPr>
          <w:rFonts w:cstheme="minorHAnsi"/>
          <w:color w:val="000000" w:themeColor="text1"/>
        </w:rPr>
        <w:t xml:space="preserve"> in ESG indices. In particular, structured investment products often make use of these indices when defining their </w:t>
      </w:r>
      <w:proofErr w:type="spellStart"/>
      <w:r w:rsidRPr="00C157BF">
        <w:rPr>
          <w:rFonts w:cstheme="minorHAnsi"/>
          <w:color w:val="000000" w:themeColor="text1"/>
        </w:rPr>
        <w:t>payout</w:t>
      </w:r>
      <w:proofErr w:type="spellEnd"/>
      <w:r w:rsidRPr="00C157BF">
        <w:rPr>
          <w:rFonts w:cstheme="minorHAnsi"/>
          <w:color w:val="000000" w:themeColor="text1"/>
        </w:rPr>
        <w:t xml:space="preserve"> profile, further contributing to the importance of these as benchmarks for the market as a whole.</w:t>
      </w:r>
    </w:p>
    <w:p w14:paraId="5502F3B9" w14:textId="77777777" w:rsidR="002E7D29" w:rsidRPr="002C293C" w:rsidRDefault="002E7D29" w:rsidP="002E7D29">
      <w:pPr>
        <w:pStyle w:val="Listenabsatz"/>
        <w:numPr>
          <w:ilvl w:val="0"/>
          <w:numId w:val="41"/>
        </w:numPr>
        <w:spacing w:after="160" w:line="259" w:lineRule="auto"/>
        <w:rPr>
          <w:rFonts w:cstheme="minorHAnsi"/>
          <w:b/>
          <w:color w:val="000000" w:themeColor="text1"/>
        </w:rPr>
      </w:pPr>
      <w:r w:rsidRPr="002C293C">
        <w:rPr>
          <w:rFonts w:cstheme="minorHAnsi"/>
          <w:b/>
          <w:color w:val="000000" w:themeColor="text1"/>
        </w:rPr>
        <w:t xml:space="preserve">Facilitating of sustainability risk management   </w:t>
      </w:r>
    </w:p>
    <w:p w14:paraId="6D4CD420" w14:textId="77777777" w:rsidR="002E7D29" w:rsidRPr="00C157BF" w:rsidRDefault="002E7D29" w:rsidP="002E7D29">
      <w:pPr>
        <w:ind w:left="360"/>
        <w:rPr>
          <w:rFonts w:cstheme="minorHAnsi"/>
          <w:color w:val="000000" w:themeColor="text1"/>
        </w:rPr>
      </w:pPr>
      <w:r w:rsidRPr="00C157BF">
        <w:rPr>
          <w:rFonts w:cstheme="minorHAnsi"/>
          <w:color w:val="000000" w:themeColor="text1"/>
        </w:rPr>
        <w:lastRenderedPageBreak/>
        <w:t xml:space="preserve">Finally, an extension of the KPI to derivatives would facilitate the management of sustainability risks for investors. Being provided with the KPI (and other information disclosed under the templates), investors in an SSIP can determine with little effort to what extent their investment is exposed to the risks of a taxonomy-aligned activity compared to the (presumably) much higher sustainability risks of a non-sustainable (brown) investment. Conversely, excluding SSIPs from the KPI would hamper investors´ efforts </w:t>
      </w:r>
      <w:proofErr w:type="gramStart"/>
      <w:r w:rsidRPr="00C157BF">
        <w:rPr>
          <w:rFonts w:cstheme="minorHAnsi"/>
          <w:color w:val="000000" w:themeColor="text1"/>
        </w:rPr>
        <w:t>to efficiently manage</w:t>
      </w:r>
      <w:proofErr w:type="gramEnd"/>
      <w:r w:rsidRPr="00C157BF">
        <w:rPr>
          <w:rFonts w:cstheme="minorHAnsi"/>
          <w:color w:val="000000" w:themeColor="text1"/>
        </w:rPr>
        <w:t xml:space="preserve"> their exposure to sustainability risks when investing in sustainable structured investment products.</w:t>
      </w:r>
    </w:p>
    <w:p w14:paraId="3772BA40" w14:textId="77777777" w:rsidR="002E7D29" w:rsidRPr="00C157BF" w:rsidRDefault="002E7D29" w:rsidP="002E7D29">
      <w:r w:rsidRPr="00C157BF">
        <w:rPr>
          <w:rFonts w:cstheme="minorHAnsi"/>
          <w:color w:val="000000" w:themeColor="text1"/>
        </w:rPr>
        <w:t xml:space="preserve">We therefore advocate that, in the case of the derivative component of an SSIP, the KPI for taxonomy compliance should be applied in the same </w:t>
      </w:r>
      <w:proofErr w:type="gramStart"/>
      <w:r w:rsidRPr="00C157BF">
        <w:rPr>
          <w:rFonts w:cstheme="minorHAnsi"/>
          <w:color w:val="000000" w:themeColor="text1"/>
        </w:rPr>
        <w:t>way</w:t>
      </w:r>
      <w:proofErr w:type="gramEnd"/>
      <w:r w:rsidRPr="00C157BF">
        <w:rPr>
          <w:rFonts w:cstheme="minorHAnsi"/>
          <w:color w:val="000000" w:themeColor="text1"/>
        </w:rPr>
        <w:t xml:space="preserve"> as would be the case if the investor were invested in the underlying via an equity fund.</w:t>
      </w:r>
    </w:p>
    <w:p w14:paraId="7A56D93F" w14:textId="39D4BB34" w:rsidR="004733D0" w:rsidRPr="00C157BF" w:rsidRDefault="004733D0" w:rsidP="004733D0"/>
    <w:permEnd w:id="1220688604"/>
    <w:p w14:paraId="53DA6878" w14:textId="3826CEB9" w:rsidR="003E573C" w:rsidRDefault="003E573C" w:rsidP="003E573C">
      <w:pPr>
        <w:rPr>
          <w:rFonts w:cs="Arial"/>
        </w:rPr>
      </w:pPr>
      <w:r>
        <w:rPr>
          <w:rFonts w:cs="Arial"/>
        </w:rPr>
        <w:t>&lt;ESA_QUESTION_</w:t>
      </w:r>
      <w:r w:rsidR="00C86E1C">
        <w:rPr>
          <w:rFonts w:cs="Arial"/>
        </w:rPr>
        <w:t>ESG</w:t>
      </w:r>
      <w:r>
        <w:rPr>
          <w:rFonts w:cs="Arial"/>
        </w:rPr>
        <w:t>_4&gt;</w:t>
      </w:r>
    </w:p>
    <w:p w14:paraId="7CE6B136" w14:textId="77777777" w:rsidR="003E573C" w:rsidRDefault="003E573C" w:rsidP="003E573C">
      <w:pPr>
        <w:rPr>
          <w:rFonts w:cs="Arial"/>
        </w:rPr>
      </w:pPr>
    </w:p>
    <w:p w14:paraId="39295ADB" w14:textId="63ED05A3" w:rsidR="003E573C" w:rsidRDefault="003E573C" w:rsidP="007118EB">
      <w:pPr>
        <w:pStyle w:val="Questionstyle"/>
      </w:pPr>
      <w:r>
        <w:t xml:space="preserve">: </w:t>
      </w:r>
      <w:r w:rsidR="001969F6" w:rsidRPr="001969F6">
        <w:t>Is the use of “equities” and “debt instruments” sufficiently clear to capture relevant instruments issued by investee companies? If not, how could that be clarified? Are any specific valuation criteria necessary to ensure that the disclosures are comparable?</w:t>
      </w:r>
    </w:p>
    <w:p w14:paraId="028F4F51" w14:textId="6BF830DE" w:rsidR="003E573C" w:rsidRDefault="003E573C" w:rsidP="003E573C">
      <w:pPr>
        <w:rPr>
          <w:rFonts w:cs="Arial"/>
        </w:rPr>
      </w:pPr>
      <w:r>
        <w:rPr>
          <w:rFonts w:cs="Arial"/>
        </w:rPr>
        <w:t>&lt;ESA_QUESTION_</w:t>
      </w:r>
      <w:r w:rsidR="00C86E1C">
        <w:rPr>
          <w:rFonts w:cs="Arial"/>
        </w:rPr>
        <w:t>ESG</w:t>
      </w:r>
      <w:r>
        <w:rPr>
          <w:rFonts w:cs="Arial"/>
        </w:rPr>
        <w:t>_5&gt;</w:t>
      </w:r>
    </w:p>
    <w:p w14:paraId="4EE27C0A" w14:textId="77777777" w:rsidR="003E573C" w:rsidRDefault="003E573C" w:rsidP="003E573C">
      <w:pPr>
        <w:rPr>
          <w:rFonts w:cs="Arial"/>
        </w:rPr>
      </w:pPr>
      <w:permStart w:id="209390932" w:edGrp="everyone"/>
      <w:r>
        <w:rPr>
          <w:rFonts w:cs="Arial"/>
        </w:rPr>
        <w:t>TYPE YOUR TEXT HERE</w:t>
      </w:r>
    </w:p>
    <w:permEnd w:id="209390932"/>
    <w:p w14:paraId="61BD6C84" w14:textId="2768234A" w:rsidR="003E573C" w:rsidRDefault="003E573C" w:rsidP="003E573C">
      <w:pPr>
        <w:rPr>
          <w:rFonts w:cs="Arial"/>
        </w:rPr>
      </w:pPr>
      <w:r>
        <w:rPr>
          <w:rFonts w:cs="Arial"/>
        </w:rPr>
        <w:t>&lt;ESA_QUESTION_</w:t>
      </w:r>
      <w:r w:rsidR="00C86E1C">
        <w:rPr>
          <w:rFonts w:cs="Arial"/>
        </w:rPr>
        <w:t>ESG</w:t>
      </w:r>
      <w:r>
        <w:rPr>
          <w:rFonts w:cs="Arial"/>
        </w:rPr>
        <w:t>_5&gt;</w:t>
      </w:r>
    </w:p>
    <w:p w14:paraId="3AF8EF7A" w14:textId="77777777" w:rsidR="003E573C" w:rsidRDefault="003E573C" w:rsidP="003E573C">
      <w:pPr>
        <w:rPr>
          <w:rFonts w:cs="Arial"/>
        </w:rPr>
      </w:pPr>
    </w:p>
    <w:p w14:paraId="7B07E7E5" w14:textId="417ECB66" w:rsidR="003E573C" w:rsidRDefault="003E573C" w:rsidP="007118EB">
      <w:pPr>
        <w:pStyle w:val="Questionstyle"/>
      </w:pPr>
      <w:r>
        <w:t xml:space="preserve">: </w:t>
      </w:r>
      <w:r w:rsidR="001969F6" w:rsidRPr="001969F6">
        <w:t>Do you have any views about including all investments, including sovereign bonds and other assets that cannot be assessed for taxonomy-alignment, of the financial product in the denominator for the KPI?</w:t>
      </w:r>
    </w:p>
    <w:p w14:paraId="79582E74" w14:textId="6F09E1E7" w:rsidR="003E573C" w:rsidRDefault="003E573C" w:rsidP="003E573C">
      <w:pPr>
        <w:rPr>
          <w:rFonts w:cs="Arial"/>
        </w:rPr>
      </w:pPr>
      <w:r>
        <w:rPr>
          <w:rFonts w:cs="Arial"/>
        </w:rPr>
        <w:t>&lt;ESA_QUESTION_</w:t>
      </w:r>
      <w:r w:rsidR="00C86E1C">
        <w:rPr>
          <w:rFonts w:cs="Arial"/>
        </w:rPr>
        <w:t>ESG</w:t>
      </w:r>
      <w:r>
        <w:rPr>
          <w:rFonts w:cs="Arial"/>
        </w:rPr>
        <w:t>_6&gt;</w:t>
      </w:r>
    </w:p>
    <w:p w14:paraId="46FB187E" w14:textId="77777777" w:rsidR="003E573C" w:rsidRDefault="003E573C" w:rsidP="003E573C">
      <w:pPr>
        <w:rPr>
          <w:rFonts w:cs="Arial"/>
        </w:rPr>
      </w:pPr>
      <w:permStart w:id="418122716" w:edGrp="everyone"/>
      <w:r>
        <w:rPr>
          <w:rFonts w:cs="Arial"/>
        </w:rPr>
        <w:t>TYPE YOUR TEXT HERE</w:t>
      </w:r>
    </w:p>
    <w:permEnd w:id="418122716"/>
    <w:p w14:paraId="29E77975" w14:textId="6590E75B" w:rsidR="003E573C" w:rsidRDefault="003E573C" w:rsidP="003E573C">
      <w:pPr>
        <w:rPr>
          <w:rFonts w:cs="Arial"/>
        </w:rPr>
      </w:pPr>
      <w:r>
        <w:rPr>
          <w:rFonts w:cs="Arial"/>
        </w:rPr>
        <w:t>&lt;ESA_QUESTION_</w:t>
      </w:r>
      <w:r w:rsidR="00C86E1C">
        <w:rPr>
          <w:rFonts w:cs="Arial"/>
        </w:rPr>
        <w:t>ESG</w:t>
      </w:r>
      <w:r>
        <w:rPr>
          <w:rFonts w:cs="Arial"/>
        </w:rPr>
        <w:t>_6&gt;</w:t>
      </w:r>
    </w:p>
    <w:p w14:paraId="302B559F" w14:textId="77777777" w:rsidR="003E573C" w:rsidRDefault="003E573C" w:rsidP="003E573C">
      <w:pPr>
        <w:rPr>
          <w:rFonts w:cs="Arial"/>
        </w:rPr>
      </w:pPr>
    </w:p>
    <w:p w14:paraId="09807F9E" w14:textId="2C94FA30" w:rsidR="003E573C" w:rsidRDefault="003E573C" w:rsidP="007118EB">
      <w:pPr>
        <w:pStyle w:val="Questionstyle"/>
      </w:pPr>
      <w:r>
        <w:t xml:space="preserve">: </w:t>
      </w:r>
      <w:r w:rsidR="001969F6" w:rsidRPr="001969F6">
        <w:t>Do you have any views on the statement of taxonomy compliance of the activities the financial product invests in and whether those statements should be subject to assessment by external or third parties?</w:t>
      </w:r>
    </w:p>
    <w:p w14:paraId="21AC957C" w14:textId="7580C8F9" w:rsidR="003E573C" w:rsidRDefault="003E573C" w:rsidP="003E573C">
      <w:pPr>
        <w:rPr>
          <w:rFonts w:cs="Arial"/>
        </w:rPr>
      </w:pPr>
      <w:r>
        <w:rPr>
          <w:rFonts w:cs="Arial"/>
        </w:rPr>
        <w:t>&lt;ESA_QUESTION_</w:t>
      </w:r>
      <w:r w:rsidR="00C86E1C">
        <w:rPr>
          <w:rFonts w:cs="Arial"/>
        </w:rPr>
        <w:t>ESG</w:t>
      </w:r>
      <w:r>
        <w:rPr>
          <w:rFonts w:cs="Arial"/>
        </w:rPr>
        <w:t>_7&gt;</w:t>
      </w:r>
    </w:p>
    <w:p w14:paraId="74EF7BA7" w14:textId="77777777" w:rsidR="003E573C" w:rsidRDefault="003E573C" w:rsidP="003E573C">
      <w:pPr>
        <w:rPr>
          <w:rFonts w:cs="Arial"/>
        </w:rPr>
      </w:pPr>
      <w:permStart w:id="569465455" w:edGrp="everyone"/>
      <w:r>
        <w:rPr>
          <w:rFonts w:cs="Arial"/>
        </w:rPr>
        <w:t>TYPE YOUR TEXT HERE</w:t>
      </w:r>
    </w:p>
    <w:permEnd w:id="569465455"/>
    <w:p w14:paraId="2267AC0F" w14:textId="00044BD1" w:rsidR="003E573C" w:rsidRDefault="003E573C" w:rsidP="003E573C">
      <w:pPr>
        <w:rPr>
          <w:rFonts w:cs="Arial"/>
        </w:rPr>
      </w:pPr>
      <w:r>
        <w:rPr>
          <w:rFonts w:cs="Arial"/>
        </w:rPr>
        <w:t>&lt;ESA_QUESTION_</w:t>
      </w:r>
      <w:r w:rsidR="00C86E1C">
        <w:rPr>
          <w:rFonts w:cs="Arial"/>
        </w:rPr>
        <w:t>ESG</w:t>
      </w:r>
      <w:r>
        <w:rPr>
          <w:rFonts w:cs="Arial"/>
        </w:rPr>
        <w:t>_7&gt;</w:t>
      </w:r>
    </w:p>
    <w:p w14:paraId="7E406E9F" w14:textId="77777777" w:rsidR="003E573C" w:rsidRDefault="003E573C" w:rsidP="003E573C">
      <w:pPr>
        <w:rPr>
          <w:rFonts w:cs="Arial"/>
        </w:rPr>
      </w:pPr>
    </w:p>
    <w:p w14:paraId="08E0CC4A" w14:textId="47C75544" w:rsidR="003E573C" w:rsidRDefault="003E573C" w:rsidP="00666A17">
      <w:pPr>
        <w:pStyle w:val="Listenabsatz"/>
        <w:numPr>
          <w:ilvl w:val="0"/>
          <w:numId w:val="37"/>
        </w:numPr>
        <w:rPr>
          <w:rFonts w:asciiTheme="minorHAnsi" w:eastAsiaTheme="minorEastAsia" w:hAnsiTheme="minorHAnsi" w:cstheme="minorBidi"/>
          <w:b/>
          <w:sz w:val="22"/>
          <w:szCs w:val="20"/>
          <w:lang w:eastAsia="en-US"/>
        </w:rPr>
      </w:pPr>
      <w:r w:rsidRPr="001969F6">
        <w:rPr>
          <w:b/>
          <w:bCs/>
        </w:rPr>
        <w:t xml:space="preserve">: </w:t>
      </w:r>
      <w:r w:rsidR="001969F6" w:rsidRPr="001969F6">
        <w:rPr>
          <w:rFonts w:asciiTheme="minorHAnsi" w:eastAsiaTheme="minorEastAsia" w:hAnsiTheme="minorHAnsi" w:cstheme="minorBidi"/>
          <w:b/>
          <w:sz w:val="22"/>
          <w:szCs w:val="20"/>
          <w:lang w:eastAsia="en-US"/>
        </w:rPr>
        <w:t>Do you have any views on the proposed periodic disclosures which mirror the proposals for pre-contractual amendments?</w:t>
      </w:r>
    </w:p>
    <w:p w14:paraId="62D07B51" w14:textId="77777777" w:rsidR="002A73F1" w:rsidRPr="002A73F1" w:rsidRDefault="002A73F1" w:rsidP="002A73F1">
      <w:pPr>
        <w:pStyle w:val="Listenabsatz"/>
        <w:rPr>
          <w:rFonts w:asciiTheme="minorHAnsi" w:eastAsiaTheme="minorEastAsia" w:hAnsiTheme="minorHAnsi" w:cstheme="minorBidi"/>
          <w:b/>
          <w:sz w:val="22"/>
          <w:szCs w:val="20"/>
          <w:lang w:eastAsia="en-US"/>
        </w:rPr>
      </w:pPr>
    </w:p>
    <w:p w14:paraId="3309F68B" w14:textId="243D301F" w:rsidR="003E573C" w:rsidRDefault="003E573C" w:rsidP="003E573C">
      <w:pPr>
        <w:rPr>
          <w:rFonts w:cs="Arial"/>
        </w:rPr>
      </w:pPr>
      <w:r>
        <w:rPr>
          <w:rFonts w:cs="Arial"/>
        </w:rPr>
        <w:t>&lt;ESA_QUESTION_</w:t>
      </w:r>
      <w:r w:rsidR="00C86E1C">
        <w:rPr>
          <w:rFonts w:cs="Arial"/>
        </w:rPr>
        <w:t>ESG</w:t>
      </w:r>
      <w:r>
        <w:rPr>
          <w:rFonts w:cs="Arial"/>
        </w:rPr>
        <w:t>_8&gt;</w:t>
      </w:r>
    </w:p>
    <w:p w14:paraId="20440D29" w14:textId="77777777" w:rsidR="003E573C" w:rsidRDefault="003E573C" w:rsidP="003E573C">
      <w:pPr>
        <w:rPr>
          <w:rFonts w:cs="Arial"/>
        </w:rPr>
      </w:pPr>
      <w:permStart w:id="1713528049" w:edGrp="everyone"/>
      <w:r>
        <w:rPr>
          <w:rFonts w:cs="Arial"/>
        </w:rPr>
        <w:t>TYPE YOUR TEXT HERE</w:t>
      </w:r>
    </w:p>
    <w:permEnd w:id="1713528049"/>
    <w:p w14:paraId="6DB9AF7D" w14:textId="789B574E" w:rsidR="003E573C" w:rsidRDefault="003E573C" w:rsidP="003E573C">
      <w:pPr>
        <w:rPr>
          <w:rFonts w:cs="Arial"/>
        </w:rPr>
      </w:pPr>
      <w:r>
        <w:rPr>
          <w:rFonts w:cs="Arial"/>
        </w:rPr>
        <w:t>&lt;ESA_QUESTION_</w:t>
      </w:r>
      <w:r w:rsidR="00C86E1C">
        <w:rPr>
          <w:rFonts w:cs="Arial"/>
        </w:rPr>
        <w:t>ESG</w:t>
      </w:r>
      <w:r>
        <w:rPr>
          <w:rFonts w:cs="Arial"/>
        </w:rPr>
        <w:t>_8&gt;</w:t>
      </w:r>
    </w:p>
    <w:p w14:paraId="078E4733" w14:textId="77777777" w:rsidR="003E573C" w:rsidRDefault="003E573C" w:rsidP="003E573C">
      <w:pPr>
        <w:rPr>
          <w:rFonts w:cs="Arial"/>
        </w:rPr>
      </w:pPr>
    </w:p>
    <w:p w14:paraId="784E1B82" w14:textId="2A90ED5D" w:rsidR="003E573C" w:rsidRDefault="003E573C" w:rsidP="007118EB">
      <w:pPr>
        <w:pStyle w:val="Questionstyle"/>
      </w:pPr>
      <w:r>
        <w:t xml:space="preserve">: </w:t>
      </w:r>
      <w:r w:rsidR="001969F6" w:rsidRPr="001969F6">
        <w:t>Do you have any views on the amended pre-contractual and periodic templates?</w:t>
      </w:r>
    </w:p>
    <w:p w14:paraId="67823BF7" w14:textId="671B4280" w:rsidR="003E573C" w:rsidRDefault="003E573C" w:rsidP="003E573C">
      <w:pPr>
        <w:rPr>
          <w:rFonts w:cs="Arial"/>
        </w:rPr>
      </w:pPr>
      <w:r>
        <w:rPr>
          <w:rFonts w:cs="Arial"/>
        </w:rPr>
        <w:t>&lt;ESA_QUESTION_</w:t>
      </w:r>
      <w:r w:rsidR="00C86E1C">
        <w:rPr>
          <w:rFonts w:cs="Arial"/>
        </w:rPr>
        <w:t>ESG</w:t>
      </w:r>
      <w:r>
        <w:rPr>
          <w:rFonts w:cs="Arial"/>
        </w:rPr>
        <w:t>_9&gt;</w:t>
      </w:r>
    </w:p>
    <w:p w14:paraId="0A4368BF" w14:textId="77777777" w:rsidR="003E573C" w:rsidRDefault="003E573C" w:rsidP="003E573C">
      <w:pPr>
        <w:rPr>
          <w:rFonts w:cs="Arial"/>
        </w:rPr>
      </w:pPr>
      <w:permStart w:id="221670941" w:edGrp="everyone"/>
      <w:r>
        <w:rPr>
          <w:rFonts w:cs="Arial"/>
        </w:rPr>
        <w:t>TYPE YOUR TEXT HERE</w:t>
      </w:r>
    </w:p>
    <w:permEnd w:id="221670941"/>
    <w:p w14:paraId="57161E15" w14:textId="0A160962" w:rsidR="003E573C" w:rsidRDefault="003E573C" w:rsidP="003E573C">
      <w:pPr>
        <w:rPr>
          <w:rFonts w:cs="Arial"/>
        </w:rPr>
      </w:pPr>
      <w:r>
        <w:rPr>
          <w:rFonts w:cs="Arial"/>
        </w:rPr>
        <w:t>&lt;ESA_QUESTION_</w:t>
      </w:r>
      <w:r w:rsidR="00C86E1C">
        <w:rPr>
          <w:rFonts w:cs="Arial"/>
        </w:rPr>
        <w:t>ESG</w:t>
      </w:r>
      <w:r>
        <w:rPr>
          <w:rFonts w:cs="Arial"/>
        </w:rPr>
        <w:t>_9&gt;</w:t>
      </w:r>
    </w:p>
    <w:p w14:paraId="068CFC66" w14:textId="77777777" w:rsidR="003E573C" w:rsidRDefault="003E573C" w:rsidP="003E573C">
      <w:pPr>
        <w:rPr>
          <w:rFonts w:cs="Arial"/>
        </w:rPr>
      </w:pPr>
    </w:p>
    <w:p w14:paraId="69BB96B1" w14:textId="212862EF" w:rsidR="003E573C" w:rsidRDefault="003E573C" w:rsidP="007118EB">
      <w:pPr>
        <w:pStyle w:val="Questionstyle"/>
      </w:pPr>
      <w:bookmarkStart w:id="2" w:name="_Hlk18829484"/>
      <w:r>
        <w:t xml:space="preserve">: </w:t>
      </w:r>
      <w:bookmarkEnd w:id="2"/>
      <w:r w:rsidR="001969F6" w:rsidRPr="001969F6">
        <w:t xml:space="preserve">The draft RTS propose unified pre-contractual and periodic templates applicable to all Article 8 and 9 SFDR products (including Article 5 and 6 TR products which are a sub-set of Article </w:t>
      </w:r>
      <w:r w:rsidR="001969F6" w:rsidRPr="001969F6">
        <w:lastRenderedPageBreak/>
        <w:t>8 and 9 SFDR products). Do you believe it would be preferable to have separate pre-contractual and periodic templates for Article 5-6 TR products, instead of using the same template for all Article 8-9 SFDR products?</w:t>
      </w:r>
    </w:p>
    <w:p w14:paraId="5C90E2A2" w14:textId="6C4211F4" w:rsidR="003E573C" w:rsidRDefault="003E573C" w:rsidP="003E573C">
      <w:pPr>
        <w:rPr>
          <w:rFonts w:cs="Arial"/>
        </w:rPr>
      </w:pPr>
      <w:r>
        <w:rPr>
          <w:rFonts w:cs="Arial"/>
        </w:rPr>
        <w:t>&lt;ESA_QUESTION_</w:t>
      </w:r>
      <w:r w:rsidR="00C86E1C">
        <w:rPr>
          <w:rFonts w:cs="Arial"/>
        </w:rPr>
        <w:t>ESG</w:t>
      </w:r>
      <w:r>
        <w:rPr>
          <w:rFonts w:cs="Arial"/>
        </w:rPr>
        <w:t>_10&gt;</w:t>
      </w:r>
    </w:p>
    <w:p w14:paraId="3D5354FE" w14:textId="77777777" w:rsidR="003E573C" w:rsidRDefault="003E573C" w:rsidP="003E573C">
      <w:pPr>
        <w:rPr>
          <w:rFonts w:cs="Arial"/>
        </w:rPr>
      </w:pPr>
      <w:bookmarkStart w:id="3" w:name="_Hlk66781674"/>
      <w:permStart w:id="610013876" w:edGrp="everyone"/>
      <w:r>
        <w:rPr>
          <w:rFonts w:cs="Arial"/>
        </w:rPr>
        <w:t>TYPE YOUR TEXT HERE</w:t>
      </w:r>
    </w:p>
    <w:bookmarkEnd w:id="3"/>
    <w:permEnd w:id="610013876"/>
    <w:p w14:paraId="40F05C94" w14:textId="484F0F04" w:rsidR="003E573C" w:rsidRDefault="003E573C" w:rsidP="003E573C">
      <w:pPr>
        <w:rPr>
          <w:rFonts w:cs="Arial"/>
        </w:rPr>
      </w:pPr>
      <w:r>
        <w:rPr>
          <w:rFonts w:cs="Arial"/>
        </w:rPr>
        <w:t>&lt;ESA_QUESTION_</w:t>
      </w:r>
      <w:r w:rsidR="00C86E1C">
        <w:rPr>
          <w:rFonts w:cs="Arial"/>
        </w:rPr>
        <w:t>ESG</w:t>
      </w:r>
      <w:r>
        <w:rPr>
          <w:rFonts w:cs="Arial"/>
        </w:rPr>
        <w:t>_10&gt;</w:t>
      </w:r>
    </w:p>
    <w:p w14:paraId="601C7E78" w14:textId="77777777" w:rsidR="003E573C" w:rsidRDefault="003E573C" w:rsidP="003E573C">
      <w:pPr>
        <w:rPr>
          <w:rFonts w:cs="Arial"/>
        </w:rPr>
      </w:pPr>
    </w:p>
    <w:p w14:paraId="402CA03A" w14:textId="75386165" w:rsidR="003E573C" w:rsidRDefault="003E573C" w:rsidP="007118EB">
      <w:pPr>
        <w:pStyle w:val="Questionstyle"/>
      </w:pPr>
      <w:r>
        <w:t xml:space="preserve">: </w:t>
      </w:r>
      <w:r w:rsidR="001969F6" w:rsidRPr="001969F6">
        <w:t>The draft RTS propose in the amended templates to identify whether products making sustainable investments do so according to the EU taxonomy. While this is done to clearly indicate whether Article 5 and 6 TR products (that make sustainable investments with environmental objectives) use the taxonomy, arguably this would have the effect of requiring Article 8 and 9 SFDR products making sustainable investments with social objectives to indicate that too. Do you agree with this proposal?</w:t>
      </w:r>
    </w:p>
    <w:p w14:paraId="0B0BBAB9" w14:textId="4260C65C" w:rsidR="003E573C" w:rsidRDefault="003E573C" w:rsidP="003E573C">
      <w:pPr>
        <w:rPr>
          <w:rFonts w:cs="Arial"/>
        </w:rPr>
      </w:pPr>
      <w:r>
        <w:rPr>
          <w:rFonts w:cs="Arial"/>
        </w:rPr>
        <w:t>&lt;ESA_QUESTION_</w:t>
      </w:r>
      <w:r w:rsidR="00C86E1C">
        <w:rPr>
          <w:rFonts w:cs="Arial"/>
        </w:rPr>
        <w:t>ESG</w:t>
      </w:r>
      <w:r>
        <w:rPr>
          <w:rFonts w:cs="Arial"/>
        </w:rPr>
        <w:t>_11&gt;</w:t>
      </w:r>
    </w:p>
    <w:p w14:paraId="5C070307" w14:textId="77777777" w:rsidR="003E573C" w:rsidRDefault="003E573C" w:rsidP="003E573C">
      <w:pPr>
        <w:rPr>
          <w:rFonts w:cs="Arial"/>
        </w:rPr>
      </w:pPr>
      <w:permStart w:id="790175202" w:edGrp="everyone"/>
      <w:r>
        <w:rPr>
          <w:rFonts w:cs="Arial"/>
        </w:rPr>
        <w:t>TYPE YOUR TEXT HERE</w:t>
      </w:r>
    </w:p>
    <w:permEnd w:id="790175202"/>
    <w:p w14:paraId="140C09C0" w14:textId="31257444" w:rsidR="003E573C" w:rsidRDefault="003E573C" w:rsidP="003E573C">
      <w:pPr>
        <w:rPr>
          <w:rFonts w:cs="Arial"/>
        </w:rPr>
      </w:pPr>
      <w:r>
        <w:rPr>
          <w:rFonts w:cs="Arial"/>
        </w:rPr>
        <w:t>&lt;ESA_QUESTION_</w:t>
      </w:r>
      <w:r w:rsidR="00C86E1C">
        <w:rPr>
          <w:rFonts w:cs="Arial"/>
        </w:rPr>
        <w:t>ESG</w:t>
      </w:r>
      <w:r>
        <w:rPr>
          <w:rFonts w:cs="Arial"/>
        </w:rPr>
        <w:t>_11&gt;</w:t>
      </w:r>
    </w:p>
    <w:p w14:paraId="2CDEB4F0" w14:textId="5F67476B" w:rsidR="003E573C" w:rsidRDefault="003E573C" w:rsidP="003E573C">
      <w:pPr>
        <w:rPr>
          <w:rFonts w:cs="Arial"/>
        </w:rPr>
      </w:pPr>
    </w:p>
    <w:p w14:paraId="61320A13" w14:textId="067350C5" w:rsidR="007118EB" w:rsidRDefault="007118EB" w:rsidP="007118EB">
      <w:pPr>
        <w:pStyle w:val="Questionstyle"/>
      </w:pPr>
      <w:r>
        <w:t>:</w:t>
      </w:r>
      <w:r w:rsidR="001969F6" w:rsidRPr="001969F6">
        <w:t xml:space="preserve"> Do you have any views regarding the preliminary impact assessments? Can you provide more granular examples of costs associated with the policy options?</w:t>
      </w:r>
    </w:p>
    <w:p w14:paraId="02035181" w14:textId="6893B5C8" w:rsidR="007118EB" w:rsidRDefault="007118EB" w:rsidP="007118EB">
      <w:pPr>
        <w:rPr>
          <w:lang w:eastAsia="en-US"/>
        </w:rPr>
      </w:pPr>
      <w:r>
        <w:rPr>
          <w:lang w:eastAsia="en-US"/>
        </w:rPr>
        <w:t>&lt;ESA_QUESTION_ESG_12&gt;</w:t>
      </w:r>
    </w:p>
    <w:p w14:paraId="622A931F" w14:textId="77777777" w:rsidR="00AA1B9D" w:rsidRDefault="00AA1B9D" w:rsidP="00AA1B9D">
      <w:pPr>
        <w:rPr>
          <w:rFonts w:cs="Arial"/>
        </w:rPr>
      </w:pPr>
      <w:permStart w:id="1771197561" w:edGrp="everyone"/>
      <w:r>
        <w:rPr>
          <w:rFonts w:cs="Arial"/>
        </w:rPr>
        <w:t>TYPE YOUR TEXT HERE</w:t>
      </w:r>
    </w:p>
    <w:permEnd w:id="1771197561"/>
    <w:p w14:paraId="3577FCF9" w14:textId="5E3290C3" w:rsidR="007118EB" w:rsidRPr="007118EB" w:rsidRDefault="007118EB" w:rsidP="007118EB">
      <w:pPr>
        <w:rPr>
          <w:lang w:eastAsia="en-US"/>
        </w:rPr>
      </w:pPr>
      <w:r>
        <w:rPr>
          <w:lang w:eastAsia="en-US"/>
        </w:rPr>
        <w:t>&lt;ESA_QUESTION_ESG_12&gt;</w:t>
      </w:r>
    </w:p>
    <w:sectPr w:rsidR="007118EB" w:rsidRPr="007118EB" w:rsidSect="00A8728B">
      <w:headerReference w:type="even" r:id="rId23"/>
      <w:headerReference w:type="first" r:id="rId24"/>
      <w:footerReference w:type="first" r:id="rId25"/>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B7649D" w14:textId="77777777" w:rsidR="003E5BAD" w:rsidRDefault="003E5BAD">
      <w:r>
        <w:separator/>
      </w:r>
    </w:p>
    <w:p w14:paraId="0E9BC570" w14:textId="77777777" w:rsidR="003E5BAD" w:rsidRDefault="003E5BAD"/>
  </w:endnote>
  <w:endnote w:type="continuationSeparator" w:id="0">
    <w:p w14:paraId="48885A96" w14:textId="77777777" w:rsidR="003E5BAD" w:rsidRDefault="003E5BAD">
      <w:r>
        <w:continuationSeparator/>
      </w:r>
    </w:p>
    <w:p w14:paraId="320800CA" w14:textId="77777777" w:rsidR="003E5BAD" w:rsidRDefault="003E5BAD"/>
  </w:endnote>
  <w:endnote w:type="continuationNotice" w:id="1">
    <w:p w14:paraId="0CDEAAB5" w14:textId="77777777" w:rsidR="003E5BAD" w:rsidRDefault="003E5B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auto"/>
    <w:pitch w:val="variable"/>
    <w:sig w:usb0="00000000" w:usb1="5000A1FF" w:usb2="00000000" w:usb3="00000000" w:csb0="000001BF" w:csb1="00000000"/>
  </w:font>
  <w:font w:name="EUAlbertina">
    <w:altName w:val="Calibri"/>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780E59" w14:textId="77777777" w:rsidR="008F65D5" w:rsidRDefault="008F65D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616B9B" w14:paraId="6A3CB0EF" w14:textId="77777777" w:rsidTr="00315E96">
      <w:trPr>
        <w:trHeight w:val="284"/>
      </w:trPr>
      <w:tc>
        <w:tcPr>
          <w:tcW w:w="8460" w:type="dxa"/>
        </w:tcPr>
        <w:p w14:paraId="6A3CB0ED" w14:textId="77777777" w:rsidR="00811EDA" w:rsidRPr="00315E96" w:rsidRDefault="00811EDA" w:rsidP="00315E96">
          <w:pPr>
            <w:pStyle w:val="00Footer"/>
            <w:rPr>
              <w:lang w:val="fr-FR"/>
            </w:rPr>
          </w:pPr>
        </w:p>
      </w:tc>
      <w:tc>
        <w:tcPr>
          <w:tcW w:w="952" w:type="dxa"/>
        </w:tcPr>
        <w:p w14:paraId="6A3CB0EE" w14:textId="58853C12" w:rsidR="00811EDA" w:rsidRPr="00616B9B" w:rsidRDefault="00811EDA"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2E7D29">
            <w:rPr>
              <w:rFonts w:cs="Arial"/>
              <w:noProof/>
              <w:sz w:val="22"/>
              <w:szCs w:val="22"/>
            </w:rPr>
            <w:t>8</w:t>
          </w:r>
          <w:r w:rsidRPr="00616B9B">
            <w:rPr>
              <w:rFonts w:cs="Arial"/>
              <w:noProof/>
              <w:sz w:val="22"/>
              <w:szCs w:val="22"/>
            </w:rPr>
            <w:fldChar w:fldCharType="end"/>
          </w:r>
        </w:p>
      </w:tc>
    </w:tr>
  </w:tbl>
  <w:p w14:paraId="6A3CB0F0" w14:textId="77777777" w:rsidR="00811EDA" w:rsidRDefault="00811EDA">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7AD7D7" w14:textId="77777777" w:rsidR="008F65D5" w:rsidRDefault="008F65D5">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3CB100" w14:textId="77777777" w:rsidR="00811EDA" w:rsidRDefault="00811ED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9EF036" w14:textId="77777777" w:rsidR="003E5BAD" w:rsidRDefault="003E5BAD">
      <w:r>
        <w:separator/>
      </w:r>
    </w:p>
    <w:p w14:paraId="5A721C0F" w14:textId="77777777" w:rsidR="003E5BAD" w:rsidRDefault="003E5BAD"/>
  </w:footnote>
  <w:footnote w:type="continuationSeparator" w:id="0">
    <w:p w14:paraId="57A16A9C" w14:textId="77777777" w:rsidR="003E5BAD" w:rsidRDefault="003E5BAD">
      <w:r>
        <w:continuationSeparator/>
      </w:r>
    </w:p>
    <w:p w14:paraId="6683BC49" w14:textId="77777777" w:rsidR="003E5BAD" w:rsidRDefault="003E5BAD"/>
  </w:footnote>
  <w:footnote w:type="continuationNotice" w:id="1">
    <w:p w14:paraId="7F5A090E" w14:textId="77777777" w:rsidR="003E5BAD" w:rsidRDefault="003E5BAD"/>
  </w:footnote>
  <w:footnote w:id="2">
    <w:p w14:paraId="52F26208" w14:textId="77777777" w:rsidR="00197794" w:rsidRDefault="00197794" w:rsidP="00197794">
      <w:pPr>
        <w:pStyle w:val="Funotentext"/>
      </w:pPr>
      <w:r>
        <w:rPr>
          <w:rStyle w:val="Funotenzeichen"/>
        </w:rPr>
        <w:footnoteRef/>
      </w:r>
      <w:r>
        <w:t xml:space="preserve"> </w:t>
      </w:r>
      <w:r w:rsidRPr="00010A39">
        <w:t>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A5DCD1" w14:textId="77777777" w:rsidR="008F65D5" w:rsidRDefault="008F65D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3CB0EC" w14:textId="0B1FCCA2" w:rsidR="00811EDA" w:rsidRDefault="008F65D5">
    <w:pPr>
      <w:pStyle w:val="Kopfzeile"/>
    </w:pPr>
    <w:r>
      <w:rPr>
        <w:noProof/>
        <w:lang w:val="de-DE"/>
      </w:rPr>
      <w:drawing>
        <wp:inline distT="0" distB="0" distL="0" distR="0" wp14:anchorId="5DFA0AC9" wp14:editId="5C7CBA1A">
          <wp:extent cx="5575935" cy="5480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png"/>
                  <pic:cNvPicPr/>
                </pic:nvPicPr>
                <pic:blipFill>
                  <a:blip r:embed="rId1">
                    <a:extLst>
                      <a:ext uri="{28A0092B-C50C-407E-A947-70E740481C1C}">
                        <a14:useLocalDpi xmlns:a14="http://schemas.microsoft.com/office/drawing/2010/main" val="0"/>
                      </a:ext>
                    </a:extLst>
                  </a:blip>
                  <a:stretch>
                    <a:fillRect/>
                  </a:stretch>
                </pic:blipFill>
                <pic:spPr>
                  <a:xfrm>
                    <a:off x="0" y="0"/>
                    <a:ext cx="5575935" cy="548005"/>
                  </a:xfrm>
                  <a:prstGeom prst="rect">
                    <a:avLst/>
                  </a:prstGeom>
                  <a:extLst>
                    <a:ext uri="{FAA26D3D-D897-4be2-8F04-BA451C77F1D7}">
                      <ma14:placeholderFlag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ve="http://schemas.openxmlformats.org/markup-compatibility/2006" xmlns:arto="http://schemas.microsoft.com/office/word/2006/arto"/>
                    </a:ext>
                  </a:extLst>
                </pic:spPr>
              </pic:pic>
            </a:graphicData>
          </a:graphic>
        </wp:inline>
      </w:drawing>
    </w:r>
    <w:r w:rsidR="00DE66EB">
      <w:rPr>
        <w:noProof/>
        <w:lang w:val="de-DE"/>
      </w:rPr>
      <mc:AlternateContent>
        <mc:Choice Requires="wps">
          <w:drawing>
            <wp:anchor distT="0" distB="0" distL="114295" distR="114295" simplePos="0" relativeHeight="251656192" behindDoc="0" locked="0" layoutInCell="1" allowOverlap="1" wp14:anchorId="6A3CB103" wp14:editId="50E56350">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0A10FC32"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" strokecolor="#283583" strokeweight="1pt">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3CB0F1" w14:textId="57FA93C8" w:rsidR="00811EDA" w:rsidRDefault="008F65D5" w:rsidP="00013CCE">
    <w:pPr>
      <w:pStyle w:val="Kopfzeile"/>
      <w:jc w:val="right"/>
    </w:pPr>
    <w:r>
      <w:rPr>
        <w:noProof/>
        <w:lang w:val="de-DE"/>
      </w:rPr>
      <w:drawing>
        <wp:inline distT="0" distB="0" distL="0" distR="0" wp14:anchorId="43043680" wp14:editId="13AB93FC">
          <wp:extent cx="5575935" cy="548005"/>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png"/>
                  <pic:cNvPicPr/>
                </pic:nvPicPr>
                <pic:blipFill>
                  <a:blip r:embed="rId1">
                    <a:extLst>
                      <a:ext uri="{28A0092B-C50C-407E-A947-70E740481C1C}">
                        <a14:useLocalDpi xmlns:a14="http://schemas.microsoft.com/office/drawing/2010/main" val="0"/>
                      </a:ext>
                    </a:extLst>
                  </a:blip>
                  <a:stretch>
                    <a:fillRect/>
                  </a:stretch>
                </pic:blipFill>
                <pic:spPr>
                  <a:xfrm>
                    <a:off x="0" y="0"/>
                    <a:ext cx="5575935" cy="548005"/>
                  </a:xfrm>
                  <a:prstGeom prst="rect">
                    <a:avLst/>
                  </a:prstGeom>
                  <a:extLst>
                    <a:ext uri="{FAA26D3D-D897-4be2-8F04-BA451C77F1D7}">
                      <ma14:placeholderFlag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ve="http://schemas.openxmlformats.org/markup-compatibility/2006" xmlns:arto="http://schemas.microsoft.com/office/word/2006/arto"/>
                    </a:ext>
                  </a:extLst>
                </pic:spPr>
              </pic:pic>
            </a:graphicData>
          </a:graphic>
        </wp:inline>
      </w:drawing>
    </w:r>
    <w:r w:rsidR="00DE66EB">
      <w:rPr>
        <w:noProof/>
        <w:lang w:val="de-DE"/>
      </w:rPr>
      <w:drawing>
        <wp:anchor distT="0" distB="0" distL="114300" distR="114300" simplePos="0" relativeHeight="251655168" behindDoc="1" locked="0" layoutInCell="1" allowOverlap="1" wp14:anchorId="6A3CB107" wp14:editId="1326F10F">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11EDA">
      <w:t xml:space="preserve"> </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3CB0F2" w14:textId="77777777" w:rsidR="00811EDA" w:rsidRDefault="00811EDA"/>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2F4496" w14:paraId="6A3CB0F5" w14:textId="77777777" w:rsidTr="000C06C9">
      <w:trPr>
        <w:trHeight w:val="284"/>
      </w:trPr>
      <w:tc>
        <w:tcPr>
          <w:tcW w:w="8460" w:type="dxa"/>
        </w:tcPr>
        <w:p w14:paraId="6A3CB0F3" w14:textId="77777777" w:rsidR="00811EDA" w:rsidRPr="000C3B6D" w:rsidRDefault="00811EDA" w:rsidP="000C06C9">
          <w:pPr>
            <w:pStyle w:val="00Footer"/>
            <w:rPr>
              <w:lang w:val="fr-FR"/>
            </w:rPr>
          </w:pPr>
        </w:p>
      </w:tc>
      <w:tc>
        <w:tcPr>
          <w:tcW w:w="952" w:type="dxa"/>
        </w:tcPr>
        <w:p w14:paraId="6A3CB0F4" w14:textId="77777777" w:rsidR="00811EDA" w:rsidRPr="00146B34" w:rsidRDefault="00811EDA" w:rsidP="000C06C9">
          <w:pPr>
            <w:pStyle w:val="00aPagenumber"/>
            <w:rPr>
              <w:lang w:val="fr-FR"/>
            </w:rPr>
          </w:pPr>
        </w:p>
      </w:tc>
    </w:tr>
  </w:tbl>
  <w:p w14:paraId="6A3CB0F6" w14:textId="77777777" w:rsidR="00811EDA" w:rsidRPr="00DB46C3" w:rsidRDefault="00811EDA">
    <w:pPr>
      <w:rPr>
        <w:lang w:val="fr-FR"/>
      </w:rPr>
    </w:pPr>
  </w:p>
  <w:p w14:paraId="6A3CB0F7" w14:textId="77777777" w:rsidR="00811EDA" w:rsidRPr="002F4496" w:rsidRDefault="00811EDA">
    <w:pPr>
      <w:pStyle w:val="Kopfzeile"/>
      <w:rPr>
        <w:lang w:val="fr-FR"/>
      </w:rPr>
    </w:pPr>
  </w:p>
  <w:p w14:paraId="6A3CB0F8" w14:textId="77777777" w:rsidR="00811EDA" w:rsidRPr="002F4496" w:rsidRDefault="00811EDA" w:rsidP="000C06C9">
    <w:pPr>
      <w:pStyle w:val="Kopfzeile"/>
      <w:tabs>
        <w:tab w:val="clear" w:pos="4536"/>
        <w:tab w:val="clear" w:pos="9072"/>
        <w:tab w:val="left" w:pos="8227"/>
      </w:tabs>
      <w:rPr>
        <w:lang w:val="fr-FR"/>
      </w:rPr>
    </w:pPr>
  </w:p>
  <w:p w14:paraId="6A3CB0F9" w14:textId="77777777" w:rsidR="00811EDA" w:rsidRPr="002F4496" w:rsidRDefault="00811EDA" w:rsidP="000C06C9">
    <w:pPr>
      <w:pStyle w:val="Kopfzeile"/>
      <w:tabs>
        <w:tab w:val="clear" w:pos="4536"/>
        <w:tab w:val="clear" w:pos="9072"/>
        <w:tab w:val="left" w:pos="8227"/>
      </w:tabs>
      <w:rPr>
        <w:lang w:val="fr-FR"/>
      </w:rPr>
    </w:pPr>
  </w:p>
  <w:p w14:paraId="6A3CB0FA" w14:textId="77777777" w:rsidR="00811EDA" w:rsidRPr="002F4496" w:rsidRDefault="00811EDA">
    <w:pPr>
      <w:pStyle w:val="Kopfzeile"/>
      <w:rPr>
        <w:lang w:val="fr-FR"/>
      </w:rPr>
    </w:pPr>
  </w:p>
  <w:p w14:paraId="6A3CB0FB" w14:textId="77777777" w:rsidR="00811EDA" w:rsidRPr="002F4496" w:rsidRDefault="00811EDA">
    <w:pPr>
      <w:pStyle w:val="Kopfzeile"/>
      <w:rPr>
        <w:lang w:val="fr-FR"/>
      </w:rPr>
    </w:pPr>
  </w:p>
  <w:p w14:paraId="6A3CB0FC" w14:textId="77777777" w:rsidR="00811EDA" w:rsidRPr="002F4496" w:rsidRDefault="00811EDA">
    <w:pPr>
      <w:pStyle w:val="Kopfzeile"/>
      <w:rPr>
        <w:lang w:val="fr-FR"/>
      </w:rPr>
    </w:pPr>
  </w:p>
  <w:p w14:paraId="6A3CB0FD" w14:textId="77777777" w:rsidR="00811EDA" w:rsidRPr="002F4496" w:rsidRDefault="00811EDA">
    <w:pPr>
      <w:pStyle w:val="Kopfzeile"/>
      <w:rPr>
        <w:lang w:val="fr-FR"/>
      </w:rPr>
    </w:pPr>
  </w:p>
  <w:p w14:paraId="6A3CB0FE" w14:textId="77777777" w:rsidR="00811EDA" w:rsidRPr="002F4496" w:rsidRDefault="00811EDA">
    <w:pPr>
      <w:pStyle w:val="Kopfzeile"/>
      <w:rPr>
        <w:highlight w:val="yellow"/>
        <w:lang w:val="fr-FR"/>
      </w:rPr>
    </w:pPr>
  </w:p>
  <w:p w14:paraId="6A3CB0FF" w14:textId="05D5FF53" w:rsidR="00811EDA" w:rsidRDefault="00DE66EB">
    <w:pPr>
      <w:pStyle w:val="Kopfzeile"/>
    </w:pPr>
    <w:r>
      <w:rPr>
        <w:noProof/>
        <w:lang w:val="de-DE"/>
      </w:rPr>
      <mc:AlternateContent>
        <mc:Choice Requires="wps">
          <w:drawing>
            <wp:anchor distT="0" distB="0" distL="114299" distR="114299" simplePos="0" relativeHeight="251660288" behindDoc="0" locked="0" layoutInCell="1" allowOverlap="1" wp14:anchorId="6A3CB109" wp14:editId="6A3CB10A">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75AC2E04"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" strokecolor="#283583" strokeweight="1pt">
              <w10:wrap anchorx="page" anchory="page"/>
            </v:line>
          </w:pict>
        </mc:Fallback>
      </mc:AlternateContent>
    </w:r>
    <w:r w:rsidR="008F65D5">
      <w:rPr>
        <w:noProof/>
        <w:lang w:val="de-DE"/>
      </w:rPr>
      <w:drawing>
        <wp:inline distT="0" distB="0" distL="0" distR="0" wp14:anchorId="7DB0CF77" wp14:editId="031410E7">
          <wp:extent cx="5575935" cy="5480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png"/>
                  <pic:cNvPicPr/>
                </pic:nvPicPr>
                <pic:blipFill>
                  <a:blip r:embed="rId1">
                    <a:extLst>
                      <a:ext uri="{28A0092B-C50C-407E-A947-70E740481C1C}">
                        <a14:useLocalDpi xmlns:a14="http://schemas.microsoft.com/office/drawing/2010/main" val="0"/>
                      </a:ext>
                    </a:extLst>
                  </a:blip>
                  <a:stretch>
                    <a:fillRect/>
                  </a:stretch>
                </pic:blipFill>
                <pic:spPr>
                  <a:xfrm>
                    <a:off x="0" y="0"/>
                    <a:ext cx="5575935" cy="548005"/>
                  </a:xfrm>
                  <a:prstGeom prst="rect">
                    <a:avLst/>
                  </a:prstGeom>
                  <a:extLst>
                    <a:ext uri="{FAA26D3D-D897-4be2-8F04-BA451C77F1D7}">
                      <ma14:placeholderFlag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ve="http://schemas.openxmlformats.org/markup-compatibility/2006" xmlns:arto="http://schemas.microsoft.com/office/word/2006/arto"/>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Aufzhlungszeichen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4" w15:restartNumberingAfterBreak="0">
    <w:nsid w:val="1DAE53C8"/>
    <w:multiLevelType w:val="multilevel"/>
    <w:tmpl w:val="ACFA87A8"/>
    <w:lvl w:ilvl="0">
      <w:start w:val="1"/>
      <w:numFmt w:val="decimal"/>
      <w:pStyle w:val="Textkrper"/>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6"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8"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9" w15:restartNumberingAfterBreak="0">
    <w:nsid w:val="2EAF387C"/>
    <w:multiLevelType w:val="hybridMultilevel"/>
    <w:tmpl w:val="92F09644"/>
    <w:lvl w:ilvl="0" w:tplc="1FCC56D4">
      <w:start w:val="1"/>
      <w:numFmt w:val="decimal"/>
      <w:pStyle w:val="QuestionsFORM"/>
      <w:lvlText w:val="Q%1:"/>
      <w:lvlJc w:val="left"/>
      <w:pPr>
        <w:ind w:left="644" w:hanging="360"/>
      </w:pPr>
      <w:rPr>
        <w:rFonts w:asciiTheme="minorHAnsi" w:hAnsiTheme="minorHAnsi" w:cstheme="minorHAnsi" w:hint="default"/>
        <w:b/>
        <w:sz w:val="22"/>
        <w:szCs w:val="22"/>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35792E13"/>
    <w:multiLevelType w:val="hybridMultilevel"/>
    <w:tmpl w:val="AB44C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52232B"/>
    <w:multiLevelType w:val="hybridMultilevel"/>
    <w:tmpl w:val="B5CCF242"/>
    <w:lvl w:ilvl="0" w:tplc="5F361060">
      <w:start w:val="1"/>
      <w:numFmt w:val="decimal"/>
      <w:pStyle w:val="Questionstyle"/>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4" w15:restartNumberingAfterBreak="0">
    <w:nsid w:val="3A580B10"/>
    <w:multiLevelType w:val="hybridMultilevel"/>
    <w:tmpl w:val="0734942C"/>
    <w:lvl w:ilvl="0" w:tplc="1D8008F8">
      <w:start w:val="1"/>
      <w:numFmt w:val="bullet"/>
      <w:lvlText w:val=""/>
      <w:lvlJc w:val="left"/>
      <w:pPr>
        <w:ind w:left="1146" w:hanging="360"/>
      </w:pPr>
      <w:rPr>
        <w:rFonts w:ascii="Wingdings" w:hAnsi="Wingdings" w:hint="default"/>
        <w:color w:val="00408A"/>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5" w15:restartNumberingAfterBreak="0">
    <w:nsid w:val="3A841364"/>
    <w:multiLevelType w:val="hybridMultilevel"/>
    <w:tmpl w:val="21CCF614"/>
    <w:lvl w:ilvl="0" w:tplc="08090017">
      <w:start w:val="1"/>
      <w:numFmt w:val="lowerLetter"/>
      <w:pStyle w:val="Aufzhlungszeichen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7"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9"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0"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1" w15:restartNumberingAfterBreak="0">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0A041B"/>
    <w:multiLevelType w:val="hybridMultilevel"/>
    <w:tmpl w:val="4E1A8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4" w15:restartNumberingAfterBreak="0">
    <w:nsid w:val="4C7151D2"/>
    <w:multiLevelType w:val="hybridMultilevel"/>
    <w:tmpl w:val="DE90C632"/>
    <w:lvl w:ilvl="0" w:tplc="08090001">
      <w:start w:val="1"/>
      <w:numFmt w:val="bullet"/>
      <w:pStyle w:val="Aufzhlungszeichen"/>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542A1A9F"/>
    <w:multiLevelType w:val="hybridMultilevel"/>
    <w:tmpl w:val="40E616FE"/>
    <w:lvl w:ilvl="0" w:tplc="3EEE88B2">
      <w:start w:val="1"/>
      <w:numFmt w:val="decimal"/>
      <w:pStyle w:val="QStyle"/>
      <w:lvlText w:val="Q%1"/>
      <w:lvlJc w:val="left"/>
      <w:pPr>
        <w:ind w:left="5127" w:hanging="360"/>
      </w:pPr>
      <w:rPr>
        <w:rFonts w:hint="default"/>
        <w:b/>
        <w:i w:val="0"/>
      </w:rPr>
    </w:lvl>
    <w:lvl w:ilvl="1" w:tplc="08090019">
      <w:start w:val="1"/>
      <w:numFmt w:val="lowerLetter"/>
      <w:lvlText w:val="%2."/>
      <w:lvlJc w:val="left"/>
      <w:pPr>
        <w:ind w:left="5847" w:hanging="360"/>
      </w:pPr>
    </w:lvl>
    <w:lvl w:ilvl="2" w:tplc="0809001B" w:tentative="1">
      <w:start w:val="1"/>
      <w:numFmt w:val="lowerRoman"/>
      <w:lvlText w:val="%3."/>
      <w:lvlJc w:val="right"/>
      <w:pPr>
        <w:ind w:left="6567" w:hanging="180"/>
      </w:pPr>
    </w:lvl>
    <w:lvl w:ilvl="3" w:tplc="0809000F" w:tentative="1">
      <w:start w:val="1"/>
      <w:numFmt w:val="decimal"/>
      <w:lvlText w:val="%4."/>
      <w:lvlJc w:val="left"/>
      <w:pPr>
        <w:ind w:left="7287" w:hanging="360"/>
      </w:pPr>
    </w:lvl>
    <w:lvl w:ilvl="4" w:tplc="08090019" w:tentative="1">
      <w:start w:val="1"/>
      <w:numFmt w:val="lowerLetter"/>
      <w:lvlText w:val="%5."/>
      <w:lvlJc w:val="left"/>
      <w:pPr>
        <w:ind w:left="8007" w:hanging="360"/>
      </w:pPr>
    </w:lvl>
    <w:lvl w:ilvl="5" w:tplc="0809001B" w:tentative="1">
      <w:start w:val="1"/>
      <w:numFmt w:val="lowerRoman"/>
      <w:lvlText w:val="%6."/>
      <w:lvlJc w:val="right"/>
      <w:pPr>
        <w:ind w:left="8727" w:hanging="180"/>
      </w:pPr>
    </w:lvl>
    <w:lvl w:ilvl="6" w:tplc="0809000F" w:tentative="1">
      <w:start w:val="1"/>
      <w:numFmt w:val="decimal"/>
      <w:lvlText w:val="%7."/>
      <w:lvlJc w:val="left"/>
      <w:pPr>
        <w:ind w:left="9447" w:hanging="360"/>
      </w:pPr>
    </w:lvl>
    <w:lvl w:ilvl="7" w:tplc="08090019" w:tentative="1">
      <w:start w:val="1"/>
      <w:numFmt w:val="lowerLetter"/>
      <w:lvlText w:val="%8."/>
      <w:lvlJc w:val="left"/>
      <w:pPr>
        <w:ind w:left="10167" w:hanging="360"/>
      </w:pPr>
    </w:lvl>
    <w:lvl w:ilvl="8" w:tplc="0809001B" w:tentative="1">
      <w:start w:val="1"/>
      <w:numFmt w:val="lowerRoman"/>
      <w:lvlText w:val="%9."/>
      <w:lvlJc w:val="right"/>
      <w:pPr>
        <w:ind w:left="10887" w:hanging="180"/>
      </w:pPr>
    </w:lvl>
  </w:abstractNum>
  <w:abstractNum w:abstractNumId="27"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8" w15:restartNumberingAfterBreak="0">
    <w:nsid w:val="55DE60E9"/>
    <w:multiLevelType w:val="hybridMultilevel"/>
    <w:tmpl w:val="1084069A"/>
    <w:lvl w:ilvl="0" w:tplc="B532C018">
      <w:start w:val="2"/>
      <w:numFmt w:val="upperRoman"/>
      <w:pStyle w:val="berschrift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30"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1"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2"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3" w15:restartNumberingAfterBreak="0">
    <w:nsid w:val="605735B9"/>
    <w:multiLevelType w:val="hybridMultilevel"/>
    <w:tmpl w:val="AD1C76E8"/>
    <w:lvl w:ilvl="0" w:tplc="6658B948">
      <w:start w:val="1"/>
      <w:numFmt w:val="decimal"/>
      <w:pStyle w:val="berschrift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970F71"/>
    <w:multiLevelType w:val="singleLevel"/>
    <w:tmpl w:val="A8CADBFA"/>
    <w:name w:val="Bullet 0"/>
    <w:lvl w:ilvl="0">
      <w:start w:val="1"/>
      <w:numFmt w:val="bullet"/>
      <w:pStyle w:val="Listennummer"/>
      <w:lvlText w:val="–"/>
      <w:lvlJc w:val="left"/>
      <w:pPr>
        <w:tabs>
          <w:tab w:val="num" w:pos="1417"/>
        </w:tabs>
        <w:ind w:left="1417" w:hanging="567"/>
      </w:pPr>
    </w:lvl>
  </w:abstractNum>
  <w:abstractNum w:abstractNumId="35"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6"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7"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9"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0" w15:restartNumberingAfterBreak="0">
    <w:nsid w:val="7A6D0775"/>
    <w:multiLevelType w:val="hybridMultilevel"/>
    <w:tmpl w:val="912CC6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7"/>
  </w:num>
  <w:num w:numId="2">
    <w:abstractNumId w:val="19"/>
  </w:num>
  <w:num w:numId="3">
    <w:abstractNumId w:val="11"/>
  </w:num>
  <w:num w:numId="4">
    <w:abstractNumId w:val="25"/>
  </w:num>
  <w:num w:numId="5">
    <w:abstractNumId w:val="28"/>
  </w:num>
  <w:num w:numId="6">
    <w:abstractNumId w:val="0"/>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4"/>
  </w:num>
  <w:num w:numId="1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0"/>
  </w:num>
  <w:num w:numId="13">
    <w:abstractNumId w:val="33"/>
  </w:num>
  <w:num w:numId="14">
    <w:abstractNumId w:val="24"/>
  </w:num>
  <w:num w:numId="15">
    <w:abstractNumId w:val="8"/>
  </w:num>
  <w:num w:numId="16">
    <w:abstractNumId w:val="1"/>
  </w:num>
  <w:num w:numId="17">
    <w:abstractNumId w:val="15"/>
  </w:num>
  <w:num w:numId="18">
    <w:abstractNumId w:val="16"/>
  </w:num>
  <w:num w:numId="19">
    <w:abstractNumId w:val="18"/>
  </w:num>
  <w:num w:numId="20">
    <w:abstractNumId w:val="29"/>
  </w:num>
  <w:num w:numId="21">
    <w:abstractNumId w:val="38"/>
  </w:num>
  <w:num w:numId="22">
    <w:abstractNumId w:val="27"/>
  </w:num>
  <w:num w:numId="23">
    <w:abstractNumId w:val="7"/>
  </w:num>
  <w:num w:numId="24">
    <w:abstractNumId w:val="32"/>
  </w:num>
  <w:num w:numId="25">
    <w:abstractNumId w:val="31"/>
  </w:num>
  <w:num w:numId="26">
    <w:abstractNumId w:val="20"/>
  </w:num>
  <w:num w:numId="27">
    <w:abstractNumId w:val="35"/>
  </w:num>
  <w:num w:numId="28">
    <w:abstractNumId w:val="41"/>
  </w:num>
  <w:num w:numId="29">
    <w:abstractNumId w:val="5"/>
  </w:num>
  <w:num w:numId="30">
    <w:abstractNumId w:val="2"/>
  </w:num>
  <w:num w:numId="31">
    <w:abstractNumId w:val="23"/>
  </w:num>
  <w:num w:numId="32">
    <w:abstractNumId w:val="21"/>
  </w:num>
  <w:num w:numId="33">
    <w:abstractNumId w:val="37"/>
  </w:num>
  <w:num w:numId="34">
    <w:abstractNumId w:val="36"/>
  </w:num>
  <w:num w:numId="35">
    <w:abstractNumId w:val="9"/>
  </w:num>
  <w:num w:numId="36">
    <w:abstractNumId w:val="10"/>
  </w:num>
  <w:num w:numId="37">
    <w:abstractNumId w:val="12"/>
  </w:num>
  <w:num w:numId="38">
    <w:abstractNumId w:val="26"/>
  </w:num>
  <w:num w:numId="39">
    <w:abstractNumId w:val="22"/>
  </w:num>
  <w:num w:numId="40">
    <w:abstractNumId w:val="14"/>
  </w:num>
  <w:num w:numId="41">
    <w:abstractNumId w:val="40"/>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dPlCUEaAvJr8Lb5jkry+wZ+XFSdqn0f3IBqahFJAhxoajC/E+IoKSpsKau2RKxbE/TsCjXDm8uSYLCv0ZdRDYw==" w:salt="1tIUBtEByNwPcaf2tV4ZAQ=="/>
  <w:defaultTabStop w:val="709"/>
  <w:autoHyphenation/>
  <w:hyphenationZone w:val="567"/>
  <w:characterSpacingControl w:val="doNotCompress"/>
  <w:hdrShapeDefaults>
    <o:shapedefaults v:ext="edit" spidmax="12289">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035"/>
    <w:rsid w:val="00026269"/>
    <w:rsid w:val="00027154"/>
    <w:rsid w:val="00027ECF"/>
    <w:rsid w:val="000303BE"/>
    <w:rsid w:val="000321C9"/>
    <w:rsid w:val="000344D6"/>
    <w:rsid w:val="00034960"/>
    <w:rsid w:val="00036FAE"/>
    <w:rsid w:val="00041858"/>
    <w:rsid w:val="0004389E"/>
    <w:rsid w:val="000439D8"/>
    <w:rsid w:val="000463A6"/>
    <w:rsid w:val="00046CC9"/>
    <w:rsid w:val="00046E91"/>
    <w:rsid w:val="000502FE"/>
    <w:rsid w:val="0005126D"/>
    <w:rsid w:val="00051992"/>
    <w:rsid w:val="00051DFE"/>
    <w:rsid w:val="00051E9A"/>
    <w:rsid w:val="000521A7"/>
    <w:rsid w:val="00052F47"/>
    <w:rsid w:val="0005399B"/>
    <w:rsid w:val="00054DE6"/>
    <w:rsid w:val="000569D7"/>
    <w:rsid w:val="000576D7"/>
    <w:rsid w:val="00060F72"/>
    <w:rsid w:val="00062592"/>
    <w:rsid w:val="000636A1"/>
    <w:rsid w:val="000649D9"/>
    <w:rsid w:val="000652BE"/>
    <w:rsid w:val="00066479"/>
    <w:rsid w:val="00066F6B"/>
    <w:rsid w:val="0006723C"/>
    <w:rsid w:val="00070376"/>
    <w:rsid w:val="00070974"/>
    <w:rsid w:val="00071EAD"/>
    <w:rsid w:val="00071F4E"/>
    <w:rsid w:val="00072271"/>
    <w:rsid w:val="00072B54"/>
    <w:rsid w:val="000744C3"/>
    <w:rsid w:val="0007463D"/>
    <w:rsid w:val="000749F0"/>
    <w:rsid w:val="0007609D"/>
    <w:rsid w:val="00077C67"/>
    <w:rsid w:val="00080976"/>
    <w:rsid w:val="00081148"/>
    <w:rsid w:val="00081CEB"/>
    <w:rsid w:val="00081E60"/>
    <w:rsid w:val="00082626"/>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58BE"/>
    <w:rsid w:val="000A7314"/>
    <w:rsid w:val="000A7B53"/>
    <w:rsid w:val="000A7B64"/>
    <w:rsid w:val="000A7D5F"/>
    <w:rsid w:val="000B145F"/>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340A"/>
    <w:rsid w:val="000D4660"/>
    <w:rsid w:val="000D5D1A"/>
    <w:rsid w:val="000D705D"/>
    <w:rsid w:val="000D7EB9"/>
    <w:rsid w:val="000E0223"/>
    <w:rsid w:val="000E0CF3"/>
    <w:rsid w:val="000E18A8"/>
    <w:rsid w:val="000E1AEC"/>
    <w:rsid w:val="000E3937"/>
    <w:rsid w:val="000E4926"/>
    <w:rsid w:val="000E5F7F"/>
    <w:rsid w:val="000E667A"/>
    <w:rsid w:val="000E7086"/>
    <w:rsid w:val="000E7C65"/>
    <w:rsid w:val="000F04D2"/>
    <w:rsid w:val="000F55B7"/>
    <w:rsid w:val="000F604F"/>
    <w:rsid w:val="000F7399"/>
    <w:rsid w:val="001027F1"/>
    <w:rsid w:val="00104F2E"/>
    <w:rsid w:val="001072DD"/>
    <w:rsid w:val="00110D7A"/>
    <w:rsid w:val="00111464"/>
    <w:rsid w:val="0011167D"/>
    <w:rsid w:val="00112892"/>
    <w:rsid w:val="00112E48"/>
    <w:rsid w:val="001130EA"/>
    <w:rsid w:val="00114259"/>
    <w:rsid w:val="001148DD"/>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07B9"/>
    <w:rsid w:val="00170D44"/>
    <w:rsid w:val="00171183"/>
    <w:rsid w:val="001725A5"/>
    <w:rsid w:val="00172681"/>
    <w:rsid w:val="00173AC7"/>
    <w:rsid w:val="00173B4B"/>
    <w:rsid w:val="001745D7"/>
    <w:rsid w:val="00175754"/>
    <w:rsid w:val="00176982"/>
    <w:rsid w:val="0017701C"/>
    <w:rsid w:val="00181264"/>
    <w:rsid w:val="001817D7"/>
    <w:rsid w:val="00181BD1"/>
    <w:rsid w:val="0018204A"/>
    <w:rsid w:val="00182AFE"/>
    <w:rsid w:val="00182F7C"/>
    <w:rsid w:val="001843B5"/>
    <w:rsid w:val="00186829"/>
    <w:rsid w:val="001868CA"/>
    <w:rsid w:val="00187304"/>
    <w:rsid w:val="001875BE"/>
    <w:rsid w:val="0019017A"/>
    <w:rsid w:val="00190B8C"/>
    <w:rsid w:val="00190FF8"/>
    <w:rsid w:val="0019311A"/>
    <w:rsid w:val="0019508A"/>
    <w:rsid w:val="00195BFF"/>
    <w:rsid w:val="001960D8"/>
    <w:rsid w:val="001969F6"/>
    <w:rsid w:val="00197794"/>
    <w:rsid w:val="001A1642"/>
    <w:rsid w:val="001A371B"/>
    <w:rsid w:val="001A4766"/>
    <w:rsid w:val="001A5E5C"/>
    <w:rsid w:val="001A6A0D"/>
    <w:rsid w:val="001A6C51"/>
    <w:rsid w:val="001A6FAA"/>
    <w:rsid w:val="001A7D73"/>
    <w:rsid w:val="001B0363"/>
    <w:rsid w:val="001B1355"/>
    <w:rsid w:val="001B3138"/>
    <w:rsid w:val="001B38DE"/>
    <w:rsid w:val="001B4E4B"/>
    <w:rsid w:val="001B50AC"/>
    <w:rsid w:val="001B55FB"/>
    <w:rsid w:val="001B5E05"/>
    <w:rsid w:val="001B6D68"/>
    <w:rsid w:val="001B6F2E"/>
    <w:rsid w:val="001C0344"/>
    <w:rsid w:val="001C0F2A"/>
    <w:rsid w:val="001C16BA"/>
    <w:rsid w:val="001C1A59"/>
    <w:rsid w:val="001C270F"/>
    <w:rsid w:val="001C4679"/>
    <w:rsid w:val="001C5770"/>
    <w:rsid w:val="001C6195"/>
    <w:rsid w:val="001D000A"/>
    <w:rsid w:val="001D0883"/>
    <w:rsid w:val="001D12A2"/>
    <w:rsid w:val="001D2205"/>
    <w:rsid w:val="001D3A1F"/>
    <w:rsid w:val="001D3FB6"/>
    <w:rsid w:val="001D4550"/>
    <w:rsid w:val="001D536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1058D"/>
    <w:rsid w:val="00210E59"/>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4077"/>
    <w:rsid w:val="00266B9A"/>
    <w:rsid w:val="00270E54"/>
    <w:rsid w:val="00273681"/>
    <w:rsid w:val="002754B5"/>
    <w:rsid w:val="002764C5"/>
    <w:rsid w:val="002772AE"/>
    <w:rsid w:val="00280613"/>
    <w:rsid w:val="00281E71"/>
    <w:rsid w:val="0028274D"/>
    <w:rsid w:val="00282B96"/>
    <w:rsid w:val="00282DFB"/>
    <w:rsid w:val="002833D6"/>
    <w:rsid w:val="00283F51"/>
    <w:rsid w:val="00286064"/>
    <w:rsid w:val="002867B1"/>
    <w:rsid w:val="00287BBB"/>
    <w:rsid w:val="00287E3B"/>
    <w:rsid w:val="00290638"/>
    <w:rsid w:val="00291763"/>
    <w:rsid w:val="00291D80"/>
    <w:rsid w:val="00293156"/>
    <w:rsid w:val="00293BE7"/>
    <w:rsid w:val="002946DC"/>
    <w:rsid w:val="00296005"/>
    <w:rsid w:val="002A0C82"/>
    <w:rsid w:val="002A0CD8"/>
    <w:rsid w:val="002A13EB"/>
    <w:rsid w:val="002A35EF"/>
    <w:rsid w:val="002A3DE0"/>
    <w:rsid w:val="002A40EA"/>
    <w:rsid w:val="002A46E8"/>
    <w:rsid w:val="002A491C"/>
    <w:rsid w:val="002A73F1"/>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0BB"/>
    <w:rsid w:val="002E387F"/>
    <w:rsid w:val="002E4F86"/>
    <w:rsid w:val="002E7113"/>
    <w:rsid w:val="002E7D29"/>
    <w:rsid w:val="002E7F4B"/>
    <w:rsid w:val="002E7FB3"/>
    <w:rsid w:val="002F0C91"/>
    <w:rsid w:val="002F0E3E"/>
    <w:rsid w:val="002F1B19"/>
    <w:rsid w:val="002F1FBF"/>
    <w:rsid w:val="002F4139"/>
    <w:rsid w:val="00300624"/>
    <w:rsid w:val="00300F56"/>
    <w:rsid w:val="00301006"/>
    <w:rsid w:val="00303565"/>
    <w:rsid w:val="00304A71"/>
    <w:rsid w:val="003066C8"/>
    <w:rsid w:val="0030739D"/>
    <w:rsid w:val="00307AFB"/>
    <w:rsid w:val="00311184"/>
    <w:rsid w:val="00312675"/>
    <w:rsid w:val="00314013"/>
    <w:rsid w:val="00314945"/>
    <w:rsid w:val="00315389"/>
    <w:rsid w:val="00315746"/>
    <w:rsid w:val="00315895"/>
    <w:rsid w:val="00315E96"/>
    <w:rsid w:val="00317FC8"/>
    <w:rsid w:val="00320B9B"/>
    <w:rsid w:val="003223D7"/>
    <w:rsid w:val="00323D9F"/>
    <w:rsid w:val="00324011"/>
    <w:rsid w:val="00324FDB"/>
    <w:rsid w:val="00325F48"/>
    <w:rsid w:val="003273FE"/>
    <w:rsid w:val="0033194F"/>
    <w:rsid w:val="00332304"/>
    <w:rsid w:val="00332406"/>
    <w:rsid w:val="00332D8D"/>
    <w:rsid w:val="00336420"/>
    <w:rsid w:val="00336B56"/>
    <w:rsid w:val="00337A3F"/>
    <w:rsid w:val="00341B25"/>
    <w:rsid w:val="00341EC0"/>
    <w:rsid w:val="0034240C"/>
    <w:rsid w:val="00344496"/>
    <w:rsid w:val="00345968"/>
    <w:rsid w:val="00347667"/>
    <w:rsid w:val="003507E2"/>
    <w:rsid w:val="003522B2"/>
    <w:rsid w:val="0035455E"/>
    <w:rsid w:val="00354A6F"/>
    <w:rsid w:val="00354B48"/>
    <w:rsid w:val="00355789"/>
    <w:rsid w:val="003557F4"/>
    <w:rsid w:val="00357C60"/>
    <w:rsid w:val="003609B6"/>
    <w:rsid w:val="00361119"/>
    <w:rsid w:val="0036538D"/>
    <w:rsid w:val="00365D12"/>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B3F"/>
    <w:rsid w:val="00384CCE"/>
    <w:rsid w:val="003865E5"/>
    <w:rsid w:val="00386BB8"/>
    <w:rsid w:val="0039056F"/>
    <w:rsid w:val="003926C1"/>
    <w:rsid w:val="00392900"/>
    <w:rsid w:val="00393357"/>
    <w:rsid w:val="00394CE6"/>
    <w:rsid w:val="00395E7B"/>
    <w:rsid w:val="00395F4C"/>
    <w:rsid w:val="003A5DAC"/>
    <w:rsid w:val="003A6591"/>
    <w:rsid w:val="003A6E9A"/>
    <w:rsid w:val="003B08C8"/>
    <w:rsid w:val="003B2567"/>
    <w:rsid w:val="003B381A"/>
    <w:rsid w:val="003B4976"/>
    <w:rsid w:val="003B4B3F"/>
    <w:rsid w:val="003B6258"/>
    <w:rsid w:val="003B7A99"/>
    <w:rsid w:val="003C0343"/>
    <w:rsid w:val="003C0E87"/>
    <w:rsid w:val="003C1C32"/>
    <w:rsid w:val="003C40DA"/>
    <w:rsid w:val="003C42BA"/>
    <w:rsid w:val="003C462F"/>
    <w:rsid w:val="003C4A02"/>
    <w:rsid w:val="003C4F05"/>
    <w:rsid w:val="003C6191"/>
    <w:rsid w:val="003C6E49"/>
    <w:rsid w:val="003C74B0"/>
    <w:rsid w:val="003D0CBF"/>
    <w:rsid w:val="003D0DD6"/>
    <w:rsid w:val="003D4B73"/>
    <w:rsid w:val="003D503B"/>
    <w:rsid w:val="003D605E"/>
    <w:rsid w:val="003D61D1"/>
    <w:rsid w:val="003D6780"/>
    <w:rsid w:val="003D6FCB"/>
    <w:rsid w:val="003E0F84"/>
    <w:rsid w:val="003E1FF3"/>
    <w:rsid w:val="003E3ACA"/>
    <w:rsid w:val="003E50EA"/>
    <w:rsid w:val="003E573C"/>
    <w:rsid w:val="003E5BAD"/>
    <w:rsid w:val="003E68C7"/>
    <w:rsid w:val="003E79B0"/>
    <w:rsid w:val="003F0403"/>
    <w:rsid w:val="003F1094"/>
    <w:rsid w:val="003F29B4"/>
    <w:rsid w:val="003F2E45"/>
    <w:rsid w:val="003F3EFE"/>
    <w:rsid w:val="003F40B8"/>
    <w:rsid w:val="003F5C06"/>
    <w:rsid w:val="00400195"/>
    <w:rsid w:val="0040075B"/>
    <w:rsid w:val="0040254B"/>
    <w:rsid w:val="00403086"/>
    <w:rsid w:val="00403460"/>
    <w:rsid w:val="004040FF"/>
    <w:rsid w:val="00404284"/>
    <w:rsid w:val="004042C4"/>
    <w:rsid w:val="00406E90"/>
    <w:rsid w:val="00407232"/>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0B2A"/>
    <w:rsid w:val="0043173B"/>
    <w:rsid w:val="00432A91"/>
    <w:rsid w:val="004332A4"/>
    <w:rsid w:val="0043453F"/>
    <w:rsid w:val="00434A74"/>
    <w:rsid w:val="00436A79"/>
    <w:rsid w:val="00437929"/>
    <w:rsid w:val="00437A4A"/>
    <w:rsid w:val="00440541"/>
    <w:rsid w:val="0044162D"/>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247E"/>
    <w:rsid w:val="004634A7"/>
    <w:rsid w:val="00463787"/>
    <w:rsid w:val="00466926"/>
    <w:rsid w:val="00466FDA"/>
    <w:rsid w:val="004671D0"/>
    <w:rsid w:val="004674D1"/>
    <w:rsid w:val="00470773"/>
    <w:rsid w:val="00471FF9"/>
    <w:rsid w:val="004733D0"/>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3FB"/>
    <w:rsid w:val="004A0D09"/>
    <w:rsid w:val="004A116E"/>
    <w:rsid w:val="004A357F"/>
    <w:rsid w:val="004A3DAD"/>
    <w:rsid w:val="004A4AC0"/>
    <w:rsid w:val="004B0335"/>
    <w:rsid w:val="004B0F1C"/>
    <w:rsid w:val="004B1D0D"/>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AE4"/>
    <w:rsid w:val="004E6B05"/>
    <w:rsid w:val="004E76A1"/>
    <w:rsid w:val="004F05DE"/>
    <w:rsid w:val="004F2D9A"/>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29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4B1F"/>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50C3"/>
    <w:rsid w:val="0054672D"/>
    <w:rsid w:val="00550F4E"/>
    <w:rsid w:val="005532B5"/>
    <w:rsid w:val="00554A05"/>
    <w:rsid w:val="00555849"/>
    <w:rsid w:val="005559A8"/>
    <w:rsid w:val="00557048"/>
    <w:rsid w:val="00557FB5"/>
    <w:rsid w:val="00561AED"/>
    <w:rsid w:val="005648A8"/>
    <w:rsid w:val="00564DE3"/>
    <w:rsid w:val="00564E44"/>
    <w:rsid w:val="00566394"/>
    <w:rsid w:val="00566C6A"/>
    <w:rsid w:val="00566CE5"/>
    <w:rsid w:val="00566D36"/>
    <w:rsid w:val="00573569"/>
    <w:rsid w:val="00573871"/>
    <w:rsid w:val="0057389E"/>
    <w:rsid w:val="005738DE"/>
    <w:rsid w:val="005762EC"/>
    <w:rsid w:val="005765C0"/>
    <w:rsid w:val="005778DE"/>
    <w:rsid w:val="00580B3F"/>
    <w:rsid w:val="005825F2"/>
    <w:rsid w:val="00582AAD"/>
    <w:rsid w:val="005860AF"/>
    <w:rsid w:val="00587F1D"/>
    <w:rsid w:val="00590348"/>
    <w:rsid w:val="00591161"/>
    <w:rsid w:val="00592318"/>
    <w:rsid w:val="00593133"/>
    <w:rsid w:val="0059575D"/>
    <w:rsid w:val="00596825"/>
    <w:rsid w:val="005A150A"/>
    <w:rsid w:val="005A2B3E"/>
    <w:rsid w:val="005A3644"/>
    <w:rsid w:val="005A4087"/>
    <w:rsid w:val="005A4B18"/>
    <w:rsid w:val="005A4DF9"/>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4E0E"/>
    <w:rsid w:val="005C6485"/>
    <w:rsid w:val="005C663C"/>
    <w:rsid w:val="005D0594"/>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A40"/>
    <w:rsid w:val="005F3FB1"/>
    <w:rsid w:val="005F5ACF"/>
    <w:rsid w:val="005F60DC"/>
    <w:rsid w:val="005F6BE3"/>
    <w:rsid w:val="006000DD"/>
    <w:rsid w:val="00600F63"/>
    <w:rsid w:val="006012E1"/>
    <w:rsid w:val="00602253"/>
    <w:rsid w:val="006023E1"/>
    <w:rsid w:val="006036BB"/>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17AD0"/>
    <w:rsid w:val="00620D7C"/>
    <w:rsid w:val="00621089"/>
    <w:rsid w:val="00621E1F"/>
    <w:rsid w:val="006228B2"/>
    <w:rsid w:val="006228E1"/>
    <w:rsid w:val="00622E32"/>
    <w:rsid w:val="00623688"/>
    <w:rsid w:val="006247E0"/>
    <w:rsid w:val="00625F82"/>
    <w:rsid w:val="00627999"/>
    <w:rsid w:val="00630CD7"/>
    <w:rsid w:val="00630FF7"/>
    <w:rsid w:val="00633433"/>
    <w:rsid w:val="006341B5"/>
    <w:rsid w:val="006346C9"/>
    <w:rsid w:val="00634727"/>
    <w:rsid w:val="00634B64"/>
    <w:rsid w:val="0063578C"/>
    <w:rsid w:val="00636069"/>
    <w:rsid w:val="0063642C"/>
    <w:rsid w:val="0063681E"/>
    <w:rsid w:val="00636FF9"/>
    <w:rsid w:val="00640DCD"/>
    <w:rsid w:val="00641DC3"/>
    <w:rsid w:val="0064208D"/>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0D"/>
    <w:rsid w:val="00660BF0"/>
    <w:rsid w:val="0066189C"/>
    <w:rsid w:val="006630CF"/>
    <w:rsid w:val="00663EFF"/>
    <w:rsid w:val="00666A17"/>
    <w:rsid w:val="00666F74"/>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20C8"/>
    <w:rsid w:val="00694B73"/>
    <w:rsid w:val="00694DF2"/>
    <w:rsid w:val="00695F80"/>
    <w:rsid w:val="006966CD"/>
    <w:rsid w:val="00696735"/>
    <w:rsid w:val="006975D4"/>
    <w:rsid w:val="0069780E"/>
    <w:rsid w:val="00697D13"/>
    <w:rsid w:val="006A24D5"/>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CE6"/>
    <w:rsid w:val="006C5E96"/>
    <w:rsid w:val="006C795E"/>
    <w:rsid w:val="006D399F"/>
    <w:rsid w:val="006D4F0C"/>
    <w:rsid w:val="006D5645"/>
    <w:rsid w:val="006E0A4F"/>
    <w:rsid w:val="006E0C8A"/>
    <w:rsid w:val="006E2A23"/>
    <w:rsid w:val="006E35E5"/>
    <w:rsid w:val="006E3C72"/>
    <w:rsid w:val="006E4F20"/>
    <w:rsid w:val="006E649A"/>
    <w:rsid w:val="006F08DC"/>
    <w:rsid w:val="006F1D42"/>
    <w:rsid w:val="006F3948"/>
    <w:rsid w:val="006F4403"/>
    <w:rsid w:val="006F4535"/>
    <w:rsid w:val="006F45EC"/>
    <w:rsid w:val="006F47B8"/>
    <w:rsid w:val="006F47D2"/>
    <w:rsid w:val="006F4B04"/>
    <w:rsid w:val="006F5456"/>
    <w:rsid w:val="006F57F2"/>
    <w:rsid w:val="006F6468"/>
    <w:rsid w:val="00700247"/>
    <w:rsid w:val="00701051"/>
    <w:rsid w:val="007021C2"/>
    <w:rsid w:val="00702502"/>
    <w:rsid w:val="007033A8"/>
    <w:rsid w:val="00703E9A"/>
    <w:rsid w:val="0070421B"/>
    <w:rsid w:val="007043F0"/>
    <w:rsid w:val="0070482E"/>
    <w:rsid w:val="00704D25"/>
    <w:rsid w:val="00704EED"/>
    <w:rsid w:val="00710519"/>
    <w:rsid w:val="00710F6E"/>
    <w:rsid w:val="00711663"/>
    <w:rsid w:val="007116B4"/>
    <w:rsid w:val="007118EB"/>
    <w:rsid w:val="00712580"/>
    <w:rsid w:val="007133E4"/>
    <w:rsid w:val="00713788"/>
    <w:rsid w:val="00713940"/>
    <w:rsid w:val="007151A2"/>
    <w:rsid w:val="00716774"/>
    <w:rsid w:val="007209DD"/>
    <w:rsid w:val="00722E49"/>
    <w:rsid w:val="00723A08"/>
    <w:rsid w:val="00723B5C"/>
    <w:rsid w:val="00724391"/>
    <w:rsid w:val="00724C18"/>
    <w:rsid w:val="00726630"/>
    <w:rsid w:val="00727F73"/>
    <w:rsid w:val="00730705"/>
    <w:rsid w:val="00730944"/>
    <w:rsid w:val="0073248E"/>
    <w:rsid w:val="00733EE9"/>
    <w:rsid w:val="00735B8E"/>
    <w:rsid w:val="0073673C"/>
    <w:rsid w:val="00736935"/>
    <w:rsid w:val="00743DE7"/>
    <w:rsid w:val="0074509E"/>
    <w:rsid w:val="00745B9F"/>
    <w:rsid w:val="0074726F"/>
    <w:rsid w:val="0075015C"/>
    <w:rsid w:val="00752D4F"/>
    <w:rsid w:val="00752DC8"/>
    <w:rsid w:val="0075409F"/>
    <w:rsid w:val="00754A9B"/>
    <w:rsid w:val="00754AC4"/>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042"/>
    <w:rsid w:val="007648A0"/>
    <w:rsid w:val="00765431"/>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2F86"/>
    <w:rsid w:val="007A31A5"/>
    <w:rsid w:val="007A411B"/>
    <w:rsid w:val="007A45E6"/>
    <w:rsid w:val="007A4B28"/>
    <w:rsid w:val="007A5C2C"/>
    <w:rsid w:val="007A6F4E"/>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519"/>
    <w:rsid w:val="007D5915"/>
    <w:rsid w:val="007D5B4F"/>
    <w:rsid w:val="007D5C30"/>
    <w:rsid w:val="007E0660"/>
    <w:rsid w:val="007E1411"/>
    <w:rsid w:val="007E1882"/>
    <w:rsid w:val="007E1BB4"/>
    <w:rsid w:val="007E3514"/>
    <w:rsid w:val="007E4AAA"/>
    <w:rsid w:val="007E4BD2"/>
    <w:rsid w:val="007E4C29"/>
    <w:rsid w:val="007E5E44"/>
    <w:rsid w:val="007F0DDA"/>
    <w:rsid w:val="007F170C"/>
    <w:rsid w:val="007F1939"/>
    <w:rsid w:val="007F365C"/>
    <w:rsid w:val="007F4A2A"/>
    <w:rsid w:val="007F5066"/>
    <w:rsid w:val="007F621C"/>
    <w:rsid w:val="007F7155"/>
    <w:rsid w:val="007F7B93"/>
    <w:rsid w:val="00800C28"/>
    <w:rsid w:val="0080245E"/>
    <w:rsid w:val="00803480"/>
    <w:rsid w:val="0080359C"/>
    <w:rsid w:val="008037AE"/>
    <w:rsid w:val="008043F4"/>
    <w:rsid w:val="00804BB4"/>
    <w:rsid w:val="00805BE8"/>
    <w:rsid w:val="00805D9F"/>
    <w:rsid w:val="00807A4D"/>
    <w:rsid w:val="00807F30"/>
    <w:rsid w:val="008103DC"/>
    <w:rsid w:val="0081119F"/>
    <w:rsid w:val="0081134D"/>
    <w:rsid w:val="00811EDA"/>
    <w:rsid w:val="00812403"/>
    <w:rsid w:val="00812FD7"/>
    <w:rsid w:val="00820623"/>
    <w:rsid w:val="00820CBA"/>
    <w:rsid w:val="00821747"/>
    <w:rsid w:val="008229A3"/>
    <w:rsid w:val="00822DFB"/>
    <w:rsid w:val="00822F64"/>
    <w:rsid w:val="00824EAF"/>
    <w:rsid w:val="008253A6"/>
    <w:rsid w:val="00825A6B"/>
    <w:rsid w:val="00825C50"/>
    <w:rsid w:val="00826577"/>
    <w:rsid w:val="00827439"/>
    <w:rsid w:val="00827C79"/>
    <w:rsid w:val="0083003F"/>
    <w:rsid w:val="00831077"/>
    <w:rsid w:val="00831A4A"/>
    <w:rsid w:val="00832134"/>
    <w:rsid w:val="0083219E"/>
    <w:rsid w:val="0083497C"/>
    <w:rsid w:val="008352A6"/>
    <w:rsid w:val="00835B01"/>
    <w:rsid w:val="00835B5B"/>
    <w:rsid w:val="008367AE"/>
    <w:rsid w:val="00836E50"/>
    <w:rsid w:val="00840477"/>
    <w:rsid w:val="0084121D"/>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01E5"/>
    <w:rsid w:val="008706C5"/>
    <w:rsid w:val="00871F04"/>
    <w:rsid w:val="008746C1"/>
    <w:rsid w:val="00880224"/>
    <w:rsid w:val="0088244C"/>
    <w:rsid w:val="00883367"/>
    <w:rsid w:val="00884C47"/>
    <w:rsid w:val="00884E92"/>
    <w:rsid w:val="00885E6F"/>
    <w:rsid w:val="008861AC"/>
    <w:rsid w:val="008868E4"/>
    <w:rsid w:val="00886A60"/>
    <w:rsid w:val="0088759B"/>
    <w:rsid w:val="008909B4"/>
    <w:rsid w:val="008922E8"/>
    <w:rsid w:val="00893916"/>
    <w:rsid w:val="008941B9"/>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5D5"/>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03D0"/>
    <w:rsid w:val="009217B1"/>
    <w:rsid w:val="00921A42"/>
    <w:rsid w:val="009223BB"/>
    <w:rsid w:val="00922491"/>
    <w:rsid w:val="00923BCF"/>
    <w:rsid w:val="009252EC"/>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47A5F"/>
    <w:rsid w:val="009503E5"/>
    <w:rsid w:val="00950F71"/>
    <w:rsid w:val="00952F2C"/>
    <w:rsid w:val="009532E3"/>
    <w:rsid w:val="00953615"/>
    <w:rsid w:val="00954A15"/>
    <w:rsid w:val="00954BAF"/>
    <w:rsid w:val="00955F48"/>
    <w:rsid w:val="009560B3"/>
    <w:rsid w:val="0095745E"/>
    <w:rsid w:val="00957CE0"/>
    <w:rsid w:val="0096002E"/>
    <w:rsid w:val="0096039E"/>
    <w:rsid w:val="00962CEF"/>
    <w:rsid w:val="00963766"/>
    <w:rsid w:val="00963D60"/>
    <w:rsid w:val="00963FDF"/>
    <w:rsid w:val="00964780"/>
    <w:rsid w:val="00964C32"/>
    <w:rsid w:val="0096528F"/>
    <w:rsid w:val="009653F2"/>
    <w:rsid w:val="009661DF"/>
    <w:rsid w:val="009667BD"/>
    <w:rsid w:val="00967674"/>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2D4E"/>
    <w:rsid w:val="00993D1B"/>
    <w:rsid w:val="00994621"/>
    <w:rsid w:val="009947FF"/>
    <w:rsid w:val="0099544B"/>
    <w:rsid w:val="00996770"/>
    <w:rsid w:val="009A053D"/>
    <w:rsid w:val="009A07A6"/>
    <w:rsid w:val="009A0D56"/>
    <w:rsid w:val="009A3017"/>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0F6"/>
    <w:rsid w:val="009C634F"/>
    <w:rsid w:val="009C6C20"/>
    <w:rsid w:val="009D0219"/>
    <w:rsid w:val="009D0D55"/>
    <w:rsid w:val="009D2295"/>
    <w:rsid w:val="009D2511"/>
    <w:rsid w:val="009D291D"/>
    <w:rsid w:val="009D3E7C"/>
    <w:rsid w:val="009D55CA"/>
    <w:rsid w:val="009D5EF0"/>
    <w:rsid w:val="009D6401"/>
    <w:rsid w:val="009E0711"/>
    <w:rsid w:val="009E1917"/>
    <w:rsid w:val="009E2FDB"/>
    <w:rsid w:val="009E3594"/>
    <w:rsid w:val="009E6B77"/>
    <w:rsid w:val="009E7724"/>
    <w:rsid w:val="009E7D1F"/>
    <w:rsid w:val="009F1D82"/>
    <w:rsid w:val="009F37AA"/>
    <w:rsid w:val="009F544C"/>
    <w:rsid w:val="009F5731"/>
    <w:rsid w:val="009F6321"/>
    <w:rsid w:val="009F6378"/>
    <w:rsid w:val="009F7669"/>
    <w:rsid w:val="009F7CF0"/>
    <w:rsid w:val="009F7F45"/>
    <w:rsid w:val="009F7FD5"/>
    <w:rsid w:val="00A005D4"/>
    <w:rsid w:val="00A0083C"/>
    <w:rsid w:val="00A01A90"/>
    <w:rsid w:val="00A02370"/>
    <w:rsid w:val="00A04685"/>
    <w:rsid w:val="00A04C57"/>
    <w:rsid w:val="00A06340"/>
    <w:rsid w:val="00A0684F"/>
    <w:rsid w:val="00A06867"/>
    <w:rsid w:val="00A10148"/>
    <w:rsid w:val="00A104FE"/>
    <w:rsid w:val="00A10776"/>
    <w:rsid w:val="00A113FD"/>
    <w:rsid w:val="00A11DDE"/>
    <w:rsid w:val="00A127A7"/>
    <w:rsid w:val="00A129F4"/>
    <w:rsid w:val="00A136F4"/>
    <w:rsid w:val="00A150F7"/>
    <w:rsid w:val="00A160D3"/>
    <w:rsid w:val="00A16DC9"/>
    <w:rsid w:val="00A20225"/>
    <w:rsid w:val="00A24269"/>
    <w:rsid w:val="00A243E4"/>
    <w:rsid w:val="00A25ED4"/>
    <w:rsid w:val="00A263DA"/>
    <w:rsid w:val="00A26C5C"/>
    <w:rsid w:val="00A30BDE"/>
    <w:rsid w:val="00A3131C"/>
    <w:rsid w:val="00A31F14"/>
    <w:rsid w:val="00A324DC"/>
    <w:rsid w:val="00A32B5A"/>
    <w:rsid w:val="00A33CCC"/>
    <w:rsid w:val="00A33ECB"/>
    <w:rsid w:val="00A34DE0"/>
    <w:rsid w:val="00A35728"/>
    <w:rsid w:val="00A36EE3"/>
    <w:rsid w:val="00A37435"/>
    <w:rsid w:val="00A40DA9"/>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24E"/>
    <w:rsid w:val="00A824A7"/>
    <w:rsid w:val="00A83644"/>
    <w:rsid w:val="00A83C07"/>
    <w:rsid w:val="00A83F40"/>
    <w:rsid w:val="00A84945"/>
    <w:rsid w:val="00A85226"/>
    <w:rsid w:val="00A85543"/>
    <w:rsid w:val="00A8728B"/>
    <w:rsid w:val="00A903D3"/>
    <w:rsid w:val="00A91682"/>
    <w:rsid w:val="00A91E16"/>
    <w:rsid w:val="00A92E4A"/>
    <w:rsid w:val="00A958CA"/>
    <w:rsid w:val="00A966B6"/>
    <w:rsid w:val="00A96B46"/>
    <w:rsid w:val="00A96C55"/>
    <w:rsid w:val="00AA003B"/>
    <w:rsid w:val="00AA016B"/>
    <w:rsid w:val="00AA15DD"/>
    <w:rsid w:val="00AA1B9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D"/>
    <w:rsid w:val="00AC61BE"/>
    <w:rsid w:val="00AD0CB4"/>
    <w:rsid w:val="00AD11E9"/>
    <w:rsid w:val="00AD1FF2"/>
    <w:rsid w:val="00AD2A21"/>
    <w:rsid w:val="00AD3B43"/>
    <w:rsid w:val="00AD4FF2"/>
    <w:rsid w:val="00AD506C"/>
    <w:rsid w:val="00AD6BE5"/>
    <w:rsid w:val="00AD7675"/>
    <w:rsid w:val="00AD783E"/>
    <w:rsid w:val="00AE1393"/>
    <w:rsid w:val="00AE3BC6"/>
    <w:rsid w:val="00AE3E2F"/>
    <w:rsid w:val="00AE4D4F"/>
    <w:rsid w:val="00AE627C"/>
    <w:rsid w:val="00AE62B0"/>
    <w:rsid w:val="00AE68A2"/>
    <w:rsid w:val="00AF0029"/>
    <w:rsid w:val="00AF0354"/>
    <w:rsid w:val="00AF1236"/>
    <w:rsid w:val="00AF38AF"/>
    <w:rsid w:val="00AF3C29"/>
    <w:rsid w:val="00AF4401"/>
    <w:rsid w:val="00AF4463"/>
    <w:rsid w:val="00AF53CB"/>
    <w:rsid w:val="00AF65C5"/>
    <w:rsid w:val="00B03CE2"/>
    <w:rsid w:val="00B059A9"/>
    <w:rsid w:val="00B063CF"/>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8EE"/>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27E9"/>
    <w:rsid w:val="00B33294"/>
    <w:rsid w:val="00B33657"/>
    <w:rsid w:val="00B34885"/>
    <w:rsid w:val="00B34D68"/>
    <w:rsid w:val="00B36117"/>
    <w:rsid w:val="00B362E3"/>
    <w:rsid w:val="00B37C73"/>
    <w:rsid w:val="00B4009B"/>
    <w:rsid w:val="00B400A1"/>
    <w:rsid w:val="00B40A2B"/>
    <w:rsid w:val="00B420CB"/>
    <w:rsid w:val="00B428D1"/>
    <w:rsid w:val="00B4401C"/>
    <w:rsid w:val="00B44802"/>
    <w:rsid w:val="00B455D1"/>
    <w:rsid w:val="00B46135"/>
    <w:rsid w:val="00B472AB"/>
    <w:rsid w:val="00B47CE4"/>
    <w:rsid w:val="00B503A8"/>
    <w:rsid w:val="00B5121D"/>
    <w:rsid w:val="00B525C0"/>
    <w:rsid w:val="00B52F48"/>
    <w:rsid w:val="00B52FAB"/>
    <w:rsid w:val="00B5319A"/>
    <w:rsid w:val="00B539F9"/>
    <w:rsid w:val="00B53E56"/>
    <w:rsid w:val="00B546C3"/>
    <w:rsid w:val="00B54BD9"/>
    <w:rsid w:val="00B5503C"/>
    <w:rsid w:val="00B55640"/>
    <w:rsid w:val="00B57107"/>
    <w:rsid w:val="00B60D27"/>
    <w:rsid w:val="00B619E4"/>
    <w:rsid w:val="00B61D0B"/>
    <w:rsid w:val="00B6439A"/>
    <w:rsid w:val="00B6443B"/>
    <w:rsid w:val="00B6517B"/>
    <w:rsid w:val="00B65E71"/>
    <w:rsid w:val="00B66C26"/>
    <w:rsid w:val="00B705C4"/>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7A"/>
    <w:rsid w:val="00BA64B3"/>
    <w:rsid w:val="00BA754A"/>
    <w:rsid w:val="00BA7820"/>
    <w:rsid w:val="00BA794C"/>
    <w:rsid w:val="00BB09FB"/>
    <w:rsid w:val="00BB1617"/>
    <w:rsid w:val="00BB238D"/>
    <w:rsid w:val="00BB37CC"/>
    <w:rsid w:val="00BB48C4"/>
    <w:rsid w:val="00BB5C6F"/>
    <w:rsid w:val="00BB6907"/>
    <w:rsid w:val="00BB7A20"/>
    <w:rsid w:val="00BC15B1"/>
    <w:rsid w:val="00BC16E9"/>
    <w:rsid w:val="00BC3C06"/>
    <w:rsid w:val="00BC4E8B"/>
    <w:rsid w:val="00BC5622"/>
    <w:rsid w:val="00BC6060"/>
    <w:rsid w:val="00BC6596"/>
    <w:rsid w:val="00BC7897"/>
    <w:rsid w:val="00BD0F35"/>
    <w:rsid w:val="00BD3C97"/>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28DA"/>
    <w:rsid w:val="00BF373A"/>
    <w:rsid w:val="00BF557C"/>
    <w:rsid w:val="00BF62D2"/>
    <w:rsid w:val="00BF6D9E"/>
    <w:rsid w:val="00BF6E3E"/>
    <w:rsid w:val="00BF71BB"/>
    <w:rsid w:val="00BF76F7"/>
    <w:rsid w:val="00BF7C9F"/>
    <w:rsid w:val="00C00012"/>
    <w:rsid w:val="00C000A5"/>
    <w:rsid w:val="00C006B4"/>
    <w:rsid w:val="00C00938"/>
    <w:rsid w:val="00C00E2A"/>
    <w:rsid w:val="00C025B9"/>
    <w:rsid w:val="00C03EA2"/>
    <w:rsid w:val="00C044B4"/>
    <w:rsid w:val="00C05105"/>
    <w:rsid w:val="00C05A5D"/>
    <w:rsid w:val="00C0622F"/>
    <w:rsid w:val="00C0654A"/>
    <w:rsid w:val="00C06DE3"/>
    <w:rsid w:val="00C06F97"/>
    <w:rsid w:val="00C10B11"/>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2578"/>
    <w:rsid w:val="00C33916"/>
    <w:rsid w:val="00C33BCF"/>
    <w:rsid w:val="00C34D1D"/>
    <w:rsid w:val="00C353A0"/>
    <w:rsid w:val="00C368D7"/>
    <w:rsid w:val="00C36FD1"/>
    <w:rsid w:val="00C371A5"/>
    <w:rsid w:val="00C400B0"/>
    <w:rsid w:val="00C40F4E"/>
    <w:rsid w:val="00C413FC"/>
    <w:rsid w:val="00C422C5"/>
    <w:rsid w:val="00C43D33"/>
    <w:rsid w:val="00C44407"/>
    <w:rsid w:val="00C456E8"/>
    <w:rsid w:val="00C46630"/>
    <w:rsid w:val="00C47A2F"/>
    <w:rsid w:val="00C50D18"/>
    <w:rsid w:val="00C51179"/>
    <w:rsid w:val="00C5282C"/>
    <w:rsid w:val="00C52FBE"/>
    <w:rsid w:val="00C5355E"/>
    <w:rsid w:val="00C535E2"/>
    <w:rsid w:val="00C539FF"/>
    <w:rsid w:val="00C53FC1"/>
    <w:rsid w:val="00C56438"/>
    <w:rsid w:val="00C570B3"/>
    <w:rsid w:val="00C6009F"/>
    <w:rsid w:val="00C60417"/>
    <w:rsid w:val="00C6046F"/>
    <w:rsid w:val="00C638C2"/>
    <w:rsid w:val="00C651D4"/>
    <w:rsid w:val="00C6669E"/>
    <w:rsid w:val="00C672B0"/>
    <w:rsid w:val="00C729C7"/>
    <w:rsid w:val="00C761FA"/>
    <w:rsid w:val="00C777AD"/>
    <w:rsid w:val="00C80C53"/>
    <w:rsid w:val="00C81195"/>
    <w:rsid w:val="00C85387"/>
    <w:rsid w:val="00C85E52"/>
    <w:rsid w:val="00C86471"/>
    <w:rsid w:val="00C8677B"/>
    <w:rsid w:val="00C86E1C"/>
    <w:rsid w:val="00C86F96"/>
    <w:rsid w:val="00C909C6"/>
    <w:rsid w:val="00C923B7"/>
    <w:rsid w:val="00C94D4C"/>
    <w:rsid w:val="00CA012C"/>
    <w:rsid w:val="00CA0AA6"/>
    <w:rsid w:val="00CA2897"/>
    <w:rsid w:val="00CA44F3"/>
    <w:rsid w:val="00CA51BA"/>
    <w:rsid w:val="00CA582C"/>
    <w:rsid w:val="00CA6077"/>
    <w:rsid w:val="00CA715B"/>
    <w:rsid w:val="00CA74B0"/>
    <w:rsid w:val="00CA7988"/>
    <w:rsid w:val="00CA7BA2"/>
    <w:rsid w:val="00CB0B78"/>
    <w:rsid w:val="00CB12A5"/>
    <w:rsid w:val="00CB17FA"/>
    <w:rsid w:val="00CB23D8"/>
    <w:rsid w:val="00CB2ED9"/>
    <w:rsid w:val="00CB36A5"/>
    <w:rsid w:val="00CB3A59"/>
    <w:rsid w:val="00CB56B4"/>
    <w:rsid w:val="00CB7286"/>
    <w:rsid w:val="00CB7947"/>
    <w:rsid w:val="00CC1783"/>
    <w:rsid w:val="00CC1883"/>
    <w:rsid w:val="00CC38E9"/>
    <w:rsid w:val="00CC3B46"/>
    <w:rsid w:val="00CC3D8B"/>
    <w:rsid w:val="00CC4E27"/>
    <w:rsid w:val="00CC570C"/>
    <w:rsid w:val="00CC62B6"/>
    <w:rsid w:val="00CC76AA"/>
    <w:rsid w:val="00CC7CD2"/>
    <w:rsid w:val="00CD05CF"/>
    <w:rsid w:val="00CD06AB"/>
    <w:rsid w:val="00CD1FAE"/>
    <w:rsid w:val="00CD232F"/>
    <w:rsid w:val="00CD279E"/>
    <w:rsid w:val="00CD2F92"/>
    <w:rsid w:val="00CD4EB0"/>
    <w:rsid w:val="00CD512D"/>
    <w:rsid w:val="00CD5831"/>
    <w:rsid w:val="00CD6F6E"/>
    <w:rsid w:val="00CE08D1"/>
    <w:rsid w:val="00CE157F"/>
    <w:rsid w:val="00CE1966"/>
    <w:rsid w:val="00CE1ED4"/>
    <w:rsid w:val="00CE2216"/>
    <w:rsid w:val="00CE3014"/>
    <w:rsid w:val="00CE30E5"/>
    <w:rsid w:val="00CE6FC6"/>
    <w:rsid w:val="00CF1134"/>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4050"/>
    <w:rsid w:val="00D5594A"/>
    <w:rsid w:val="00D56321"/>
    <w:rsid w:val="00D56AC0"/>
    <w:rsid w:val="00D6081B"/>
    <w:rsid w:val="00D61A37"/>
    <w:rsid w:val="00D6240A"/>
    <w:rsid w:val="00D63093"/>
    <w:rsid w:val="00D63599"/>
    <w:rsid w:val="00D63EBD"/>
    <w:rsid w:val="00D64B69"/>
    <w:rsid w:val="00D67101"/>
    <w:rsid w:val="00D7106D"/>
    <w:rsid w:val="00D71B45"/>
    <w:rsid w:val="00D71F8A"/>
    <w:rsid w:val="00D75603"/>
    <w:rsid w:val="00D75FEE"/>
    <w:rsid w:val="00D76933"/>
    <w:rsid w:val="00D76D88"/>
    <w:rsid w:val="00D77CC9"/>
    <w:rsid w:val="00D83D4B"/>
    <w:rsid w:val="00D871C6"/>
    <w:rsid w:val="00D91010"/>
    <w:rsid w:val="00D9120E"/>
    <w:rsid w:val="00D94EB7"/>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3223"/>
    <w:rsid w:val="00DE64A6"/>
    <w:rsid w:val="00DE66EB"/>
    <w:rsid w:val="00DE7035"/>
    <w:rsid w:val="00DF12E3"/>
    <w:rsid w:val="00DF3F1D"/>
    <w:rsid w:val="00DF595C"/>
    <w:rsid w:val="00DF7EA7"/>
    <w:rsid w:val="00E0216A"/>
    <w:rsid w:val="00E04548"/>
    <w:rsid w:val="00E0484E"/>
    <w:rsid w:val="00E063F8"/>
    <w:rsid w:val="00E079AF"/>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372DD"/>
    <w:rsid w:val="00E40974"/>
    <w:rsid w:val="00E40A5C"/>
    <w:rsid w:val="00E40AAB"/>
    <w:rsid w:val="00E41205"/>
    <w:rsid w:val="00E41F32"/>
    <w:rsid w:val="00E42608"/>
    <w:rsid w:val="00E43536"/>
    <w:rsid w:val="00E43DA3"/>
    <w:rsid w:val="00E44B80"/>
    <w:rsid w:val="00E47430"/>
    <w:rsid w:val="00E50FB7"/>
    <w:rsid w:val="00E5199F"/>
    <w:rsid w:val="00E526DF"/>
    <w:rsid w:val="00E53624"/>
    <w:rsid w:val="00E53C15"/>
    <w:rsid w:val="00E54EE6"/>
    <w:rsid w:val="00E56715"/>
    <w:rsid w:val="00E56C2C"/>
    <w:rsid w:val="00E57F8E"/>
    <w:rsid w:val="00E60776"/>
    <w:rsid w:val="00E611C8"/>
    <w:rsid w:val="00E613EB"/>
    <w:rsid w:val="00E63256"/>
    <w:rsid w:val="00E6344A"/>
    <w:rsid w:val="00E64E69"/>
    <w:rsid w:val="00E64FB7"/>
    <w:rsid w:val="00E669A1"/>
    <w:rsid w:val="00E679BA"/>
    <w:rsid w:val="00E70243"/>
    <w:rsid w:val="00E72CC6"/>
    <w:rsid w:val="00E73D44"/>
    <w:rsid w:val="00E7494A"/>
    <w:rsid w:val="00E74BE2"/>
    <w:rsid w:val="00E74C66"/>
    <w:rsid w:val="00E74FA2"/>
    <w:rsid w:val="00E75933"/>
    <w:rsid w:val="00E77A1B"/>
    <w:rsid w:val="00E808BE"/>
    <w:rsid w:val="00E81E36"/>
    <w:rsid w:val="00E81E40"/>
    <w:rsid w:val="00E82ECE"/>
    <w:rsid w:val="00E8713B"/>
    <w:rsid w:val="00E90C61"/>
    <w:rsid w:val="00E92A28"/>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132"/>
    <w:rsid w:val="00EB167E"/>
    <w:rsid w:val="00EB24ED"/>
    <w:rsid w:val="00EB2A00"/>
    <w:rsid w:val="00EB2A3F"/>
    <w:rsid w:val="00EB309B"/>
    <w:rsid w:val="00EB3AA2"/>
    <w:rsid w:val="00EB4763"/>
    <w:rsid w:val="00EB5B17"/>
    <w:rsid w:val="00EB6CB7"/>
    <w:rsid w:val="00EC078B"/>
    <w:rsid w:val="00EC07A0"/>
    <w:rsid w:val="00EC08E4"/>
    <w:rsid w:val="00EC1154"/>
    <w:rsid w:val="00EC1A23"/>
    <w:rsid w:val="00EC3CB4"/>
    <w:rsid w:val="00EC443E"/>
    <w:rsid w:val="00EC4D83"/>
    <w:rsid w:val="00EC4EEE"/>
    <w:rsid w:val="00EC634F"/>
    <w:rsid w:val="00EC7B97"/>
    <w:rsid w:val="00ED049C"/>
    <w:rsid w:val="00ED07B7"/>
    <w:rsid w:val="00ED19D7"/>
    <w:rsid w:val="00ED2167"/>
    <w:rsid w:val="00ED351E"/>
    <w:rsid w:val="00ED4063"/>
    <w:rsid w:val="00ED4B27"/>
    <w:rsid w:val="00ED543C"/>
    <w:rsid w:val="00ED6BA4"/>
    <w:rsid w:val="00ED7DA7"/>
    <w:rsid w:val="00EE0598"/>
    <w:rsid w:val="00EE099A"/>
    <w:rsid w:val="00EE311C"/>
    <w:rsid w:val="00EE56FF"/>
    <w:rsid w:val="00EE5886"/>
    <w:rsid w:val="00EE5FBF"/>
    <w:rsid w:val="00EE6472"/>
    <w:rsid w:val="00EE76F2"/>
    <w:rsid w:val="00EF0769"/>
    <w:rsid w:val="00EF0D7C"/>
    <w:rsid w:val="00EF40E2"/>
    <w:rsid w:val="00EF5FB9"/>
    <w:rsid w:val="00EF61C1"/>
    <w:rsid w:val="00EF6E68"/>
    <w:rsid w:val="00EF76DB"/>
    <w:rsid w:val="00F005FD"/>
    <w:rsid w:val="00F024E2"/>
    <w:rsid w:val="00F02C04"/>
    <w:rsid w:val="00F03AF1"/>
    <w:rsid w:val="00F04BCD"/>
    <w:rsid w:val="00F05A8C"/>
    <w:rsid w:val="00F06211"/>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1E57"/>
    <w:rsid w:val="00F32462"/>
    <w:rsid w:val="00F32FF7"/>
    <w:rsid w:val="00F33EDE"/>
    <w:rsid w:val="00F3568B"/>
    <w:rsid w:val="00F377CD"/>
    <w:rsid w:val="00F40C3B"/>
    <w:rsid w:val="00F40CE0"/>
    <w:rsid w:val="00F41BDD"/>
    <w:rsid w:val="00F42C41"/>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51CC"/>
    <w:rsid w:val="00F574D0"/>
    <w:rsid w:val="00F6031F"/>
    <w:rsid w:val="00F61664"/>
    <w:rsid w:val="00F61B99"/>
    <w:rsid w:val="00F61BA8"/>
    <w:rsid w:val="00F64C45"/>
    <w:rsid w:val="00F6502B"/>
    <w:rsid w:val="00F65811"/>
    <w:rsid w:val="00F6612A"/>
    <w:rsid w:val="00F66724"/>
    <w:rsid w:val="00F67F04"/>
    <w:rsid w:val="00F70207"/>
    <w:rsid w:val="00F702CB"/>
    <w:rsid w:val="00F70F4A"/>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625B"/>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C7223"/>
    <w:rsid w:val="00FD0F60"/>
    <w:rsid w:val="00FD13EA"/>
    <w:rsid w:val="00FD232F"/>
    <w:rsid w:val="00FD5EC4"/>
    <w:rsid w:val="00FD7858"/>
    <w:rsid w:val="00FD7A8D"/>
    <w:rsid w:val="00FE1330"/>
    <w:rsid w:val="00FE1CE5"/>
    <w:rsid w:val="00FE2832"/>
    <w:rsid w:val="00FE2D38"/>
    <w:rsid w:val="00FE3929"/>
    <w:rsid w:val="00FF097B"/>
    <w:rsid w:val="00FF0B6E"/>
    <w:rsid w:val="00FF1C1B"/>
    <w:rsid w:val="00FF2067"/>
    <w:rsid w:val="00FF3984"/>
    <w:rsid w:val="00FF3BC4"/>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colormru v:ext="edit" colors="#2d4491,#283583"/>
    </o:shapedefaults>
    <o:shapelayout v:ext="edit">
      <o:idmap v:ext="edit" data="1"/>
    </o:shapelayout>
  </w:shapeDefaults>
  <w:decimalSymbol w:val=","/>
  <w:listSeparator w:val=";"/>
  <w14:docId w14:val="6A3CB02B"/>
  <w15:docId w15:val="{EF420317-D056-43EE-B1A3-6BEC00578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A1B9D"/>
    <w:rPr>
      <w:rFonts w:ascii="Arial" w:hAnsi="Arial"/>
      <w:szCs w:val="24"/>
      <w:lang w:eastAsia="de-DE"/>
    </w:rPr>
  </w:style>
  <w:style w:type="paragraph" w:styleId="berschrift1">
    <w:name w:val="heading 1"/>
    <w:basedOn w:val="Standard"/>
    <w:next w:val="Standard"/>
    <w:link w:val="berschrift1Zchn"/>
    <w:qFormat/>
    <w:rsid w:val="009E7724"/>
    <w:pPr>
      <w:keepNext/>
      <w:numPr>
        <w:numId w:val="5"/>
      </w:numPr>
      <w:spacing w:before="240" w:after="60"/>
      <w:outlineLvl w:val="0"/>
    </w:pPr>
    <w:rPr>
      <w:rFonts w:cs="Arial"/>
      <w:b/>
      <w:bCs/>
      <w:kern w:val="32"/>
      <w:sz w:val="24"/>
      <w:szCs w:val="32"/>
    </w:rPr>
  </w:style>
  <w:style w:type="paragraph" w:styleId="berschrift2">
    <w:name w:val="heading 2"/>
    <w:basedOn w:val="Standard"/>
    <w:next w:val="Standard"/>
    <w:link w:val="berschrift2Zchn"/>
    <w:qFormat/>
    <w:rsid w:val="00886A60"/>
    <w:pPr>
      <w:keepNext/>
      <w:keepLines/>
      <w:spacing w:before="200" w:after="120"/>
      <w:outlineLvl w:val="1"/>
    </w:pPr>
    <w:rPr>
      <w:b/>
      <w:bCs/>
      <w:szCs w:val="26"/>
    </w:rPr>
  </w:style>
  <w:style w:type="paragraph" w:styleId="berschrift3">
    <w:name w:val="heading 3"/>
    <w:basedOn w:val="Standard"/>
    <w:next w:val="Standard"/>
    <w:link w:val="berschrift3Zchn"/>
    <w:qFormat/>
    <w:rsid w:val="003865E5"/>
    <w:pPr>
      <w:keepNext/>
      <w:keepLines/>
      <w:spacing w:before="200"/>
      <w:outlineLvl w:val="2"/>
    </w:pPr>
    <w:rPr>
      <w:rFonts w:ascii="Cambria" w:hAnsi="Cambria"/>
      <w:b/>
      <w:bCs/>
      <w:color w:val="4F81BD"/>
    </w:rPr>
  </w:style>
  <w:style w:type="paragraph" w:styleId="berschrift4">
    <w:name w:val="heading 4"/>
    <w:basedOn w:val="Standard"/>
    <w:next w:val="Standard"/>
    <w:link w:val="berschrift4Zchn"/>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berschrift5">
    <w:name w:val="heading 5"/>
    <w:aliases w:val="Questions"/>
    <w:basedOn w:val="Standard"/>
    <w:next w:val="Standard"/>
    <w:link w:val="berschrift5Zchn"/>
    <w:qFormat/>
    <w:rsid w:val="00E9344E"/>
    <w:pPr>
      <w:keepNext/>
      <w:keepLines/>
      <w:numPr>
        <w:numId w:val="13"/>
      </w:numPr>
      <w:spacing w:before="200"/>
      <w:jc w:val="both"/>
      <w:outlineLvl w:val="4"/>
    </w:pPr>
    <w:rPr>
      <w:b/>
    </w:rPr>
  </w:style>
  <w:style w:type="paragraph" w:styleId="berschrift6">
    <w:name w:val="heading 6"/>
    <w:basedOn w:val="Standard"/>
    <w:next w:val="Standard"/>
    <w:link w:val="berschrift6Zchn"/>
    <w:qFormat/>
    <w:rsid w:val="003609B6"/>
    <w:pPr>
      <w:numPr>
        <w:ilvl w:val="5"/>
        <w:numId w:val="4"/>
      </w:numPr>
      <w:spacing w:before="240" w:after="60"/>
      <w:outlineLvl w:val="5"/>
    </w:pPr>
    <w:rPr>
      <w:rFonts w:ascii="Times New Roman" w:hAnsi="Times New Roman"/>
      <w:b/>
      <w:bCs/>
      <w:szCs w:val="22"/>
    </w:rPr>
  </w:style>
  <w:style w:type="paragraph" w:styleId="berschrift7">
    <w:name w:val="heading 7"/>
    <w:basedOn w:val="Standard"/>
    <w:next w:val="Standard"/>
    <w:link w:val="berschrift7Zchn"/>
    <w:unhideWhenUsed/>
    <w:qFormat/>
    <w:rsid w:val="002D6E1A"/>
    <w:pPr>
      <w:spacing w:before="240" w:after="60"/>
      <w:ind w:left="1296" w:hanging="1296"/>
      <w:outlineLvl w:val="6"/>
    </w:pPr>
    <w:rPr>
      <w:rFonts w:ascii="Times New Roman" w:hAnsi="Times New Roman"/>
    </w:rPr>
  </w:style>
  <w:style w:type="paragraph" w:styleId="berschrift8">
    <w:name w:val="heading 8"/>
    <w:basedOn w:val="Standard"/>
    <w:next w:val="Standard"/>
    <w:link w:val="berschrift8Zchn"/>
    <w:qFormat/>
    <w:rsid w:val="003609B6"/>
    <w:pPr>
      <w:numPr>
        <w:ilvl w:val="7"/>
        <w:numId w:val="4"/>
      </w:numPr>
      <w:spacing w:before="240" w:after="60"/>
      <w:outlineLvl w:val="7"/>
    </w:pPr>
    <w:rPr>
      <w:rFonts w:ascii="Times New Roman" w:hAnsi="Times New Roman"/>
      <w:i/>
      <w:iCs/>
    </w:rPr>
  </w:style>
  <w:style w:type="paragraph" w:styleId="berschrift9">
    <w:name w:val="heading 9"/>
    <w:basedOn w:val="Standard"/>
    <w:next w:val="Standard"/>
    <w:link w:val="berschrift9Zchn"/>
    <w:qFormat/>
    <w:rsid w:val="00A06867"/>
    <w:pPr>
      <w:tabs>
        <w:tab w:val="num" w:pos="1584"/>
      </w:tabs>
      <w:spacing w:before="240" w:after="60"/>
      <w:ind w:left="1584" w:hanging="1584"/>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5B64CB"/>
    <w:pPr>
      <w:tabs>
        <w:tab w:val="center" w:pos="4536"/>
        <w:tab w:val="right" w:pos="9072"/>
      </w:tabs>
    </w:pPr>
  </w:style>
  <w:style w:type="paragraph" w:styleId="Fuzeile">
    <w:name w:val="footer"/>
    <w:basedOn w:val="Standard"/>
    <w:link w:val="FuzeileZchn"/>
    <w:uiPriority w:val="99"/>
    <w:rsid w:val="005B64CB"/>
    <w:pPr>
      <w:tabs>
        <w:tab w:val="center" w:pos="4536"/>
        <w:tab w:val="right" w:pos="9072"/>
      </w:tabs>
    </w:pPr>
  </w:style>
  <w:style w:type="table" w:styleId="Tabellenraster">
    <w:name w:val="Table Grid"/>
    <w:basedOn w:val="NormaleTabelle"/>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Standard"/>
    <w:rsid w:val="003E3ACA"/>
    <w:pPr>
      <w:spacing w:line="200" w:lineRule="exact"/>
    </w:pPr>
    <w:rPr>
      <w:color w:val="2D4190"/>
      <w:sz w:val="16"/>
    </w:rPr>
  </w:style>
  <w:style w:type="paragraph" w:customStyle="1" w:styleId="05aTitle">
    <w:name w:val="05a_Title"/>
    <w:basedOn w:val="Standard"/>
    <w:rsid w:val="00791EB4"/>
    <w:pPr>
      <w:spacing w:line="340" w:lineRule="exact"/>
    </w:pPr>
    <w:rPr>
      <w:b/>
      <w:color w:val="000000"/>
      <w:sz w:val="28"/>
    </w:rPr>
  </w:style>
  <w:style w:type="paragraph" w:customStyle="1" w:styleId="02Date">
    <w:name w:val="02_Date"/>
    <w:basedOn w:val="Standard"/>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Standard"/>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Seitenzahl">
    <w:name w:val="page number"/>
    <w:basedOn w:val="Absatz-Standardschriftar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Verzeichnis1">
    <w:name w:val="toc 1"/>
    <w:basedOn w:val="Standard"/>
    <w:next w:val="Standard"/>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unotentext">
    <w:name w:val="footnote text"/>
    <w:aliases w:val="Char3, Char3,Fußnotentextf,Fußnotentextr,stile 1,Footnote1,Footnote2,Footnote3,Footnote4,Footnote5,Footnote6,Footnote7,Footnote8,Footnote9,Footnote10,Footnote11,Footnote21,Footnote31,Footnote41,Footnote51,Footnote61,Footnote71,Fußnote, Cha"/>
    <w:basedOn w:val="Standard"/>
    <w:link w:val="FunotentextZchn"/>
    <w:uiPriority w:val="99"/>
    <w:qFormat/>
    <w:rsid w:val="001725A5"/>
    <w:pPr>
      <w:spacing w:line="200" w:lineRule="exact"/>
    </w:pPr>
    <w:rPr>
      <w:sz w:val="16"/>
      <w:szCs w:val="20"/>
    </w:rPr>
  </w:style>
  <w:style w:type="character" w:styleId="Funotenzeichen">
    <w:name w:val="footnote reference"/>
    <w:aliases w:val="SUPERS,Footnote reference number,Footnote symbol,note TESI,-E Fußnotenzeichen,number,BVI fnr,Footnote,Footnote Reference Superscript,(Footnote Reference),EN Footnote Reference,Voetnootverwijzing,Times 10 Point,Exposant 3 Poi,16 Point"/>
    <w:link w:val="1"/>
    <w:uiPriority w:val="99"/>
    <w:qFormat/>
    <w:rsid w:val="00C274F3"/>
    <w:rPr>
      <w:vertAlign w:val="superscript"/>
    </w:rPr>
  </w:style>
  <w:style w:type="paragraph" w:styleId="Verzeichnis2">
    <w:name w:val="toc 2"/>
    <w:basedOn w:val="Standard"/>
    <w:next w:val="Standard"/>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Standard"/>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Kommentarzeichen">
    <w:name w:val="annotation reference"/>
    <w:rsid w:val="004B1E61"/>
    <w:rPr>
      <w:sz w:val="16"/>
      <w:szCs w:val="16"/>
    </w:rPr>
  </w:style>
  <w:style w:type="paragraph" w:styleId="Kommentartext">
    <w:name w:val="annotation text"/>
    <w:basedOn w:val="Standard"/>
    <w:link w:val="KommentartextZchn"/>
    <w:uiPriority w:val="99"/>
    <w:rsid w:val="004B1E61"/>
    <w:rPr>
      <w:szCs w:val="20"/>
    </w:rPr>
  </w:style>
  <w:style w:type="character" w:customStyle="1" w:styleId="KommentartextZchn">
    <w:name w:val="Kommentartext Zchn"/>
    <w:link w:val="Kommentartext"/>
    <w:uiPriority w:val="99"/>
    <w:rsid w:val="004B1E61"/>
    <w:rPr>
      <w:rFonts w:ascii="Georgia" w:hAnsi="Georgia"/>
      <w:lang w:eastAsia="de-DE"/>
    </w:rPr>
  </w:style>
  <w:style w:type="paragraph" w:styleId="Kommentarthema">
    <w:name w:val="annotation subject"/>
    <w:basedOn w:val="Kommentartext"/>
    <w:next w:val="Kommentartext"/>
    <w:link w:val="KommentarthemaZchn"/>
    <w:rsid w:val="004B1E61"/>
    <w:rPr>
      <w:b/>
      <w:bCs/>
    </w:rPr>
  </w:style>
  <w:style w:type="character" w:customStyle="1" w:styleId="KommentarthemaZchn">
    <w:name w:val="Kommentarthema Zchn"/>
    <w:link w:val="Kommentarthema"/>
    <w:rsid w:val="004B1E61"/>
    <w:rPr>
      <w:rFonts w:ascii="Georgia" w:hAnsi="Georgia"/>
      <w:b/>
      <w:bCs/>
      <w:lang w:eastAsia="de-DE"/>
    </w:rPr>
  </w:style>
  <w:style w:type="paragraph" w:styleId="Sprechblasentext">
    <w:name w:val="Balloon Text"/>
    <w:basedOn w:val="Standard"/>
    <w:link w:val="SprechblasentextZchn"/>
    <w:rsid w:val="004B1E61"/>
    <w:rPr>
      <w:rFonts w:ascii="Tahoma" w:hAnsi="Tahoma" w:cs="Tahoma"/>
      <w:sz w:val="16"/>
      <w:szCs w:val="16"/>
    </w:rPr>
  </w:style>
  <w:style w:type="character" w:customStyle="1" w:styleId="SprechblasentextZchn">
    <w:name w:val="Sprechblasentext Zchn"/>
    <w:link w:val="Sprechblasentext"/>
    <w:rsid w:val="004B1E61"/>
    <w:rPr>
      <w:rFonts w:ascii="Tahoma" w:hAnsi="Tahoma" w:cs="Tahoma"/>
      <w:sz w:val="16"/>
      <w:szCs w:val="16"/>
      <w:lang w:eastAsia="de-DE"/>
    </w:rPr>
  </w:style>
  <w:style w:type="paragraph" w:styleId="Listenabsatz">
    <w:name w:val="List Paragraph"/>
    <w:aliases w:val="Paragraphe EI,Paragraphe de liste1,EC"/>
    <w:basedOn w:val="Standard"/>
    <w:link w:val="ListenabsatzZchn"/>
    <w:uiPriority w:val="34"/>
    <w:qFormat/>
    <w:rsid w:val="002A0C82"/>
    <w:pPr>
      <w:ind w:left="720"/>
      <w:contextualSpacing/>
    </w:pPr>
  </w:style>
  <w:style w:type="paragraph" w:styleId="Inhaltsverzeichnisberschrift">
    <w:name w:val="TOC Heading"/>
    <w:basedOn w:val="berschrift1"/>
    <w:next w:val="Standard"/>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unotentextZchn">
    <w:name w:val="Fußnotentext Zchn"/>
    <w:aliases w:val="Char3 Zchn, Char3 Zchn,Fußnotentextf Zchn,Fußnotentextr Zchn,stile 1 Zchn,Footnote1 Zchn,Footnote2 Zchn,Footnote3 Zchn,Footnote4 Zchn,Footnote5 Zchn,Footnote6 Zchn,Footnote7 Zchn,Footnote8 Zchn,Footnote9 Zchn,Footnote10 Zchn, Cha Zchn"/>
    <w:link w:val="Funotentex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Absatz-Standardschriftart"/>
    <w:rsid w:val="008E1B6A"/>
  </w:style>
  <w:style w:type="paragraph" w:customStyle="1" w:styleId="ManualNumPar1">
    <w:name w:val="Manual NumPar 1"/>
    <w:basedOn w:val="Standard"/>
    <w:next w:val="Standard"/>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berschrift1Zchn">
    <w:name w:val="Überschrift 1 Zchn"/>
    <w:link w:val="berschrift1"/>
    <w:rsid w:val="009E7724"/>
    <w:rPr>
      <w:rFonts w:ascii="Arial" w:hAnsi="Arial"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Hervorhebung">
    <w:name w:val="Emphasis"/>
    <w:uiPriority w:val="20"/>
    <w:qFormat/>
    <w:rsid w:val="005F028E"/>
    <w:rPr>
      <w:i/>
      <w:iCs/>
    </w:rPr>
  </w:style>
  <w:style w:type="paragraph" w:styleId="berarbeitung">
    <w:name w:val="Revision"/>
    <w:link w:val="berarbeitungZchn"/>
    <w:hidden/>
    <w:uiPriority w:val="99"/>
    <w:semiHidden/>
    <w:rsid w:val="008E6A37"/>
    <w:rPr>
      <w:rFonts w:ascii="Georgia" w:hAnsi="Georgia"/>
      <w:sz w:val="22"/>
      <w:szCs w:val="24"/>
      <w:lang w:eastAsia="de-DE"/>
    </w:rPr>
  </w:style>
  <w:style w:type="paragraph" w:styleId="Verzeichnis3">
    <w:name w:val="toc 3"/>
    <w:basedOn w:val="Standard"/>
    <w:next w:val="Standard"/>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Standard"/>
    <w:next w:val="Standard"/>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Standard"/>
    <w:next w:val="Standard"/>
    <w:uiPriority w:val="99"/>
    <w:rsid w:val="00F377CD"/>
    <w:pPr>
      <w:autoSpaceDE w:val="0"/>
      <w:autoSpaceDN w:val="0"/>
      <w:adjustRightInd w:val="0"/>
    </w:pPr>
    <w:rPr>
      <w:rFonts w:ascii="EUAlbertina" w:eastAsia="Calibri" w:hAnsi="EUAlbertina"/>
      <w:sz w:val="24"/>
      <w:lang w:val="fr-FR" w:eastAsia="en-US"/>
    </w:rPr>
  </w:style>
  <w:style w:type="paragraph" w:styleId="Verzeichnis4">
    <w:name w:val="toc 4"/>
    <w:basedOn w:val="Standard"/>
    <w:next w:val="Standard"/>
    <w:autoRedefine/>
    <w:uiPriority w:val="39"/>
    <w:unhideWhenUsed/>
    <w:rsid w:val="00F377CD"/>
    <w:pPr>
      <w:spacing w:after="100" w:line="276" w:lineRule="auto"/>
      <w:ind w:left="660"/>
    </w:pPr>
    <w:rPr>
      <w:rFonts w:ascii="Calibri" w:hAnsi="Calibri"/>
      <w:szCs w:val="22"/>
      <w:lang w:eastAsia="en-GB"/>
    </w:rPr>
  </w:style>
  <w:style w:type="paragraph" w:styleId="Verzeichnis5">
    <w:name w:val="toc 5"/>
    <w:basedOn w:val="Standard"/>
    <w:next w:val="Standard"/>
    <w:autoRedefine/>
    <w:uiPriority w:val="39"/>
    <w:unhideWhenUsed/>
    <w:rsid w:val="00F377CD"/>
    <w:pPr>
      <w:spacing w:after="100" w:line="276" w:lineRule="auto"/>
      <w:ind w:left="880"/>
    </w:pPr>
    <w:rPr>
      <w:rFonts w:ascii="Calibri" w:hAnsi="Calibri"/>
      <w:szCs w:val="22"/>
      <w:lang w:eastAsia="en-GB"/>
    </w:rPr>
  </w:style>
  <w:style w:type="paragraph" w:styleId="Verzeichnis6">
    <w:name w:val="toc 6"/>
    <w:basedOn w:val="Standard"/>
    <w:next w:val="Standard"/>
    <w:autoRedefine/>
    <w:uiPriority w:val="39"/>
    <w:unhideWhenUsed/>
    <w:rsid w:val="00F377CD"/>
    <w:pPr>
      <w:spacing w:after="100" w:line="276" w:lineRule="auto"/>
      <w:ind w:left="1100"/>
    </w:pPr>
    <w:rPr>
      <w:rFonts w:ascii="Calibri" w:hAnsi="Calibri"/>
      <w:szCs w:val="22"/>
      <w:lang w:eastAsia="en-GB"/>
    </w:rPr>
  </w:style>
  <w:style w:type="paragraph" w:styleId="Verzeichnis7">
    <w:name w:val="toc 7"/>
    <w:basedOn w:val="Standard"/>
    <w:next w:val="Standard"/>
    <w:autoRedefine/>
    <w:uiPriority w:val="39"/>
    <w:unhideWhenUsed/>
    <w:rsid w:val="00F377CD"/>
    <w:pPr>
      <w:spacing w:after="100" w:line="276" w:lineRule="auto"/>
      <w:ind w:left="1320"/>
    </w:pPr>
    <w:rPr>
      <w:rFonts w:ascii="Calibri" w:hAnsi="Calibri"/>
      <w:szCs w:val="22"/>
      <w:lang w:eastAsia="en-GB"/>
    </w:rPr>
  </w:style>
  <w:style w:type="paragraph" w:styleId="Verzeichnis8">
    <w:name w:val="toc 8"/>
    <w:basedOn w:val="Standard"/>
    <w:next w:val="Standard"/>
    <w:autoRedefine/>
    <w:uiPriority w:val="39"/>
    <w:unhideWhenUsed/>
    <w:rsid w:val="00F377CD"/>
    <w:pPr>
      <w:spacing w:after="100" w:line="276" w:lineRule="auto"/>
      <w:ind w:left="1540"/>
    </w:pPr>
    <w:rPr>
      <w:rFonts w:ascii="Calibri" w:hAnsi="Calibri"/>
      <w:szCs w:val="22"/>
      <w:lang w:eastAsia="en-GB"/>
    </w:rPr>
  </w:style>
  <w:style w:type="paragraph" w:styleId="Verzeichnis9">
    <w:name w:val="toc 9"/>
    <w:basedOn w:val="Standard"/>
    <w:next w:val="Standard"/>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Beschriftung">
    <w:name w:val="caption"/>
    <w:basedOn w:val="Standard"/>
    <w:next w:val="Standard"/>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StandardWeb">
    <w:name w:val="Normal (Web)"/>
    <w:basedOn w:val="Standard"/>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kumentstruktur">
    <w:name w:val="Document Map"/>
    <w:basedOn w:val="Standard"/>
    <w:link w:val="DokumentstrukturZchn"/>
    <w:rsid w:val="00AA016B"/>
    <w:rPr>
      <w:rFonts w:ascii="Tahoma" w:hAnsi="Tahoma" w:cs="Tahoma"/>
      <w:sz w:val="16"/>
      <w:szCs w:val="16"/>
    </w:rPr>
  </w:style>
  <w:style w:type="character" w:customStyle="1" w:styleId="DokumentstrukturZchn">
    <w:name w:val="Dokumentstruktur Zchn"/>
    <w:link w:val="Dokumentstruktur"/>
    <w:rsid w:val="00AA016B"/>
    <w:rPr>
      <w:rFonts w:ascii="Tahoma" w:hAnsi="Tahoma" w:cs="Tahoma"/>
      <w:sz w:val="16"/>
      <w:szCs w:val="16"/>
      <w:lang w:eastAsia="de-DE"/>
    </w:rPr>
  </w:style>
  <w:style w:type="paragraph" w:styleId="NurText">
    <w:name w:val="Plain Text"/>
    <w:basedOn w:val="Standard"/>
    <w:link w:val="NurTextZchn"/>
    <w:unhideWhenUsed/>
    <w:rsid w:val="00AA016B"/>
    <w:rPr>
      <w:rFonts w:ascii="Consolas" w:hAnsi="Consolas"/>
      <w:sz w:val="21"/>
      <w:szCs w:val="21"/>
      <w:lang w:val="de-DE"/>
    </w:rPr>
  </w:style>
  <w:style w:type="character" w:customStyle="1" w:styleId="NurTextZchn">
    <w:name w:val="Nur Text Zchn"/>
    <w:link w:val="NurText"/>
    <w:rsid w:val="00AA016B"/>
    <w:rPr>
      <w:rFonts w:ascii="Consolas" w:hAnsi="Consolas"/>
      <w:sz w:val="21"/>
      <w:szCs w:val="21"/>
      <w:lang w:val="de-DE" w:eastAsia="de-DE"/>
    </w:rPr>
  </w:style>
  <w:style w:type="paragraph" w:styleId="Textkrper">
    <w:name w:val="Body Text"/>
    <w:basedOn w:val="Standard"/>
    <w:link w:val="TextkrperZchn"/>
    <w:unhideWhenUsed/>
    <w:rsid w:val="00AA016B"/>
    <w:pPr>
      <w:numPr>
        <w:numId w:val="8"/>
      </w:numPr>
      <w:spacing w:after="240"/>
      <w:jc w:val="both"/>
    </w:pPr>
    <w:rPr>
      <w:rFonts w:ascii="Times New Roman" w:hAnsi="Times New Roman"/>
      <w:sz w:val="24"/>
      <w:szCs w:val="20"/>
      <w:lang w:eastAsia="en-GB"/>
    </w:rPr>
  </w:style>
  <w:style w:type="character" w:customStyle="1" w:styleId="TextkrperZchn">
    <w:name w:val="Textkörper Zchn"/>
    <w:link w:val="Textkrper"/>
    <w:rsid w:val="00AA016B"/>
    <w:rPr>
      <w:sz w:val="24"/>
    </w:rPr>
  </w:style>
  <w:style w:type="paragraph" w:customStyle="1" w:styleId="ListParagraph1">
    <w:name w:val="List Paragraph1"/>
    <w:basedOn w:val="Standard"/>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Fett">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berschrift2Zchn">
    <w:name w:val="Überschrift 2 Zchn"/>
    <w:link w:val="berschrift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berschrift9Zchn">
    <w:name w:val="Überschrift 9 Zchn"/>
    <w:link w:val="berschrift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Standard"/>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berschrift7Zchn">
    <w:name w:val="Überschrift 7 Zchn"/>
    <w:link w:val="berschrift7"/>
    <w:rsid w:val="002D6E1A"/>
    <w:rPr>
      <w:sz w:val="22"/>
      <w:szCs w:val="24"/>
      <w:lang w:eastAsia="de-DE"/>
    </w:rPr>
  </w:style>
  <w:style w:type="character" w:customStyle="1" w:styleId="berschrift6Zchn">
    <w:name w:val="Überschrift 6 Zchn"/>
    <w:link w:val="berschrift6"/>
    <w:rsid w:val="002D6E1A"/>
    <w:rPr>
      <w:b/>
      <w:bCs/>
      <w:szCs w:val="22"/>
      <w:lang w:eastAsia="de-DE"/>
    </w:rPr>
  </w:style>
  <w:style w:type="character" w:customStyle="1" w:styleId="berschrift8Zchn">
    <w:name w:val="Überschrift 8 Zchn"/>
    <w:link w:val="berschrift8"/>
    <w:rsid w:val="002D6E1A"/>
    <w:rPr>
      <w:i/>
      <w:iCs/>
      <w:szCs w:val="24"/>
      <w:lang w:eastAsia="de-DE"/>
    </w:rPr>
  </w:style>
  <w:style w:type="numbering" w:customStyle="1" w:styleId="NoList1">
    <w:name w:val="No List1"/>
    <w:next w:val="KeineListe"/>
    <w:uiPriority w:val="99"/>
    <w:semiHidden/>
    <w:unhideWhenUsed/>
    <w:rsid w:val="002D6E1A"/>
  </w:style>
  <w:style w:type="character" w:styleId="BesuchterLink">
    <w:name w:val="FollowedHyperlink"/>
    <w:unhideWhenUsed/>
    <w:rsid w:val="002D6E1A"/>
    <w:rPr>
      <w:color w:val="800080"/>
      <w:u w:val="single"/>
    </w:rPr>
  </w:style>
  <w:style w:type="character" w:customStyle="1" w:styleId="KopfzeileZchn">
    <w:name w:val="Kopfzeile Zchn"/>
    <w:link w:val="Kopfzeile"/>
    <w:uiPriority w:val="99"/>
    <w:rsid w:val="002D6E1A"/>
    <w:rPr>
      <w:rFonts w:ascii="Georgia" w:hAnsi="Georgia"/>
      <w:sz w:val="22"/>
      <w:szCs w:val="24"/>
      <w:lang w:eastAsia="de-DE"/>
    </w:rPr>
  </w:style>
  <w:style w:type="character" w:customStyle="1" w:styleId="FuzeileZchn">
    <w:name w:val="Fußzeile Zchn"/>
    <w:link w:val="Fuzeile"/>
    <w:uiPriority w:val="99"/>
    <w:rsid w:val="002D6E1A"/>
    <w:rPr>
      <w:rFonts w:ascii="Georgia" w:hAnsi="Georgia"/>
      <w:sz w:val="22"/>
      <w:szCs w:val="24"/>
      <w:lang w:eastAsia="de-DE"/>
    </w:rPr>
  </w:style>
  <w:style w:type="paragraph" w:styleId="Endnotentext">
    <w:name w:val="endnote text"/>
    <w:basedOn w:val="Standard"/>
    <w:link w:val="EndnotentextZchn"/>
    <w:unhideWhenUsed/>
    <w:rsid w:val="002D6E1A"/>
    <w:rPr>
      <w:szCs w:val="20"/>
    </w:rPr>
  </w:style>
  <w:style w:type="character" w:customStyle="1" w:styleId="EndnotentextZchn">
    <w:name w:val="Endnotentext Zchn"/>
    <w:link w:val="Endnotentext"/>
    <w:rsid w:val="002D6E1A"/>
    <w:rPr>
      <w:rFonts w:ascii="Georgia" w:hAnsi="Georgia"/>
      <w:lang w:eastAsia="de-DE"/>
    </w:rPr>
  </w:style>
  <w:style w:type="paragraph" w:styleId="Listennummer">
    <w:name w:val="List Number"/>
    <w:basedOn w:val="Standard"/>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enabsatzZchn">
    <w:name w:val="Listenabsatz Zchn"/>
    <w:aliases w:val="Paragraphe EI Zchn,Paragraphe de liste1 Zchn,EC Zchn"/>
    <w:link w:val="Listenabsatz"/>
    <w:uiPriority w:val="34"/>
    <w:locked/>
    <w:rsid w:val="002D6E1A"/>
    <w:rPr>
      <w:rFonts w:ascii="Georgia" w:hAnsi="Georgia"/>
      <w:sz w:val="22"/>
      <w:szCs w:val="24"/>
      <w:lang w:eastAsia="de-DE"/>
    </w:rPr>
  </w:style>
  <w:style w:type="paragraph" w:customStyle="1" w:styleId="04anumbering0">
    <w:name w:val="04anumbering"/>
    <w:basedOn w:val="Standard"/>
    <w:rsid w:val="002D6E1A"/>
    <w:pPr>
      <w:tabs>
        <w:tab w:val="num" w:pos="360"/>
      </w:tabs>
      <w:spacing w:after="250" w:line="276" w:lineRule="auto"/>
      <w:jc w:val="both"/>
    </w:pPr>
    <w:rPr>
      <w:rFonts w:eastAsia="Calibri"/>
      <w:szCs w:val="20"/>
      <w:lang w:eastAsia="en-GB"/>
    </w:rPr>
  </w:style>
  <w:style w:type="paragraph" w:customStyle="1" w:styleId="Tiret1">
    <w:name w:val="Tiret 1"/>
    <w:basedOn w:val="Standard"/>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enabsatz"/>
    <w:link w:val="DPChar"/>
    <w:qFormat/>
    <w:rsid w:val="002D6E1A"/>
    <w:pPr>
      <w:ind w:left="708"/>
      <w:contextualSpacing w:val="0"/>
      <w:jc w:val="both"/>
    </w:pPr>
    <w:rPr>
      <w:b/>
      <w:szCs w:val="20"/>
      <w:u w:val="single"/>
    </w:rPr>
  </w:style>
  <w:style w:type="paragraph" w:customStyle="1" w:styleId="Bullet">
    <w:name w:val="Bullet"/>
    <w:basedOn w:val="Standard"/>
    <w:rsid w:val="002D6E1A"/>
    <w:pPr>
      <w:numPr>
        <w:numId w:val="11"/>
      </w:numPr>
      <w:tabs>
        <w:tab w:val="left" w:pos="708"/>
      </w:tabs>
      <w:spacing w:before="120" w:after="120" w:line="276" w:lineRule="auto"/>
      <w:jc w:val="both"/>
    </w:pPr>
    <w:rPr>
      <w:szCs w:val="20"/>
      <w:lang w:eastAsia="en-GB"/>
    </w:rPr>
  </w:style>
  <w:style w:type="character" w:styleId="Endnotenzeichen">
    <w:name w:val="endnote reference"/>
    <w:unhideWhenUsed/>
    <w:rsid w:val="002D6E1A"/>
    <w:rPr>
      <w:vertAlign w:val="superscript"/>
    </w:rPr>
  </w:style>
  <w:style w:type="character" w:styleId="Platzhalt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NormaleTabelle"/>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KeineListe"/>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Zeilennummer">
    <w:name w:val="line number"/>
    <w:basedOn w:val="Absatz-Standardschriftart"/>
    <w:uiPriority w:val="99"/>
    <w:unhideWhenUsed/>
    <w:rsid w:val="00952F2C"/>
  </w:style>
  <w:style w:type="paragraph" w:customStyle="1" w:styleId="aStyle">
    <w:name w:val="a) Style"/>
    <w:basedOn w:val="Standard"/>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Beschriftung"/>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Standard"/>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berschrift5Zchn">
    <w:name w:val="Überschrift 5 Zchn"/>
    <w:aliases w:val="Questions Zchn"/>
    <w:link w:val="berschrift5"/>
    <w:rsid w:val="00E9344E"/>
    <w:rPr>
      <w:rFonts w:ascii="Arial" w:hAnsi="Arial"/>
      <w:b/>
      <w:szCs w:val="24"/>
      <w:lang w:eastAsia="de-DE"/>
    </w:rPr>
  </w:style>
  <w:style w:type="character" w:customStyle="1" w:styleId="berschrift3Zchn">
    <w:name w:val="Überschrift 3 Zchn"/>
    <w:link w:val="berschrift3"/>
    <w:rsid w:val="003865E5"/>
    <w:rPr>
      <w:rFonts w:ascii="Cambria" w:eastAsia="Times New Roman" w:hAnsi="Cambria" w:cs="Times New Roman"/>
      <w:b/>
      <w:bCs/>
      <w:color w:val="4F81BD"/>
      <w:sz w:val="22"/>
      <w:szCs w:val="24"/>
      <w:lang w:eastAsia="de-DE"/>
    </w:rPr>
  </w:style>
  <w:style w:type="character" w:customStyle="1" w:styleId="berschrift4Zchn">
    <w:name w:val="Überschrift 4 Zchn"/>
    <w:link w:val="berschrift4"/>
    <w:rsid w:val="00CB7286"/>
    <w:rPr>
      <w:b/>
      <w:bCs/>
      <w:sz w:val="28"/>
      <w:szCs w:val="28"/>
      <w:lang w:eastAsia="de-DE"/>
    </w:rPr>
  </w:style>
  <w:style w:type="table" w:styleId="HelleListe-Akzent3">
    <w:name w:val="Light List Accent 3"/>
    <w:basedOn w:val="NormaleTabelle"/>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NormaleTabelle"/>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Standard"/>
    <w:rsid w:val="000D2D0B"/>
    <w:pPr>
      <w:spacing w:after="250" w:line="340" w:lineRule="exact"/>
      <w:ind w:left="397" w:hanging="397"/>
      <w:jc w:val="both"/>
    </w:pPr>
    <w:rPr>
      <w:b/>
      <w:caps/>
      <w:color w:val="2D4190"/>
      <w:sz w:val="28"/>
      <w:lang w:val="de-DE"/>
    </w:rPr>
  </w:style>
  <w:style w:type="paragraph" w:customStyle="1" w:styleId="04RunningText">
    <w:name w:val="04_Running Text"/>
    <w:basedOn w:val="Standard"/>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berschrift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berschrift1"/>
    <w:next w:val="Standard"/>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Standard"/>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Standard"/>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Standard"/>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Standard"/>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Standard"/>
    <w:next w:val="Standard"/>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Standard"/>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Standard"/>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Standard"/>
    <w:rsid w:val="000D2D0B"/>
    <w:rPr>
      <w:szCs w:val="20"/>
    </w:rPr>
  </w:style>
  <w:style w:type="paragraph" w:customStyle="1" w:styleId="Sbuchead">
    <w:name w:val="Sbuchead"/>
    <w:basedOn w:val="Standard"/>
    <w:rsid w:val="000D2D0B"/>
    <w:pPr>
      <w:spacing w:after="360"/>
    </w:pPr>
    <w:rPr>
      <w:rFonts w:ascii="Times New Roman" w:hAnsi="Times New Roman"/>
      <w:b/>
      <w:caps/>
      <w:sz w:val="24"/>
      <w:szCs w:val="20"/>
      <w:lang w:eastAsia="en-GB"/>
    </w:rPr>
  </w:style>
  <w:style w:type="paragraph" w:customStyle="1" w:styleId="Applicationdirecte">
    <w:name w:val="Application directe"/>
    <w:basedOn w:val="Standard"/>
    <w:next w:val="Fait"/>
    <w:rsid w:val="000D2D0B"/>
    <w:pPr>
      <w:spacing w:before="480" w:after="120"/>
      <w:jc w:val="both"/>
    </w:pPr>
    <w:rPr>
      <w:rFonts w:ascii="Times New Roman" w:hAnsi="Times New Roman"/>
      <w:sz w:val="24"/>
      <w:lang w:eastAsia="en-US"/>
    </w:rPr>
  </w:style>
  <w:style w:type="paragraph" w:customStyle="1" w:styleId="Fait">
    <w:name w:val="Fait à"/>
    <w:basedOn w:val="Standard"/>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Standard"/>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Standard"/>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Standard"/>
    <w:next w:val="Standard"/>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Standard"/>
    <w:next w:val="Standard"/>
    <w:rsid w:val="000D2D0B"/>
    <w:pPr>
      <w:spacing w:before="360" w:after="360"/>
      <w:jc w:val="center"/>
    </w:pPr>
    <w:rPr>
      <w:rFonts w:ascii="Times New Roman" w:hAnsi="Times New Roman"/>
      <w:b/>
      <w:sz w:val="24"/>
      <w:lang w:eastAsia="en-US"/>
    </w:rPr>
  </w:style>
  <w:style w:type="paragraph" w:customStyle="1" w:styleId="Typedudocument">
    <w:name w:val="Type du document"/>
    <w:basedOn w:val="Standard"/>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Standard"/>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Standard"/>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Standard"/>
    <w:rsid w:val="000D2D0B"/>
    <w:pPr>
      <w:spacing w:before="120" w:after="120"/>
      <w:ind w:left="850"/>
      <w:jc w:val="both"/>
    </w:pPr>
    <w:rPr>
      <w:rFonts w:ascii="Times New Roman" w:hAnsi="Times New Roman"/>
      <w:sz w:val="24"/>
      <w:lang w:eastAsia="en-US"/>
    </w:rPr>
  </w:style>
  <w:style w:type="paragraph" w:customStyle="1" w:styleId="Text2">
    <w:name w:val="Text 2"/>
    <w:basedOn w:val="Standard"/>
    <w:rsid w:val="000D2D0B"/>
    <w:pPr>
      <w:spacing w:before="120" w:after="120"/>
      <w:ind w:left="1417"/>
      <w:jc w:val="both"/>
    </w:pPr>
    <w:rPr>
      <w:rFonts w:ascii="Times New Roman" w:hAnsi="Times New Roman"/>
      <w:sz w:val="24"/>
      <w:lang w:eastAsia="en-US"/>
    </w:rPr>
  </w:style>
  <w:style w:type="paragraph" w:customStyle="1" w:styleId="Text3">
    <w:name w:val="Text 3"/>
    <w:basedOn w:val="Standard"/>
    <w:rsid w:val="000D2D0B"/>
    <w:pPr>
      <w:spacing w:before="120" w:after="120"/>
      <w:ind w:left="1984"/>
      <w:jc w:val="both"/>
    </w:pPr>
    <w:rPr>
      <w:rFonts w:ascii="Times New Roman" w:hAnsi="Times New Roman"/>
      <w:sz w:val="24"/>
      <w:lang w:eastAsia="en-US"/>
    </w:rPr>
  </w:style>
  <w:style w:type="paragraph" w:customStyle="1" w:styleId="Text4">
    <w:name w:val="Text 4"/>
    <w:basedOn w:val="Standard"/>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Standard"/>
    <w:rsid w:val="000D2D0B"/>
    <w:pPr>
      <w:spacing w:before="120" w:after="120"/>
      <w:jc w:val="center"/>
    </w:pPr>
    <w:rPr>
      <w:rFonts w:ascii="Times New Roman" w:hAnsi="Times New Roman"/>
      <w:sz w:val="24"/>
      <w:lang w:eastAsia="en-US"/>
    </w:rPr>
  </w:style>
  <w:style w:type="paragraph" w:customStyle="1" w:styleId="NormalLeft">
    <w:name w:val="Normal Left"/>
    <w:basedOn w:val="Standard"/>
    <w:rsid w:val="000D2D0B"/>
    <w:pPr>
      <w:spacing w:before="120" w:after="120"/>
    </w:pPr>
    <w:rPr>
      <w:rFonts w:ascii="Times New Roman" w:hAnsi="Times New Roman"/>
      <w:sz w:val="24"/>
      <w:lang w:eastAsia="en-US"/>
    </w:rPr>
  </w:style>
  <w:style w:type="paragraph" w:customStyle="1" w:styleId="NormalRight">
    <w:name w:val="Normal Right"/>
    <w:basedOn w:val="Standard"/>
    <w:rsid w:val="000D2D0B"/>
    <w:pPr>
      <w:spacing w:before="120" w:after="120"/>
      <w:jc w:val="right"/>
    </w:pPr>
    <w:rPr>
      <w:rFonts w:ascii="Times New Roman" w:hAnsi="Times New Roman"/>
      <w:sz w:val="24"/>
      <w:lang w:eastAsia="en-US"/>
    </w:rPr>
  </w:style>
  <w:style w:type="paragraph" w:customStyle="1" w:styleId="QuotedText">
    <w:name w:val="Quoted Text"/>
    <w:basedOn w:val="Standard"/>
    <w:rsid w:val="000D2D0B"/>
    <w:pPr>
      <w:spacing w:before="120" w:after="120"/>
      <w:ind w:left="1417"/>
      <w:jc w:val="both"/>
    </w:pPr>
    <w:rPr>
      <w:rFonts w:ascii="Times New Roman" w:hAnsi="Times New Roman"/>
      <w:sz w:val="24"/>
      <w:lang w:eastAsia="en-US"/>
    </w:rPr>
  </w:style>
  <w:style w:type="paragraph" w:customStyle="1" w:styleId="Point0">
    <w:name w:val="Point 0"/>
    <w:basedOn w:val="Standard"/>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Standard"/>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Standard"/>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Standard"/>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Standard"/>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Standard"/>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Standard"/>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Standard"/>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Standard"/>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Standard"/>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Standard"/>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Standard"/>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Standard"/>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Standard"/>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Standard"/>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Standard"/>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Standard"/>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Standard"/>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Standard"/>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Standard"/>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Standard"/>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Standard"/>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Standard"/>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Standard"/>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Standard"/>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Standard"/>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Standard"/>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Standard"/>
    <w:next w:val="Standard"/>
    <w:rsid w:val="000D2D0B"/>
    <w:pPr>
      <w:keepNext/>
      <w:spacing w:before="120" w:after="360"/>
      <w:jc w:val="center"/>
    </w:pPr>
    <w:rPr>
      <w:rFonts w:ascii="Times New Roman" w:hAnsi="Times New Roman"/>
      <w:b/>
      <w:sz w:val="32"/>
      <w:lang w:eastAsia="en-US"/>
    </w:rPr>
  </w:style>
  <w:style w:type="paragraph" w:customStyle="1" w:styleId="PartTitle">
    <w:name w:val="PartTitle"/>
    <w:basedOn w:val="Standard"/>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Standard"/>
    <w:next w:val="berschrift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Standard"/>
    <w:next w:val="Standard"/>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Standard"/>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Standard"/>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Standard"/>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Standard"/>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Standard"/>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Standard"/>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Standard"/>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Standard"/>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Standard"/>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Standard"/>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Standard"/>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Standard"/>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Standard"/>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Standard"/>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Standard"/>
    <w:next w:val="Standard"/>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Standard"/>
    <w:next w:val="Standard"/>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Standard"/>
    <w:next w:val="Standard"/>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Standard"/>
    <w:next w:val="Standard"/>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Standard"/>
    <w:next w:val="Standard"/>
    <w:rsid w:val="000D2D0B"/>
    <w:pPr>
      <w:spacing w:before="360" w:after="120"/>
      <w:jc w:val="center"/>
    </w:pPr>
    <w:rPr>
      <w:rFonts w:ascii="Times New Roman" w:hAnsi="Times New Roman"/>
      <w:sz w:val="24"/>
      <w:lang w:eastAsia="en-US"/>
    </w:rPr>
  </w:style>
  <w:style w:type="paragraph" w:customStyle="1" w:styleId="Confidentialit">
    <w:name w:val="Confidentialité"/>
    <w:basedOn w:val="Standard"/>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Standard"/>
    <w:next w:val="Standard"/>
    <w:rsid w:val="000D2D0B"/>
    <w:pPr>
      <w:spacing w:after="240"/>
    </w:pPr>
    <w:rPr>
      <w:rFonts w:ascii="Times New Roman" w:hAnsi="Times New Roman"/>
      <w:sz w:val="24"/>
      <w:lang w:eastAsia="en-US"/>
    </w:rPr>
  </w:style>
  <w:style w:type="paragraph" w:customStyle="1" w:styleId="Datedadoption">
    <w:name w:val="Date d'adoption"/>
    <w:basedOn w:val="Standard"/>
    <w:next w:val="Titreobjet"/>
    <w:rsid w:val="000D2D0B"/>
    <w:pPr>
      <w:spacing w:before="360"/>
      <w:jc w:val="center"/>
    </w:pPr>
    <w:rPr>
      <w:rFonts w:ascii="Times New Roman" w:hAnsi="Times New Roman"/>
      <w:b/>
      <w:sz w:val="24"/>
      <w:lang w:eastAsia="en-US"/>
    </w:rPr>
  </w:style>
  <w:style w:type="paragraph" w:customStyle="1" w:styleId="Emission">
    <w:name w:val="Emission"/>
    <w:basedOn w:val="Standard"/>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Standard"/>
    <w:next w:val="Standard"/>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Standard"/>
    <w:next w:val="Standard"/>
    <w:rsid w:val="000D2D0B"/>
    <w:pPr>
      <w:keepNext/>
      <w:spacing w:before="600" w:after="120"/>
      <w:jc w:val="both"/>
    </w:pPr>
    <w:rPr>
      <w:rFonts w:ascii="Times New Roman" w:hAnsi="Times New Roman"/>
      <w:sz w:val="24"/>
      <w:lang w:eastAsia="en-US"/>
    </w:rPr>
  </w:style>
  <w:style w:type="paragraph" w:customStyle="1" w:styleId="Langue">
    <w:name w:val="Langue"/>
    <w:basedOn w:val="Standard"/>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Standard"/>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Standard"/>
    <w:next w:val="Emission"/>
    <w:rsid w:val="000D2D0B"/>
    <w:rPr>
      <w:rFonts w:cs="Arial"/>
      <w:sz w:val="24"/>
      <w:lang w:eastAsia="en-US"/>
    </w:rPr>
  </w:style>
  <w:style w:type="paragraph" w:customStyle="1" w:styleId="Rfrenceinstitutionnelle">
    <w:name w:val="Référence institutionnelle"/>
    <w:basedOn w:val="Standard"/>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Standard"/>
    <w:next w:val="Statut"/>
    <w:rsid w:val="000D2D0B"/>
    <w:pPr>
      <w:ind w:left="5103"/>
    </w:pPr>
    <w:rPr>
      <w:rFonts w:ascii="Times New Roman" w:hAnsi="Times New Roman"/>
      <w:sz w:val="24"/>
      <w:lang w:eastAsia="en-US"/>
    </w:rPr>
  </w:style>
  <w:style w:type="paragraph" w:customStyle="1" w:styleId="Rfrenceinterne">
    <w:name w:val="Référence interne"/>
    <w:basedOn w:val="Standard"/>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Standard"/>
    <w:rsid w:val="000D2D0B"/>
    <w:pPr>
      <w:jc w:val="center"/>
    </w:pPr>
    <w:rPr>
      <w:rFonts w:ascii="Times New Roman" w:hAnsi="Times New Roman"/>
      <w:b/>
      <w:sz w:val="24"/>
      <w:lang w:eastAsia="en-US"/>
    </w:rPr>
  </w:style>
  <w:style w:type="paragraph" w:customStyle="1" w:styleId="Statut">
    <w:name w:val="Statut"/>
    <w:basedOn w:val="Standard"/>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Standard"/>
    <w:next w:val="Standard"/>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Standard"/>
    <w:next w:val="Standard"/>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Standard"/>
    <w:next w:val="Standard"/>
    <w:rsid w:val="000D2D0B"/>
    <w:pPr>
      <w:spacing w:before="120" w:after="120"/>
      <w:jc w:val="both"/>
    </w:pPr>
    <w:rPr>
      <w:rFonts w:ascii="Times New Roman" w:hAnsi="Times New Roman"/>
      <w:sz w:val="24"/>
      <w:lang w:eastAsia="en-US"/>
    </w:rPr>
  </w:style>
  <w:style w:type="paragraph" w:customStyle="1" w:styleId="Supertitre">
    <w:name w:val="Supertitre"/>
    <w:basedOn w:val="Standard"/>
    <w:next w:val="Standard"/>
    <w:rsid w:val="000D2D0B"/>
    <w:pPr>
      <w:spacing w:after="600"/>
      <w:jc w:val="center"/>
    </w:pPr>
    <w:rPr>
      <w:rFonts w:ascii="Times New Roman" w:hAnsi="Times New Roman"/>
      <w:b/>
      <w:sz w:val="24"/>
      <w:lang w:eastAsia="en-US"/>
    </w:rPr>
  </w:style>
  <w:style w:type="paragraph" w:customStyle="1" w:styleId="Languesfaisantfoi">
    <w:name w:val="Langues faisant foi"/>
    <w:basedOn w:val="Standard"/>
    <w:next w:val="Standard"/>
    <w:rsid w:val="000D2D0B"/>
    <w:pPr>
      <w:spacing w:before="360"/>
      <w:jc w:val="center"/>
    </w:pPr>
    <w:rPr>
      <w:rFonts w:ascii="Times New Roman" w:hAnsi="Times New Roman"/>
      <w:sz w:val="24"/>
      <w:lang w:eastAsia="en-US"/>
    </w:rPr>
  </w:style>
  <w:style w:type="paragraph" w:customStyle="1" w:styleId="Rfrencecroise">
    <w:name w:val="Référence croisée"/>
    <w:basedOn w:val="Standard"/>
    <w:rsid w:val="000D2D0B"/>
    <w:pPr>
      <w:jc w:val="center"/>
    </w:pPr>
    <w:rPr>
      <w:rFonts w:ascii="Times New Roman" w:hAnsi="Times New Roman"/>
      <w:sz w:val="24"/>
      <w:lang w:eastAsia="en-US"/>
    </w:rPr>
  </w:style>
  <w:style w:type="paragraph" w:customStyle="1" w:styleId="Fichefinanciretitre">
    <w:name w:val="Fiche financière titre"/>
    <w:basedOn w:val="Standard"/>
    <w:next w:val="Standard"/>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Standard"/>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Standard"/>
    <w:rsid w:val="000D2D0B"/>
    <w:pPr>
      <w:spacing w:after="240"/>
    </w:pPr>
  </w:style>
  <w:style w:type="paragraph" w:customStyle="1" w:styleId="Accompagnant">
    <w:name w:val="Accompagnant"/>
    <w:basedOn w:val="Standard"/>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Standard"/>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Standard"/>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Standard"/>
    <w:next w:val="Standard"/>
    <w:rsid w:val="000D2D0B"/>
    <w:pPr>
      <w:spacing w:before="360"/>
      <w:jc w:val="center"/>
    </w:pPr>
    <w:rPr>
      <w:rFonts w:ascii="Times New Roman" w:hAnsi="Times New Roman"/>
      <w:sz w:val="24"/>
      <w:lang w:eastAsia="en-US"/>
    </w:rPr>
  </w:style>
  <w:style w:type="paragraph" w:styleId="Listennummer2">
    <w:name w:val="List Number 2"/>
    <w:basedOn w:val="Standard"/>
    <w:rsid w:val="000D2D0B"/>
    <w:pPr>
      <w:tabs>
        <w:tab w:val="num" w:pos="643"/>
      </w:tabs>
      <w:spacing w:before="120" w:after="120"/>
      <w:ind w:left="643" w:hanging="360"/>
      <w:jc w:val="both"/>
    </w:pPr>
    <w:rPr>
      <w:rFonts w:ascii="Times New Roman" w:hAnsi="Times New Roman"/>
      <w:sz w:val="24"/>
      <w:lang w:eastAsia="en-US"/>
    </w:rPr>
  </w:style>
  <w:style w:type="paragraph" w:styleId="Listennummer3">
    <w:name w:val="List Number 3"/>
    <w:basedOn w:val="Standard"/>
    <w:rsid w:val="000D2D0B"/>
    <w:pPr>
      <w:tabs>
        <w:tab w:val="num" w:pos="926"/>
      </w:tabs>
      <w:spacing w:before="120" w:after="120"/>
      <w:ind w:left="926" w:hanging="360"/>
      <w:jc w:val="both"/>
    </w:pPr>
    <w:rPr>
      <w:rFonts w:ascii="Times New Roman" w:hAnsi="Times New Roman"/>
      <w:sz w:val="24"/>
      <w:lang w:eastAsia="en-US"/>
    </w:rPr>
  </w:style>
  <w:style w:type="paragraph" w:styleId="Listennummer4">
    <w:name w:val="List Number 4"/>
    <w:basedOn w:val="Standard"/>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Aufzhlungszeichen">
    <w:name w:val="List Bullet"/>
    <w:basedOn w:val="Standard"/>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Aufzhlungszeichen2">
    <w:name w:val="List Bullet 2"/>
    <w:basedOn w:val="Standard"/>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Aufzhlungszeichen3">
    <w:name w:val="List Bullet 3"/>
    <w:basedOn w:val="Standard"/>
    <w:rsid w:val="000D2D0B"/>
    <w:pPr>
      <w:numPr>
        <w:numId w:val="16"/>
      </w:numPr>
      <w:tabs>
        <w:tab w:val="num" w:pos="926"/>
      </w:tabs>
      <w:spacing w:before="120" w:after="120"/>
      <w:ind w:left="926"/>
      <w:jc w:val="both"/>
    </w:pPr>
    <w:rPr>
      <w:rFonts w:ascii="Times New Roman" w:hAnsi="Times New Roman"/>
      <w:sz w:val="24"/>
      <w:lang w:eastAsia="en-US"/>
    </w:rPr>
  </w:style>
  <w:style w:type="paragraph" w:styleId="Aufzhlungszeichen4">
    <w:name w:val="List Bullet 4"/>
    <w:basedOn w:val="Standard"/>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Abbildungsverzeichnis">
    <w:name w:val="table of figures"/>
    <w:basedOn w:val="Standard"/>
    <w:next w:val="Standard"/>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Standard"/>
    <w:rsid w:val="000D2D0B"/>
    <w:pPr>
      <w:ind w:left="720"/>
      <w:contextualSpacing/>
    </w:pPr>
    <w:rPr>
      <w:rFonts w:ascii="Cambria" w:hAnsi="Cambria"/>
      <w:sz w:val="24"/>
      <w:lang w:val="en-US" w:eastAsia="en-US"/>
    </w:rPr>
  </w:style>
  <w:style w:type="paragraph" w:customStyle="1" w:styleId="Listeavsnitt1">
    <w:name w:val="Listeavsnitt1"/>
    <w:basedOn w:val="Standard"/>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Standard"/>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Standard"/>
    <w:uiPriority w:val="99"/>
    <w:rsid w:val="000D2D0B"/>
    <w:pPr>
      <w:ind w:left="720"/>
      <w:contextualSpacing/>
    </w:pPr>
    <w:rPr>
      <w:rFonts w:ascii="Cambria" w:hAnsi="Cambria"/>
      <w:sz w:val="24"/>
      <w:lang w:val="en-US" w:eastAsia="en-US"/>
    </w:rPr>
  </w:style>
  <w:style w:type="paragraph" w:customStyle="1" w:styleId="ListParagraph2">
    <w:name w:val="List Paragraph2"/>
    <w:basedOn w:val="Standard"/>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berschrift1"/>
    <w:next w:val="Standard"/>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Standard"/>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Standard"/>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Standar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Standard"/>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Standard"/>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Standard"/>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el">
    <w:name w:val="Title"/>
    <w:basedOn w:val="Standard"/>
    <w:next w:val="Standard"/>
    <w:link w:val="TitelZchn"/>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elZchn">
    <w:name w:val="Titel Zchn"/>
    <w:link w:val="Titel"/>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Standard"/>
    <w:rsid w:val="000D2D0B"/>
    <w:pPr>
      <w:spacing w:before="320" w:line="260" w:lineRule="exact"/>
      <w:jc w:val="both"/>
    </w:pPr>
    <w:rPr>
      <w:rFonts w:ascii="Myriad Pro Light" w:hAnsi="Myriad Pro Light"/>
      <w:b/>
      <w:sz w:val="21"/>
      <w:szCs w:val="20"/>
      <w:lang w:val="es-ES" w:eastAsia="es-ES"/>
    </w:rPr>
  </w:style>
  <w:style w:type="character" w:customStyle="1" w:styleId="berarbeitungZchn">
    <w:name w:val="Überarbeitung Zchn"/>
    <w:link w:val="berarbeitung"/>
    <w:uiPriority w:val="99"/>
    <w:semiHidden/>
    <w:locked/>
    <w:rsid w:val="000D2D0B"/>
    <w:rPr>
      <w:rFonts w:ascii="Georgia" w:hAnsi="Georgia"/>
      <w:sz w:val="22"/>
      <w:szCs w:val="24"/>
      <w:lang w:eastAsia="de-DE"/>
    </w:rPr>
  </w:style>
  <w:style w:type="table" w:customStyle="1" w:styleId="TableGrid2">
    <w:name w:val="Table Grid2"/>
    <w:basedOn w:val="NormaleTabelle"/>
    <w:next w:val="Tabellenraster"/>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chwacheHervorhebung">
    <w:name w:val="Subtle Emphasis"/>
    <w:aliases w:val="Question,Text,Diskret betoning,Emphase pâle"/>
    <w:uiPriority w:val="19"/>
    <w:qFormat/>
    <w:rsid w:val="003A6E9A"/>
    <w:rPr>
      <w:b/>
      <w:i w:val="0"/>
      <w:iCs/>
      <w:sz w:val="20"/>
    </w:rPr>
  </w:style>
  <w:style w:type="paragraph" w:customStyle="1" w:styleId="NEW-Paragraph-Level1">
    <w:name w:val="NEW-Paragraph-Level1"/>
    <w:basedOn w:val="Standard"/>
    <w:rsid w:val="003A6E9A"/>
    <w:pPr>
      <w:tabs>
        <w:tab w:val="num" w:pos="284"/>
      </w:tabs>
      <w:spacing w:after="250" w:line="276" w:lineRule="auto"/>
      <w:ind w:left="284" w:hanging="284"/>
      <w:jc w:val="both"/>
    </w:pPr>
    <w:rPr>
      <w:szCs w:val="20"/>
    </w:rPr>
  </w:style>
  <w:style w:type="paragraph" w:customStyle="1" w:styleId="NEW-Paragraph-level2">
    <w:name w:val="NEW-Paragraph-level2"/>
    <w:basedOn w:val="Standard"/>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Standard"/>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Standard"/>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Standard"/>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Standard"/>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Standard"/>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Standard"/>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Standard"/>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Standard"/>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Standard"/>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Standard"/>
    <w:link w:val="CPQuestionsChar"/>
    <w:qFormat/>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Absatz-Standardschriftar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iveHervorhebung">
    <w:name w:val="Intense Emphasis"/>
    <w:basedOn w:val="Absatz-Standardschriftart"/>
    <w:uiPriority w:val="21"/>
    <w:qFormat/>
    <w:rsid w:val="00D34282"/>
    <w:rPr>
      <w:b/>
      <w:bCs/>
      <w:i/>
      <w:iCs/>
    </w:rPr>
  </w:style>
  <w:style w:type="character" w:customStyle="1" w:styleId="CPTitle1Char">
    <w:name w:val="CP_Title1 Char"/>
    <w:basedOn w:val="Absatz-Standardschriftart"/>
    <w:link w:val="CPTitle1"/>
    <w:locked/>
    <w:rsid w:val="00D34282"/>
    <w:rPr>
      <w:rFonts w:asciiTheme="majorHAnsi" w:eastAsiaTheme="majorEastAsia" w:hAnsiTheme="majorHAnsi" w:cstheme="majorHAnsi"/>
      <w:b/>
      <w:sz w:val="32"/>
      <w:szCs w:val="32"/>
    </w:rPr>
  </w:style>
  <w:style w:type="paragraph" w:customStyle="1" w:styleId="CPTitle1">
    <w:name w:val="CP_Title1"/>
    <w:basedOn w:val="berschrift1"/>
    <w:link w:val="CPTitle1Char"/>
    <w:qFormat/>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berschrift2"/>
    <w:qFormat/>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Standard"/>
    <w:qFormat/>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Standard"/>
    <w:qFormat/>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Standard"/>
    <w:qFormat/>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Standard"/>
    <w:qFormat/>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Standard"/>
    <w:qFormat/>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Standard"/>
    <w:qFormat/>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Standard"/>
    <w:link w:val="QuestionsFORMChar"/>
    <w:qFormat/>
    <w:rsid w:val="0075015C"/>
    <w:pPr>
      <w:numPr>
        <w:numId w:val="35"/>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Absatz-Standardschriftart"/>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 w:type="paragraph" w:customStyle="1" w:styleId="Questionstyle">
    <w:name w:val="Question style"/>
    <w:basedOn w:val="Standard"/>
    <w:next w:val="Standard"/>
    <w:link w:val="QuestionstyleChar"/>
    <w:autoRedefine/>
    <w:qFormat/>
    <w:rsid w:val="007118EB"/>
    <w:pPr>
      <w:numPr>
        <w:numId w:val="37"/>
      </w:numPr>
      <w:spacing w:after="250" w:line="276" w:lineRule="auto"/>
      <w:ind w:hanging="294"/>
      <w:contextualSpacing/>
      <w:jc w:val="both"/>
    </w:pPr>
    <w:rPr>
      <w:rFonts w:asciiTheme="minorHAnsi" w:eastAsiaTheme="minorEastAsia" w:hAnsiTheme="minorHAnsi" w:cstheme="minorBidi"/>
      <w:b/>
      <w:sz w:val="22"/>
      <w:szCs w:val="20"/>
      <w:lang w:eastAsia="en-US"/>
    </w:rPr>
  </w:style>
  <w:style w:type="character" w:customStyle="1" w:styleId="QuestionstyleChar">
    <w:name w:val="Question style Char"/>
    <w:basedOn w:val="Absatz-Standardschriftart"/>
    <w:link w:val="Questionstyle"/>
    <w:rsid w:val="007118EB"/>
    <w:rPr>
      <w:rFonts w:asciiTheme="minorHAnsi" w:eastAsiaTheme="minorEastAsia" w:hAnsiTheme="minorHAnsi" w:cstheme="minorBidi"/>
      <w:b/>
      <w:sz w:val="22"/>
      <w:lang w:eastAsia="en-US"/>
    </w:rPr>
  </w:style>
  <w:style w:type="paragraph" w:styleId="Untertitel">
    <w:name w:val="Subtitle"/>
    <w:basedOn w:val="Standard"/>
    <w:next w:val="Standard"/>
    <w:link w:val="UntertitelZchn"/>
    <w:uiPriority w:val="11"/>
    <w:qFormat/>
    <w:rsid w:val="006A24D5"/>
    <w:pPr>
      <w:numPr>
        <w:ilvl w:val="1"/>
      </w:numPr>
      <w:spacing w:after="250"/>
      <w:jc w:val="both"/>
    </w:pPr>
    <w:rPr>
      <w:rFonts w:asciiTheme="majorHAnsi" w:eastAsiaTheme="majorEastAsia" w:hAnsiTheme="majorHAnsi" w:cstheme="majorBidi"/>
      <w:b/>
      <w:sz w:val="28"/>
      <w:lang w:eastAsia="en-US"/>
    </w:rPr>
  </w:style>
  <w:style w:type="character" w:customStyle="1" w:styleId="UntertitelZchn">
    <w:name w:val="Untertitel Zchn"/>
    <w:basedOn w:val="Absatz-Standardschriftart"/>
    <w:link w:val="Untertitel"/>
    <w:uiPriority w:val="11"/>
    <w:rsid w:val="006A24D5"/>
    <w:rPr>
      <w:rFonts w:asciiTheme="majorHAnsi" w:eastAsiaTheme="majorEastAsia" w:hAnsiTheme="majorHAnsi" w:cstheme="majorBidi"/>
      <w:b/>
      <w:sz w:val="28"/>
      <w:szCs w:val="24"/>
      <w:lang w:eastAsia="en-US"/>
    </w:rPr>
  </w:style>
  <w:style w:type="paragraph" w:customStyle="1" w:styleId="ParagraphoftheCP">
    <w:name w:val="Paragraph of the CP"/>
    <w:basedOn w:val="Listenabsatz"/>
    <w:link w:val="ParagraphoftheCPChar"/>
    <w:qFormat/>
    <w:rsid w:val="00820CBA"/>
    <w:pPr>
      <w:keepNext/>
      <w:spacing w:after="120" w:line="264" w:lineRule="auto"/>
      <w:ind w:left="0"/>
      <w:contextualSpacing w:val="0"/>
      <w:jc w:val="both"/>
    </w:pPr>
    <w:rPr>
      <w:rFonts w:asciiTheme="minorHAnsi" w:eastAsiaTheme="minorEastAsia" w:hAnsiTheme="minorHAnsi" w:cstheme="minorBidi"/>
      <w:sz w:val="22"/>
      <w:szCs w:val="22"/>
      <w:shd w:val="clear" w:color="auto" w:fill="FFFFFF"/>
      <w:lang w:eastAsia="en-US"/>
    </w:rPr>
  </w:style>
  <w:style w:type="character" w:customStyle="1" w:styleId="ParagraphoftheCPChar">
    <w:name w:val="Paragraph of the CP Char"/>
    <w:basedOn w:val="Absatz-Standardschriftart"/>
    <w:link w:val="ParagraphoftheCP"/>
    <w:rsid w:val="00820CBA"/>
    <w:rPr>
      <w:rFonts w:asciiTheme="minorHAnsi" w:eastAsiaTheme="minorEastAsia" w:hAnsiTheme="minorHAnsi" w:cstheme="minorBidi"/>
      <w:sz w:val="22"/>
      <w:szCs w:val="22"/>
      <w:lang w:eastAsia="en-US"/>
    </w:rPr>
  </w:style>
  <w:style w:type="character" w:customStyle="1" w:styleId="myNormalChar0">
    <w:name w:val="myNormal Char"/>
    <w:basedOn w:val="Absatz-Standardschriftart"/>
    <w:link w:val="myNormal0"/>
    <w:locked/>
    <w:rsid w:val="00AF38AF"/>
    <w:rPr>
      <w:rFonts w:ascii="Georgia" w:hAnsi="Georgia"/>
      <w:lang w:eastAsia="de-DE"/>
    </w:rPr>
  </w:style>
  <w:style w:type="paragraph" w:customStyle="1" w:styleId="myNormal0">
    <w:name w:val="myNormal"/>
    <w:basedOn w:val="Standard"/>
    <w:link w:val="myNormalChar0"/>
    <w:rsid w:val="00AF38AF"/>
    <w:pPr>
      <w:tabs>
        <w:tab w:val="num" w:pos="360"/>
      </w:tabs>
      <w:spacing w:after="250" w:line="276" w:lineRule="auto"/>
      <w:jc w:val="both"/>
    </w:pPr>
    <w:rPr>
      <w:rFonts w:ascii="Georgia" w:hAnsi="Georgia"/>
      <w:szCs w:val="20"/>
    </w:rPr>
  </w:style>
  <w:style w:type="paragraph" w:customStyle="1" w:styleId="QStyle">
    <w:name w:val="Q Style"/>
    <w:basedOn w:val="Listenabsatz"/>
    <w:qFormat/>
    <w:rsid w:val="00407232"/>
    <w:pPr>
      <w:numPr>
        <w:numId w:val="38"/>
      </w:numPr>
      <w:tabs>
        <w:tab w:val="left" w:pos="720"/>
      </w:tabs>
      <w:autoSpaceDE w:val="0"/>
      <w:autoSpaceDN w:val="0"/>
      <w:adjustRightInd w:val="0"/>
      <w:spacing w:after="120"/>
      <w:ind w:left="720" w:hanging="720"/>
      <w:contextualSpacing w:val="0"/>
      <w:jc w:val="both"/>
    </w:pPr>
    <w:rPr>
      <w:rFonts w:asciiTheme="minorHAnsi" w:eastAsiaTheme="minorEastAsia" w:hAnsiTheme="minorHAnsi"/>
      <w:b/>
      <w:bCs/>
      <w:noProof/>
      <w:color w:val="000000"/>
      <w:sz w:val="22"/>
      <w:lang w:eastAsia="en-US"/>
    </w:rPr>
  </w:style>
  <w:style w:type="paragraph" w:customStyle="1" w:styleId="List1">
    <w:name w:val="List1"/>
    <w:autoRedefine/>
    <w:qFormat/>
    <w:rsid w:val="00197794"/>
    <w:rPr>
      <w:rFonts w:asciiTheme="minorHAnsi" w:eastAsiaTheme="minorEastAsia" w:hAnsiTheme="minorHAnsi" w:cstheme="minorBidi"/>
      <w:sz w:val="22"/>
      <w:szCs w:val="22"/>
      <w:lang w:val="en-US" w:eastAsia="en-US"/>
    </w:rPr>
  </w:style>
  <w:style w:type="paragraph" w:customStyle="1" w:styleId="1">
    <w:name w:val="1"/>
    <w:basedOn w:val="Standard"/>
    <w:link w:val="Funotenzeichen"/>
    <w:uiPriority w:val="99"/>
    <w:qFormat/>
    <w:rsid w:val="00197794"/>
    <w:pPr>
      <w:spacing w:after="160" w:line="240" w:lineRule="exact"/>
    </w:pPr>
    <w:rPr>
      <w:rFonts w:ascii="Times New Roman" w:hAnsi="Times New Roman"/>
      <w:szCs w:val="20"/>
      <w:vertAlign w:val="superscript"/>
      <w:lang w:eastAsia="en-GB"/>
    </w:rPr>
  </w:style>
  <w:style w:type="paragraph" w:customStyle="1" w:styleId="body">
    <w:name w:val="body"/>
    <w:link w:val="bodyChar"/>
    <w:uiPriority w:val="99"/>
    <w:qFormat/>
    <w:rsid w:val="00197794"/>
    <w:pPr>
      <w:spacing w:before="240" w:after="120" w:line="276" w:lineRule="auto"/>
      <w:jc w:val="both"/>
    </w:pPr>
    <w:rPr>
      <w:rFonts w:asciiTheme="minorHAnsi" w:eastAsiaTheme="minorEastAsia" w:hAnsiTheme="minorHAnsi" w:cstheme="minorBidi"/>
      <w:sz w:val="22"/>
      <w:szCs w:val="24"/>
      <w:lang w:val="en-US" w:eastAsia="en-US"/>
    </w:rPr>
  </w:style>
  <w:style w:type="character" w:customStyle="1" w:styleId="bodyChar">
    <w:name w:val="body Char"/>
    <w:link w:val="body"/>
    <w:uiPriority w:val="99"/>
    <w:locked/>
    <w:rsid w:val="00197794"/>
    <w:rPr>
      <w:rFonts w:asciiTheme="minorHAnsi" w:eastAsiaTheme="minorEastAsia" w:hAnsiTheme="minorHAnsi" w:cstheme="minorBidi"/>
      <w:sz w:val="22"/>
      <w:szCs w:val="24"/>
      <w:lang w:val="en-US" w:eastAsia="en-US"/>
    </w:rPr>
  </w:style>
  <w:style w:type="paragraph" w:styleId="Zitat">
    <w:name w:val="Quote"/>
    <w:basedOn w:val="Standard"/>
    <w:next w:val="Standard"/>
    <w:link w:val="ZitatZchn"/>
    <w:uiPriority w:val="29"/>
    <w:qFormat/>
    <w:rsid w:val="004733D0"/>
    <w:pPr>
      <w:spacing w:before="200" w:after="160" w:line="259" w:lineRule="auto"/>
      <w:ind w:left="864" w:right="864"/>
      <w:jc w:val="center"/>
    </w:pPr>
    <w:rPr>
      <w:rFonts w:asciiTheme="minorHAnsi" w:eastAsiaTheme="minorHAnsi" w:hAnsiTheme="minorHAnsi" w:cstheme="minorBidi"/>
      <w:i/>
      <w:iCs/>
      <w:color w:val="404040" w:themeColor="text1" w:themeTint="BF"/>
      <w:sz w:val="22"/>
      <w:szCs w:val="22"/>
      <w:lang w:val="de-DE" w:eastAsia="en-US"/>
    </w:rPr>
  </w:style>
  <w:style w:type="character" w:customStyle="1" w:styleId="ZitatZchn">
    <w:name w:val="Zitat Zchn"/>
    <w:basedOn w:val="Absatz-Standardschriftart"/>
    <w:link w:val="Zitat"/>
    <w:uiPriority w:val="29"/>
    <w:rsid w:val="004733D0"/>
    <w:rPr>
      <w:rFonts w:asciiTheme="minorHAnsi" w:eastAsiaTheme="minorHAnsi" w:hAnsiTheme="minorHAnsi" w:cstheme="minorBidi"/>
      <w:i/>
      <w:iCs/>
      <w:color w:val="404040" w:themeColor="text1" w:themeTint="BF"/>
      <w:sz w:val="22"/>
      <w:szCs w:val="22"/>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29606">
      <w:bodyDiv w:val="1"/>
      <w:marLeft w:val="0"/>
      <w:marRight w:val="0"/>
      <w:marTop w:val="0"/>
      <w:marBottom w:val="0"/>
      <w:divBdr>
        <w:top w:val="none" w:sz="0" w:space="0" w:color="auto"/>
        <w:left w:val="none" w:sz="0" w:space="0" w:color="auto"/>
        <w:bottom w:val="none" w:sz="0" w:space="0" w:color="auto"/>
        <w:right w:val="none" w:sz="0" w:space="0" w:color="auto"/>
      </w:divBdr>
    </w:div>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498666560">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17816576">
      <w:bodyDiv w:val="1"/>
      <w:marLeft w:val="0"/>
      <w:marRight w:val="0"/>
      <w:marTop w:val="0"/>
      <w:marBottom w:val="0"/>
      <w:divBdr>
        <w:top w:val="none" w:sz="0" w:space="0" w:color="auto"/>
        <w:left w:val="none" w:sz="0" w:space="0" w:color="auto"/>
        <w:bottom w:val="none" w:sz="0" w:space="0" w:color="auto"/>
        <w:right w:val="none" w:sz="0" w:space="0" w:color="auto"/>
      </w:divBdr>
    </w:div>
    <w:div w:id="521747332">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12478384">
      <w:bodyDiv w:val="1"/>
      <w:marLeft w:val="0"/>
      <w:marRight w:val="0"/>
      <w:marTop w:val="0"/>
      <w:marBottom w:val="0"/>
      <w:divBdr>
        <w:top w:val="none" w:sz="0" w:space="0" w:color="auto"/>
        <w:left w:val="none" w:sz="0" w:space="0" w:color="auto"/>
        <w:bottom w:val="none" w:sz="0" w:space="0" w:color="auto"/>
        <w:right w:val="none" w:sz="0" w:space="0" w:color="auto"/>
      </w:divBdr>
    </w:div>
    <w:div w:id="836698984">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997073813">
      <w:bodyDiv w:val="1"/>
      <w:marLeft w:val="0"/>
      <w:marRight w:val="0"/>
      <w:marTop w:val="0"/>
      <w:marBottom w:val="0"/>
      <w:divBdr>
        <w:top w:val="none" w:sz="0" w:space="0" w:color="auto"/>
        <w:left w:val="none" w:sz="0" w:space="0" w:color="auto"/>
        <w:bottom w:val="none" w:sz="0" w:space="0" w:color="auto"/>
        <w:right w:val="none" w:sz="0" w:space="0" w:color="auto"/>
      </w:divBdr>
    </w:div>
    <w:div w:id="1011108495">
      <w:bodyDiv w:val="1"/>
      <w:marLeft w:val="0"/>
      <w:marRight w:val="0"/>
      <w:marTop w:val="0"/>
      <w:marBottom w:val="0"/>
      <w:divBdr>
        <w:top w:val="none" w:sz="0" w:space="0" w:color="auto"/>
        <w:left w:val="none" w:sz="0" w:space="0" w:color="auto"/>
        <w:bottom w:val="none" w:sz="0" w:space="0" w:color="auto"/>
        <w:right w:val="none" w:sz="0" w:space="0" w:color="auto"/>
      </w:divBdr>
    </w:div>
    <w:div w:id="1083188112">
      <w:bodyDiv w:val="1"/>
      <w:marLeft w:val="0"/>
      <w:marRight w:val="0"/>
      <w:marTop w:val="0"/>
      <w:marBottom w:val="0"/>
      <w:divBdr>
        <w:top w:val="none" w:sz="0" w:space="0" w:color="auto"/>
        <w:left w:val="none" w:sz="0" w:space="0" w:color="auto"/>
        <w:bottom w:val="none" w:sz="0" w:space="0" w:color="auto"/>
        <w:right w:val="none" w:sz="0" w:space="0" w:color="auto"/>
      </w:divBdr>
    </w:div>
    <w:div w:id="108445353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44159185">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758867293">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12167854">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eiopa.europa.eu/Pages/Links/Legal-notice.aspx"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eba.europa.eu/legal-notice"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4.xml"/><Relationship Id="rId10" Type="http://schemas.openxmlformats.org/officeDocument/2006/relationships/webSettings" Target="webSettings.xml"/><Relationship Id="rId19" Type="http://schemas.openxmlformats.org/officeDocument/2006/relationships/hyperlink" Target="https://www.esma.europa.eu/press-news/consultations"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yperlink" Target="https://www.esma.europa.eu/legal-notice" TargetMode="Externa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Other Work Document" ma:contentTypeID="0x010100DD70E92362DEE14191597B20A60D97FF021000965AB77F8A9CDA4F84DF757DE0E7E0EB" ma:contentTypeVersion="139" ma:contentTypeDescription="" ma:contentTypeScope="" ma:versionID="1dade7e22ff44667bf538f766b29126c">
  <xsd:schema xmlns:xsd="http://www.w3.org/2001/XMLSchema" xmlns:xs="http://www.w3.org/2001/XMLSchema" xmlns:p="http://schemas.microsoft.com/office/2006/metadata/properties" xmlns:ns2="35c8e399-07b8-49e4-91bf-01a20105d4df" targetNamespace="http://schemas.microsoft.com/office/2006/metadata/properties" ma:root="true" ma:fieldsID="3efdec30530f1486a49bd24a2216b6f4" ns2:_="">
    <xsd:import namespace="35c8e399-07b8-49e4-91bf-01a20105d4df"/>
    <xsd:element name="properties">
      <xsd:complexType>
        <xsd:sequence>
          <xsd:element name="documentManagement">
            <xsd:complexType>
              <xsd:all>
                <xsd:element ref="ns2:Year"/>
                <xsd:element ref="ns2:MeetingDate" minOccurs="0"/>
                <xsd:element ref="ns2:_dlc_DocId" minOccurs="0"/>
                <xsd:element ref="ns2:TaxCatchAll" minOccurs="0"/>
                <xsd:element ref="ns2:_dlc_DocIdUrl" minOccurs="0"/>
                <xsd:element ref="ns2:_dlc_DocIdPersistId" minOccurs="0"/>
                <xsd:element ref="ns2:kdd529b9a5cb416096d62dbd0e6e5583" minOccurs="0"/>
                <xsd:element ref="ns2:k9db3a09612944c49e649e0ff38a506b" minOccurs="0"/>
                <xsd:element ref="ns2:oa4fe03ffd8943c1880fe290404e8de7" minOccurs="0"/>
                <xsd:element ref="ns2:o129a376828d47fdaef4d5f5d93fd079" minOccurs="0"/>
                <xsd:element ref="ns2:le43fdf786354491b6a92d49b491b10f" minOccurs="0"/>
                <xsd:element ref="ns2:TaxCatchAllLabel" minOccurs="0"/>
                <xsd:element ref="ns2:i273e4c9de95495b82bee898e1d119e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c8e399-07b8-49e4-91bf-01a20105d4df" elementFormDefault="qualified">
    <xsd:import namespace="http://schemas.microsoft.com/office/2006/documentManagement/types"/>
    <xsd:import namespace="http://schemas.microsoft.com/office/infopath/2007/PartnerControls"/>
    <xsd:element name="Year" ma:index="6" ma:displayName="Year" ma:description="" ma:internalName="Year">
      <xsd:simpleType>
        <xsd:restriction base="dms:Text">
          <xsd:maxLength value="4"/>
        </xsd:restriction>
      </xsd:simpleType>
    </xsd:element>
    <xsd:element name="MeetingDate" ma:index="8" nillable="true" ma:displayName="Meeting Date" ma:description="" ma:format="DateOnly" ma:internalName="MeetingDate" ma:readOnly="false">
      <xsd:simpleType>
        <xsd:restriction base="dms:DateTime"/>
      </xsd:simple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TaxCatchAll" ma:index="11" nillable="true" ma:displayName="Taxonomy Catch All Column" ma:hidden="true" ma:list="{c380671e-f6c3-419a-ac4e-e7d07b07efc7}" ma:internalName="TaxCatchAll" ma:showField="CatchAllData" ma:web="35c8e399-07b8-49e4-91bf-01a20105d4df">
      <xsd:complexType>
        <xsd:complexContent>
          <xsd:extension base="dms:MultiChoiceLookup">
            <xsd:sequence>
              <xsd:element name="Value" type="dms:Lookup" maxOccurs="unbounded" minOccurs="0" nillable="true"/>
            </xsd:sequence>
          </xsd:extension>
        </xsd:complexContent>
      </xsd:complex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kdd529b9a5cb416096d62dbd0e6e5583" ma:index="14" ma:taxonomy="true" ma:internalName="kdd529b9a5cb416096d62dbd0e6e5583" ma:taxonomyFieldName="TeamName" ma:displayName="Team Name" ma:readOnly="false" ma:default="38;#Investment Management|9630b78b-e81c-4ffd-baef-5f8b4aeb7ac5" ma:fieldId="{4dd529b9-a5cb-4160-96d6-2dbd0e6e5583}"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k9db3a09612944c49e649e0ff38a506b" ma:index="15" nillable="true" ma:taxonomy="true" ma:internalName="k9db3a09612944c49e649e0ff38a506b" ma:taxonomyFieldName="EsmaAudience" ma:displayName="Audience" ma:default="" ma:fieldId="{49db3a09-6129-44c4-9e64-9e0ff38a506b}"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oa4fe03ffd8943c1880fe290404e8de7" ma:index="16" ma:taxonomy="true" ma:internalName="oa4fe03ffd8943c1880fe290404e8de7" ma:taxonomyFieldName="DocumentType" ma:displayName="Document Type" ma:readOnly="false" ma:default="" ma:fieldId="{8a4fe03f-fd89-43c1-880f-e290404e8de7}"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o129a376828d47fdaef4d5f5d93fd079" ma:index="18" ma:taxonomy="true" ma:internalName="o129a376828d47fdaef4d5f5d93fd079" ma:taxonomyFieldName="ConfidentialityLevel" ma:displayName="Confidentiality Level" ma:readOnly="false" ma:default="15;#Regular|07f1e362-856b-423d-bea6-a14079762141" ma:fieldId="{8129a376-828d-47fd-aef4-d5f5d93fd079}"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le43fdf786354491b6a92d49b491b10f" ma:index="23" nillable="true" ma:taxonomy="true" ma:internalName="le43fdf786354491b6a92d49b491b10f" ma:taxonomyFieldName="TeamTopic" ma:displayName="Team Topic" ma:readOnly="false" ma:default="87;#Other Work|f1a52b52-917d-42ef-9667-945839604bb2" ma:fieldId="{5e43fdf7-8635-4491-b6a9-2d49b491b10f}" ma:taxonomyMulti="true" ma:sspId="0ac1876e-32bf-4158-94e7-cdbcd053a335" ma:termSetId="659d163a-41f8-4a11-98d0-47db219aa0e4" ma:anchorId="00000000-0000-0000-0000-000000000000" ma:open="false" ma:isKeyword="false">
      <xsd:complexType>
        <xsd:sequence>
          <xsd:element ref="pc:Terms" minOccurs="0" maxOccurs="1"/>
        </xsd:sequence>
      </xsd:complexType>
    </xsd:element>
    <xsd:element name="TaxCatchAllLabel" ma:index="24" nillable="true" ma:displayName="Taxonomy Catch All Column1" ma:hidden="true" ma:list="{c380671e-f6c3-419a-ac4e-e7d07b07efc7}" ma:internalName="TaxCatchAllLabel" ma:readOnly="true" ma:showField="CatchAllDataLabel" ma:web="35c8e399-07b8-49e4-91bf-01a20105d4df">
      <xsd:complexType>
        <xsd:complexContent>
          <xsd:extension base="dms:MultiChoiceLookup">
            <xsd:sequence>
              <xsd:element name="Value" type="dms:Lookup" maxOccurs="unbounded" minOccurs="0" nillable="true"/>
            </xsd:sequence>
          </xsd:extension>
        </xsd:complexContent>
      </xsd:complexType>
    </xsd:element>
    <xsd:element name="i273e4c9de95495b82bee898e1d119e4" ma:index="25" nillable="true" ma:taxonomy="true" ma:internalName="i273e4c9de95495b82bee898e1d119e4" ma:taxonomyFieldName="Topic" ma:displayName="Topic" ma:default="" ma:fieldId="{2273e4c9-de95-495b-82be-e898e1d119e4}" ma:sspId="0ac1876e-32bf-4158-94e7-cdbcd053a335" ma:termSetId="a11a6b21-db06-4e7f-a75f-2a10b1559aa2"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35c8e399-07b8-49e4-91bf-01a20105d4df">ESMA34-45-1218</_dlc_DocId>
    <_dlc_DocIdUrl xmlns="35c8e399-07b8-49e4-91bf-01a20105d4df">
      <Url>https://sherpa.esma.europa.eu/sites/INIIVM/_layouts/15/DocIdRedir.aspx?ID=ESMA34-45-1218</Url>
      <Description>ESMA34-45-1218</Description>
    </_dlc_DocIdUrl>
    <MeetingDate xmlns="35c8e399-07b8-49e4-91bf-01a20105d4df" xsi:nil="true"/>
    <TaxCatchAll xmlns="35c8e399-07b8-49e4-91bf-01a20105d4df">
      <Value>257</Value>
      <Value>66</Value>
      <Value>87</Value>
      <Value>72</Value>
      <Value>38</Value>
    </TaxCatchAll>
    <Year xmlns="35c8e399-07b8-49e4-91bf-01a20105d4df">2021</Year>
    <k9db3a09612944c49e649e0ff38a506b xmlns="35c8e399-07b8-49e4-91bf-01a20105d4df">
      <Terms xmlns="http://schemas.microsoft.com/office/infopath/2007/PartnerControls"/>
    </k9db3a09612944c49e649e0ff38a506b>
    <o129a376828d47fdaef4d5f5d93fd079 xmlns="35c8e399-07b8-49e4-91bf-01a20105d4df">
      <Terms xmlns="http://schemas.microsoft.com/office/infopath/2007/PartnerControls">
        <TermInfo xmlns="http://schemas.microsoft.com/office/infopath/2007/PartnerControls">
          <TermName xmlns="http://schemas.microsoft.com/office/infopath/2007/PartnerControls">Public</TermName>
          <TermId xmlns="http://schemas.microsoft.com/office/infopath/2007/PartnerControls">a0c619ff-bd46-48f0-b213-6b7c03fe156d</TermId>
        </TermInfo>
      </Terms>
    </o129a376828d47fdaef4d5f5d93fd079>
    <le43fdf786354491b6a92d49b491b10f xmlns="35c8e399-07b8-49e4-91bf-01a20105d4df">
      <Terms xmlns="http://schemas.microsoft.com/office/infopath/2007/PartnerControls">
        <TermInfo xmlns="http://schemas.microsoft.com/office/infopath/2007/PartnerControls">
          <TermName xmlns="http://schemas.microsoft.com/office/infopath/2007/PartnerControls">Other Work</TermName>
          <TermId xmlns="http://schemas.microsoft.com/office/infopath/2007/PartnerControls">f1a52b52-917d-42ef-9667-945839604bb2</TermId>
        </TermInfo>
      </Terms>
    </le43fdf786354491b6a92d49b491b10f>
    <kdd529b9a5cb416096d62dbd0e6e5583 xmlns="35c8e399-07b8-49e4-91bf-01a20105d4df">
      <Terms xmlns="http://schemas.microsoft.com/office/infopath/2007/PartnerControls">
        <TermInfo xmlns="http://schemas.microsoft.com/office/infopath/2007/PartnerControls">
          <TermName xmlns="http://schemas.microsoft.com/office/infopath/2007/PartnerControls">Investment Management</TermName>
          <TermId xmlns="http://schemas.microsoft.com/office/infopath/2007/PartnerControls">9630b78b-e81c-4ffd-baef-5f8b4aeb7ac5</TermId>
        </TermInfo>
      </Terms>
    </kdd529b9a5cb416096d62dbd0e6e5583>
    <i273e4c9de95495b82bee898e1d119e4 xmlns="35c8e399-07b8-49e4-91bf-01a20105d4df">
      <Terms xmlns="http://schemas.microsoft.com/office/infopath/2007/PartnerControls">
        <TermInfo xmlns="http://schemas.microsoft.com/office/infopath/2007/PartnerControls">
          <TermName xmlns="http://schemas.microsoft.com/office/infopath/2007/PartnerControls">Sustainable Finance</TermName>
          <TermId xmlns="http://schemas.microsoft.com/office/infopath/2007/PartnerControls">3f3f5c47-29f7-449c-ab20-04ae7736b23b</TermId>
        </TermInfo>
      </Terms>
    </i273e4c9de95495b82bee898e1d119e4>
    <oa4fe03ffd8943c1880fe290404e8de7 xmlns="35c8e399-07b8-49e4-91bf-01a20105d4df">
      <Terms xmlns="http://schemas.microsoft.com/office/infopath/2007/PartnerControls">
        <TermInfo xmlns="http://schemas.microsoft.com/office/infopath/2007/PartnerControls">
          <TermName xmlns="http://schemas.microsoft.com/office/infopath/2007/PartnerControls">Questionnaire</TermName>
          <TermId xmlns="http://schemas.microsoft.com/office/infopath/2007/PartnerControls">a849d609-a31c-415e-a1a8-503bcc16b083</TermId>
        </TermInfo>
      </Terms>
    </oa4fe03ffd8943c1880fe290404e8de7>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EA42A5-84E9-48B4-AED0-CBEF87EA7FDE}">
  <ds:schemaRefs>
    <ds:schemaRef ds:uri="http://schemas.microsoft.com/sharepoint/v3/contenttype/forms"/>
  </ds:schemaRefs>
</ds:datastoreItem>
</file>

<file path=customXml/itemProps2.xml><?xml version="1.0" encoding="utf-8"?>
<ds:datastoreItem xmlns:ds="http://schemas.openxmlformats.org/officeDocument/2006/customXml" ds:itemID="{DB48F0BA-D32A-4B60-B310-EF8735E9B5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c8e399-07b8-49e4-91bf-01a20105d4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5773D7-C2BB-4D87-8953-46CB848F19A7}">
  <ds:schemaRefs>
    <ds:schemaRef ds:uri="http://schemas.microsoft.com/sharepoint/events"/>
  </ds:schemaRefs>
</ds:datastoreItem>
</file>

<file path=customXml/itemProps4.xml><?xml version="1.0" encoding="utf-8"?>
<ds:datastoreItem xmlns:ds="http://schemas.openxmlformats.org/officeDocument/2006/customXml" ds:itemID="{A1823ED9-4C25-4A0F-AA35-0F2F3F3B90A3}">
  <ds:schemaRefs>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35c8e399-07b8-49e4-91bf-01a20105d4df"/>
    <ds:schemaRef ds:uri="http://www.w3.org/XML/1998/namespace"/>
    <ds:schemaRef ds:uri="http://purl.org/dc/dcmitype/"/>
  </ds:schemaRefs>
</ds:datastoreItem>
</file>

<file path=customXml/itemProps5.xml><?xml version="1.0" encoding="utf-8"?>
<ds:datastoreItem xmlns:ds="http://schemas.openxmlformats.org/officeDocument/2006/customXml" ds:itemID="{A305890B-C13A-4F58-B2EA-B9451A267794}">
  <ds:schemaRefs>
    <ds:schemaRef ds:uri="http://schemas.openxmlformats.org/officeDocument/2006/bibliography"/>
  </ds:schemaRefs>
</ds:datastoreItem>
</file>

<file path=customXml/itemProps6.xml><?xml version="1.0" encoding="utf-8"?>
<ds:datastoreItem xmlns:ds="http://schemas.openxmlformats.org/officeDocument/2006/customXml" ds:itemID="{CBF9D0E2-7E97-4A7D-82FA-CEDCADE45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2416</Words>
  <Characters>13793</Characters>
  <Application>Microsoft Office Word</Application>
  <DocSecurity>8</DocSecurity>
  <Lines>114</Lines>
  <Paragraphs>32</Paragraphs>
  <ScaleCrop>false</ScaleCrop>
  <HeadingPairs>
    <vt:vector size="10" baseType="variant">
      <vt:variant>
        <vt:lpstr>Titel</vt:lpstr>
      </vt:variant>
      <vt:variant>
        <vt:i4>1</vt:i4>
      </vt: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ector>
  </HeadingPairs>
  <TitlesOfParts>
    <vt:vector size="5" baseType="lpstr">
      <vt:lpstr>Reply form for the TR portability CP under EMIR</vt:lpstr>
      <vt:lpstr>Reply form for the TR portability CP under EMIR</vt:lpstr>
      <vt:lpstr>20110000</vt:lpstr>
      <vt:lpstr>20110000</vt:lpstr>
      <vt:lpstr>20110000</vt:lpstr>
    </vt:vector>
  </TitlesOfParts>
  <Company>ESMA</Company>
  <LinksUpToDate>false</LinksUpToDate>
  <CharactersWithSpaces>16177</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TR portability CP under EMIR</dc:title>
  <dc:creator>ESMA</dc:creator>
  <cp:lastModifiedBy>Katja Kirchstein</cp:lastModifiedBy>
  <cp:revision>3</cp:revision>
  <cp:lastPrinted>2015-02-18T11:01:00Z</cp:lastPrinted>
  <dcterms:created xsi:type="dcterms:W3CDTF">2021-05-11T17:04:00Z</dcterms:created>
  <dcterms:modified xsi:type="dcterms:W3CDTF">2021-05-11T17:14:00Z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0x010100DD70E92362DEE14191597B20A60D97FF021000965AB77F8A9CDA4F84DF757DE0E7E0EB</vt:lpwstr>
  </property>
  <property fmtid="{D5CDD505-2E9C-101B-9397-08002B2CF9AE}" pid="3" name="EsmaAudience">
    <vt:lpwstr/>
  </property>
  <property fmtid="{D5CDD505-2E9C-101B-9397-08002B2CF9AE}" pid="4" name="TeamName">
    <vt:lpwstr>38;#Investment Management|9630b78b-e81c-4ffd-baef-5f8b4aeb7ac5</vt:lpwstr>
  </property>
  <property fmtid="{D5CDD505-2E9C-101B-9397-08002B2CF9AE}" pid="5" name="Topic">
    <vt:lpwstr>257;#Sustainable Finance|3f3f5c47-29f7-449c-ab20-04ae7736b23b</vt:lpwstr>
  </property>
  <property fmtid="{D5CDD505-2E9C-101B-9397-08002B2CF9AE}" pid="6" name="SubTopic">
    <vt:lpwstr/>
  </property>
  <property fmtid="{D5CDD505-2E9C-101B-9397-08002B2CF9AE}" pid="7" name="DocumentType">
    <vt:lpwstr>66;#Questionnaire|a849d609-a31c-415e-a1a8-503bcc16b083</vt:lpwstr>
  </property>
  <property fmtid="{D5CDD505-2E9C-101B-9397-08002B2CF9AE}" pid="8" name="ConfidentialityLevel">
    <vt:lpwstr>72;#Public|a0c619ff-bd46-48f0-b213-6b7c03fe156d</vt:lpwstr>
  </property>
  <property fmtid="{D5CDD505-2E9C-101B-9397-08002B2CF9AE}" pid="9" name="_dlc_DocIdItemGuid">
    <vt:lpwstr>71cff28a-b92d-4336-b344-c47118f9edc5</vt:lpwstr>
  </property>
  <property fmtid="{D5CDD505-2E9C-101B-9397-08002B2CF9AE}" pid="10" name="f73b170dc53b40b9aa315b795e235780">
    <vt:lpwstr>Post-Trading|edaa1ce6-4b9b-4aac-a462-2b226ce43f53</vt:lpwstr>
  </property>
  <property fmtid="{D5CDD505-2E9C-101B-9397-08002B2CF9AE}" pid="11" name="ebe96076533d4a3ebf64abfb595c8cab">
    <vt:lpwstr>TRs|fa921b24-005b-470e-8d84-860d1c02e2c4</vt:lpwstr>
  </property>
  <property fmtid="{D5CDD505-2E9C-101B-9397-08002B2CF9AE}" pid="12" name="k2a4e0e239ca426ba867042d07636a92">
    <vt:lpwstr>Consultation Paper|c6238baf-c3d7-4bb8-8cf2-f28a89601f52</vt:lpwstr>
  </property>
  <property fmtid="{D5CDD505-2E9C-101B-9397-08002B2CF9AE}" pid="13" name="l41428f617fd44458265420e00c85298">
    <vt:lpwstr>Restricted|187aa7e6-627f-4951-b138-6ff841dc883d</vt:lpwstr>
  </property>
  <property fmtid="{D5CDD505-2E9C-101B-9397-08002B2CF9AE}" pid="14" name="TaxCatchAll">
    <vt:lpwstr>4;#Post-Trading|edaa1ce6-4b9b-4aac-a462-2b226ce43f53;#24;#TRs|fa921b24-005b-470e-8d84-860d1c02e2c4;#2;#Restricted|187aa7e6-627f-4951-b138-6ff841dc883d;#91;#Consultation Paper|c6238baf-c3d7-4bb8-8cf2-f28a89601f52</vt:lpwstr>
  </property>
  <property fmtid="{D5CDD505-2E9C-101B-9397-08002B2CF9AE}" pid="15" name="ec60598a2cb14c5fbb15899e6f9fdcae">
    <vt:lpwstr/>
  </property>
  <property fmtid="{D5CDD505-2E9C-101B-9397-08002B2CF9AE}" pid="16" name="TeamTopic">
    <vt:lpwstr>87;#Other Work|f1a52b52-917d-42ef-9667-945839604bb2</vt:lpwstr>
  </property>
  <property fmtid="{D5CDD505-2E9C-101B-9397-08002B2CF9AE}" pid="17" name="Project">
    <vt:lpwstr>103;#PRIIPs|a491fde9-7cc6-4ddd-9670-fcf5e94cd88f</vt:lpwstr>
  </property>
</Properties>
</file>