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664B9B62" w:rsidR="00B327E9" w:rsidRPr="00AB6D88" w:rsidRDefault="006D0C25" w:rsidP="00F136AD">
                <w:pPr>
                  <w:rPr>
                    <w:rStyle w:val="PlaceholderText"/>
                    <w:rFonts w:cs="Arial"/>
                  </w:rPr>
                </w:pPr>
                <w:r>
                  <w:rPr>
                    <w:rStyle w:val="PlaceholderText"/>
                    <w:rFonts w:cs="Arial"/>
                  </w:rPr>
                  <w:t>T</w:t>
                </w:r>
                <w:r>
                  <w:rPr>
                    <w:rStyle w:val="PlaceholderText"/>
                  </w:rPr>
                  <w:t xml:space="preserve">he European Consumer Organisation - </w:t>
                </w:r>
                <w:r w:rsidR="00EA0516">
                  <w:rPr>
                    <w:rStyle w:val="PlaceholderText"/>
                    <w:rFonts w:cs="Arial"/>
                  </w:rPr>
                  <w:t>BEUC</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87587E5" w:rsidR="00B327E9" w:rsidRPr="00AB6D88" w:rsidRDefault="00A24941" w:rsidP="00F136AD">
            <w:pPr>
              <w:rPr>
                <w:rFonts w:cs="Arial"/>
              </w:rPr>
            </w:pPr>
            <w:sdt>
              <w:sdtPr>
                <w:rPr>
                  <w:rFonts w:cs="Arial"/>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A0516">
                  <w:rPr>
                    <w:rFonts w:cs="Arial"/>
                  </w:rPr>
                  <w:t xml:space="preserve">     </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2413676A" w:rsidR="00B327E9" w:rsidRPr="00AB6D88" w:rsidRDefault="00EA0516"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49F6D8F" w:rsidR="00B327E9" w:rsidRPr="00AB6D88" w:rsidRDefault="00EA0516" w:rsidP="00F136AD">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4595689A" w14:textId="77777777" w:rsidR="00EA0516" w:rsidRDefault="00EA0516" w:rsidP="00EA0516">
      <w:pPr>
        <w:pStyle w:val="NormalWeb"/>
        <w:rPr>
          <w:lang w:val="en-US"/>
        </w:rPr>
      </w:pPr>
      <w:permStart w:id="411981036" w:edGrp="everyone"/>
      <w:r w:rsidRPr="00EA0516">
        <w:rPr>
          <w:lang w:val="en-US"/>
        </w:rPr>
        <w:t xml:space="preserve">Consumers have begun changing their </w:t>
      </w:r>
      <w:proofErr w:type="spellStart"/>
      <w:r w:rsidRPr="00EA0516">
        <w:rPr>
          <w:lang w:val="en-US"/>
        </w:rPr>
        <w:t>behaviour</w:t>
      </w:r>
      <w:proofErr w:type="spellEnd"/>
      <w:r w:rsidRPr="00EA0516">
        <w:rPr>
          <w:lang w:val="en-US"/>
        </w:rPr>
        <w:t xml:space="preserve"> on financial markets in the past </w:t>
      </w:r>
      <w:r>
        <w:rPr>
          <w:lang w:val="en-US"/>
        </w:rPr>
        <w:t xml:space="preserve">years. One aspect of this change is an increased awareness of sustainability issues that come with investment. The increasing demand for sustainable investments has revealed a severe shortage of reliable information on ESG products. This consultation is a part of the European </w:t>
      </w:r>
      <w:proofErr w:type="spellStart"/>
      <w:r>
        <w:rPr>
          <w:lang w:val="en-US"/>
        </w:rPr>
        <w:t>Unions</w:t>
      </w:r>
      <w:proofErr w:type="spellEnd"/>
      <w:r>
        <w:rPr>
          <w:lang w:val="en-US"/>
        </w:rPr>
        <w:t xml:space="preserve"> great efforts to solve this problem, and BEUC welcomes the initiative. </w:t>
      </w:r>
    </w:p>
    <w:p w14:paraId="0FDAC42D" w14:textId="77777777" w:rsidR="00EA0516" w:rsidRDefault="00EA0516" w:rsidP="00EA0516">
      <w:pPr>
        <w:pStyle w:val="NormalWeb"/>
        <w:rPr>
          <w:lang w:val="en-US"/>
        </w:rPr>
      </w:pPr>
      <w:r>
        <w:rPr>
          <w:lang w:val="en-US"/>
        </w:rPr>
        <w:t>The Taxonomy Regulation will give consumers a framework to judge the sustainability of investments against. The rules set out in this consultation define, how taxonomy alignment should be disclosed to consumers. This is a vital aspect, because only an understandable information document can help consumers make sense and use of the available information.</w:t>
      </w:r>
    </w:p>
    <w:p w14:paraId="56A498DC" w14:textId="77777777" w:rsidR="00EA0516" w:rsidRPr="00847974" w:rsidRDefault="00EA0516" w:rsidP="00EA0516">
      <w:pPr>
        <w:pStyle w:val="NormalWeb"/>
        <w:rPr>
          <w:lang w:val="en-US"/>
        </w:rPr>
      </w:pPr>
      <w:r>
        <w:rPr>
          <w:lang w:val="en-US"/>
        </w:rPr>
        <w:t xml:space="preserve">Therefore, the questions of how key figures should be calculated and presented are vital for the success of the European </w:t>
      </w:r>
      <w:proofErr w:type="spellStart"/>
      <w:r>
        <w:rPr>
          <w:lang w:val="en-US"/>
        </w:rPr>
        <w:t>Unions</w:t>
      </w:r>
      <w:proofErr w:type="spellEnd"/>
      <w:r>
        <w:rPr>
          <w:lang w:val="en-US"/>
        </w:rPr>
        <w:t xml:space="preserve"> push toward more transparency on Sustainable Finance. The question of what information is truly vital and what should be further reading for the sake of a concise information will determine of user-friendly the information documents will be.</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4E7C6CCD" w14:textId="01380767" w:rsidR="00EA0516" w:rsidRPr="00EA0516" w:rsidRDefault="00EA0516" w:rsidP="00EA0516">
      <w:pPr>
        <w:pStyle w:val="NormalWeb"/>
        <w:rPr>
          <w:lang w:val="en-US"/>
        </w:rPr>
      </w:pPr>
      <w:permStart w:id="1221819945" w:edGrp="everyone"/>
      <w:r w:rsidRPr="00EA0516">
        <w:rPr>
          <w:lang w:val="en-US"/>
        </w:rPr>
        <w:t xml:space="preserve">The proposal of amending the existing SFDR RTS instead of drawing up a new set is sensible. It offers two main advantages: </w:t>
      </w:r>
    </w:p>
    <w:p w14:paraId="1666C416" w14:textId="77777777" w:rsidR="00EA0516" w:rsidRPr="00EA0516" w:rsidRDefault="00EA0516" w:rsidP="00EA0516">
      <w:pPr>
        <w:pStyle w:val="NormalWeb"/>
        <w:ind w:left="1440"/>
        <w:rPr>
          <w:lang w:val="en-US"/>
        </w:rPr>
      </w:pPr>
      <w:r w:rsidRPr="00EA0516">
        <w:rPr>
          <w:lang w:val="en-US"/>
        </w:rPr>
        <w:t xml:space="preserve">1. It will likely be a quicker process, which is relevant when considering the tight </w:t>
      </w:r>
      <w:proofErr w:type="gramStart"/>
      <w:r w:rsidRPr="00EA0516">
        <w:rPr>
          <w:lang w:val="en-US"/>
        </w:rPr>
        <w:t>schedule</w:t>
      </w:r>
      <w:proofErr w:type="gramEnd"/>
      <w:r w:rsidRPr="00EA0516">
        <w:rPr>
          <w:lang w:val="en-US"/>
        </w:rPr>
        <w:t xml:space="preserve"> the Taxonomy regulation must be made operational in. </w:t>
      </w:r>
    </w:p>
    <w:p w14:paraId="7F7D466C" w14:textId="77777777" w:rsidR="00EA0516" w:rsidRPr="00EA0516" w:rsidRDefault="00EA0516" w:rsidP="00EA0516">
      <w:pPr>
        <w:pStyle w:val="NormalWeb"/>
        <w:ind w:left="1440"/>
        <w:rPr>
          <w:lang w:val="en-US"/>
        </w:rPr>
      </w:pPr>
      <w:r w:rsidRPr="00EA0516">
        <w:rPr>
          <w:lang w:val="en-US"/>
        </w:rPr>
        <w:t xml:space="preserve">2. A single rulebook will be easier to operate and provide greater clarity on the interaction of rules for industry, </w:t>
      </w:r>
      <w:proofErr w:type="gramStart"/>
      <w:r w:rsidRPr="00EA0516">
        <w:rPr>
          <w:lang w:val="en-US"/>
        </w:rPr>
        <w:t>consumers</w:t>
      </w:r>
      <w:proofErr w:type="gramEnd"/>
      <w:r w:rsidRPr="00EA0516">
        <w:rPr>
          <w:lang w:val="en-US"/>
        </w:rPr>
        <w:t xml:space="preserve"> and their advocates. </w:t>
      </w:r>
    </w:p>
    <w:p w14:paraId="6496FAC5" w14:textId="22A76B2B" w:rsidR="003E573C" w:rsidRPr="00EA0516" w:rsidRDefault="00EA0516" w:rsidP="00EA0516">
      <w:pPr>
        <w:pStyle w:val="NormalWeb"/>
        <w:rPr>
          <w:lang w:val="en-US"/>
        </w:rPr>
      </w:pPr>
      <w:r w:rsidRPr="00EA0516">
        <w:rPr>
          <w:lang w:val="en-US"/>
        </w:rPr>
        <w:t>On a cautionary note, the merging of these two processes should not result in one being used to delay or obstruct the other.</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0EB0F1F1" w14:textId="77777777" w:rsidR="005763B2" w:rsidRPr="005763B2" w:rsidRDefault="005763B2" w:rsidP="005763B2">
      <w:pPr>
        <w:pStyle w:val="NormalWeb"/>
        <w:rPr>
          <w:lang w:val="en-US"/>
        </w:rPr>
      </w:pPr>
      <w:permStart w:id="729947415" w:edGrp="everyone"/>
      <w:r w:rsidRPr="005763B2">
        <w:rPr>
          <w:lang w:val="en-US"/>
        </w:rPr>
        <w:t xml:space="preserve">The same approach to KPI calculation should apply to all investments made by a given financial product to avoid cherry-picking criteria. If a financial market provider were free to choose which criteria to apply to specific investments, the logical outcome would be to choose the one with the most positive report for each investment. This would lead to highly confusing results for consumers. </w:t>
      </w:r>
    </w:p>
    <w:p w14:paraId="353E59C2" w14:textId="77777777" w:rsidR="005763B2" w:rsidRPr="005763B2" w:rsidRDefault="005763B2" w:rsidP="005763B2">
      <w:pPr>
        <w:pStyle w:val="NormalWeb"/>
        <w:rPr>
          <w:lang w:val="en-US"/>
        </w:rPr>
      </w:pPr>
      <w:r w:rsidRPr="005763B2">
        <w:rPr>
          <w:lang w:val="en-US"/>
        </w:rPr>
        <w:t xml:space="preserve">Ideally, there should be one, </w:t>
      </w:r>
      <w:proofErr w:type="spellStart"/>
      <w:r w:rsidRPr="005763B2">
        <w:rPr>
          <w:lang w:val="en-US"/>
        </w:rPr>
        <w:t>standardised</w:t>
      </w:r>
      <w:proofErr w:type="spellEnd"/>
      <w:r w:rsidRPr="005763B2">
        <w:rPr>
          <w:lang w:val="en-US"/>
        </w:rPr>
        <w:t xml:space="preserve"> approach to reporting KPI across all providers. Although, that may be difficult to achieve because of sectoral differences between banks and insurers for example, such standardization would greatly improve the comparability for consumers. </w:t>
      </w:r>
    </w:p>
    <w:p w14:paraId="7A09C6A0" w14:textId="4552E7E2" w:rsidR="003E573C" w:rsidRPr="005763B2" w:rsidRDefault="005763B2" w:rsidP="005763B2">
      <w:pPr>
        <w:pStyle w:val="NormalWeb"/>
        <w:rPr>
          <w:lang w:val="en-US"/>
        </w:rPr>
      </w:pPr>
      <w:r w:rsidRPr="005763B2">
        <w:rPr>
          <w:lang w:val="en-US"/>
        </w:rPr>
        <w:t xml:space="preserve">Furthermore, the reporting should be done as a weighted average of all criteria. For </w:t>
      </w:r>
      <w:proofErr w:type="gramStart"/>
      <w:r w:rsidRPr="005763B2">
        <w:rPr>
          <w:lang w:val="en-US"/>
        </w:rPr>
        <w:t>example</w:t>
      </w:r>
      <w:proofErr w:type="gramEnd"/>
      <w:r w:rsidRPr="005763B2">
        <w:rPr>
          <w:lang w:val="en-US"/>
        </w:rPr>
        <w:t xml:space="preserve"> it should not be possible to focus entirely on Capital expenditure when investing in equity, because such a measure could be deceptive. For example, a coal-energy company might not invest much in its established </w:t>
      </w:r>
      <w:proofErr w:type="gramStart"/>
      <w:r w:rsidRPr="005763B2">
        <w:rPr>
          <w:lang w:val="en-US"/>
        </w:rPr>
        <w:t>business, but</w:t>
      </w:r>
      <w:proofErr w:type="gramEnd"/>
      <w:r w:rsidRPr="005763B2">
        <w:rPr>
          <w:lang w:val="en-US"/>
        </w:rPr>
        <w:t xml:space="preserve"> could take small steps by investing in renewable energies. Such transition should of course be recognized but it should not be reported as shares in a sustainable business because of its </w:t>
      </w:r>
      <w:proofErr w:type="spellStart"/>
      <w:r w:rsidRPr="005763B2">
        <w:rPr>
          <w:lang w:val="en-US"/>
        </w:rPr>
        <w:t>CapE</w:t>
      </w:r>
      <w:r>
        <w:rPr>
          <w:lang w:val="en-US"/>
        </w:rPr>
        <w:t>x</w:t>
      </w:r>
      <w:proofErr w:type="spellEnd"/>
      <w:r>
        <w:rPr>
          <w:lang w:val="en-US"/>
        </w:rPr>
        <w:t>.</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lastRenderedPageBreak/>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7360470" w14:textId="77777777" w:rsidR="005763B2" w:rsidRPr="005763B2" w:rsidRDefault="005763B2" w:rsidP="005763B2">
      <w:pPr>
        <w:pStyle w:val="NormalWeb"/>
        <w:rPr>
          <w:lang w:val="en-US"/>
        </w:rPr>
      </w:pPr>
      <w:permStart w:id="677205538" w:edGrp="everyone"/>
      <w:r w:rsidRPr="005763B2">
        <w:rPr>
          <w:lang w:val="en-US"/>
        </w:rPr>
        <w:t xml:space="preserve">Operational expenditure would be a reasonable metric, provided it is not used as the sole reporting metric and it is not an option that can be chosen or discarded at will. These considerations relate back to the response to question 2. </w:t>
      </w:r>
    </w:p>
    <w:p w14:paraId="6E5526C9" w14:textId="77777777" w:rsidR="005763B2" w:rsidRPr="005763B2" w:rsidRDefault="005763B2" w:rsidP="005763B2">
      <w:pPr>
        <w:pStyle w:val="NormalWeb"/>
        <w:rPr>
          <w:lang w:val="en-US"/>
        </w:rPr>
      </w:pPr>
      <w:r w:rsidRPr="005763B2">
        <w:rPr>
          <w:lang w:val="en-US"/>
        </w:rPr>
        <w:t xml:space="preserve">In general, operational expenditures are a relevant metric complementing capital expenditures. Not all enterprises can claim </w:t>
      </w:r>
      <w:proofErr w:type="spellStart"/>
      <w:r w:rsidRPr="005763B2">
        <w:rPr>
          <w:lang w:val="en-US"/>
        </w:rPr>
        <w:t>CapEx</w:t>
      </w:r>
      <w:proofErr w:type="spellEnd"/>
      <w:r w:rsidRPr="005763B2">
        <w:rPr>
          <w:lang w:val="en-US"/>
        </w:rPr>
        <w:t xml:space="preserve"> for sustainability, particularly if they are already operating a sustainable business that is not presently upscaling.</w:t>
      </w:r>
    </w:p>
    <w:p w14:paraId="72A23BA0" w14:textId="53BDCEA6" w:rsidR="003E573C" w:rsidRDefault="005763B2" w:rsidP="005763B2">
      <w:pPr>
        <w:rPr>
          <w:rFonts w:cs="Arial"/>
        </w:rPr>
      </w:pPr>
      <w:proofErr w:type="spellStart"/>
      <w:r>
        <w:t>OpEx</w:t>
      </w:r>
      <w:proofErr w:type="spellEnd"/>
      <w:r>
        <w:t xml:space="preserve"> + </w:t>
      </w:r>
      <w:proofErr w:type="spellStart"/>
      <w:r>
        <w:t>CapEx</w:t>
      </w:r>
      <w:proofErr w:type="spellEnd"/>
      <w:r>
        <w:t xml:space="preserve"> </w:t>
      </w:r>
      <w:proofErr w:type="gramStart"/>
      <w:r>
        <w:t>are</w:t>
      </w:r>
      <w:proofErr w:type="gramEnd"/>
      <w:r>
        <w:t xml:space="preserve"> therefore a fair measure for effort for sustainability. After all, these measures are quite literally what it costs to act sustainably and to transition to </w:t>
      </w:r>
      <w:proofErr w:type="gramStart"/>
      <w:r>
        <w:t>sustainability</w:t>
      </w:r>
      <w:proofErr w:type="gramEnd"/>
      <w:r>
        <w:t xml:space="preserve"> respectively.</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97FC21A" w14:textId="77777777" w:rsidR="005763B2" w:rsidRPr="005763B2" w:rsidRDefault="005763B2" w:rsidP="005763B2">
      <w:pPr>
        <w:pStyle w:val="NormalWeb"/>
        <w:rPr>
          <w:lang w:val="en-US"/>
        </w:rPr>
      </w:pPr>
      <w:permStart w:id="1220688604" w:edGrp="everyone"/>
      <w:r w:rsidRPr="005763B2">
        <w:rPr>
          <w:lang w:val="en-US"/>
        </w:rPr>
        <w:t xml:space="preserve">The purpose of reporting KPI is to inform consumers of the sustainability impact of their investments. Therefore, derivatives should only be reportable if they actively increase financing available to sustainable businesses. This may be the case in the use of some derivatives used to leverage the effect of an investment. </w:t>
      </w:r>
    </w:p>
    <w:p w14:paraId="3546626C" w14:textId="77777777" w:rsidR="005763B2" w:rsidRPr="005763B2" w:rsidRDefault="005763B2" w:rsidP="005763B2">
      <w:pPr>
        <w:pStyle w:val="NormalWeb"/>
        <w:rPr>
          <w:lang w:val="en-US"/>
        </w:rPr>
      </w:pPr>
      <w:r w:rsidRPr="005763B2">
        <w:rPr>
          <w:lang w:val="en-US"/>
        </w:rPr>
        <w:t xml:space="preserve">More often though, derivatives are used to hedge against the risks of another investment. It can be very difficult to identify the environmental performance associated with derivatives. </w:t>
      </w:r>
    </w:p>
    <w:p w14:paraId="683A9030" w14:textId="77777777" w:rsidR="005763B2" w:rsidRPr="005763B2" w:rsidRDefault="005763B2" w:rsidP="005763B2">
      <w:pPr>
        <w:pStyle w:val="NormalWeb"/>
        <w:rPr>
          <w:lang w:val="en-US"/>
        </w:rPr>
      </w:pPr>
      <w:r w:rsidRPr="005763B2">
        <w:rPr>
          <w:lang w:val="en-US"/>
        </w:rPr>
        <w:t xml:space="preserve">If the ESAs </w:t>
      </w:r>
      <w:proofErr w:type="gramStart"/>
      <w:r w:rsidRPr="005763B2">
        <w:rPr>
          <w:lang w:val="en-US"/>
        </w:rPr>
        <w:t>have the ability to</w:t>
      </w:r>
      <w:proofErr w:type="gramEnd"/>
      <w:r w:rsidRPr="005763B2">
        <w:rPr>
          <w:lang w:val="en-US"/>
        </w:rPr>
        <w:t xml:space="preserve"> judge which derivatives do have a positive impact and would be willing to implement a net reporting regime, then this would provide additional value to consumers. Under these circumstances, such reporting should be mandatory to financial market actors. However, if such a regime is out of scope, technically fraught or otherwise unrealistic, then derivatives should be excluded from KPI numerator calculations but not form the denominator. This would ensure that derivatives are not falsely or </w:t>
      </w:r>
      <w:proofErr w:type="spellStart"/>
      <w:r w:rsidRPr="005763B2">
        <w:rPr>
          <w:lang w:val="en-US"/>
        </w:rPr>
        <w:t>unverifiably</w:t>
      </w:r>
      <w:proofErr w:type="spellEnd"/>
      <w:r w:rsidRPr="005763B2">
        <w:rPr>
          <w:lang w:val="en-US"/>
        </w:rPr>
        <w:t xml:space="preserve"> reported as sustainable while maintaining comparability because the entirety of invested capital remains as the basis of the calculation. Please see question 6 for a full explanation of the importance of this aspect.</w:t>
      </w:r>
    </w:p>
    <w:p w14:paraId="784D9858" w14:textId="0B4AE5D0" w:rsidR="003E573C" w:rsidRPr="005763B2" w:rsidRDefault="005763B2" w:rsidP="005763B2">
      <w:pPr>
        <w:pStyle w:val="NormalWeb"/>
        <w:rPr>
          <w:lang w:val="en-US"/>
        </w:rPr>
      </w:pPr>
      <w:r w:rsidRPr="005763B2">
        <w:rPr>
          <w:lang w:val="en-US"/>
        </w:rPr>
        <w:t>Contracts for difference do not impact the business of the underlying asset, so they should not be reportable as sustainabl</w:t>
      </w:r>
      <w:r>
        <w:rPr>
          <w:lang w:val="en-US"/>
        </w:rPr>
        <w:t>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lastRenderedPageBreak/>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77BE4B9A" w14:textId="77777777" w:rsidR="005763B2" w:rsidRPr="005763B2" w:rsidRDefault="005763B2" w:rsidP="005763B2">
      <w:pPr>
        <w:pStyle w:val="NormalWeb"/>
        <w:rPr>
          <w:lang w:val="en-US"/>
        </w:rPr>
      </w:pPr>
      <w:permStart w:id="418122716" w:edGrp="everyone"/>
      <w:r w:rsidRPr="005763B2">
        <w:rPr>
          <w:lang w:val="en-US"/>
        </w:rPr>
        <w:t xml:space="preserve">Having all assets in the KPI denominator is necessary to ensure comparability for consumers. If assets that cannot be judged are left out of the calculation of the KPI, it would skew the results. Consumers want to know how much of their investment is going to sustainable purposes. If instruments are left out of the denominator because it is impossible to assess its taxonomy compliance, then taxonomy compliance will </w:t>
      </w:r>
      <w:proofErr w:type="gramStart"/>
      <w:r w:rsidRPr="005763B2">
        <w:rPr>
          <w:lang w:val="en-US"/>
        </w:rPr>
        <w:t>climb</w:t>
      </w:r>
      <w:proofErr w:type="gramEnd"/>
      <w:r w:rsidRPr="005763B2">
        <w:rPr>
          <w:lang w:val="en-US"/>
        </w:rPr>
        <w:t xml:space="preserve"> and the consumer will be misinformed about how compliant his or her investment actually is. In fact, a fund could heavily invest in these assets (on which there is no information about taxonomy alignment) </w:t>
      </w:r>
      <w:proofErr w:type="gramStart"/>
      <w:r w:rsidRPr="005763B2">
        <w:rPr>
          <w:lang w:val="en-US"/>
        </w:rPr>
        <w:t>in order to</w:t>
      </w:r>
      <w:proofErr w:type="gramEnd"/>
      <w:r w:rsidRPr="005763B2">
        <w:rPr>
          <w:lang w:val="en-US"/>
        </w:rPr>
        <w:t xml:space="preserve"> seem more sustainable. This would also be a significant disadvantage for “honest” sustainable funds which would not employ such tactics, potentially crowding them out. </w:t>
      </w:r>
    </w:p>
    <w:p w14:paraId="46FB187E" w14:textId="3851F3FC" w:rsidR="003E573C" w:rsidRPr="005763B2" w:rsidRDefault="005763B2" w:rsidP="005763B2">
      <w:pPr>
        <w:pStyle w:val="NormalWeb"/>
        <w:rPr>
          <w:lang w:val="en-US"/>
        </w:rPr>
      </w:pPr>
      <w:r w:rsidRPr="005763B2">
        <w:rPr>
          <w:lang w:val="en-US"/>
        </w:rPr>
        <w:t>This would be reasoning enough, but there is a political aspect as well. If “no information” assets are not part of the KPI calculation, then there would be no reason for the industry to want to extend the taxonomy – ever. Including these in the calculation reverses the incentive, hopefully leading to the industry to have a vested interest in further clarifications, which is what we need if consumers are to get full disclosure.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6195E326" w14:textId="77777777" w:rsidR="005763B2" w:rsidRPr="005763B2" w:rsidRDefault="005763B2" w:rsidP="005763B2">
      <w:pPr>
        <w:pStyle w:val="NormalWeb"/>
        <w:rPr>
          <w:lang w:val="en-US"/>
        </w:rPr>
      </w:pPr>
      <w:permStart w:id="569465455" w:edGrp="everyone"/>
      <w:r w:rsidRPr="005763B2">
        <w:rPr>
          <w:lang w:val="en-US"/>
        </w:rPr>
        <w:t xml:space="preserve">Assessment by a third party is additional security against fraud, </w:t>
      </w:r>
      <w:proofErr w:type="gramStart"/>
      <w:r w:rsidRPr="005763B2">
        <w:rPr>
          <w:lang w:val="en-US"/>
        </w:rPr>
        <w:t>negligence</w:t>
      </w:r>
      <w:proofErr w:type="gramEnd"/>
      <w:r w:rsidRPr="005763B2">
        <w:rPr>
          <w:lang w:val="en-US"/>
        </w:rPr>
        <w:t xml:space="preserve"> and simple errors. Having such an assurance would be a significant consumer benefit. Ideally, this would be done by a non-profit ESG rating agency, which would be exclusively beholden to providing the most accurate assessment possible. Sadly, such an agency does not exist. Therefore, a for profit ESG rating agency would still provide benefit for investor protection, the same way analogous institutions do for financial reporting. </w:t>
      </w:r>
    </w:p>
    <w:p w14:paraId="74EF7BA7" w14:textId="3BE48629" w:rsidR="003E573C" w:rsidRPr="005763B2" w:rsidRDefault="005763B2" w:rsidP="005763B2">
      <w:pPr>
        <w:pStyle w:val="NormalWeb"/>
        <w:rPr>
          <w:lang w:val="en-US"/>
        </w:rPr>
      </w:pPr>
      <w:r w:rsidRPr="005763B2">
        <w:rPr>
          <w:lang w:val="en-US"/>
        </w:rPr>
        <w:lastRenderedPageBreak/>
        <w:t>If such an obligation is to be established, it would be relevant to find the correct wording. It should be made clear, that the purpose of such a review is not to check if the disclosure is compliant with the Taxonomy articles discussed in this consultation, meaning if the product has been filed in the correct product category. Instead, it would be much more relevant to check the veracity of the information provided. This would cover a check of the calculations, but also of the underlying data provided.</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77A8DFDD" w14:textId="77777777" w:rsidR="005763B2" w:rsidRPr="005763B2" w:rsidRDefault="005763B2" w:rsidP="005763B2">
      <w:pPr>
        <w:pStyle w:val="NormalWeb"/>
        <w:rPr>
          <w:lang w:val="en-US"/>
        </w:rPr>
      </w:pPr>
      <w:permStart w:id="1713528049" w:edGrp="everyone"/>
      <w:r w:rsidRPr="005763B2">
        <w:rPr>
          <w:lang w:val="en-US"/>
        </w:rPr>
        <w:t xml:space="preserve">Periodic push information is a significant benefit to consumers. MiFID II has shown that providing ex-post information of this type to consumers was more effective to increase their awareness than ex-ante information. These documents should mirror the pre-contractual disclosures in formatting, </w:t>
      </w:r>
      <w:proofErr w:type="gramStart"/>
      <w:r w:rsidRPr="005763B2">
        <w:rPr>
          <w:lang w:val="en-US"/>
        </w:rPr>
        <w:t>language</w:t>
      </w:r>
      <w:proofErr w:type="gramEnd"/>
      <w:r w:rsidRPr="005763B2">
        <w:rPr>
          <w:lang w:val="en-US"/>
        </w:rPr>
        <w:t xml:space="preserve"> and content to allow for easier comparisons. </w:t>
      </w:r>
    </w:p>
    <w:p w14:paraId="20440D29" w14:textId="0559EFE4" w:rsidR="003E573C" w:rsidRPr="005763B2" w:rsidRDefault="005763B2" w:rsidP="005763B2">
      <w:pPr>
        <w:pStyle w:val="NormalWeb"/>
        <w:rPr>
          <w:lang w:val="en-US"/>
        </w:rPr>
      </w:pPr>
      <w:r w:rsidRPr="005763B2">
        <w:rPr>
          <w:lang w:val="en-US"/>
        </w:rPr>
        <w:t>However, if more granular information is to be included, periodic information would be a better place to introduce the additional information. This is the case because consumers have more time, and experience, and less pressure while reading these documents, and therefore have a higher capacity for absorbing information provided in ex-post documents</w:t>
      </w:r>
      <w:r>
        <w:rPr>
          <w:lang w:val="en-US"/>
        </w:rPr>
        <w:t>.</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53F4C954" w:rsidR="003E573C" w:rsidRPr="005763B2" w:rsidRDefault="005763B2" w:rsidP="005763B2">
      <w:pPr>
        <w:pStyle w:val="NormalWeb"/>
        <w:rPr>
          <w:lang w:val="en-US"/>
        </w:rPr>
      </w:pPr>
      <w:bookmarkStart w:id="2" w:name="_Hlk66781674"/>
      <w:permStart w:id="610013876" w:edGrp="everyone"/>
      <w:r w:rsidRPr="005763B2">
        <w:rPr>
          <w:lang w:val="en-US"/>
        </w:rPr>
        <w:t xml:space="preserve">It would be preferable to use the same template wherever this is possible. A unified information document would increase comparability. The different legal basis does not matter to </w:t>
      </w:r>
      <w:proofErr w:type="gramStart"/>
      <w:r w:rsidRPr="005763B2">
        <w:rPr>
          <w:lang w:val="en-US"/>
        </w:rPr>
        <w:t>consumers, but</w:t>
      </w:r>
      <w:proofErr w:type="gramEnd"/>
      <w:r w:rsidRPr="005763B2">
        <w:rPr>
          <w:lang w:val="en-US"/>
        </w:rPr>
        <w:t xml:space="preserve"> being handed differently formatted information would. Wherever information is unavailable or irrelevant, this should be explicitly stated, to maintain maximum alignment and therefore comparability. Ultimately these are instruments which exist solely for the consumers benefit and should be optimized for concise, </w:t>
      </w:r>
      <w:proofErr w:type="gramStart"/>
      <w:r w:rsidRPr="005763B2">
        <w:rPr>
          <w:lang w:val="en-US"/>
        </w:rPr>
        <w:t>relevant</w:t>
      </w:r>
      <w:proofErr w:type="gramEnd"/>
      <w:r w:rsidRPr="005763B2">
        <w:rPr>
          <w:lang w:val="en-US"/>
        </w:rPr>
        <w:t xml:space="preserve"> and comparable information.</w:t>
      </w:r>
    </w:p>
    <w:bookmarkEnd w:id="2"/>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1D068440" w14:textId="77777777" w:rsidR="005763B2" w:rsidRPr="005763B2" w:rsidRDefault="005763B2" w:rsidP="005763B2">
      <w:pPr>
        <w:pStyle w:val="NormalWeb"/>
        <w:rPr>
          <w:lang w:val="en-US"/>
        </w:rPr>
      </w:pPr>
      <w:permStart w:id="790175202" w:edGrp="everyone"/>
      <w:r w:rsidRPr="005763B2">
        <w:rPr>
          <w:lang w:val="en-US"/>
        </w:rPr>
        <w:t>Social sustainability is a vital aspect of ESG. Any contribution in this field should be reported to consumers to enable a well-informed investment decision. This should not be too difficult to achieve, because the SFDR has a wider scope on social sustainability than the taxonomy does in its current form. Such reporting is more of an opportunity than an obligation to the industry and should be enabled until the taxonomy clarifies its criteria on social sustainability.</w:t>
      </w:r>
    </w:p>
    <w:p w14:paraId="5C070307" w14:textId="5243D8CC" w:rsidR="003E573C" w:rsidRDefault="005763B2" w:rsidP="005763B2">
      <w:pPr>
        <w:rPr>
          <w:rFonts w:cs="Arial"/>
        </w:rPr>
      </w:pPr>
      <w:r>
        <w:t>It is essential however, that any claims of social sustainability made in this way, must be substantiated by a clear reasoning and the relevant data. And, preferably, should be reviewed by a third party as per the answer to Question 7</w:t>
      </w:r>
      <w:r>
        <w:t>.</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622A931F" w14:textId="77777777" w:rsidR="00AA1B9D" w:rsidRDefault="00AA1B9D" w:rsidP="00AA1B9D">
      <w:pPr>
        <w:rPr>
          <w:rFonts w:cs="Arial"/>
        </w:rPr>
      </w:pPr>
      <w:permStart w:id="1771197561" w:edGrp="everyone"/>
      <w:r>
        <w:rPr>
          <w:rFonts w:cs="Arial"/>
        </w:rPr>
        <w:t>TYPE YOUR TEXT HERE</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84E8" w14:textId="77777777" w:rsidR="00A24941" w:rsidRDefault="00A24941">
      <w:r>
        <w:separator/>
      </w:r>
    </w:p>
    <w:p w14:paraId="5B7DA0F4" w14:textId="77777777" w:rsidR="00A24941" w:rsidRDefault="00A24941"/>
  </w:endnote>
  <w:endnote w:type="continuationSeparator" w:id="0">
    <w:p w14:paraId="4AE41091" w14:textId="77777777" w:rsidR="00A24941" w:rsidRDefault="00A24941">
      <w:r>
        <w:continuationSeparator/>
      </w:r>
    </w:p>
    <w:p w14:paraId="2A5C566E" w14:textId="77777777" w:rsidR="00A24941" w:rsidRDefault="00A24941"/>
  </w:endnote>
  <w:endnote w:type="continuationNotice" w:id="1">
    <w:p w14:paraId="655B2911" w14:textId="77777777" w:rsidR="00A24941" w:rsidRDefault="00A24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3E5C" w14:textId="77777777" w:rsidR="00A24941" w:rsidRDefault="00A24941">
      <w:r>
        <w:separator/>
      </w:r>
    </w:p>
    <w:p w14:paraId="2A2B39D2" w14:textId="77777777" w:rsidR="00A24941" w:rsidRDefault="00A24941"/>
  </w:footnote>
  <w:footnote w:type="continuationSeparator" w:id="0">
    <w:p w14:paraId="19F4D352" w14:textId="77777777" w:rsidR="00A24941" w:rsidRDefault="00A24941">
      <w:r>
        <w:continuationSeparator/>
      </w:r>
    </w:p>
    <w:p w14:paraId="605B9EB8" w14:textId="77777777" w:rsidR="00A24941" w:rsidRDefault="00A24941"/>
  </w:footnote>
  <w:footnote w:type="continuationNotice" w:id="1">
    <w:p w14:paraId="28701E5B" w14:textId="77777777" w:rsidR="00A24941" w:rsidRDefault="00A24941"/>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39"/>
  </w:num>
  <w:num w:numId="29">
    <w:abstractNumId w:val="5"/>
  </w:num>
  <w:num w:numId="30">
    <w:abstractNumId w:val="2"/>
  </w:num>
  <w:num w:numId="31">
    <w:abstractNumId w:val="22"/>
  </w:num>
  <w:num w:numId="32">
    <w:abstractNumId w:val="20"/>
  </w:num>
  <w:num w:numId="33">
    <w:abstractNumId w:val="36"/>
  </w:num>
  <w:num w:numId="34">
    <w:abstractNumId w:val="35"/>
  </w:num>
  <w:num w:numId="35">
    <w:abstractNumId w:val="9"/>
  </w:num>
  <w:num w:numId="36">
    <w:abstractNumId w:val="10"/>
  </w:num>
  <w:num w:numId="37">
    <w:abstractNumId w:val="12"/>
  </w:num>
  <w:num w:numId="38">
    <w:abstractNumId w:val="2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3B2"/>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0C25"/>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4941"/>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B9F"/>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516"/>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3FC5BA4E-66DD-42F1-AB16-FCC70454E917}">
  <ds:schemaRefs>
    <ds:schemaRef ds:uri="http://schemas.openxmlformats.org/officeDocument/2006/bibliography"/>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6.xml><?xml version="1.0" encoding="utf-8"?>
<ds:datastoreItem xmlns:ds="http://schemas.openxmlformats.org/officeDocument/2006/customXml" ds:itemID="{F5C0F0B1-A3F1-4B95-8DA2-61925826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2427</Words>
  <Characters>13837</Characters>
  <Application>Microsoft Office Word</Application>
  <DocSecurity>8</DocSecurity>
  <Lines>115</Lines>
  <Paragraphs>32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16232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Bryan Coughlan (BEUC)</cp:lastModifiedBy>
  <cp:revision>3</cp:revision>
  <cp:lastPrinted>2015-02-18T11:01:00Z</cp:lastPrinted>
  <dcterms:created xsi:type="dcterms:W3CDTF">2021-05-12T14:52:00Z</dcterms:created>
  <dcterms:modified xsi:type="dcterms:W3CDTF">2021-05-12T15:12:00Z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