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6A3CB02C" w14:textId="77777777" w:rsidTr="00315E96">
        <w:trPr>
          <w:trHeight w:val="284"/>
        </w:trPr>
        <w:tc>
          <w:tcPr>
            <w:tcW w:w="9412" w:type="dxa"/>
          </w:tcPr>
          <w:p w14:paraId="6A3CB02B" w14:textId="30749A2D" w:rsidR="00C2094B" w:rsidRPr="004E49B0" w:rsidRDefault="00C2094B" w:rsidP="00337A3F">
            <w:pPr>
              <w:pStyle w:val="00bDBInfo"/>
              <w:rPr>
                <w:rFonts w:cs="Arial"/>
              </w:rPr>
            </w:pPr>
          </w:p>
        </w:tc>
      </w:tr>
    </w:tbl>
    <w:p w14:paraId="6A3CB02D" w14:textId="77777777" w:rsidR="00FD7A8D" w:rsidRPr="00616B9B" w:rsidRDefault="00FD7A8D" w:rsidP="00FD7A8D">
      <w:pPr>
        <w:rPr>
          <w:rFonts w:cs="Arial"/>
          <w:vanish/>
        </w:rPr>
      </w:pPr>
    </w:p>
    <w:tbl>
      <w:tblPr>
        <w:tblpPr w:leftFromText="8505" w:vertAnchor="page" w:horzAnchor="margin" w:tblpY="3801"/>
        <w:tblW w:w="10051" w:type="dxa"/>
        <w:tblLayout w:type="fixed"/>
        <w:tblCellMar>
          <w:left w:w="0" w:type="dxa"/>
          <w:right w:w="0" w:type="dxa"/>
        </w:tblCellMar>
        <w:tblLook w:val="01E0" w:firstRow="1" w:lastRow="1" w:firstColumn="1" w:lastColumn="1" w:noHBand="0" w:noVBand="0"/>
      </w:tblPr>
      <w:tblGrid>
        <w:gridCol w:w="10051"/>
      </w:tblGrid>
      <w:tr w:rsidR="006F4535" w:rsidRPr="00616B9B" w14:paraId="6A3CB02F" w14:textId="77777777" w:rsidTr="00210E59">
        <w:trPr>
          <w:trHeight w:hRule="exact" w:val="1620"/>
        </w:trPr>
        <w:tc>
          <w:tcPr>
            <w:tcW w:w="10051" w:type="dxa"/>
            <w:vAlign w:val="bottom"/>
          </w:tcPr>
          <w:p w14:paraId="0967745D" w14:textId="7021ABAC" w:rsidR="00EC1154" w:rsidRPr="00391CB0" w:rsidRDefault="006F4535" w:rsidP="00EC1154">
            <w:pPr>
              <w:pStyle w:val="01aDBTitle"/>
              <w:jc w:val="left"/>
              <w:rPr>
                <w:rFonts w:cs="Arial"/>
              </w:rPr>
            </w:pPr>
            <w:r w:rsidRPr="00EC1154">
              <w:rPr>
                <w:rFonts w:cs="Arial"/>
              </w:rPr>
              <w:t>Re</w:t>
            </w:r>
            <w:r w:rsidR="009A3017" w:rsidRPr="00EC1154">
              <w:rPr>
                <w:rFonts w:cs="Arial"/>
              </w:rPr>
              <w:t>sponse</w:t>
            </w:r>
            <w:r w:rsidRPr="00EC1154">
              <w:rPr>
                <w:rFonts w:cs="Arial"/>
              </w:rPr>
              <w:t xml:space="preserve"> form for </w:t>
            </w:r>
            <w:r w:rsidR="00AF38AF" w:rsidRPr="00EC1154">
              <w:rPr>
                <w:rFonts w:cs="Arial"/>
              </w:rPr>
              <w:t xml:space="preserve">the </w:t>
            </w:r>
            <w:r w:rsidR="00197794">
              <w:rPr>
                <w:rFonts w:cs="Arial"/>
              </w:rPr>
              <w:t xml:space="preserve">Joint </w:t>
            </w:r>
            <w:r w:rsidRPr="00EC1154">
              <w:rPr>
                <w:rFonts w:cs="Arial"/>
              </w:rPr>
              <w:t xml:space="preserve">Consultation Paper </w:t>
            </w:r>
            <w:r w:rsidR="00197794">
              <w:rPr>
                <w:rFonts w:cs="Arial"/>
              </w:rPr>
              <w:t>concer</w:t>
            </w:r>
            <w:r w:rsidR="00511299">
              <w:rPr>
                <w:rFonts w:cs="Arial"/>
              </w:rPr>
              <w:t xml:space="preserve">ning </w:t>
            </w:r>
            <w:r w:rsidR="00281E71">
              <w:t xml:space="preserve"> </w:t>
            </w:r>
            <w:r w:rsidR="00281E71" w:rsidRPr="00281E71">
              <w:rPr>
                <w:rFonts w:cs="Arial"/>
              </w:rPr>
              <w:t>Taxonomy-related sustainability disclosures</w:t>
            </w:r>
          </w:p>
          <w:p w14:paraId="6A3CB02E" w14:textId="368D9A61" w:rsidR="006F4535" w:rsidRPr="009A053D" w:rsidRDefault="006F4535" w:rsidP="00210E59">
            <w:pPr>
              <w:pStyle w:val="01aDBTitle"/>
              <w:jc w:val="left"/>
              <w:rPr>
                <w:rFonts w:cs="Arial"/>
                <w:sz w:val="32"/>
              </w:rPr>
            </w:pPr>
          </w:p>
        </w:tc>
      </w:tr>
      <w:tr w:rsidR="006F4535" w:rsidRPr="00616B9B" w14:paraId="6A3CB031" w14:textId="77777777" w:rsidTr="00210E59">
        <w:trPr>
          <w:trHeight w:hRule="exact" w:val="809"/>
        </w:trPr>
        <w:tc>
          <w:tcPr>
            <w:tcW w:w="10051" w:type="dxa"/>
            <w:tcMar>
              <w:top w:w="142" w:type="dxa"/>
            </w:tcMar>
          </w:tcPr>
          <w:p w14:paraId="6A3CB030"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A3CB032" w14:textId="77777777" w:rsidR="00620D7C" w:rsidRPr="00616B9B" w:rsidRDefault="00620D7C" w:rsidP="00C00012">
      <w:pPr>
        <w:pStyle w:val="05HeadlinenoIndex"/>
        <w:rPr>
          <w:rFonts w:cs="Arial"/>
        </w:rPr>
        <w:sectPr w:rsidR="00620D7C" w:rsidRPr="00616B9B" w:rsidSect="006E3C72">
          <w:headerReference w:type="even" r:id="rId13"/>
          <w:headerReference w:type="default" r:id="rId14"/>
          <w:footerReference w:type="even" r:id="rId15"/>
          <w:footerReference w:type="default" r:id="rId16"/>
          <w:headerReference w:type="first" r:id="rId17"/>
          <w:footerReference w:type="first" r:id="rId18"/>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6A3CB034" w14:textId="77777777" w:rsidTr="00315E96">
        <w:trPr>
          <w:trHeight w:hRule="exact" w:val="964"/>
        </w:trPr>
        <w:tc>
          <w:tcPr>
            <w:tcW w:w="2325" w:type="dxa"/>
          </w:tcPr>
          <w:p w14:paraId="100BAE9D" w14:textId="6CAF0146" w:rsidR="005F6BE3" w:rsidRDefault="00620D7C" w:rsidP="005F6BE3">
            <w:pPr>
              <w:pStyle w:val="02Date"/>
              <w:rPr>
                <w:rFonts w:cs="Arial"/>
              </w:rPr>
            </w:pPr>
            <w:r w:rsidRPr="004E49B0">
              <w:rPr>
                <w:rFonts w:cs="Arial"/>
              </w:rPr>
              <w:lastRenderedPageBreak/>
              <w:t xml:space="preserve">Date: </w:t>
            </w:r>
            <w:r w:rsidR="00E92A28">
              <w:rPr>
                <w:rFonts w:cs="Arial"/>
              </w:rPr>
              <w:t>17 March 2021</w:t>
            </w:r>
          </w:p>
          <w:p w14:paraId="6A3CB033" w14:textId="02EF4BF2" w:rsidR="00704EED" w:rsidRPr="004E49B0" w:rsidRDefault="00704EED" w:rsidP="005F6BE3">
            <w:pPr>
              <w:pStyle w:val="02Date"/>
              <w:rPr>
                <w:rFonts w:cs="Arial"/>
              </w:rPr>
            </w:pPr>
            <w:r>
              <w:rPr>
                <w:rFonts w:cs="Arial"/>
                <w:shd w:val="clear" w:color="auto" w:fill="FFFFFF" w:themeFill="background1"/>
              </w:rPr>
              <w:t>ESMA</w:t>
            </w:r>
            <w:r w:rsidR="006C795E">
              <w:rPr>
                <w:rFonts w:cs="Arial"/>
                <w:shd w:val="clear" w:color="auto" w:fill="FFFFFF" w:themeFill="background1"/>
              </w:rPr>
              <w:t>34-45-1218</w:t>
            </w:r>
          </w:p>
        </w:tc>
      </w:tr>
    </w:tbl>
    <w:p w14:paraId="6A3CB035"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256666B" w14:textId="2B6B0430" w:rsidR="00754AC4" w:rsidRDefault="005F6BE3" w:rsidP="00754AC4">
      <w:pPr>
        <w:spacing w:after="240"/>
        <w:jc w:val="both"/>
        <w:rPr>
          <w:rStyle w:val="SubtleEmphasis"/>
          <w:b w:val="0"/>
          <w:bCs/>
          <w:sz w:val="22"/>
        </w:rPr>
      </w:pPr>
      <w:r w:rsidRPr="005F6BE3">
        <w:rPr>
          <w:rStyle w:val="SubtleEmphasis"/>
          <w:b w:val="0"/>
          <w:bCs/>
          <w:sz w:val="22"/>
        </w:rPr>
        <w:t>The European Supervisory Authorities (ESAs) welcome comments on this consultation paper setting out the proposed Regulatory Technical Standards (hereinafter “RTS”) on content and presentation of disclosures pursuant to Article 8(4), 9(6) and 11(5) of Regulation (EU) 2019/2088 (hereinafter Sustainable Finance Disclosure Regulation “SFDR”)</w:t>
      </w:r>
      <w:r w:rsidR="00281E71">
        <w:rPr>
          <w:rStyle w:val="SubtleEmphasis"/>
          <w:b w:val="0"/>
          <w:bCs/>
          <w:sz w:val="22"/>
        </w:rPr>
        <w:t xml:space="preserve"> </w:t>
      </w:r>
      <w:r w:rsidR="00754AC4" w:rsidRPr="00754AC4">
        <w:rPr>
          <w:rStyle w:val="SubtleEmphasis"/>
          <w:b w:val="0"/>
          <w:bCs/>
          <w:sz w:val="22"/>
        </w:rPr>
        <w:t xml:space="preserve">and in particular on the specific questions summarised in Section 3 of the consultation paper under “Questions to stakeholders”. </w:t>
      </w:r>
    </w:p>
    <w:p w14:paraId="55CA6450" w14:textId="43B99A04" w:rsidR="00754AC4" w:rsidRPr="00754AC4" w:rsidRDefault="00754AC4" w:rsidP="00754AC4">
      <w:pPr>
        <w:spacing w:after="240"/>
        <w:jc w:val="both"/>
        <w:rPr>
          <w:rStyle w:val="SubtleEmphasis"/>
          <w:b w:val="0"/>
          <w:bCs/>
          <w:sz w:val="22"/>
        </w:rPr>
      </w:pPr>
      <w:r w:rsidRPr="00754AC4">
        <w:rPr>
          <w:rStyle w:val="SubtleEmphasis"/>
          <w:b w:val="0"/>
          <w:bCs/>
          <w:sz w:val="22"/>
        </w:rPr>
        <w:t>Comments are most helpful if they:</w:t>
      </w:r>
    </w:p>
    <w:p w14:paraId="443F1C2C"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contain a clear rationale; and</w:t>
      </w:r>
    </w:p>
    <w:p w14:paraId="44288AF1" w14:textId="77777777" w:rsidR="00754AC4" w:rsidRPr="00754AC4" w:rsidRDefault="00754AC4" w:rsidP="00666A17">
      <w:pPr>
        <w:pStyle w:val="ListParagraph"/>
        <w:numPr>
          <w:ilvl w:val="0"/>
          <w:numId w:val="39"/>
        </w:numPr>
        <w:spacing w:after="240"/>
        <w:jc w:val="both"/>
        <w:rPr>
          <w:rStyle w:val="SubtleEmphasis"/>
          <w:b w:val="0"/>
          <w:bCs/>
          <w:sz w:val="22"/>
        </w:rPr>
      </w:pPr>
      <w:r w:rsidRPr="00754AC4">
        <w:rPr>
          <w:rStyle w:val="SubtleEmphasis"/>
          <w:b w:val="0"/>
          <w:bCs/>
          <w:sz w:val="22"/>
        </w:rPr>
        <w:t>describe any alternatives the ESAs should consider.</w:t>
      </w:r>
    </w:p>
    <w:p w14:paraId="122FDDB2" w14:textId="5647B0AF" w:rsidR="00C86E1C" w:rsidRDefault="00C86E1C" w:rsidP="00754AC4">
      <w:pPr>
        <w:spacing w:after="240"/>
        <w:jc w:val="both"/>
        <w:rPr>
          <w:rStyle w:val="SubtleEmphasis"/>
          <w:b w:val="0"/>
          <w:bCs/>
          <w:sz w:val="22"/>
        </w:rPr>
      </w:pPr>
      <w:r>
        <w:rPr>
          <w:rStyle w:val="SubtleEmphasis"/>
          <w:b w:val="0"/>
          <w:bCs/>
          <w:sz w:val="22"/>
        </w:rPr>
        <w:t>When describing alternative approaches the ESAs encourage stakeholders to consider how the approach would achieve the aims of SFDR.</w:t>
      </w:r>
    </w:p>
    <w:p w14:paraId="62803BA4" w14:textId="77777777" w:rsidR="00EC1154" w:rsidRDefault="00EC1154" w:rsidP="00AF38AF">
      <w:pPr>
        <w:rPr>
          <w:rStyle w:val="SubtleEmphasis"/>
          <w:b w:val="0"/>
          <w:sz w:val="22"/>
        </w:rPr>
      </w:pPr>
    </w:p>
    <w:p w14:paraId="6A3CB03F"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6A3CB040"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6A3CB041"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6A3CB042" w14:textId="7681A708"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&lt;ESA_QUESTION_</w:t>
      </w:r>
      <w:r w:rsidR="00C86E1C">
        <w:rPr>
          <w:rStyle w:val="SubtleEmphasis"/>
          <w:b w:val="0"/>
          <w:sz w:val="22"/>
        </w:rPr>
        <w:t>ESG</w:t>
      </w:r>
      <w:r w:rsidRPr="00E40A5C">
        <w:rPr>
          <w:rStyle w:val="SubtleEmphasis"/>
          <w:b w:val="0"/>
          <w:sz w:val="22"/>
        </w:rPr>
        <w:t>_1&gt;. Your response to each question has to be framed by the two tags corresponding to the question.</w:t>
      </w:r>
    </w:p>
    <w:p w14:paraId="6A3CB043" w14:textId="77777777"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6A3CB044" w14:textId="04FB3B90" w:rsidR="009A3017" w:rsidRPr="00E40A5C" w:rsidRDefault="009A3017" w:rsidP="00666A17">
      <w:pPr>
        <w:pStyle w:val="ListParagraph"/>
        <w:numPr>
          <w:ilvl w:val="0"/>
          <w:numId w:val="36"/>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ESA_</w:t>
      </w:r>
      <w:r w:rsidR="00C86E1C">
        <w:rPr>
          <w:rStyle w:val="SubtleEmphasis"/>
          <w:b w:val="0"/>
          <w:sz w:val="22"/>
        </w:rPr>
        <w:t>ESG</w:t>
      </w:r>
      <w:r w:rsidRPr="00E40A5C">
        <w:rPr>
          <w:rStyle w:val="SubtleEmphasis"/>
          <w:b w:val="0"/>
          <w:sz w:val="22"/>
        </w:rPr>
        <w:t>_nameofrespondent_RESPONSEFORM. For example, for a respondent named ABCD, the response form would be entitled ESA_</w:t>
      </w:r>
      <w:r w:rsidR="00C86E1C">
        <w:rPr>
          <w:rStyle w:val="SubtleEmphasis"/>
          <w:b w:val="0"/>
          <w:sz w:val="22"/>
        </w:rPr>
        <w:t>ESG</w:t>
      </w:r>
      <w:r w:rsidRPr="00E40A5C">
        <w:rPr>
          <w:rStyle w:val="SubtleEmphasis"/>
          <w:b w:val="0"/>
          <w:sz w:val="22"/>
        </w:rPr>
        <w:t>_ABCD_RESPONSEFORM.</w:t>
      </w:r>
    </w:p>
    <w:p w14:paraId="180C2205" w14:textId="03F3D16A" w:rsidR="00197794" w:rsidRP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The consultation paper is available on the websites of the three ESAs</w:t>
      </w:r>
      <w:r w:rsidR="00764042">
        <w:rPr>
          <w:rStyle w:val="SubtleEmphasis"/>
          <w:b w:val="0"/>
          <w:sz w:val="22"/>
        </w:rPr>
        <w:t xml:space="preserve"> and the Joint Committee</w:t>
      </w:r>
      <w:r w:rsidRPr="00197794">
        <w:rPr>
          <w:rStyle w:val="SubtleEmphasis"/>
          <w:b w:val="0"/>
          <w:sz w:val="22"/>
        </w:rPr>
        <w:t xml:space="preserve">. Comments on this consultation paper can be sent using the response form, via the </w:t>
      </w:r>
      <w:hyperlink r:id="rId19" w:history="1">
        <w:r w:rsidRPr="00197794">
          <w:rPr>
            <w:rStyle w:val="Hyperlink"/>
            <w:rFonts w:cs="Arial"/>
            <w:sz w:val="22"/>
          </w:rPr>
          <w:t>ESMA website</w:t>
        </w:r>
      </w:hyperlink>
      <w:r w:rsidRPr="00197794">
        <w:rPr>
          <w:rStyle w:val="SubtleEmphasis"/>
          <w:b w:val="0"/>
          <w:sz w:val="24"/>
        </w:rPr>
        <w:t xml:space="preserve"> </w:t>
      </w:r>
      <w:r w:rsidRPr="00197794">
        <w:rPr>
          <w:rStyle w:val="SubtleEmphasis"/>
          <w:b w:val="0"/>
          <w:sz w:val="22"/>
        </w:rPr>
        <w:t>under the heading ‘Your input - Consultations’ by</w:t>
      </w:r>
      <w:r w:rsidR="005F6BE3">
        <w:rPr>
          <w:rStyle w:val="SubtleEmphasis"/>
          <w:b w:val="0"/>
          <w:sz w:val="22"/>
        </w:rPr>
        <w:t xml:space="preserve"> </w:t>
      </w:r>
      <w:r w:rsidR="00AA1B9D">
        <w:rPr>
          <w:rStyle w:val="SubtleEmphasis"/>
          <w:b w:val="0"/>
          <w:sz w:val="22"/>
        </w:rPr>
        <w:t>12 May 2021</w:t>
      </w:r>
      <w:r w:rsidRPr="00197794">
        <w:rPr>
          <w:rStyle w:val="SubtleEmphasis"/>
          <w:b w:val="0"/>
          <w:sz w:val="22"/>
        </w:rPr>
        <w:t>.</w:t>
      </w:r>
    </w:p>
    <w:p w14:paraId="2481E1E6" w14:textId="67CDDA3F" w:rsidR="00197794" w:rsidRDefault="00197794" w:rsidP="00666A17">
      <w:pPr>
        <w:pStyle w:val="ListParagraph"/>
        <w:numPr>
          <w:ilvl w:val="0"/>
          <w:numId w:val="36"/>
        </w:numPr>
        <w:spacing w:after="240" w:line="276" w:lineRule="auto"/>
        <w:ind w:left="567" w:hanging="567"/>
        <w:contextualSpacing w:val="0"/>
        <w:jc w:val="both"/>
        <w:rPr>
          <w:rStyle w:val="SubtleEmphasis"/>
          <w:b w:val="0"/>
          <w:sz w:val="22"/>
        </w:rPr>
      </w:pPr>
      <w:r w:rsidRPr="00197794">
        <w:rPr>
          <w:rStyle w:val="SubtleEmphasis"/>
          <w:b w:val="0"/>
          <w:sz w:val="22"/>
        </w:rPr>
        <w:t>Contributions not provided in the template for comments, or after the deadline will not be processed.</w:t>
      </w:r>
    </w:p>
    <w:p w14:paraId="5F3A7F1F" w14:textId="57F7F592" w:rsidR="00197794" w:rsidRDefault="00197794" w:rsidP="00197794">
      <w:pPr>
        <w:spacing w:after="240" w:line="276" w:lineRule="auto"/>
        <w:jc w:val="both"/>
        <w:rPr>
          <w:rStyle w:val="SubtleEmphasis"/>
          <w:b w:val="0"/>
          <w:sz w:val="22"/>
        </w:rPr>
      </w:pPr>
    </w:p>
    <w:p w14:paraId="5E94D042" w14:textId="77777777" w:rsidR="00D5594A" w:rsidRPr="00197794" w:rsidRDefault="00D5594A" w:rsidP="00197794">
      <w:pPr>
        <w:spacing w:after="240" w:line="276" w:lineRule="auto"/>
        <w:jc w:val="both"/>
        <w:rPr>
          <w:rStyle w:val="SubtleEmphasis"/>
          <w:b w:val="0"/>
          <w:sz w:val="22"/>
        </w:rPr>
      </w:pPr>
    </w:p>
    <w:p w14:paraId="6A3CB046" w14:textId="77777777" w:rsidR="00210E59" w:rsidRPr="00210E59" w:rsidRDefault="00210E59" w:rsidP="00210E59">
      <w:pPr>
        <w:spacing w:after="120"/>
        <w:jc w:val="both"/>
        <w:rPr>
          <w:rStyle w:val="SubtleEmphasis"/>
          <w:sz w:val="22"/>
        </w:rPr>
      </w:pPr>
      <w:r w:rsidRPr="00210E59">
        <w:rPr>
          <w:rStyle w:val="SubtleEmphasis"/>
          <w:sz w:val="22"/>
        </w:rPr>
        <w:t>Publication of responses</w:t>
      </w:r>
    </w:p>
    <w:p w14:paraId="0B308639" w14:textId="77777777" w:rsidR="00197794" w:rsidRPr="00197794" w:rsidRDefault="00197794" w:rsidP="005F6BE3">
      <w:pPr>
        <w:jc w:val="both"/>
        <w:rPr>
          <w:sz w:val="22"/>
          <w:szCs w:val="22"/>
        </w:rPr>
      </w:pPr>
      <w:r w:rsidRPr="00197794">
        <w:rPr>
          <w:sz w:val="22"/>
          <w:szCs w:val="22"/>
        </w:rPr>
        <w:t>All contributions received will be published following the close of the consultation, unless you request otherwise in the respective field in the template for comments. A standard confidentiality statement in an email message will not be treated as a request for non-disclosure. A confidential response may be requested from us in accordance with ESAs rules on public access to documents. We may consult you if we receive such a request. Any decision we make not to disclose the response is reviewable by ESAs Board of Appeal and the European Ombudsman.</w:t>
      </w:r>
    </w:p>
    <w:p w14:paraId="0D1FEFE7" w14:textId="77777777" w:rsidR="00197794" w:rsidRDefault="00197794" w:rsidP="004E6AE4">
      <w:pPr>
        <w:rPr>
          <w:rStyle w:val="SubtleEmphasis"/>
          <w:sz w:val="22"/>
          <w:lang w:eastAsia="en-GB"/>
        </w:rPr>
      </w:pPr>
    </w:p>
    <w:p w14:paraId="3561D6A6" w14:textId="77777777" w:rsidR="00197794" w:rsidRDefault="00197794" w:rsidP="004E6AE4">
      <w:pPr>
        <w:rPr>
          <w:rStyle w:val="SubtleEmphasis"/>
          <w:sz w:val="22"/>
          <w:lang w:eastAsia="en-GB"/>
        </w:rPr>
      </w:pPr>
    </w:p>
    <w:p w14:paraId="6A3CB048" w14:textId="1D432EA9" w:rsidR="009A3017" w:rsidRPr="00E40A5C" w:rsidRDefault="009A3017" w:rsidP="004E6AE4">
      <w:pPr>
        <w:rPr>
          <w:rStyle w:val="SubtleEmphasis"/>
          <w:sz w:val="22"/>
          <w:lang w:eastAsia="en-GB"/>
        </w:rPr>
      </w:pPr>
      <w:r w:rsidRPr="00E40A5C">
        <w:rPr>
          <w:rStyle w:val="SubtleEmphasis"/>
          <w:sz w:val="22"/>
          <w:lang w:eastAsia="en-GB"/>
        </w:rPr>
        <w:t>Data protection</w:t>
      </w:r>
    </w:p>
    <w:p w14:paraId="56AA910E" w14:textId="77777777" w:rsidR="00197794" w:rsidRDefault="00197794" w:rsidP="00210E59">
      <w:pPr>
        <w:rPr>
          <w:sz w:val="22"/>
        </w:rPr>
      </w:pPr>
    </w:p>
    <w:p w14:paraId="5054EF54" w14:textId="656E48F9" w:rsidR="00197794" w:rsidRPr="00197794" w:rsidRDefault="00197794" w:rsidP="005F6BE3">
      <w:pPr>
        <w:jc w:val="both"/>
        <w:rPr>
          <w:rFonts w:cs="Arial"/>
          <w:sz w:val="24"/>
        </w:rPr>
      </w:pPr>
      <w:r w:rsidRPr="00197794">
        <w:rPr>
          <w:rFonts w:cs="Arial"/>
          <w:sz w:val="22"/>
        </w:rPr>
        <w:t>The protection of individuals with regard to the processing of personal data by the ESAs is based on Regulation (EU) 2018/1725</w:t>
      </w:r>
      <w:r w:rsidRPr="00197794">
        <w:rPr>
          <w:rStyle w:val="FootnoteReference"/>
          <w:rFonts w:cs="Arial"/>
          <w:sz w:val="22"/>
        </w:rPr>
        <w:footnoteReference w:id="2"/>
      </w:r>
      <w:r w:rsidRPr="00197794">
        <w:rPr>
          <w:rFonts w:cs="Arial"/>
          <w:sz w:val="22"/>
        </w:rPr>
        <w:t xml:space="preserve">. Further information on data protection can be found under the </w:t>
      </w:r>
      <w:hyperlink r:id="rId20" w:history="1">
        <w:r w:rsidRPr="00197794">
          <w:rPr>
            <w:rStyle w:val="Hyperlink"/>
            <w:rFonts w:cs="Arial"/>
            <w:sz w:val="22"/>
          </w:rPr>
          <w:t>Legal notice</w:t>
        </w:r>
      </w:hyperlink>
      <w:r w:rsidRPr="00197794">
        <w:rPr>
          <w:rFonts w:cs="Arial"/>
          <w:sz w:val="22"/>
        </w:rPr>
        <w:t xml:space="preserve"> section of the EBA website and under the </w:t>
      </w:r>
      <w:hyperlink r:id="rId21" w:history="1">
        <w:r w:rsidRPr="00197794">
          <w:rPr>
            <w:rStyle w:val="Hyperlink"/>
            <w:rFonts w:cs="Arial"/>
            <w:sz w:val="22"/>
          </w:rPr>
          <w:t>Legal notice</w:t>
        </w:r>
      </w:hyperlink>
      <w:r w:rsidRPr="00197794">
        <w:rPr>
          <w:rFonts w:cs="Arial"/>
          <w:sz w:val="22"/>
        </w:rPr>
        <w:t xml:space="preserve"> section of the EIOPA website and under the </w:t>
      </w:r>
      <w:hyperlink r:id="rId22" w:history="1">
        <w:r w:rsidRPr="00197794">
          <w:rPr>
            <w:rStyle w:val="Hyperlink"/>
            <w:rFonts w:cs="Arial"/>
            <w:sz w:val="22"/>
          </w:rPr>
          <w:t>Legal notice</w:t>
        </w:r>
      </w:hyperlink>
      <w:r w:rsidRPr="00197794">
        <w:rPr>
          <w:rFonts w:cs="Arial"/>
          <w:sz w:val="22"/>
        </w:rPr>
        <w:t xml:space="preserve"> section of the ESMA website.</w:t>
      </w:r>
    </w:p>
    <w:p w14:paraId="6A3CB04A" w14:textId="77777777" w:rsidR="00210E59" w:rsidRDefault="00210E59" w:rsidP="009A3017">
      <w:pPr>
        <w:spacing w:after="120"/>
        <w:jc w:val="both"/>
        <w:rPr>
          <w:rStyle w:val="SubtleEmphasis"/>
          <w:sz w:val="22"/>
          <w:lang w:eastAsia="en-GB"/>
        </w:rPr>
      </w:pPr>
    </w:p>
    <w:bookmarkEnd w:id="0"/>
    <w:p w14:paraId="04AFE464" w14:textId="77777777" w:rsidR="002E4F86" w:rsidRPr="00EC1154" w:rsidRDefault="002E4F86" w:rsidP="00EC1154">
      <w:pPr>
        <w:rPr>
          <w:sz w:val="22"/>
        </w:rPr>
      </w:pPr>
    </w:p>
    <w:p w14:paraId="6A3CB04D" w14:textId="77777777" w:rsidR="00332304" w:rsidRDefault="00332304" w:rsidP="004E6AE4">
      <w:pPr>
        <w:rPr>
          <w:rFonts w:cs="Arial"/>
          <w:b/>
          <w:bCs/>
          <w:kern w:val="32"/>
          <w:sz w:val="24"/>
          <w:szCs w:val="32"/>
        </w:rPr>
      </w:pPr>
      <w:r>
        <w:br w:type="page"/>
      </w:r>
    </w:p>
    <w:p w14:paraId="6A3CB04E" w14:textId="77777777" w:rsidR="00B327E9" w:rsidRPr="00AB6D88" w:rsidRDefault="00B327E9" w:rsidP="00B327E9">
      <w:pPr>
        <w:pStyle w:val="Heading1"/>
        <w:numPr>
          <w:ilvl w:val="0"/>
          <w:numId w:val="0"/>
        </w:numPr>
      </w:pPr>
      <w:r w:rsidRPr="00AB6D88">
        <w:lastRenderedPageBreak/>
        <w:t>General information about respondent</w:t>
      </w:r>
    </w:p>
    <w:p w14:paraId="6A3CB04F"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6A3CB052" w14:textId="77777777" w:rsidTr="00F136AD">
        <w:tc>
          <w:tcPr>
            <w:tcW w:w="3929" w:type="dxa"/>
            <w:shd w:val="clear" w:color="auto" w:fill="auto"/>
          </w:tcPr>
          <w:p w14:paraId="6A3CB050" w14:textId="77777777" w:rsidR="00B327E9" w:rsidRPr="00E40A5C" w:rsidRDefault="00B327E9" w:rsidP="00F136AD">
            <w:pPr>
              <w:rPr>
                <w:rFonts w:cs="Arial"/>
                <w:sz w:val="22"/>
              </w:rPr>
            </w:pPr>
            <w:permStart w:id="233722365" w:edGrp="everyone" w:colFirst="1" w:colLast="1"/>
            <w:r w:rsidRPr="00E40A5C">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6A3CB051" w14:textId="4E9C5E02" w:rsidR="00B327E9" w:rsidRPr="00AB6D88" w:rsidRDefault="000226BE" w:rsidP="000226BE">
                <w:pPr>
                  <w:rPr>
                    <w:rStyle w:val="PlaceholderText"/>
                    <w:rFonts w:cs="Arial"/>
                  </w:rPr>
                </w:pPr>
                <w:r>
                  <w:rPr>
                    <w:rStyle w:val="PlaceholderText"/>
                    <w:rFonts w:cs="Arial"/>
                  </w:rPr>
                  <w:t>Amundi Asset M</w:t>
                </w:r>
                <w:r w:rsidR="00C603E7">
                  <w:rPr>
                    <w:rStyle w:val="PlaceholderText"/>
                    <w:rFonts w:cs="Arial"/>
                  </w:rPr>
                  <w:t>anagemen</w:t>
                </w:r>
                <w:r>
                  <w:rPr>
                    <w:rStyle w:val="PlaceholderText"/>
                    <w:rFonts w:cs="Arial"/>
                  </w:rPr>
                  <w:t>t</w:t>
                </w:r>
              </w:p>
            </w:tc>
          </w:sdtContent>
        </w:sdt>
      </w:tr>
      <w:tr w:rsidR="00B327E9" w:rsidRPr="00AB6D88" w14:paraId="6A3CB055" w14:textId="77777777" w:rsidTr="00F136AD">
        <w:tc>
          <w:tcPr>
            <w:tcW w:w="3929" w:type="dxa"/>
            <w:shd w:val="clear" w:color="auto" w:fill="auto"/>
          </w:tcPr>
          <w:p w14:paraId="6A3CB053" w14:textId="77777777" w:rsidR="00B327E9" w:rsidRPr="00E40A5C" w:rsidRDefault="00B327E9" w:rsidP="00F136AD">
            <w:pPr>
              <w:rPr>
                <w:rFonts w:cs="Arial"/>
                <w:sz w:val="22"/>
              </w:rPr>
            </w:pPr>
            <w:permStart w:id="804592539" w:edGrp="everyone" w:colFirst="1" w:colLast="1"/>
            <w:permEnd w:id="233722365"/>
            <w:r w:rsidRPr="00E40A5C">
              <w:rPr>
                <w:rFonts w:cs="Arial"/>
                <w:sz w:val="22"/>
              </w:rPr>
              <w:t>Activity</w:t>
            </w:r>
          </w:p>
        </w:tc>
        <w:tc>
          <w:tcPr>
            <w:tcW w:w="5595" w:type="dxa"/>
            <w:shd w:val="clear" w:color="auto" w:fill="auto"/>
          </w:tcPr>
          <w:p w14:paraId="6A3CB054" w14:textId="02812D4A" w:rsidR="00B327E9" w:rsidRPr="00AB6D88" w:rsidRDefault="00C603E7"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0226BE">
                  <w:rPr>
                    <w:rFonts w:cs="Arial"/>
                  </w:rPr>
                  <w:t>Investment Services</w:t>
                </w:r>
              </w:sdtContent>
            </w:sdt>
          </w:p>
        </w:tc>
      </w:tr>
      <w:tr w:rsidR="00B327E9" w:rsidRPr="00AB6D88" w14:paraId="6A3CB058" w14:textId="77777777" w:rsidTr="00F136AD">
        <w:tc>
          <w:tcPr>
            <w:tcW w:w="3929" w:type="dxa"/>
            <w:shd w:val="clear" w:color="auto" w:fill="auto"/>
          </w:tcPr>
          <w:p w14:paraId="6A3CB056" w14:textId="77777777" w:rsidR="00B327E9" w:rsidRPr="00E40A5C" w:rsidRDefault="00B327E9" w:rsidP="00F136AD">
            <w:pPr>
              <w:rPr>
                <w:rFonts w:cs="Arial"/>
                <w:sz w:val="22"/>
              </w:rPr>
            </w:pPr>
            <w:permStart w:id="925831249" w:edGrp="everyone" w:colFirst="1" w:colLast="1"/>
            <w:permEnd w:id="804592539"/>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6A3CB057" w14:textId="7C168BBB" w:rsidR="00B327E9" w:rsidRPr="00AB6D88" w:rsidRDefault="000226BE" w:rsidP="00F136AD">
                <w:pPr>
                  <w:rPr>
                    <w:rFonts w:cs="Arial"/>
                  </w:rPr>
                </w:pPr>
                <w:r>
                  <w:rPr>
                    <w:rFonts w:ascii="MS Gothic" w:eastAsia="MS Gothic" w:hAnsi="MS Gothic" w:cs="Arial" w:hint="eastAsia"/>
                  </w:rPr>
                  <w:t>☐</w:t>
                </w:r>
              </w:p>
            </w:tc>
          </w:sdtContent>
        </w:sdt>
      </w:tr>
      <w:tr w:rsidR="00B327E9" w:rsidRPr="00AB6D88" w14:paraId="6A3CB05B" w14:textId="77777777" w:rsidTr="00F136AD">
        <w:tc>
          <w:tcPr>
            <w:tcW w:w="3929" w:type="dxa"/>
            <w:shd w:val="clear" w:color="auto" w:fill="auto"/>
          </w:tcPr>
          <w:p w14:paraId="6A3CB059" w14:textId="77777777" w:rsidR="00B327E9" w:rsidRPr="00E40A5C" w:rsidRDefault="00B327E9" w:rsidP="00F136AD">
            <w:pPr>
              <w:rPr>
                <w:rFonts w:cs="Arial"/>
                <w:sz w:val="22"/>
              </w:rPr>
            </w:pPr>
            <w:permStart w:id="1842894382" w:edGrp="everyone" w:colFirst="1" w:colLast="1"/>
            <w:permEnd w:id="925831249"/>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6A3CB05A" w14:textId="4E3F358A" w:rsidR="00B327E9" w:rsidRPr="00AB6D88" w:rsidRDefault="000226BE" w:rsidP="00F136AD">
                <w:pPr>
                  <w:rPr>
                    <w:rFonts w:cs="Arial"/>
                  </w:rPr>
                </w:pPr>
                <w:r>
                  <w:rPr>
                    <w:rFonts w:cs="Arial"/>
                  </w:rPr>
                  <w:t>France</w:t>
                </w:r>
              </w:p>
            </w:tc>
          </w:sdtContent>
        </w:sdt>
      </w:tr>
      <w:permEnd w:id="1842894382"/>
    </w:tbl>
    <w:p w14:paraId="6A3CB05C" w14:textId="77777777" w:rsidR="00B327E9" w:rsidRDefault="00B327E9" w:rsidP="00B327E9">
      <w:pPr>
        <w:spacing w:after="120" w:line="264" w:lineRule="auto"/>
      </w:pPr>
    </w:p>
    <w:p w14:paraId="6A3CB05D" w14:textId="77777777" w:rsidR="00B327E9" w:rsidRDefault="00B327E9" w:rsidP="00B327E9">
      <w:pPr>
        <w:pStyle w:val="Heading1"/>
        <w:numPr>
          <w:ilvl w:val="0"/>
          <w:numId w:val="0"/>
        </w:numPr>
        <w:ind w:left="431" w:hanging="431"/>
      </w:pPr>
      <w:r>
        <w:t>Introduction</w:t>
      </w:r>
    </w:p>
    <w:p w14:paraId="6A3CB05E"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6A3CB05F" w14:textId="77777777" w:rsidR="00B327E9" w:rsidRPr="00BF28DA" w:rsidRDefault="00B327E9" w:rsidP="00B327E9"/>
    <w:p w14:paraId="6A3CB060" w14:textId="7504F70A" w:rsidR="00B327E9" w:rsidRPr="006F4535" w:rsidRDefault="00B327E9" w:rsidP="00B327E9">
      <w:r w:rsidRPr="006F4535">
        <w:t>&lt;ESA_COMMENT_</w:t>
      </w:r>
      <w:r w:rsidR="00C86E1C">
        <w:rPr>
          <w:rStyle w:val="SubtleEmphasis"/>
          <w:b w:val="0"/>
          <w:sz w:val="22"/>
        </w:rPr>
        <w:t>ESG</w:t>
      </w:r>
      <w:r w:rsidRPr="006F4535">
        <w:t>_1&gt;</w:t>
      </w:r>
    </w:p>
    <w:p w14:paraId="6A3CB061" w14:textId="77777777" w:rsidR="00B327E9" w:rsidRDefault="00B327E9" w:rsidP="00B327E9">
      <w:permStart w:id="411981036" w:edGrp="everyone"/>
      <w:r>
        <w:t>TYPE YOUR TEXT HERE</w:t>
      </w:r>
    </w:p>
    <w:permEnd w:id="411981036"/>
    <w:p w14:paraId="6A3CB062" w14:textId="67968787" w:rsidR="00B327E9" w:rsidRPr="00BF28DA" w:rsidRDefault="00B327E9" w:rsidP="00B327E9">
      <w:r w:rsidRPr="00BF28DA">
        <w:t>&lt;ESA_COMMENT_</w:t>
      </w:r>
      <w:r w:rsidR="00C86E1C">
        <w:rPr>
          <w:rStyle w:val="SubtleEmphasis"/>
          <w:b w:val="0"/>
          <w:sz w:val="22"/>
        </w:rPr>
        <w:t>ESG</w:t>
      </w:r>
      <w:r w:rsidR="000A58BE">
        <w:t>_</w:t>
      </w:r>
      <w:r w:rsidRPr="00BF28DA">
        <w:t>1&gt;</w:t>
      </w:r>
    </w:p>
    <w:p w14:paraId="6A3CB063" w14:textId="77777777" w:rsidR="00F31E57" w:rsidRPr="00BF28DA" w:rsidRDefault="00F31E57" w:rsidP="00D34282"/>
    <w:p w14:paraId="741317CF" w14:textId="3418CC97" w:rsidR="003E573C" w:rsidRDefault="00F31E57" w:rsidP="007118EB">
      <w:pPr>
        <w:pStyle w:val="Questionstyle"/>
      </w:pPr>
      <w:r w:rsidRPr="0075015C">
        <w:br w:type="page"/>
      </w:r>
      <w:r w:rsidR="003E573C">
        <w:lastRenderedPageBreak/>
        <w:t xml:space="preserve">: </w:t>
      </w:r>
      <w:r w:rsidR="001969F6" w:rsidRPr="001969F6">
        <w:t>Do you have any views regarding the ESAs’ proposed approach to amend the existing SFDR RTS instead of drafting a new set of draft RTS?</w:t>
      </w:r>
    </w:p>
    <w:p w14:paraId="1B855191" w14:textId="113C394D" w:rsidR="003E573C" w:rsidRDefault="003E573C" w:rsidP="003E573C">
      <w:pPr>
        <w:rPr>
          <w:rFonts w:cs="Arial"/>
        </w:rPr>
      </w:pPr>
      <w:r>
        <w:rPr>
          <w:rFonts w:cs="Arial"/>
        </w:rPr>
        <w:t>&lt;ESA_QUESTION_</w:t>
      </w:r>
      <w:r w:rsidR="00C86E1C">
        <w:rPr>
          <w:rFonts w:cs="Arial"/>
        </w:rPr>
        <w:t>ESG</w:t>
      </w:r>
      <w:r>
        <w:rPr>
          <w:rFonts w:cs="Arial"/>
        </w:rPr>
        <w:t>_1&gt;</w:t>
      </w:r>
    </w:p>
    <w:p w14:paraId="38B78F46" w14:textId="77777777" w:rsidR="00D613E3" w:rsidRPr="00D0096A" w:rsidRDefault="00D613E3" w:rsidP="00D613E3">
      <w:pPr>
        <w:autoSpaceDE w:val="0"/>
        <w:autoSpaceDN w:val="0"/>
        <w:adjustRightInd w:val="0"/>
        <w:snapToGrid w:val="0"/>
        <w:jc w:val="both"/>
        <w:rPr>
          <w:rFonts w:cstheme="minorHAnsi"/>
          <w:sz w:val="24"/>
          <w:lang w:val="en-US"/>
        </w:rPr>
      </w:pPr>
      <w:permStart w:id="1221819945" w:edGrp="everyone"/>
      <w:r>
        <w:rPr>
          <w:rFonts w:cstheme="minorHAnsi"/>
          <w:sz w:val="24"/>
          <w:lang w:val="en-US"/>
        </w:rPr>
        <w:t xml:space="preserve">We agree with the proposed approach. </w:t>
      </w:r>
      <w:proofErr w:type="gramStart"/>
      <w:r>
        <w:rPr>
          <w:rFonts w:cstheme="minorHAnsi"/>
          <w:sz w:val="24"/>
          <w:lang w:val="en-US"/>
        </w:rPr>
        <w:t>It’s</w:t>
      </w:r>
      <w:proofErr w:type="gramEnd"/>
      <w:r>
        <w:rPr>
          <w:rFonts w:cstheme="minorHAnsi"/>
          <w:sz w:val="24"/>
          <w:lang w:val="en-US"/>
        </w:rPr>
        <w:t xml:space="preserve"> more appropriate to have </w:t>
      </w:r>
      <w:r w:rsidRPr="00D0096A">
        <w:rPr>
          <w:rFonts w:cstheme="minorHAnsi"/>
          <w:sz w:val="24"/>
          <w:lang w:val="en-US"/>
        </w:rPr>
        <w:t>a single rulebook</w:t>
      </w:r>
      <w:r>
        <w:rPr>
          <w:rFonts w:cstheme="minorHAnsi"/>
          <w:sz w:val="24"/>
          <w:lang w:val="en-US"/>
        </w:rPr>
        <w:t xml:space="preserve"> and avoid</w:t>
      </w:r>
      <w:r w:rsidRPr="00D0096A">
        <w:rPr>
          <w:rFonts w:cstheme="minorHAnsi"/>
          <w:sz w:val="24"/>
          <w:lang w:val="en-US"/>
        </w:rPr>
        <w:t xml:space="preserve"> multiple sources. Consistency </w:t>
      </w:r>
      <w:proofErr w:type="gramStart"/>
      <w:r w:rsidRPr="00D0096A">
        <w:rPr>
          <w:rFonts w:cstheme="minorHAnsi"/>
          <w:sz w:val="24"/>
          <w:lang w:val="en-US"/>
        </w:rPr>
        <w:t xml:space="preserve">is </w:t>
      </w:r>
      <w:r>
        <w:rPr>
          <w:rFonts w:cstheme="minorHAnsi"/>
          <w:sz w:val="24"/>
          <w:lang w:val="en-US"/>
        </w:rPr>
        <w:t xml:space="preserve">particularly </w:t>
      </w:r>
      <w:r w:rsidRPr="00D0096A">
        <w:rPr>
          <w:rFonts w:cstheme="minorHAnsi"/>
          <w:sz w:val="24"/>
          <w:lang w:val="en-US"/>
        </w:rPr>
        <w:t>needed</w:t>
      </w:r>
      <w:proofErr w:type="gramEnd"/>
      <w:r w:rsidRPr="00D0096A">
        <w:rPr>
          <w:rFonts w:cstheme="minorHAnsi"/>
          <w:sz w:val="24"/>
          <w:lang w:val="en-US"/>
        </w:rPr>
        <w:t xml:space="preserve"> in the methods, definitions and the use of the “green asset ratio” under Article 8 of the Taxonomy Regulation and SFDR RTS. </w:t>
      </w:r>
      <w:r>
        <w:rPr>
          <w:rFonts w:cstheme="minorHAnsi"/>
          <w:sz w:val="24"/>
          <w:lang w:val="en-US"/>
        </w:rPr>
        <w:t>However,</w:t>
      </w:r>
      <w:r w:rsidRPr="00D0096A">
        <w:rPr>
          <w:rFonts w:cstheme="minorHAnsi"/>
          <w:sz w:val="24"/>
          <w:lang w:val="en-US"/>
        </w:rPr>
        <w:t xml:space="preserve"> the timeline</w:t>
      </w:r>
      <w:r>
        <w:rPr>
          <w:rFonts w:cstheme="minorHAnsi"/>
          <w:sz w:val="24"/>
          <w:lang w:val="en-US"/>
        </w:rPr>
        <w:t xml:space="preserve"> remains problematic</w:t>
      </w:r>
      <w:r w:rsidRPr="00D0096A">
        <w:rPr>
          <w:rFonts w:cstheme="minorHAnsi"/>
          <w:sz w:val="24"/>
          <w:lang w:val="en-US"/>
        </w:rPr>
        <w:t xml:space="preserve">. A transition period </w:t>
      </w:r>
      <w:proofErr w:type="gramStart"/>
      <w:r w:rsidRPr="00D0096A">
        <w:rPr>
          <w:rFonts w:cstheme="minorHAnsi"/>
          <w:sz w:val="24"/>
          <w:lang w:val="en-US"/>
        </w:rPr>
        <w:t>should be put</w:t>
      </w:r>
      <w:proofErr w:type="gramEnd"/>
      <w:r w:rsidRPr="00D0096A">
        <w:rPr>
          <w:rFonts w:cstheme="minorHAnsi"/>
          <w:sz w:val="24"/>
          <w:lang w:val="en-US"/>
        </w:rPr>
        <w:t xml:space="preserve"> into place.</w:t>
      </w:r>
    </w:p>
    <w:permEnd w:id="1221819945"/>
    <w:p w14:paraId="0F1F4245" w14:textId="105822F6" w:rsidR="003E573C" w:rsidRDefault="003E573C" w:rsidP="003E573C">
      <w:pPr>
        <w:rPr>
          <w:rFonts w:cs="Arial"/>
        </w:rPr>
      </w:pPr>
      <w:r>
        <w:rPr>
          <w:rFonts w:cs="Arial"/>
        </w:rPr>
        <w:t>&lt;ESA_QUESTION_</w:t>
      </w:r>
      <w:r w:rsidR="00C86E1C">
        <w:rPr>
          <w:rFonts w:cs="Arial"/>
        </w:rPr>
        <w:t>ESG</w:t>
      </w:r>
      <w:r>
        <w:rPr>
          <w:rFonts w:cs="Arial"/>
        </w:rPr>
        <w:t>_1&gt;</w:t>
      </w:r>
    </w:p>
    <w:p w14:paraId="3D3DF75B" w14:textId="77777777" w:rsidR="003E573C" w:rsidRDefault="003E573C" w:rsidP="003E573C">
      <w:pPr>
        <w:rPr>
          <w:rFonts w:cs="Arial"/>
        </w:rPr>
      </w:pPr>
    </w:p>
    <w:p w14:paraId="0D4730EF" w14:textId="5CDEC866" w:rsidR="003E573C" w:rsidRDefault="003E573C" w:rsidP="007118EB">
      <w:pPr>
        <w:pStyle w:val="Questionstyle"/>
      </w:pPr>
      <w:r>
        <w:t xml:space="preserve">: </w:t>
      </w:r>
      <w:r w:rsidR="001969F6" w:rsidRPr="001969F6">
        <w:t>Do you have any views on the KPI for the disclosure of the extent to which investments are aligned with the taxonomy, which is based on the share of the taxonomy-aligned turnover, capital expenditure or operational expenditure of all underlying non-financial investee companies? Do you agree with that the same approach should apply to all investments made by a given financial product?</w:t>
      </w:r>
    </w:p>
    <w:p w14:paraId="7F2CF040" w14:textId="1F02EDCD" w:rsidR="003E573C" w:rsidRDefault="003E573C" w:rsidP="003E573C">
      <w:pPr>
        <w:rPr>
          <w:rFonts w:cs="Arial"/>
        </w:rPr>
      </w:pPr>
      <w:r>
        <w:rPr>
          <w:rFonts w:cs="Arial"/>
        </w:rPr>
        <w:t>&lt;ESA_QUESTION_</w:t>
      </w:r>
      <w:r w:rsidR="00C86E1C">
        <w:rPr>
          <w:rFonts w:cs="Arial"/>
        </w:rPr>
        <w:t>ESG</w:t>
      </w:r>
      <w:r>
        <w:rPr>
          <w:rFonts w:cs="Arial"/>
        </w:rPr>
        <w:t>_2&gt;</w:t>
      </w:r>
    </w:p>
    <w:p w14:paraId="5509588B" w14:textId="77777777" w:rsidR="00D613E3" w:rsidRPr="00D0096A" w:rsidRDefault="00D613E3" w:rsidP="00D613E3">
      <w:pPr>
        <w:autoSpaceDE w:val="0"/>
        <w:autoSpaceDN w:val="0"/>
        <w:adjustRightInd w:val="0"/>
        <w:snapToGrid w:val="0"/>
        <w:jc w:val="both"/>
        <w:rPr>
          <w:rFonts w:cstheme="minorHAnsi"/>
          <w:b/>
          <w:sz w:val="24"/>
          <w:lang w:val="en-US"/>
        </w:rPr>
      </w:pPr>
      <w:permStart w:id="729947415" w:edGrp="everyone"/>
      <w:r w:rsidRPr="00D0096A">
        <w:rPr>
          <w:rFonts w:cstheme="minorHAnsi"/>
          <w:sz w:val="24"/>
          <w:lang w:val="en-US"/>
        </w:rPr>
        <w:t xml:space="preserve">The turnover is probably the most relevant measure as it </w:t>
      </w:r>
      <w:proofErr w:type="gramStart"/>
      <w:r w:rsidRPr="00D0096A">
        <w:rPr>
          <w:rFonts w:cstheme="minorHAnsi"/>
          <w:sz w:val="24"/>
          <w:lang w:val="en-US"/>
        </w:rPr>
        <w:t>is already broadly used</w:t>
      </w:r>
      <w:proofErr w:type="gramEnd"/>
      <w:r w:rsidRPr="00D0096A">
        <w:rPr>
          <w:rFonts w:cstheme="minorHAnsi"/>
          <w:sz w:val="24"/>
          <w:lang w:val="en-US"/>
        </w:rPr>
        <w:t xml:space="preserve"> in the market for some indicators (CO2 intensity…). CAPEX could nevertheless reflect some kind of forward looking measure regarding the different KPI</w:t>
      </w:r>
      <w:r>
        <w:rPr>
          <w:rFonts w:cstheme="minorHAnsi"/>
          <w:sz w:val="24"/>
          <w:lang w:val="en-US"/>
        </w:rPr>
        <w:t>. Then</w:t>
      </w:r>
      <w:r w:rsidRPr="00D0096A">
        <w:rPr>
          <w:rFonts w:cstheme="minorHAnsi"/>
          <w:sz w:val="24"/>
          <w:lang w:val="en-US"/>
        </w:rPr>
        <w:t xml:space="preserve"> it would be interesting to use it at some point in time, if put in perspective with the sector and the trajectory.</w:t>
      </w:r>
    </w:p>
    <w:p w14:paraId="62969F71" w14:textId="77777777" w:rsidR="00D613E3" w:rsidRPr="00D0096A" w:rsidRDefault="00D613E3" w:rsidP="00D613E3">
      <w:pPr>
        <w:autoSpaceDE w:val="0"/>
        <w:autoSpaceDN w:val="0"/>
        <w:adjustRightInd w:val="0"/>
        <w:snapToGrid w:val="0"/>
        <w:jc w:val="both"/>
        <w:rPr>
          <w:rFonts w:cstheme="minorHAnsi"/>
          <w:sz w:val="24"/>
          <w:lang w:val="en-US"/>
        </w:rPr>
      </w:pPr>
      <w:r>
        <w:rPr>
          <w:rFonts w:cstheme="minorHAnsi"/>
          <w:sz w:val="24"/>
          <w:lang w:val="en-US"/>
        </w:rPr>
        <w:t>We agree that the</w:t>
      </w:r>
      <w:r w:rsidRPr="00D0096A">
        <w:rPr>
          <w:rFonts w:cstheme="minorHAnsi"/>
          <w:sz w:val="24"/>
          <w:lang w:val="en-US"/>
        </w:rPr>
        <w:t xml:space="preserve"> same approach </w:t>
      </w:r>
      <w:r>
        <w:rPr>
          <w:rFonts w:cstheme="minorHAnsi"/>
          <w:sz w:val="24"/>
          <w:lang w:val="en-US"/>
        </w:rPr>
        <w:t xml:space="preserve">should apply </w:t>
      </w:r>
      <w:r w:rsidRPr="00D0096A">
        <w:rPr>
          <w:rFonts w:cstheme="minorHAnsi"/>
          <w:sz w:val="24"/>
          <w:lang w:val="en-US"/>
        </w:rPr>
        <w:t>for all investments made by a financial product</w:t>
      </w:r>
      <w:r>
        <w:rPr>
          <w:rFonts w:cstheme="minorHAnsi"/>
          <w:sz w:val="24"/>
          <w:lang w:val="en-US"/>
        </w:rPr>
        <w:t>. It</w:t>
      </w:r>
      <w:r w:rsidRPr="00D0096A">
        <w:rPr>
          <w:rFonts w:cstheme="minorHAnsi"/>
          <w:sz w:val="24"/>
          <w:lang w:val="en-US"/>
        </w:rPr>
        <w:t xml:space="preserve"> allows to choose the company to invest in based on the same measure</w:t>
      </w:r>
      <w:r>
        <w:rPr>
          <w:rFonts w:cstheme="minorHAnsi"/>
          <w:sz w:val="24"/>
          <w:lang w:val="en-US"/>
        </w:rPr>
        <w:t xml:space="preserve"> and it</w:t>
      </w:r>
      <w:r w:rsidRPr="00D0096A">
        <w:rPr>
          <w:rFonts w:cstheme="minorHAnsi"/>
          <w:sz w:val="24"/>
          <w:lang w:val="en-US"/>
        </w:rPr>
        <w:t xml:space="preserve"> </w:t>
      </w:r>
      <w:proofErr w:type="gramStart"/>
      <w:r>
        <w:rPr>
          <w:rFonts w:cstheme="minorHAnsi"/>
          <w:sz w:val="24"/>
          <w:lang w:val="en-US"/>
        </w:rPr>
        <w:t>is</w:t>
      </w:r>
      <w:r w:rsidRPr="00D0096A">
        <w:rPr>
          <w:rFonts w:cstheme="minorHAnsi"/>
          <w:sz w:val="24"/>
          <w:lang w:val="en-US"/>
        </w:rPr>
        <w:t xml:space="preserve">  more</w:t>
      </w:r>
      <w:proofErr w:type="gramEnd"/>
      <w:r w:rsidRPr="00D0096A">
        <w:rPr>
          <w:rFonts w:cstheme="minorHAnsi"/>
          <w:sz w:val="24"/>
          <w:lang w:val="en-US"/>
        </w:rPr>
        <w:t xml:space="preserve"> relevant in terms of portfolio construction and client communication. </w:t>
      </w:r>
    </w:p>
    <w:permEnd w:id="729947415"/>
    <w:p w14:paraId="6415E03C" w14:textId="45BB9ACC" w:rsidR="003E573C" w:rsidRDefault="003E573C" w:rsidP="003E573C">
      <w:pPr>
        <w:rPr>
          <w:rFonts w:cs="Arial"/>
        </w:rPr>
      </w:pPr>
      <w:r>
        <w:rPr>
          <w:rFonts w:cs="Arial"/>
        </w:rPr>
        <w:t>&lt;ESA_QUESTION_</w:t>
      </w:r>
      <w:r w:rsidR="00C86E1C">
        <w:rPr>
          <w:rFonts w:cs="Arial"/>
        </w:rPr>
        <w:t>ESG</w:t>
      </w:r>
      <w:r>
        <w:rPr>
          <w:rFonts w:cs="Arial"/>
        </w:rPr>
        <w:t>_2&gt;</w:t>
      </w:r>
    </w:p>
    <w:p w14:paraId="36483E3B" w14:textId="77777777" w:rsidR="003E573C" w:rsidRDefault="003E573C" w:rsidP="003E573C">
      <w:pPr>
        <w:rPr>
          <w:rFonts w:cs="Arial"/>
        </w:rPr>
      </w:pPr>
    </w:p>
    <w:p w14:paraId="0C882E82" w14:textId="50B7F361" w:rsidR="003E573C" w:rsidRDefault="003E573C" w:rsidP="007118EB">
      <w:pPr>
        <w:pStyle w:val="Questionstyle"/>
      </w:pPr>
      <w:r>
        <w:t xml:space="preserve">: </w:t>
      </w:r>
      <w:r w:rsidR="001969F6" w:rsidRPr="001969F6">
        <w:t>Do you have any views on the benefits and drawbacks of including specifically operational expenditure of underlying non-financial investee companies as one of the possible ways to calculate the KPI referred to in question 2?</w:t>
      </w:r>
    </w:p>
    <w:p w14:paraId="5F6CF93B" w14:textId="11E86FB0" w:rsidR="003E573C" w:rsidRDefault="003E573C" w:rsidP="003E573C">
      <w:pPr>
        <w:rPr>
          <w:rFonts w:cs="Arial"/>
        </w:rPr>
      </w:pPr>
      <w:r>
        <w:rPr>
          <w:rFonts w:cs="Arial"/>
        </w:rPr>
        <w:t>&lt;ESA_QUESTION_</w:t>
      </w:r>
      <w:r w:rsidR="00C86E1C">
        <w:rPr>
          <w:rFonts w:cs="Arial"/>
        </w:rPr>
        <w:t>ESG</w:t>
      </w:r>
      <w:r>
        <w:rPr>
          <w:rFonts w:cs="Arial"/>
        </w:rPr>
        <w:t>_3&gt;</w:t>
      </w:r>
    </w:p>
    <w:p w14:paraId="72A23BA0" w14:textId="3B40F607" w:rsidR="003E573C" w:rsidRPr="00D613E3" w:rsidRDefault="00D613E3" w:rsidP="003E573C">
      <w:pPr>
        <w:rPr>
          <w:rFonts w:cstheme="minorHAnsi"/>
          <w:sz w:val="24"/>
          <w:lang w:val="en-US"/>
        </w:rPr>
      </w:pPr>
      <w:permStart w:id="677205538" w:edGrp="everyone"/>
      <w:r w:rsidRPr="00D0096A">
        <w:rPr>
          <w:rFonts w:cstheme="minorHAnsi"/>
          <w:sz w:val="24"/>
          <w:lang w:val="en-US"/>
        </w:rPr>
        <w:t xml:space="preserve">The granularity </w:t>
      </w:r>
      <w:r>
        <w:rPr>
          <w:rFonts w:cstheme="minorHAnsi"/>
          <w:sz w:val="24"/>
          <w:lang w:val="en-US"/>
        </w:rPr>
        <w:t xml:space="preserve">of the information received from </w:t>
      </w:r>
      <w:r w:rsidRPr="00D0096A">
        <w:rPr>
          <w:rFonts w:cstheme="minorHAnsi"/>
          <w:sz w:val="24"/>
          <w:lang w:val="en-US"/>
        </w:rPr>
        <w:t xml:space="preserve">non-financial companies is not uniform. It is a </w:t>
      </w:r>
      <w:proofErr w:type="gramStart"/>
      <w:r w:rsidRPr="00D0096A">
        <w:rPr>
          <w:rFonts w:cstheme="minorHAnsi"/>
          <w:sz w:val="24"/>
          <w:lang w:val="en-US"/>
        </w:rPr>
        <w:t>challenge which</w:t>
      </w:r>
      <w:proofErr w:type="gramEnd"/>
      <w:r w:rsidRPr="00D0096A">
        <w:rPr>
          <w:rFonts w:cstheme="minorHAnsi"/>
          <w:sz w:val="24"/>
          <w:lang w:val="en-US"/>
        </w:rPr>
        <w:t xml:space="preserve"> is </w:t>
      </w:r>
      <w:r>
        <w:rPr>
          <w:rFonts w:cstheme="minorHAnsi"/>
          <w:sz w:val="24"/>
          <w:lang w:val="en-US"/>
        </w:rPr>
        <w:t xml:space="preserve">mainly </w:t>
      </w:r>
      <w:r w:rsidRPr="00D0096A">
        <w:rPr>
          <w:rFonts w:cstheme="minorHAnsi"/>
          <w:sz w:val="24"/>
          <w:lang w:val="en-US"/>
        </w:rPr>
        <w:t xml:space="preserve">linked to classic accounting and financial reporting. </w:t>
      </w:r>
      <w:r>
        <w:rPr>
          <w:rFonts w:cstheme="minorHAnsi"/>
          <w:sz w:val="24"/>
          <w:lang w:val="en-US"/>
        </w:rPr>
        <w:t>Then we</w:t>
      </w:r>
      <w:r w:rsidRPr="00D0096A">
        <w:rPr>
          <w:rFonts w:cstheme="minorHAnsi"/>
          <w:sz w:val="24"/>
          <w:lang w:val="en-US"/>
        </w:rPr>
        <w:t xml:space="preserve"> recommend to use turnover and when possible, with a best effort approach, to disclose </w:t>
      </w:r>
      <w:proofErr w:type="spellStart"/>
      <w:r w:rsidRPr="00D0096A">
        <w:rPr>
          <w:rFonts w:cstheme="minorHAnsi"/>
          <w:sz w:val="24"/>
          <w:lang w:val="en-US"/>
        </w:rPr>
        <w:t>CapEx</w:t>
      </w:r>
      <w:proofErr w:type="spellEnd"/>
      <w:r w:rsidRPr="00D0096A">
        <w:rPr>
          <w:rFonts w:cstheme="minorHAnsi"/>
          <w:sz w:val="24"/>
          <w:lang w:val="en-US"/>
        </w:rPr>
        <w:t xml:space="preserve"> and </w:t>
      </w:r>
      <w:proofErr w:type="spellStart"/>
      <w:r w:rsidRPr="00D0096A">
        <w:rPr>
          <w:rFonts w:cstheme="minorHAnsi"/>
          <w:sz w:val="24"/>
          <w:lang w:val="en-US"/>
        </w:rPr>
        <w:t>OpEx</w:t>
      </w:r>
      <w:proofErr w:type="spellEnd"/>
      <w:r w:rsidRPr="00D0096A">
        <w:rPr>
          <w:rFonts w:cstheme="minorHAnsi"/>
          <w:sz w:val="24"/>
          <w:lang w:val="en-US"/>
        </w:rPr>
        <w:t>-derived figures for Taxonomy-alignment of an asset managers’ investments.</w:t>
      </w:r>
    </w:p>
    <w:permEnd w:id="677205538"/>
    <w:p w14:paraId="54D6583E" w14:textId="3F05E884" w:rsidR="003E573C" w:rsidRDefault="003E573C" w:rsidP="003E573C">
      <w:pPr>
        <w:rPr>
          <w:rFonts w:cs="Arial"/>
        </w:rPr>
      </w:pPr>
      <w:r>
        <w:rPr>
          <w:rFonts w:cs="Arial"/>
        </w:rPr>
        <w:t>&lt;ESA_QUESTION_</w:t>
      </w:r>
      <w:r w:rsidR="00C86E1C">
        <w:rPr>
          <w:rFonts w:cs="Arial"/>
        </w:rPr>
        <w:t>ESG</w:t>
      </w:r>
      <w:r>
        <w:rPr>
          <w:rFonts w:cs="Arial"/>
        </w:rPr>
        <w:t>_3&gt;</w:t>
      </w:r>
    </w:p>
    <w:p w14:paraId="3E042AC0" w14:textId="77777777" w:rsidR="003E573C" w:rsidRDefault="003E573C" w:rsidP="003E573C">
      <w:pPr>
        <w:rPr>
          <w:rFonts w:cs="Arial"/>
        </w:rPr>
      </w:pPr>
    </w:p>
    <w:p w14:paraId="40E8D4A0" w14:textId="1064B109" w:rsidR="003E573C" w:rsidRDefault="003E573C" w:rsidP="007118EB">
      <w:pPr>
        <w:pStyle w:val="Questionstyle"/>
      </w:pPr>
      <w:r>
        <w:t xml:space="preserve">: </w:t>
      </w:r>
      <w:r w:rsidR="001969F6" w:rsidRPr="001969F6">
        <w:t>The proposed KPI includes equity and debt instruments issued by financial and non-financial undertakings and real estate assets, do you agree that this could also be extended to derivatives such as contracts for differences?</w:t>
      </w:r>
    </w:p>
    <w:p w14:paraId="3F31E5E7" w14:textId="3F49B1BC" w:rsidR="003E573C" w:rsidRDefault="003E573C" w:rsidP="003E573C">
      <w:pPr>
        <w:rPr>
          <w:rFonts w:cs="Arial"/>
        </w:rPr>
      </w:pPr>
      <w:r>
        <w:rPr>
          <w:rFonts w:cs="Arial"/>
        </w:rPr>
        <w:t>&lt;ESA_QUESTION_</w:t>
      </w:r>
      <w:r w:rsidR="00C86E1C">
        <w:rPr>
          <w:rFonts w:cs="Arial"/>
        </w:rPr>
        <w:t>ESG</w:t>
      </w:r>
      <w:r>
        <w:rPr>
          <w:rFonts w:cs="Arial"/>
        </w:rPr>
        <w:t>_4&gt;</w:t>
      </w:r>
    </w:p>
    <w:p w14:paraId="10ECA346" w14:textId="77777777" w:rsidR="00D613E3" w:rsidRDefault="00D613E3" w:rsidP="0074330B">
      <w:pPr>
        <w:rPr>
          <w:sz w:val="24"/>
          <w:lang w:val="en-US" w:eastAsia="en-US"/>
        </w:rPr>
      </w:pPr>
      <w:permStart w:id="1220688604" w:edGrp="everyone"/>
      <w:r>
        <w:rPr>
          <w:sz w:val="24"/>
          <w:lang w:val="en-US"/>
        </w:rPr>
        <w:t xml:space="preserve">Considering the large scope of derivatives (future, forwards, options, Total Return Swaps, convertible bonds etc.), the nature of underlying (indices, interest rates, securities, currencies, cash etc.) and their potential usage (exposure, hedging, arbitrage), answering to this question in a simple and straightforward way is highly complicated. </w:t>
      </w:r>
    </w:p>
    <w:p w14:paraId="6140723E" w14:textId="77777777" w:rsidR="00D613E3" w:rsidRPr="0026586F" w:rsidRDefault="00D613E3" w:rsidP="0074330B">
      <w:pPr>
        <w:rPr>
          <w:sz w:val="24"/>
          <w:lang w:val="en-US"/>
        </w:rPr>
      </w:pPr>
      <w:r w:rsidRPr="0026586F">
        <w:rPr>
          <w:sz w:val="24"/>
          <w:lang w:val="en-US"/>
        </w:rPr>
        <w:t xml:space="preserve">Moreover, given the complexity of derivative financial instruments, their potential inclusion in the KPI calculation would raise several technical questions: for example on whether they are used in leverage or short positions, or whether their use is accompanied by technical specificities to be managed such as full exposure or residual exposure or delta equivalent exposure, collateral received or posted, etc.  </w:t>
      </w:r>
      <w:proofErr w:type="gramStart"/>
      <w:r w:rsidRPr="0026586F">
        <w:rPr>
          <w:sz w:val="24"/>
          <w:lang w:val="en-US"/>
        </w:rPr>
        <w:t>But</w:t>
      </w:r>
      <w:proofErr w:type="gramEnd"/>
      <w:r w:rsidRPr="0026586F">
        <w:rPr>
          <w:sz w:val="24"/>
          <w:lang w:val="en-US"/>
        </w:rPr>
        <w:t xml:space="preserve"> to avoid greenwashing in some cases where derivatives can influence greatly the characteristics of the portfolio, derivatives should not be ignored as a whole.</w:t>
      </w:r>
    </w:p>
    <w:p w14:paraId="53DA6878" w14:textId="59484610" w:rsidR="003E573C" w:rsidRDefault="00D613E3" w:rsidP="003E573C">
      <w:pPr>
        <w:rPr>
          <w:rFonts w:cs="Arial"/>
        </w:rPr>
      </w:pPr>
      <w:r w:rsidRPr="0026586F">
        <w:rPr>
          <w:sz w:val="24"/>
          <w:lang w:val="en-US"/>
        </w:rPr>
        <w:t xml:space="preserve">In sum, derivatives in KPI calculation </w:t>
      </w:r>
      <w:proofErr w:type="gramStart"/>
      <w:r w:rsidRPr="0026586F">
        <w:rPr>
          <w:sz w:val="24"/>
          <w:lang w:val="en-US"/>
        </w:rPr>
        <w:t>should not be excluded</w:t>
      </w:r>
      <w:proofErr w:type="gramEnd"/>
      <w:r w:rsidRPr="0026586F">
        <w:rPr>
          <w:sz w:val="24"/>
          <w:lang w:val="en-US"/>
        </w:rPr>
        <w:t xml:space="preserve"> but assessed instrument by instrument and according to the usage. When derivatives </w:t>
      </w:r>
      <w:proofErr w:type="gramStart"/>
      <w:r w:rsidRPr="0026586F">
        <w:rPr>
          <w:sz w:val="24"/>
          <w:lang w:val="en-US"/>
        </w:rPr>
        <w:t>are used</w:t>
      </w:r>
      <w:proofErr w:type="gramEnd"/>
      <w:r w:rsidRPr="0026586F">
        <w:rPr>
          <w:sz w:val="24"/>
          <w:lang w:val="en-US"/>
        </w:rPr>
        <w:t xml:space="preserve"> in a long exposure, then KPI make sense. When for hedging, the portfolio manager should be free to decide. Market practices should be developed on this topic for better comparability between products</w:t>
      </w:r>
      <w:proofErr w:type="gramStart"/>
      <w:r>
        <w:rPr>
          <w:sz w:val="24"/>
          <w:lang w:val="en-US"/>
        </w:rPr>
        <w:t>.</w:t>
      </w:r>
      <w:permEnd w:id="1220688604"/>
      <w:r w:rsidR="003E573C">
        <w:rPr>
          <w:rFonts w:cs="Arial"/>
        </w:rPr>
        <w:t>&lt;</w:t>
      </w:r>
      <w:proofErr w:type="gramEnd"/>
      <w:r w:rsidR="003E573C">
        <w:rPr>
          <w:rFonts w:cs="Arial"/>
        </w:rPr>
        <w:t>ESA_QUESTION_</w:t>
      </w:r>
      <w:r w:rsidR="00C86E1C">
        <w:rPr>
          <w:rFonts w:cs="Arial"/>
        </w:rPr>
        <w:t>ESG</w:t>
      </w:r>
      <w:r w:rsidR="003E573C">
        <w:rPr>
          <w:rFonts w:cs="Arial"/>
        </w:rPr>
        <w:t>_4&gt;</w:t>
      </w:r>
    </w:p>
    <w:p w14:paraId="7CE6B136" w14:textId="77777777" w:rsidR="003E573C" w:rsidRDefault="003E573C" w:rsidP="003E573C">
      <w:pPr>
        <w:rPr>
          <w:rFonts w:cs="Arial"/>
        </w:rPr>
      </w:pPr>
    </w:p>
    <w:p w14:paraId="39295ADB" w14:textId="63ED05A3" w:rsidR="003E573C" w:rsidRDefault="003E573C" w:rsidP="007118EB">
      <w:pPr>
        <w:pStyle w:val="Questionstyle"/>
      </w:pPr>
      <w:r>
        <w:t xml:space="preserve">: </w:t>
      </w:r>
      <w:r w:rsidR="001969F6" w:rsidRPr="001969F6">
        <w:t>Is the use of “equities” and “debt instruments” sufficiently clear to capture relevant instruments issued by investee companies? If not, how could that be clarified? Are any specific valuation criteria necessary to ensure that the disclosures are comparable?</w:t>
      </w:r>
    </w:p>
    <w:p w14:paraId="028F4F51" w14:textId="6BF830DE" w:rsidR="003E573C" w:rsidRDefault="003E573C" w:rsidP="003E573C">
      <w:pPr>
        <w:rPr>
          <w:rFonts w:cs="Arial"/>
        </w:rPr>
      </w:pPr>
      <w:r>
        <w:rPr>
          <w:rFonts w:cs="Arial"/>
        </w:rPr>
        <w:t>&lt;ESA_QUESTION_</w:t>
      </w:r>
      <w:r w:rsidR="00C86E1C">
        <w:rPr>
          <w:rFonts w:cs="Arial"/>
        </w:rPr>
        <w:t>ESG</w:t>
      </w:r>
      <w:r>
        <w:rPr>
          <w:rFonts w:cs="Arial"/>
        </w:rPr>
        <w:t>_5&gt;</w:t>
      </w:r>
    </w:p>
    <w:p w14:paraId="142BA8BA" w14:textId="77777777" w:rsidR="00D613E3" w:rsidRPr="00D0096A" w:rsidRDefault="00D613E3" w:rsidP="00D613E3">
      <w:pPr>
        <w:autoSpaceDE w:val="0"/>
        <w:autoSpaceDN w:val="0"/>
        <w:adjustRightInd w:val="0"/>
        <w:snapToGrid w:val="0"/>
        <w:jc w:val="both"/>
        <w:rPr>
          <w:rFonts w:cstheme="minorHAnsi"/>
          <w:sz w:val="24"/>
          <w:lang w:val="en-US"/>
        </w:rPr>
      </w:pPr>
      <w:permStart w:id="209390932" w:edGrp="everyone"/>
      <w:r w:rsidRPr="00D0096A">
        <w:rPr>
          <w:rFonts w:cstheme="minorHAnsi"/>
          <w:sz w:val="24"/>
          <w:lang w:val="en-US"/>
        </w:rPr>
        <w:t xml:space="preserve">We suggest the definitions </w:t>
      </w:r>
      <w:r>
        <w:rPr>
          <w:rFonts w:cstheme="minorHAnsi"/>
          <w:sz w:val="24"/>
          <w:lang w:val="en-US"/>
        </w:rPr>
        <w:t xml:space="preserve">to </w:t>
      </w:r>
      <w:r w:rsidRPr="00D0096A">
        <w:rPr>
          <w:rFonts w:cstheme="minorHAnsi"/>
          <w:sz w:val="24"/>
          <w:lang w:val="en-US"/>
        </w:rPr>
        <w:t xml:space="preserve">be more precise, particularly for debt instruments and derivatives linked to equities. Securitized products </w:t>
      </w:r>
      <w:proofErr w:type="gramStart"/>
      <w:r w:rsidRPr="00D0096A">
        <w:rPr>
          <w:rFonts w:cstheme="minorHAnsi"/>
          <w:sz w:val="24"/>
          <w:lang w:val="en-US"/>
        </w:rPr>
        <w:t>should also be taken</w:t>
      </w:r>
      <w:proofErr w:type="gramEnd"/>
      <w:r w:rsidRPr="00D0096A">
        <w:rPr>
          <w:rFonts w:cstheme="minorHAnsi"/>
          <w:sz w:val="24"/>
          <w:lang w:val="en-US"/>
        </w:rPr>
        <w:t xml:space="preserve"> into account.</w:t>
      </w:r>
    </w:p>
    <w:permEnd w:id="209390932"/>
    <w:p w14:paraId="61BD6C84" w14:textId="2768234A" w:rsidR="003E573C" w:rsidRDefault="003E573C" w:rsidP="003E573C">
      <w:pPr>
        <w:rPr>
          <w:rFonts w:cs="Arial"/>
        </w:rPr>
      </w:pPr>
      <w:r>
        <w:rPr>
          <w:rFonts w:cs="Arial"/>
        </w:rPr>
        <w:t>&lt;ESA_QUESTION_</w:t>
      </w:r>
      <w:r w:rsidR="00C86E1C">
        <w:rPr>
          <w:rFonts w:cs="Arial"/>
        </w:rPr>
        <w:t>ESG</w:t>
      </w:r>
      <w:r>
        <w:rPr>
          <w:rFonts w:cs="Arial"/>
        </w:rPr>
        <w:t>_5&gt;</w:t>
      </w:r>
    </w:p>
    <w:p w14:paraId="3AF8EF7A" w14:textId="77777777" w:rsidR="003E573C" w:rsidRDefault="003E573C" w:rsidP="003E573C">
      <w:pPr>
        <w:rPr>
          <w:rFonts w:cs="Arial"/>
        </w:rPr>
      </w:pPr>
    </w:p>
    <w:p w14:paraId="7B07E7E5" w14:textId="417ECB66" w:rsidR="003E573C" w:rsidRDefault="003E573C" w:rsidP="007118EB">
      <w:pPr>
        <w:pStyle w:val="Questionstyle"/>
      </w:pPr>
      <w:r>
        <w:t xml:space="preserve">: </w:t>
      </w:r>
      <w:r w:rsidR="001969F6" w:rsidRPr="001969F6">
        <w:t>Do you have any views about including all investments, including sovereign bonds and other assets that cannot be assessed for taxonomy-alignment, of the financial product in the denominator for the KPI?</w:t>
      </w:r>
    </w:p>
    <w:p w14:paraId="79582E74" w14:textId="6F09E1E7" w:rsidR="003E573C" w:rsidRDefault="003E573C" w:rsidP="003E573C">
      <w:pPr>
        <w:rPr>
          <w:rFonts w:cs="Arial"/>
        </w:rPr>
      </w:pPr>
      <w:r>
        <w:rPr>
          <w:rFonts w:cs="Arial"/>
        </w:rPr>
        <w:t>&lt;ESA_QUESTION_</w:t>
      </w:r>
      <w:r w:rsidR="00C86E1C">
        <w:rPr>
          <w:rFonts w:cs="Arial"/>
        </w:rPr>
        <w:t>ESG</w:t>
      </w:r>
      <w:r>
        <w:rPr>
          <w:rFonts w:cs="Arial"/>
        </w:rPr>
        <w:t>_6&gt;</w:t>
      </w:r>
    </w:p>
    <w:p w14:paraId="29E77975" w14:textId="6F860B84" w:rsidR="003E573C" w:rsidRDefault="00D613E3" w:rsidP="003E573C">
      <w:pPr>
        <w:rPr>
          <w:rFonts w:cs="Arial"/>
        </w:rPr>
      </w:pPr>
      <w:permStart w:id="418122716" w:edGrp="everyone"/>
      <w:r w:rsidRPr="00D0096A">
        <w:rPr>
          <w:rFonts w:cstheme="minorHAnsi"/>
          <w:sz w:val="24"/>
          <w:lang w:val="en-US"/>
        </w:rPr>
        <w:t xml:space="preserve">They </w:t>
      </w:r>
      <w:proofErr w:type="gramStart"/>
      <w:r w:rsidRPr="00D0096A">
        <w:rPr>
          <w:rFonts w:cstheme="minorHAnsi"/>
          <w:sz w:val="24"/>
          <w:lang w:val="en-US"/>
        </w:rPr>
        <w:t>shouldn’t</w:t>
      </w:r>
      <w:proofErr w:type="gramEnd"/>
      <w:r w:rsidRPr="00D0096A">
        <w:rPr>
          <w:rFonts w:cstheme="minorHAnsi"/>
          <w:sz w:val="24"/>
          <w:lang w:val="en-US"/>
        </w:rPr>
        <w:t xml:space="preserve"> be included as they can’t be assessed for taxonomy alignment</w:t>
      </w:r>
      <w:r>
        <w:rPr>
          <w:rFonts w:cstheme="minorHAnsi"/>
          <w:sz w:val="24"/>
          <w:lang w:val="en-US"/>
        </w:rPr>
        <w:t xml:space="preserve">. But in return, </w:t>
      </w:r>
      <w:r w:rsidRPr="00D0096A">
        <w:rPr>
          <w:rFonts w:cstheme="minorHAnsi"/>
          <w:sz w:val="24"/>
          <w:lang w:val="en-US"/>
        </w:rPr>
        <w:t>a threshold in terms of maximum exposure to non-assessable assets in a portfolio must be define</w:t>
      </w:r>
      <w:r>
        <w:rPr>
          <w:rFonts w:cstheme="minorHAnsi"/>
          <w:sz w:val="24"/>
          <w:lang w:val="en-US"/>
        </w:rPr>
        <w:t>,</w:t>
      </w:r>
      <w:r w:rsidRPr="00D0096A">
        <w:rPr>
          <w:rFonts w:cstheme="minorHAnsi"/>
          <w:sz w:val="24"/>
          <w:lang w:val="en-US"/>
        </w:rPr>
        <w:t xml:space="preserve"> to avoid </w:t>
      </w:r>
      <w:r>
        <w:rPr>
          <w:rFonts w:cstheme="minorHAnsi"/>
          <w:sz w:val="24"/>
          <w:lang w:val="en-US"/>
        </w:rPr>
        <w:t xml:space="preserve">for instance </w:t>
      </w:r>
      <w:r w:rsidRPr="00D0096A">
        <w:rPr>
          <w:rFonts w:cstheme="minorHAnsi"/>
          <w:sz w:val="24"/>
          <w:lang w:val="en-US"/>
        </w:rPr>
        <w:t xml:space="preserve">having a product with 90% sovereign exposure and 10% corporate while </w:t>
      </w:r>
      <w:r>
        <w:rPr>
          <w:rFonts w:cstheme="minorHAnsi"/>
          <w:sz w:val="24"/>
          <w:lang w:val="en-US"/>
        </w:rPr>
        <w:t>showing a great</w:t>
      </w:r>
      <w:r w:rsidRPr="00D0096A">
        <w:rPr>
          <w:rFonts w:cstheme="minorHAnsi"/>
          <w:sz w:val="24"/>
          <w:lang w:val="en-US"/>
        </w:rPr>
        <w:t xml:space="preserve"> taxonomy align</w:t>
      </w:r>
      <w:r>
        <w:rPr>
          <w:rFonts w:cstheme="minorHAnsi"/>
          <w:sz w:val="24"/>
          <w:lang w:val="en-US"/>
        </w:rPr>
        <w:t>ment</w:t>
      </w:r>
      <w:r w:rsidRPr="00D0096A">
        <w:rPr>
          <w:rFonts w:cstheme="minorHAnsi"/>
          <w:sz w:val="24"/>
          <w:lang w:val="en-US"/>
        </w:rPr>
        <w:t>. Disclosing the percentage of the total portfolio analyzed would also be an option to avoid such an issue. Narrative can be added to the report, explaining the figures</w:t>
      </w:r>
      <w:proofErr w:type="gramStart"/>
      <w:r w:rsidRPr="00D0096A">
        <w:rPr>
          <w:rFonts w:cstheme="minorHAnsi"/>
          <w:sz w:val="24"/>
          <w:lang w:val="en-US"/>
        </w:rPr>
        <w:t>.</w:t>
      </w:r>
      <w:permEnd w:id="418122716"/>
      <w:r w:rsidR="003E573C">
        <w:rPr>
          <w:rFonts w:cs="Arial"/>
        </w:rPr>
        <w:t>&lt;</w:t>
      </w:r>
      <w:proofErr w:type="gramEnd"/>
      <w:r w:rsidR="003E573C">
        <w:rPr>
          <w:rFonts w:cs="Arial"/>
        </w:rPr>
        <w:t>ESA_QUESTION_</w:t>
      </w:r>
      <w:r w:rsidR="00C86E1C">
        <w:rPr>
          <w:rFonts w:cs="Arial"/>
        </w:rPr>
        <w:t>ESG</w:t>
      </w:r>
      <w:r w:rsidR="003E573C">
        <w:rPr>
          <w:rFonts w:cs="Arial"/>
        </w:rPr>
        <w:t>_6&gt;</w:t>
      </w:r>
    </w:p>
    <w:p w14:paraId="302B559F" w14:textId="77777777" w:rsidR="003E573C" w:rsidRDefault="003E573C" w:rsidP="003E573C">
      <w:pPr>
        <w:rPr>
          <w:rFonts w:cs="Arial"/>
        </w:rPr>
      </w:pPr>
    </w:p>
    <w:p w14:paraId="09807F9E" w14:textId="2C94FA30" w:rsidR="003E573C" w:rsidRDefault="003E573C" w:rsidP="007118EB">
      <w:pPr>
        <w:pStyle w:val="Questionstyle"/>
      </w:pPr>
      <w:r>
        <w:lastRenderedPageBreak/>
        <w:t xml:space="preserve">: </w:t>
      </w:r>
      <w:r w:rsidR="001969F6" w:rsidRPr="001969F6">
        <w:t>Do you have any views on the statement of taxonomy compliance of the activities the financial product invests in and whether those statements should be subject to assessment by external or third parties?</w:t>
      </w:r>
    </w:p>
    <w:p w14:paraId="21AC957C" w14:textId="7580C8F9" w:rsidR="003E573C" w:rsidRDefault="003E573C" w:rsidP="003E573C">
      <w:pPr>
        <w:rPr>
          <w:rFonts w:cs="Arial"/>
        </w:rPr>
      </w:pPr>
      <w:r>
        <w:rPr>
          <w:rFonts w:cs="Arial"/>
        </w:rPr>
        <w:t>&lt;ESA_QUESTION_</w:t>
      </w:r>
      <w:r w:rsidR="00C86E1C">
        <w:rPr>
          <w:rFonts w:cs="Arial"/>
        </w:rPr>
        <w:t>ESG</w:t>
      </w:r>
      <w:r>
        <w:rPr>
          <w:rFonts w:cs="Arial"/>
        </w:rPr>
        <w:t>_7&gt;</w:t>
      </w:r>
    </w:p>
    <w:p w14:paraId="257C1B06" w14:textId="77777777" w:rsidR="00D613E3" w:rsidRPr="00D0096A" w:rsidRDefault="00D613E3" w:rsidP="00D613E3">
      <w:pPr>
        <w:autoSpaceDE w:val="0"/>
        <w:autoSpaceDN w:val="0"/>
        <w:adjustRightInd w:val="0"/>
        <w:snapToGrid w:val="0"/>
        <w:jc w:val="both"/>
        <w:rPr>
          <w:rFonts w:cstheme="minorHAnsi"/>
          <w:sz w:val="24"/>
          <w:lang w:val="en-US"/>
        </w:rPr>
      </w:pPr>
      <w:permStart w:id="569465455" w:edGrp="everyone"/>
      <w:proofErr w:type="gramStart"/>
      <w:r w:rsidRPr="00D0096A">
        <w:rPr>
          <w:rFonts w:cstheme="minorHAnsi"/>
          <w:sz w:val="24"/>
          <w:lang w:val="en-US"/>
        </w:rPr>
        <w:t>Statements must be reviewed by external or third parties at investee company level</w:t>
      </w:r>
      <w:proofErr w:type="gramEnd"/>
      <w:r w:rsidRPr="00D0096A">
        <w:rPr>
          <w:rFonts w:cstheme="minorHAnsi"/>
          <w:sz w:val="24"/>
          <w:lang w:val="en-US"/>
        </w:rPr>
        <w:t xml:space="preserve">. It will probably increase the data quality and make the data even more trustful. This question relates also to the upcoming revision of the </w:t>
      </w:r>
      <w:proofErr w:type="spellStart"/>
      <w:r>
        <w:rPr>
          <w:rFonts w:cstheme="minorHAnsi"/>
          <w:sz w:val="24"/>
          <w:lang w:val="en-US"/>
        </w:rPr>
        <w:t>Non Financial</w:t>
      </w:r>
      <w:proofErr w:type="spellEnd"/>
      <w:r>
        <w:rPr>
          <w:rFonts w:cstheme="minorHAnsi"/>
          <w:sz w:val="24"/>
          <w:lang w:val="en-US"/>
        </w:rPr>
        <w:t xml:space="preserve"> Reporting Directive </w:t>
      </w:r>
      <w:r w:rsidRPr="00D0096A">
        <w:rPr>
          <w:rFonts w:cstheme="minorHAnsi"/>
          <w:sz w:val="24"/>
          <w:lang w:val="en-US"/>
        </w:rPr>
        <w:t>(</w:t>
      </w:r>
      <w:r>
        <w:rPr>
          <w:rFonts w:cstheme="minorHAnsi"/>
          <w:sz w:val="24"/>
          <w:lang w:val="en-US"/>
        </w:rPr>
        <w:t xml:space="preserve">proposal of </w:t>
      </w:r>
      <w:r w:rsidRPr="00D0096A">
        <w:rPr>
          <w:rFonts w:cstheme="minorHAnsi"/>
          <w:sz w:val="24"/>
          <w:lang w:val="en-US"/>
        </w:rPr>
        <w:t>C</w:t>
      </w:r>
      <w:r>
        <w:rPr>
          <w:rFonts w:cstheme="minorHAnsi"/>
          <w:sz w:val="24"/>
          <w:lang w:val="en-US"/>
        </w:rPr>
        <w:t xml:space="preserve">orporate </w:t>
      </w:r>
      <w:r w:rsidRPr="00D0096A">
        <w:rPr>
          <w:rFonts w:cstheme="minorHAnsi"/>
          <w:sz w:val="24"/>
          <w:lang w:val="en-US"/>
        </w:rPr>
        <w:t>S</w:t>
      </w:r>
      <w:r>
        <w:rPr>
          <w:rFonts w:cstheme="minorHAnsi"/>
          <w:sz w:val="24"/>
          <w:lang w:val="en-US"/>
        </w:rPr>
        <w:t xml:space="preserve">ustainability </w:t>
      </w:r>
      <w:r w:rsidRPr="00D0096A">
        <w:rPr>
          <w:rFonts w:cstheme="minorHAnsi"/>
          <w:sz w:val="24"/>
          <w:lang w:val="en-US"/>
        </w:rPr>
        <w:t>R</w:t>
      </w:r>
      <w:r>
        <w:rPr>
          <w:rFonts w:cstheme="minorHAnsi"/>
          <w:sz w:val="24"/>
          <w:lang w:val="en-US"/>
        </w:rPr>
        <w:t xml:space="preserve">eporting </w:t>
      </w:r>
      <w:r w:rsidRPr="00D0096A">
        <w:rPr>
          <w:rFonts w:cstheme="minorHAnsi"/>
          <w:sz w:val="24"/>
          <w:lang w:val="en-US"/>
        </w:rPr>
        <w:t>D</w:t>
      </w:r>
      <w:r>
        <w:rPr>
          <w:rFonts w:cstheme="minorHAnsi"/>
          <w:sz w:val="24"/>
          <w:lang w:val="en-US"/>
        </w:rPr>
        <w:t>irective</w:t>
      </w:r>
      <w:r w:rsidRPr="00D0096A">
        <w:rPr>
          <w:rFonts w:cstheme="minorHAnsi"/>
          <w:sz w:val="24"/>
          <w:lang w:val="en-US"/>
        </w:rPr>
        <w:t>) which will introduce stronger audit requirements and the information collected will benefit from better assurance.</w:t>
      </w:r>
    </w:p>
    <w:permEnd w:id="569465455"/>
    <w:p w14:paraId="2267AC0F" w14:textId="00044BD1" w:rsidR="003E573C" w:rsidRDefault="003E573C" w:rsidP="003E573C">
      <w:pPr>
        <w:rPr>
          <w:rFonts w:cs="Arial"/>
        </w:rPr>
      </w:pPr>
      <w:r>
        <w:rPr>
          <w:rFonts w:cs="Arial"/>
        </w:rPr>
        <w:t>&lt;ESA_QUESTION_</w:t>
      </w:r>
      <w:r w:rsidR="00C86E1C">
        <w:rPr>
          <w:rFonts w:cs="Arial"/>
        </w:rPr>
        <w:t>ESG</w:t>
      </w:r>
      <w:r>
        <w:rPr>
          <w:rFonts w:cs="Arial"/>
        </w:rPr>
        <w:t>_7&gt;</w:t>
      </w:r>
    </w:p>
    <w:p w14:paraId="7E406E9F" w14:textId="77777777" w:rsidR="003E573C" w:rsidRDefault="003E573C" w:rsidP="003E573C">
      <w:pPr>
        <w:rPr>
          <w:rFonts w:cs="Arial"/>
        </w:rPr>
      </w:pPr>
    </w:p>
    <w:p w14:paraId="08E0CC4A" w14:textId="47C75544" w:rsidR="003E573C" w:rsidRDefault="003E573C" w:rsidP="00666A17">
      <w:pPr>
        <w:pStyle w:val="ListParagraph"/>
        <w:numPr>
          <w:ilvl w:val="0"/>
          <w:numId w:val="37"/>
        </w:numPr>
        <w:rPr>
          <w:rFonts w:asciiTheme="minorHAnsi" w:eastAsiaTheme="minorEastAsia" w:hAnsiTheme="minorHAnsi" w:cstheme="minorBidi"/>
          <w:b/>
          <w:sz w:val="22"/>
          <w:szCs w:val="20"/>
          <w:lang w:eastAsia="en-US"/>
        </w:rPr>
      </w:pPr>
      <w:r w:rsidRPr="001969F6">
        <w:rPr>
          <w:b/>
          <w:bCs/>
        </w:rPr>
        <w:t xml:space="preserve">: </w:t>
      </w:r>
      <w:r w:rsidR="001969F6" w:rsidRPr="001969F6">
        <w:rPr>
          <w:rFonts w:asciiTheme="minorHAnsi" w:eastAsiaTheme="minorEastAsia" w:hAnsiTheme="minorHAnsi" w:cstheme="minorBidi"/>
          <w:b/>
          <w:sz w:val="22"/>
          <w:szCs w:val="20"/>
          <w:lang w:eastAsia="en-US"/>
        </w:rPr>
        <w:t>Do you have any views on the proposed periodic disclosures which mirror the proposals for pre-contractual amendments?</w:t>
      </w:r>
    </w:p>
    <w:p w14:paraId="62D07B51" w14:textId="77777777" w:rsidR="002A73F1" w:rsidRPr="002A73F1" w:rsidRDefault="002A73F1" w:rsidP="002A73F1">
      <w:pPr>
        <w:pStyle w:val="ListParagraph"/>
        <w:rPr>
          <w:rFonts w:asciiTheme="minorHAnsi" w:eastAsiaTheme="minorEastAsia" w:hAnsiTheme="minorHAnsi" w:cstheme="minorBidi"/>
          <w:b/>
          <w:sz w:val="22"/>
          <w:szCs w:val="20"/>
          <w:lang w:eastAsia="en-US"/>
        </w:rPr>
      </w:pPr>
    </w:p>
    <w:p w14:paraId="3309F68B" w14:textId="243D301F" w:rsidR="003E573C" w:rsidRDefault="003E573C" w:rsidP="003E573C">
      <w:pPr>
        <w:rPr>
          <w:rFonts w:cs="Arial"/>
        </w:rPr>
      </w:pPr>
      <w:r>
        <w:rPr>
          <w:rFonts w:cs="Arial"/>
        </w:rPr>
        <w:t>&lt;ESA_QUESTION_</w:t>
      </w:r>
      <w:r w:rsidR="00C86E1C">
        <w:rPr>
          <w:rFonts w:cs="Arial"/>
        </w:rPr>
        <w:t>ESG</w:t>
      </w:r>
      <w:r>
        <w:rPr>
          <w:rFonts w:cs="Arial"/>
        </w:rPr>
        <w:t>_8&gt;</w:t>
      </w:r>
    </w:p>
    <w:p w14:paraId="6DB9AF7D" w14:textId="70154DD5" w:rsidR="003E573C" w:rsidRDefault="00D613E3" w:rsidP="003E573C">
      <w:pPr>
        <w:rPr>
          <w:rFonts w:cs="Arial"/>
        </w:rPr>
      </w:pPr>
      <w:permStart w:id="1713528049" w:edGrp="everyone"/>
      <w:r w:rsidRPr="00D0096A">
        <w:rPr>
          <w:rFonts w:cstheme="minorHAnsi"/>
          <w:sz w:val="24"/>
          <w:lang w:val="en-US"/>
        </w:rPr>
        <w:t>Although it makes sense to have consistency of sections in pre contractual and reporting documents, we believe that certain sections of the reporting documents are not necessary</w:t>
      </w:r>
      <w:r>
        <w:rPr>
          <w:rFonts w:cstheme="minorHAnsi"/>
          <w:sz w:val="24"/>
          <w:lang w:val="en-US"/>
        </w:rPr>
        <w:t>. This is</w:t>
      </w:r>
      <w:r w:rsidRPr="00D0096A">
        <w:rPr>
          <w:rFonts w:cstheme="minorHAnsi"/>
          <w:sz w:val="24"/>
          <w:lang w:val="en-US"/>
        </w:rPr>
        <w:t xml:space="preserve"> mainly because they are merely a duplication of the content of the pre-contractual document or also because they are not matters of reporting. </w:t>
      </w:r>
      <w:proofErr w:type="gramStart"/>
      <w:r w:rsidRPr="00D0096A">
        <w:rPr>
          <w:rFonts w:cstheme="minorHAnsi"/>
          <w:sz w:val="24"/>
          <w:lang w:val="en-US"/>
        </w:rPr>
        <w:t xml:space="preserve">For ease of reading and also for keeping the spirit of a reporting document, we would </w:t>
      </w:r>
      <w:r>
        <w:rPr>
          <w:rFonts w:cstheme="minorHAnsi"/>
          <w:sz w:val="24"/>
          <w:lang w:val="en-US"/>
        </w:rPr>
        <w:t xml:space="preserve">prefer </w:t>
      </w:r>
      <w:r w:rsidRPr="00D0096A">
        <w:rPr>
          <w:rFonts w:cstheme="minorHAnsi"/>
          <w:sz w:val="24"/>
          <w:lang w:val="en-US"/>
        </w:rPr>
        <w:t xml:space="preserve">not to add too </w:t>
      </w:r>
      <w:r>
        <w:rPr>
          <w:rFonts w:cstheme="minorHAnsi"/>
          <w:sz w:val="24"/>
          <w:lang w:val="en-US"/>
        </w:rPr>
        <w:t>much</w:t>
      </w:r>
      <w:r w:rsidRPr="00D0096A">
        <w:rPr>
          <w:rFonts w:cstheme="minorHAnsi"/>
          <w:sz w:val="24"/>
          <w:lang w:val="en-US"/>
        </w:rPr>
        <w:t xml:space="preserve"> information and not include the following headings: “Environmental and/or social characteristics” “what methodology was used for the calculation of the alignment with the EU taxonomy and why?”, “Why did the financial product invest in economic activities that are not environmentally sustainable?” and “How does the reference benchmark differ form a broad market index?”</w:t>
      </w:r>
      <w:proofErr w:type="gramEnd"/>
      <w:r w:rsidRPr="00D0096A">
        <w:rPr>
          <w:rFonts w:cstheme="minorHAnsi"/>
          <w:sz w:val="24"/>
          <w:lang w:val="en-US"/>
        </w:rPr>
        <w:t xml:space="preserve"> </w:t>
      </w:r>
      <w:permEnd w:id="1713528049"/>
      <w:r w:rsidR="003E573C">
        <w:rPr>
          <w:rFonts w:cs="Arial"/>
        </w:rPr>
        <w:t>&lt;ESA_QUESTION_</w:t>
      </w:r>
      <w:r w:rsidR="00C86E1C">
        <w:rPr>
          <w:rFonts w:cs="Arial"/>
        </w:rPr>
        <w:t>ESG</w:t>
      </w:r>
      <w:r w:rsidR="003E573C">
        <w:rPr>
          <w:rFonts w:cs="Arial"/>
        </w:rPr>
        <w:t>_8&gt;</w:t>
      </w:r>
    </w:p>
    <w:p w14:paraId="078E4733" w14:textId="77777777" w:rsidR="003E573C" w:rsidRDefault="003E573C" w:rsidP="003E573C">
      <w:pPr>
        <w:rPr>
          <w:rFonts w:cs="Arial"/>
        </w:rPr>
      </w:pPr>
    </w:p>
    <w:p w14:paraId="784E1B82" w14:textId="2A90ED5D" w:rsidR="003E573C" w:rsidRDefault="003E573C" w:rsidP="007118EB">
      <w:pPr>
        <w:pStyle w:val="Questionstyle"/>
      </w:pPr>
      <w:r>
        <w:t xml:space="preserve">: </w:t>
      </w:r>
      <w:r w:rsidR="001969F6" w:rsidRPr="001969F6">
        <w:t>Do you have any views on the amended pre-contractual and periodic templates?</w:t>
      </w:r>
    </w:p>
    <w:p w14:paraId="67823BF7" w14:textId="671B4280" w:rsidR="003E573C" w:rsidRDefault="003E573C" w:rsidP="003E573C">
      <w:pPr>
        <w:rPr>
          <w:rFonts w:cs="Arial"/>
        </w:rPr>
      </w:pPr>
      <w:r>
        <w:rPr>
          <w:rFonts w:cs="Arial"/>
        </w:rPr>
        <w:t>&lt;ESA_QUESTION_</w:t>
      </w:r>
      <w:r w:rsidR="00C86E1C">
        <w:rPr>
          <w:rFonts w:cs="Arial"/>
        </w:rPr>
        <w:t>ESG</w:t>
      </w:r>
      <w:r>
        <w:rPr>
          <w:rFonts w:cs="Arial"/>
        </w:rPr>
        <w:t>_9&gt;</w:t>
      </w:r>
    </w:p>
    <w:p w14:paraId="4C09A5E3" w14:textId="77777777" w:rsidR="00D613E3" w:rsidRPr="00D0096A" w:rsidRDefault="00D613E3" w:rsidP="00D613E3">
      <w:pPr>
        <w:autoSpaceDE w:val="0"/>
        <w:autoSpaceDN w:val="0"/>
        <w:adjustRightInd w:val="0"/>
        <w:snapToGrid w:val="0"/>
        <w:rPr>
          <w:rFonts w:cstheme="minorHAnsi"/>
          <w:sz w:val="24"/>
          <w:lang w:val="en-US"/>
        </w:rPr>
      </w:pPr>
      <w:permStart w:id="221670941" w:edGrp="everyone"/>
      <w:r w:rsidRPr="00D0096A">
        <w:rPr>
          <w:rFonts w:cstheme="minorHAnsi"/>
          <w:sz w:val="24"/>
          <w:lang w:val="en-US"/>
        </w:rPr>
        <w:t xml:space="preserve">Qualitative information </w:t>
      </w:r>
      <w:proofErr w:type="gramStart"/>
      <w:r w:rsidRPr="00D0096A">
        <w:rPr>
          <w:rFonts w:cstheme="minorHAnsi"/>
          <w:sz w:val="24"/>
          <w:lang w:val="en-US"/>
        </w:rPr>
        <w:t>should be allowed</w:t>
      </w:r>
      <w:proofErr w:type="gramEnd"/>
      <w:r w:rsidRPr="00D0096A">
        <w:rPr>
          <w:rFonts w:cstheme="minorHAnsi"/>
          <w:sz w:val="24"/>
          <w:lang w:val="en-US"/>
        </w:rPr>
        <w:t xml:space="preserve"> and the green asset ratio should clearly not be seen as a target.</w:t>
      </w:r>
    </w:p>
    <w:permEnd w:id="221670941"/>
    <w:p w14:paraId="57161E15" w14:textId="0A160962" w:rsidR="003E573C" w:rsidRDefault="003E573C" w:rsidP="003E573C">
      <w:pPr>
        <w:rPr>
          <w:rFonts w:cs="Arial"/>
        </w:rPr>
      </w:pPr>
      <w:r>
        <w:rPr>
          <w:rFonts w:cs="Arial"/>
        </w:rPr>
        <w:t>&lt;ESA_QUESTION_</w:t>
      </w:r>
      <w:r w:rsidR="00C86E1C">
        <w:rPr>
          <w:rFonts w:cs="Arial"/>
        </w:rPr>
        <w:t>ESG</w:t>
      </w:r>
      <w:r>
        <w:rPr>
          <w:rFonts w:cs="Arial"/>
        </w:rPr>
        <w:t>_9&gt;</w:t>
      </w:r>
    </w:p>
    <w:p w14:paraId="068CFC66" w14:textId="77777777" w:rsidR="003E573C" w:rsidRDefault="003E573C" w:rsidP="003E573C">
      <w:pPr>
        <w:rPr>
          <w:rFonts w:cs="Arial"/>
        </w:rPr>
      </w:pPr>
    </w:p>
    <w:p w14:paraId="69BB96B1" w14:textId="212862EF" w:rsidR="003E573C" w:rsidRDefault="003E573C" w:rsidP="007118EB">
      <w:pPr>
        <w:pStyle w:val="Questionstyle"/>
      </w:pPr>
      <w:bookmarkStart w:id="1" w:name="_Hlk18829484"/>
      <w:r>
        <w:t xml:space="preserve">: </w:t>
      </w:r>
      <w:bookmarkEnd w:id="1"/>
      <w:r w:rsidR="001969F6" w:rsidRPr="001969F6">
        <w:t>The draft RTS propose unified pre-contractual and periodic templates applicable to all Article 8 and 9 SFDR products (including Article 5 and 6 TR products which are a sub-set of Article 8 and 9 SFDR products). Do you believe it would be preferable to have separate pre-contractual and periodic templates for Article 5-6 TR products, instead of using the same template for all Article 8-9 SFDR products?</w:t>
      </w:r>
    </w:p>
    <w:p w14:paraId="5C90E2A2" w14:textId="6C4211F4" w:rsidR="003E573C" w:rsidRDefault="003E573C" w:rsidP="003E573C">
      <w:pPr>
        <w:rPr>
          <w:rFonts w:cs="Arial"/>
        </w:rPr>
      </w:pPr>
      <w:r>
        <w:rPr>
          <w:rFonts w:cs="Arial"/>
        </w:rPr>
        <w:t>&lt;ESA_QUESTION_</w:t>
      </w:r>
      <w:r w:rsidR="00C86E1C">
        <w:rPr>
          <w:rFonts w:cs="Arial"/>
        </w:rPr>
        <w:t>ESG</w:t>
      </w:r>
      <w:r>
        <w:rPr>
          <w:rFonts w:cs="Arial"/>
        </w:rPr>
        <w:t>_10&gt;</w:t>
      </w:r>
    </w:p>
    <w:p w14:paraId="7612C1B6" w14:textId="77777777" w:rsidR="00D613E3" w:rsidRPr="00D0096A" w:rsidRDefault="00D613E3" w:rsidP="00D613E3">
      <w:pPr>
        <w:autoSpaceDE w:val="0"/>
        <w:autoSpaceDN w:val="0"/>
        <w:adjustRightInd w:val="0"/>
        <w:snapToGrid w:val="0"/>
        <w:jc w:val="both"/>
        <w:rPr>
          <w:rFonts w:cstheme="minorHAnsi"/>
          <w:sz w:val="24"/>
          <w:lang w:val="en-US"/>
        </w:rPr>
      </w:pPr>
      <w:permStart w:id="610013876" w:edGrp="everyone"/>
      <w:r w:rsidRPr="00D0096A">
        <w:rPr>
          <w:rFonts w:cstheme="minorHAnsi"/>
          <w:sz w:val="24"/>
          <w:lang w:val="en-US"/>
        </w:rPr>
        <w:t>Only one template is better at the operational level. The simpler the better, though depending on the availability of the data.</w:t>
      </w:r>
    </w:p>
    <w:permEnd w:id="610013876"/>
    <w:p w14:paraId="40F05C94" w14:textId="484F0F04" w:rsidR="003E573C" w:rsidRDefault="003E573C" w:rsidP="003E573C">
      <w:pPr>
        <w:rPr>
          <w:rFonts w:cs="Arial"/>
        </w:rPr>
      </w:pPr>
      <w:r>
        <w:rPr>
          <w:rFonts w:cs="Arial"/>
        </w:rPr>
        <w:t>&lt;ESA_QUESTION_</w:t>
      </w:r>
      <w:r w:rsidR="00C86E1C">
        <w:rPr>
          <w:rFonts w:cs="Arial"/>
        </w:rPr>
        <w:t>ESG</w:t>
      </w:r>
      <w:r>
        <w:rPr>
          <w:rFonts w:cs="Arial"/>
        </w:rPr>
        <w:t>_10&gt;</w:t>
      </w:r>
    </w:p>
    <w:p w14:paraId="601C7E78" w14:textId="77777777" w:rsidR="003E573C" w:rsidRDefault="003E573C" w:rsidP="003E573C">
      <w:pPr>
        <w:rPr>
          <w:rFonts w:cs="Arial"/>
        </w:rPr>
      </w:pPr>
    </w:p>
    <w:p w14:paraId="402CA03A" w14:textId="75386165" w:rsidR="003E573C" w:rsidRDefault="003E573C" w:rsidP="007118EB">
      <w:pPr>
        <w:pStyle w:val="Questionstyle"/>
      </w:pPr>
      <w:r>
        <w:t xml:space="preserve">: </w:t>
      </w:r>
      <w:r w:rsidR="001969F6" w:rsidRPr="001969F6">
        <w:t>The draft RTS propose in the amended templates to identify whether products making sustainable investments do so according to the EU taxonomy. While this is done to clearly indicate whether Article 5 and 6 TR products (that make sustainable investments with environmental objectives) use the taxonomy, arguably this would have the effect of requiring Article 8 and 9 SFDR products making sustainable investments with social objectives to indicate that too. Do you agree with this proposal?</w:t>
      </w:r>
    </w:p>
    <w:p w14:paraId="0B0BBAB9" w14:textId="4260C65C" w:rsidR="003E573C" w:rsidRDefault="003E573C" w:rsidP="003E573C">
      <w:pPr>
        <w:rPr>
          <w:rFonts w:cs="Arial"/>
        </w:rPr>
      </w:pPr>
      <w:r>
        <w:rPr>
          <w:rFonts w:cs="Arial"/>
        </w:rPr>
        <w:t>&lt;ESA_QUESTION_</w:t>
      </w:r>
      <w:r w:rsidR="00C86E1C">
        <w:rPr>
          <w:rFonts w:cs="Arial"/>
        </w:rPr>
        <w:t>ESG</w:t>
      </w:r>
      <w:r>
        <w:rPr>
          <w:rFonts w:cs="Arial"/>
        </w:rPr>
        <w:t>_11&gt;</w:t>
      </w:r>
    </w:p>
    <w:p w14:paraId="73AF02CA" w14:textId="77777777" w:rsidR="00D613E3" w:rsidRPr="005D3AB1" w:rsidRDefault="00D613E3" w:rsidP="00D613E3">
      <w:pPr>
        <w:autoSpaceDE w:val="0"/>
        <w:autoSpaceDN w:val="0"/>
        <w:adjustRightInd w:val="0"/>
        <w:snapToGrid w:val="0"/>
        <w:jc w:val="both"/>
        <w:rPr>
          <w:rFonts w:cstheme="minorHAnsi"/>
          <w:color w:val="000000"/>
          <w:sz w:val="24"/>
          <w:lang w:val="en-IE"/>
        </w:rPr>
      </w:pPr>
      <w:permStart w:id="790175202" w:edGrp="everyone"/>
      <w:r w:rsidRPr="00D0096A">
        <w:rPr>
          <w:rFonts w:cstheme="minorHAnsi"/>
          <w:sz w:val="24"/>
          <w:lang w:val="en-US"/>
        </w:rPr>
        <w:t xml:space="preserve">Article 8 and 9 products with social objectives would be at disadvantage until the </w:t>
      </w:r>
      <w:r>
        <w:rPr>
          <w:rFonts w:cstheme="minorHAnsi"/>
          <w:sz w:val="24"/>
          <w:lang w:val="en-US"/>
        </w:rPr>
        <w:t>T</w:t>
      </w:r>
      <w:r w:rsidRPr="00D0096A">
        <w:rPr>
          <w:rFonts w:cstheme="minorHAnsi"/>
          <w:sz w:val="24"/>
          <w:lang w:val="en-US"/>
        </w:rPr>
        <w:t xml:space="preserve">axonomy </w:t>
      </w:r>
      <w:proofErr w:type="gramStart"/>
      <w:r w:rsidRPr="00D0096A">
        <w:rPr>
          <w:rFonts w:cstheme="minorHAnsi"/>
          <w:sz w:val="24"/>
          <w:lang w:val="en-US"/>
        </w:rPr>
        <w:t xml:space="preserve">has </w:t>
      </w:r>
      <w:r>
        <w:rPr>
          <w:rFonts w:cstheme="minorHAnsi"/>
          <w:sz w:val="24"/>
          <w:lang w:val="en-US"/>
        </w:rPr>
        <w:t xml:space="preserve">been </w:t>
      </w:r>
      <w:r w:rsidRPr="00D0096A">
        <w:rPr>
          <w:rFonts w:cstheme="minorHAnsi"/>
          <w:sz w:val="24"/>
          <w:lang w:val="en-US"/>
        </w:rPr>
        <w:t>developed</w:t>
      </w:r>
      <w:proofErr w:type="gramEnd"/>
      <w:r w:rsidRPr="00D0096A">
        <w:rPr>
          <w:rFonts w:cstheme="minorHAnsi"/>
          <w:sz w:val="24"/>
          <w:lang w:val="en-US"/>
        </w:rPr>
        <w:t xml:space="preserve"> in this topic. </w:t>
      </w:r>
      <w:r w:rsidRPr="005D3AB1">
        <w:rPr>
          <w:rFonts w:cstheme="minorHAnsi"/>
          <w:color w:val="000000"/>
          <w:sz w:val="24"/>
          <w:lang w:val="en-US"/>
        </w:rPr>
        <w:t>W</w:t>
      </w:r>
      <w:proofErr w:type="spellStart"/>
      <w:r w:rsidRPr="005D3AB1">
        <w:rPr>
          <w:rFonts w:cstheme="minorHAnsi"/>
          <w:color w:val="000000"/>
          <w:sz w:val="24"/>
          <w:lang w:val="en-IE"/>
        </w:rPr>
        <w:t>e</w:t>
      </w:r>
      <w:proofErr w:type="spellEnd"/>
      <w:r w:rsidRPr="005D3AB1">
        <w:rPr>
          <w:rFonts w:cstheme="minorHAnsi"/>
          <w:color w:val="000000"/>
          <w:sz w:val="24"/>
          <w:lang w:val="en-IE"/>
        </w:rPr>
        <w:t xml:space="preserve"> think that the RTS is too heavily reliant on the Taxonomy as the sole tool to guide sustainable investing when this is not the case. We believe that more neutral language around sustainable investments, including environmental investments that are not Taxonomy-aligned or social investments</w:t>
      </w:r>
      <w:r>
        <w:rPr>
          <w:rFonts w:cstheme="minorHAnsi"/>
          <w:color w:val="000000"/>
          <w:sz w:val="24"/>
          <w:lang w:val="en-IE"/>
        </w:rPr>
        <w:t xml:space="preserve">, </w:t>
      </w:r>
      <w:r w:rsidRPr="005D3AB1">
        <w:rPr>
          <w:rFonts w:cstheme="minorHAnsi"/>
          <w:color w:val="000000"/>
          <w:sz w:val="24"/>
          <w:lang w:val="en-IE"/>
        </w:rPr>
        <w:t>would address this issue.</w:t>
      </w:r>
    </w:p>
    <w:permEnd w:id="790175202"/>
    <w:p w14:paraId="140C09C0" w14:textId="31257444" w:rsidR="003E573C" w:rsidRDefault="003E573C" w:rsidP="003E573C">
      <w:pPr>
        <w:rPr>
          <w:rFonts w:cs="Arial"/>
        </w:rPr>
      </w:pPr>
      <w:r>
        <w:rPr>
          <w:rFonts w:cs="Arial"/>
        </w:rPr>
        <w:t>&lt;ESA_QUESTION_</w:t>
      </w:r>
      <w:r w:rsidR="00C86E1C">
        <w:rPr>
          <w:rFonts w:cs="Arial"/>
        </w:rPr>
        <w:t>ESG</w:t>
      </w:r>
      <w:r>
        <w:rPr>
          <w:rFonts w:cs="Arial"/>
        </w:rPr>
        <w:t>_11&gt;</w:t>
      </w:r>
    </w:p>
    <w:p w14:paraId="2CDEB4F0" w14:textId="5F67476B" w:rsidR="003E573C" w:rsidRDefault="003E573C" w:rsidP="003E573C">
      <w:pPr>
        <w:rPr>
          <w:rFonts w:cs="Arial"/>
        </w:rPr>
      </w:pPr>
    </w:p>
    <w:p w14:paraId="61320A13" w14:textId="067350C5" w:rsidR="007118EB" w:rsidRDefault="007118EB" w:rsidP="007118EB">
      <w:pPr>
        <w:pStyle w:val="Questionstyle"/>
      </w:pPr>
      <w:r>
        <w:t>:</w:t>
      </w:r>
      <w:r w:rsidR="001969F6" w:rsidRPr="001969F6">
        <w:t xml:space="preserve"> Do you have any views regarding the preliminary impact assessments? Can you provide more granular examples of costs associated with the policy options?</w:t>
      </w:r>
    </w:p>
    <w:p w14:paraId="02035181" w14:textId="6893B5C8" w:rsidR="007118EB" w:rsidRDefault="007118EB" w:rsidP="007118EB">
      <w:pPr>
        <w:rPr>
          <w:lang w:eastAsia="en-US"/>
        </w:rPr>
      </w:pPr>
      <w:r>
        <w:rPr>
          <w:lang w:eastAsia="en-US"/>
        </w:rPr>
        <w:t>&lt;ESA_QUESTION_ESG_12&gt;</w:t>
      </w:r>
    </w:p>
    <w:p w14:paraId="1AFC8C75" w14:textId="77777777" w:rsidR="00D613E3" w:rsidRPr="00D0096A" w:rsidRDefault="00D613E3" w:rsidP="00D613E3">
      <w:pPr>
        <w:autoSpaceDE w:val="0"/>
        <w:autoSpaceDN w:val="0"/>
        <w:adjustRightInd w:val="0"/>
        <w:snapToGrid w:val="0"/>
        <w:jc w:val="both"/>
        <w:rPr>
          <w:rFonts w:cstheme="minorHAnsi"/>
          <w:sz w:val="24"/>
          <w:lang w:val="en-US"/>
        </w:rPr>
      </w:pPr>
      <w:permStart w:id="1771197561" w:edGrp="everyone"/>
      <w:r w:rsidRPr="00D0096A">
        <w:rPr>
          <w:rFonts w:cstheme="minorHAnsi"/>
          <w:sz w:val="24"/>
          <w:lang w:val="en-US"/>
        </w:rPr>
        <w:t>We should be careful not to create a kind of indirect tax or license to operate</w:t>
      </w:r>
      <w:proofErr w:type="gramStart"/>
      <w:r w:rsidRPr="00D0096A">
        <w:rPr>
          <w:rFonts w:cstheme="minorHAnsi"/>
          <w:sz w:val="24"/>
          <w:lang w:val="en-US"/>
        </w:rPr>
        <w:t>,  investors</w:t>
      </w:r>
      <w:proofErr w:type="gramEnd"/>
      <w:r w:rsidRPr="00D0096A">
        <w:rPr>
          <w:rFonts w:cstheme="minorHAnsi"/>
          <w:sz w:val="24"/>
          <w:lang w:val="en-US"/>
        </w:rPr>
        <w:t xml:space="preserve"> being obliged to buy data from external providers. It would certainly push for a higher level of cost. That would be detrimental for smaller and new players. It is crucial to keep in mind</w:t>
      </w:r>
      <w:r>
        <w:rPr>
          <w:rFonts w:cstheme="minorHAnsi"/>
          <w:sz w:val="24"/>
          <w:lang w:val="en-US"/>
        </w:rPr>
        <w:t xml:space="preserve"> the importance</w:t>
      </w:r>
      <w:r w:rsidRPr="00D0096A">
        <w:rPr>
          <w:rFonts w:cstheme="minorHAnsi"/>
          <w:sz w:val="24"/>
          <w:lang w:val="en-US"/>
        </w:rPr>
        <w:t xml:space="preserve"> not to harm the competitiveness of the European players. A balance has to </w:t>
      </w:r>
      <w:proofErr w:type="gramStart"/>
      <w:r w:rsidRPr="00D0096A">
        <w:rPr>
          <w:rFonts w:cstheme="minorHAnsi"/>
          <w:sz w:val="24"/>
          <w:lang w:val="en-US"/>
        </w:rPr>
        <w:t>be found</w:t>
      </w:r>
      <w:proofErr w:type="gramEnd"/>
      <w:r w:rsidRPr="00D0096A">
        <w:rPr>
          <w:rFonts w:cstheme="minorHAnsi"/>
          <w:sz w:val="24"/>
          <w:lang w:val="en-US"/>
        </w:rPr>
        <w:t xml:space="preserve"> between transparency and </w:t>
      </w:r>
      <w:r>
        <w:rPr>
          <w:rFonts w:cstheme="minorHAnsi"/>
          <w:sz w:val="24"/>
          <w:lang w:val="en-US"/>
        </w:rPr>
        <w:t>additional requirements that could be burdensome.</w:t>
      </w:r>
    </w:p>
    <w:permEnd w:id="1771197561"/>
    <w:p w14:paraId="3577FCF9" w14:textId="5E3290C3" w:rsidR="007118EB" w:rsidRPr="007118EB" w:rsidRDefault="007118EB" w:rsidP="007118EB">
      <w:pPr>
        <w:rPr>
          <w:lang w:eastAsia="en-US"/>
        </w:rPr>
      </w:pPr>
      <w:r>
        <w:rPr>
          <w:lang w:eastAsia="en-US"/>
        </w:rPr>
        <w:t>&lt;ESA_QUESTION_ESG_12&gt;</w:t>
      </w:r>
    </w:p>
    <w:sectPr w:rsidR="007118EB" w:rsidRPr="007118EB" w:rsidSect="00A8728B">
      <w:headerReference w:type="even" r:id="rId23"/>
      <w:headerReference w:type="first" r:id="rId24"/>
      <w:footerReference w:type="first" r:id="rId25"/>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B7649D" w14:textId="77777777" w:rsidR="003E5BAD" w:rsidRDefault="003E5BAD">
      <w:r>
        <w:separator/>
      </w:r>
    </w:p>
    <w:p w14:paraId="0E9BC570" w14:textId="77777777" w:rsidR="003E5BAD" w:rsidRDefault="003E5BAD"/>
  </w:endnote>
  <w:endnote w:type="continuationSeparator" w:id="0">
    <w:p w14:paraId="48885A96" w14:textId="77777777" w:rsidR="003E5BAD" w:rsidRDefault="003E5BAD">
      <w:r>
        <w:continuationSeparator/>
      </w:r>
    </w:p>
    <w:p w14:paraId="320800CA" w14:textId="77777777" w:rsidR="003E5BAD" w:rsidRDefault="003E5BAD"/>
  </w:endnote>
  <w:endnote w:type="continuationNotice" w:id="1">
    <w:p w14:paraId="0CDEAAB5" w14:textId="77777777" w:rsidR="003E5BAD" w:rsidRDefault="003E5B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EUAlbertina">
    <w:altName w:val="Calibri"/>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80E59" w14:textId="77777777" w:rsidR="008F65D5" w:rsidRDefault="008F65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6A3CB0EF" w14:textId="77777777" w:rsidTr="00315E96">
      <w:trPr>
        <w:trHeight w:val="284"/>
      </w:trPr>
      <w:tc>
        <w:tcPr>
          <w:tcW w:w="8460" w:type="dxa"/>
        </w:tcPr>
        <w:p w14:paraId="6A3CB0ED" w14:textId="77777777" w:rsidR="00811EDA" w:rsidRPr="00315E96" w:rsidRDefault="00811EDA" w:rsidP="00315E96">
          <w:pPr>
            <w:pStyle w:val="00Footer"/>
            <w:rPr>
              <w:lang w:val="fr-FR"/>
            </w:rPr>
          </w:pPr>
        </w:p>
      </w:tc>
      <w:tc>
        <w:tcPr>
          <w:tcW w:w="952" w:type="dxa"/>
        </w:tcPr>
        <w:p w14:paraId="6A3CB0EE" w14:textId="4078B352"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C603E7">
            <w:rPr>
              <w:rFonts w:cs="Arial"/>
              <w:noProof/>
              <w:sz w:val="22"/>
              <w:szCs w:val="22"/>
            </w:rPr>
            <w:t>8</w:t>
          </w:r>
          <w:r w:rsidRPr="00616B9B">
            <w:rPr>
              <w:rFonts w:cs="Arial"/>
              <w:noProof/>
              <w:sz w:val="22"/>
              <w:szCs w:val="22"/>
            </w:rPr>
            <w:fldChar w:fldCharType="end"/>
          </w:r>
        </w:p>
      </w:tc>
    </w:tr>
  </w:tbl>
  <w:p w14:paraId="6A3CB0F0" w14:textId="77777777" w:rsidR="00811EDA" w:rsidRDefault="00811ED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AD7D7" w14:textId="77777777" w:rsidR="008F65D5" w:rsidRDefault="008F65D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100"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9EF036" w14:textId="77777777" w:rsidR="003E5BAD" w:rsidRDefault="003E5BAD">
      <w:r>
        <w:separator/>
      </w:r>
    </w:p>
    <w:p w14:paraId="5A721C0F" w14:textId="77777777" w:rsidR="003E5BAD" w:rsidRDefault="003E5BAD"/>
  </w:footnote>
  <w:footnote w:type="continuationSeparator" w:id="0">
    <w:p w14:paraId="57A16A9C" w14:textId="77777777" w:rsidR="003E5BAD" w:rsidRDefault="003E5BAD">
      <w:r>
        <w:continuationSeparator/>
      </w:r>
    </w:p>
    <w:p w14:paraId="6683BC49" w14:textId="77777777" w:rsidR="003E5BAD" w:rsidRDefault="003E5BAD"/>
  </w:footnote>
  <w:footnote w:type="continuationNotice" w:id="1">
    <w:p w14:paraId="7F5A090E" w14:textId="77777777" w:rsidR="003E5BAD" w:rsidRDefault="003E5BAD"/>
  </w:footnote>
  <w:footnote w:id="2">
    <w:p w14:paraId="52F26208" w14:textId="77777777" w:rsidR="00197794" w:rsidRDefault="00197794" w:rsidP="00197794">
      <w:pPr>
        <w:pStyle w:val="FootnoteText"/>
      </w:pPr>
      <w:r>
        <w:rPr>
          <w:rStyle w:val="FootnoteReference"/>
        </w:rPr>
        <w:footnoteRef/>
      </w:r>
      <w:r>
        <w:t xml:space="preserve"> </w:t>
      </w:r>
      <w:r w:rsidRPr="00010A39">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A5DCD1" w14:textId="77777777" w:rsidR="008F65D5" w:rsidRDefault="008F65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EC" w14:textId="0B1FCCA2" w:rsidR="00811EDA" w:rsidRDefault="008F65D5">
    <w:pPr>
      <w:pStyle w:val="Header"/>
    </w:pPr>
    <w:r>
      <w:rPr>
        <w:noProof/>
        <w:lang w:val="fr-FR" w:eastAsia="zh-CN"/>
      </w:rPr>
      <w:drawing>
        <wp:inline distT="0" distB="0" distL="0" distR="0" wp14:anchorId="5DFA0AC9" wp14:editId="5C7CBA1A">
          <wp:extent cx="5575935" cy="5480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val="fr-FR" w:eastAsia="zh-CN"/>
      </w:rPr>
      <mc:AlternateContent>
        <mc:Choice Requires="wps">
          <w:drawing>
            <wp:anchor distT="0" distB="0" distL="114295" distR="114295" simplePos="0" relativeHeight="251656192" behindDoc="0" locked="0" layoutInCell="1" allowOverlap="1" wp14:anchorId="6A3CB103" wp14:editId="50E56350">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A10FC32"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1" w14:textId="57FA93C8" w:rsidR="00811EDA" w:rsidRDefault="008F65D5" w:rsidP="00013CCE">
    <w:pPr>
      <w:pStyle w:val="Header"/>
      <w:jc w:val="right"/>
    </w:pPr>
    <w:r>
      <w:rPr>
        <w:noProof/>
        <w:lang w:val="fr-FR" w:eastAsia="zh-CN"/>
      </w:rPr>
      <w:drawing>
        <wp:inline distT="0" distB="0" distL="0" distR="0" wp14:anchorId="43043680" wp14:editId="13AB93FC">
          <wp:extent cx="5575935" cy="54800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r w:rsidR="00DE66EB">
      <w:rPr>
        <w:noProof/>
        <w:lang w:val="fr-FR" w:eastAsia="zh-CN"/>
      </w:rPr>
      <w:drawing>
        <wp:anchor distT="0" distB="0" distL="114300" distR="114300" simplePos="0" relativeHeight="251655168" behindDoc="1" locked="0" layoutInCell="1" allowOverlap="1" wp14:anchorId="6A3CB107" wp14:editId="1326F10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3CB0F2" w14:textId="77777777" w:rsidR="00811EDA" w:rsidRDefault="00811EDA"/>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6A3CB0F5" w14:textId="77777777" w:rsidTr="000C06C9">
      <w:trPr>
        <w:trHeight w:val="284"/>
      </w:trPr>
      <w:tc>
        <w:tcPr>
          <w:tcW w:w="8460" w:type="dxa"/>
        </w:tcPr>
        <w:p w14:paraId="6A3CB0F3" w14:textId="77777777" w:rsidR="00811EDA" w:rsidRPr="000C3B6D" w:rsidRDefault="00811EDA" w:rsidP="000C06C9">
          <w:pPr>
            <w:pStyle w:val="00Footer"/>
            <w:rPr>
              <w:lang w:val="fr-FR"/>
            </w:rPr>
          </w:pPr>
        </w:p>
      </w:tc>
      <w:tc>
        <w:tcPr>
          <w:tcW w:w="952" w:type="dxa"/>
        </w:tcPr>
        <w:p w14:paraId="6A3CB0F4" w14:textId="77777777" w:rsidR="00811EDA" w:rsidRPr="00146B34" w:rsidRDefault="00811EDA" w:rsidP="000C06C9">
          <w:pPr>
            <w:pStyle w:val="00aPagenumber"/>
            <w:rPr>
              <w:lang w:val="fr-FR"/>
            </w:rPr>
          </w:pPr>
        </w:p>
      </w:tc>
    </w:tr>
  </w:tbl>
  <w:p w14:paraId="6A3CB0F6" w14:textId="77777777" w:rsidR="00811EDA" w:rsidRPr="00DB46C3" w:rsidRDefault="00811EDA">
    <w:pPr>
      <w:rPr>
        <w:lang w:val="fr-FR"/>
      </w:rPr>
    </w:pPr>
  </w:p>
  <w:p w14:paraId="6A3CB0F7" w14:textId="77777777" w:rsidR="00811EDA" w:rsidRPr="002F4496" w:rsidRDefault="00811EDA">
    <w:pPr>
      <w:pStyle w:val="Header"/>
      <w:rPr>
        <w:lang w:val="fr-FR"/>
      </w:rPr>
    </w:pPr>
  </w:p>
  <w:p w14:paraId="6A3CB0F8" w14:textId="77777777" w:rsidR="00811EDA" w:rsidRPr="002F4496" w:rsidRDefault="00811EDA" w:rsidP="000C06C9">
    <w:pPr>
      <w:pStyle w:val="Header"/>
      <w:tabs>
        <w:tab w:val="clear" w:pos="4536"/>
        <w:tab w:val="clear" w:pos="9072"/>
        <w:tab w:val="left" w:pos="8227"/>
      </w:tabs>
      <w:rPr>
        <w:lang w:val="fr-FR"/>
      </w:rPr>
    </w:pPr>
  </w:p>
  <w:p w14:paraId="6A3CB0F9" w14:textId="77777777" w:rsidR="00811EDA" w:rsidRPr="002F4496" w:rsidRDefault="00811EDA" w:rsidP="000C06C9">
    <w:pPr>
      <w:pStyle w:val="Header"/>
      <w:tabs>
        <w:tab w:val="clear" w:pos="4536"/>
        <w:tab w:val="clear" w:pos="9072"/>
        <w:tab w:val="left" w:pos="8227"/>
      </w:tabs>
      <w:rPr>
        <w:lang w:val="fr-FR"/>
      </w:rPr>
    </w:pPr>
  </w:p>
  <w:p w14:paraId="6A3CB0FA" w14:textId="77777777" w:rsidR="00811EDA" w:rsidRPr="002F4496" w:rsidRDefault="00811EDA">
    <w:pPr>
      <w:pStyle w:val="Header"/>
      <w:rPr>
        <w:lang w:val="fr-FR"/>
      </w:rPr>
    </w:pPr>
  </w:p>
  <w:p w14:paraId="6A3CB0FB" w14:textId="77777777" w:rsidR="00811EDA" w:rsidRPr="002F4496" w:rsidRDefault="00811EDA">
    <w:pPr>
      <w:pStyle w:val="Header"/>
      <w:rPr>
        <w:lang w:val="fr-FR"/>
      </w:rPr>
    </w:pPr>
  </w:p>
  <w:p w14:paraId="6A3CB0FC" w14:textId="77777777" w:rsidR="00811EDA" w:rsidRPr="002F4496" w:rsidRDefault="00811EDA">
    <w:pPr>
      <w:pStyle w:val="Header"/>
      <w:rPr>
        <w:lang w:val="fr-FR"/>
      </w:rPr>
    </w:pPr>
  </w:p>
  <w:p w14:paraId="6A3CB0FD" w14:textId="77777777" w:rsidR="00811EDA" w:rsidRPr="002F4496" w:rsidRDefault="00811EDA">
    <w:pPr>
      <w:pStyle w:val="Header"/>
      <w:rPr>
        <w:lang w:val="fr-FR"/>
      </w:rPr>
    </w:pPr>
  </w:p>
  <w:p w14:paraId="6A3CB0FE" w14:textId="77777777" w:rsidR="00811EDA" w:rsidRPr="002F4496" w:rsidRDefault="00811EDA">
    <w:pPr>
      <w:pStyle w:val="Header"/>
      <w:rPr>
        <w:highlight w:val="yellow"/>
        <w:lang w:val="fr-FR"/>
      </w:rPr>
    </w:pPr>
  </w:p>
  <w:p w14:paraId="6A3CB0FF" w14:textId="05D5FF53" w:rsidR="00811EDA" w:rsidRDefault="00DE66EB">
    <w:pPr>
      <w:pStyle w:val="Header"/>
    </w:pPr>
    <w:r>
      <w:rPr>
        <w:noProof/>
        <w:lang w:val="fr-FR" w:eastAsia="zh-CN"/>
      </w:rPr>
      <mc:AlternateContent>
        <mc:Choice Requires="wps">
          <w:drawing>
            <wp:anchor distT="0" distB="0" distL="114299" distR="114299" simplePos="0" relativeHeight="251660288" behindDoc="0" locked="0" layoutInCell="1" allowOverlap="1" wp14:anchorId="6A3CB109" wp14:editId="6A3CB10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5AC2E04"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sidR="008F65D5">
      <w:rPr>
        <w:noProof/>
        <w:lang w:val="fr-FR" w:eastAsia="zh-CN"/>
      </w:rPr>
      <w:drawing>
        <wp:inline distT="0" distB="0" distL="0" distR="0" wp14:anchorId="7DB0CF77" wp14:editId="031410E7">
          <wp:extent cx="5575935" cy="5480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png"/>
                  <pic:cNvPicPr/>
                </pic:nvPicPr>
                <pic:blipFill>
                  <a:blip r:embed="rId1">
                    <a:extLst>
                      <a:ext uri="{28A0092B-C50C-407E-A947-70E740481C1C}">
                        <a14:useLocalDpi xmlns:a14="http://schemas.microsoft.com/office/drawing/2010/main" val="0"/>
                      </a:ext>
                    </a:extLst>
                  </a:blip>
                  <a:stretch>
                    <a:fillRect/>
                  </a:stretch>
                </pic:blipFill>
                <pic:spPr>
                  <a:xfrm>
                    <a:off x="0" y="0"/>
                    <a:ext cx="5575935" cy="548005"/>
                  </a:xfrm>
                  <a:prstGeom prst="rect">
                    <a:avLst/>
                  </a:prstGeom>
                  <a:extLst>
                    <a:ext uri="{FAA26D3D-D897-4be2-8F04-BA451C77F1D7}">
                      <ma14:placeholderFlag xmlns:arto="http://schemas.microsoft.com/office/word/2006/arto"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2232B"/>
    <w:multiLevelType w:val="hybridMultilevel"/>
    <w:tmpl w:val="B5CCF242"/>
    <w:lvl w:ilvl="0" w:tplc="5F36106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4"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6"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8"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9"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0"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0A041B"/>
    <w:multiLevelType w:val="hybridMultilevel"/>
    <w:tmpl w:val="4E1A8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42A1A9F"/>
    <w:multiLevelType w:val="hybridMultilevel"/>
    <w:tmpl w:val="40E616FE"/>
    <w:lvl w:ilvl="0" w:tplc="3EEE88B2">
      <w:start w:val="1"/>
      <w:numFmt w:val="decimal"/>
      <w:pStyle w:val="QStyle"/>
      <w:lvlText w:val="Q%1"/>
      <w:lvlJc w:val="left"/>
      <w:pPr>
        <w:ind w:left="5127" w:hanging="360"/>
      </w:pPr>
      <w:rPr>
        <w:rFonts w:hint="default"/>
        <w:b/>
        <w:i w:val="0"/>
      </w:rPr>
    </w:lvl>
    <w:lvl w:ilvl="1" w:tplc="08090019">
      <w:start w:val="1"/>
      <w:numFmt w:val="lowerLetter"/>
      <w:lvlText w:val="%2."/>
      <w:lvlJc w:val="left"/>
      <w:pPr>
        <w:ind w:left="5847" w:hanging="360"/>
      </w:pPr>
    </w:lvl>
    <w:lvl w:ilvl="2" w:tplc="0809001B" w:tentative="1">
      <w:start w:val="1"/>
      <w:numFmt w:val="lowerRoman"/>
      <w:lvlText w:val="%3."/>
      <w:lvlJc w:val="right"/>
      <w:pPr>
        <w:ind w:left="6567" w:hanging="180"/>
      </w:pPr>
    </w:lvl>
    <w:lvl w:ilvl="3" w:tplc="0809000F" w:tentative="1">
      <w:start w:val="1"/>
      <w:numFmt w:val="decimal"/>
      <w:lvlText w:val="%4."/>
      <w:lvlJc w:val="left"/>
      <w:pPr>
        <w:ind w:left="7287" w:hanging="360"/>
      </w:pPr>
    </w:lvl>
    <w:lvl w:ilvl="4" w:tplc="08090019" w:tentative="1">
      <w:start w:val="1"/>
      <w:numFmt w:val="lowerLetter"/>
      <w:lvlText w:val="%5."/>
      <w:lvlJc w:val="left"/>
      <w:pPr>
        <w:ind w:left="8007" w:hanging="360"/>
      </w:pPr>
    </w:lvl>
    <w:lvl w:ilvl="5" w:tplc="0809001B" w:tentative="1">
      <w:start w:val="1"/>
      <w:numFmt w:val="lowerRoman"/>
      <w:lvlText w:val="%6."/>
      <w:lvlJc w:val="right"/>
      <w:pPr>
        <w:ind w:left="8727" w:hanging="180"/>
      </w:pPr>
    </w:lvl>
    <w:lvl w:ilvl="6" w:tplc="0809000F" w:tentative="1">
      <w:start w:val="1"/>
      <w:numFmt w:val="decimal"/>
      <w:lvlText w:val="%7."/>
      <w:lvlJc w:val="left"/>
      <w:pPr>
        <w:ind w:left="9447" w:hanging="360"/>
      </w:pPr>
    </w:lvl>
    <w:lvl w:ilvl="7" w:tplc="08090019" w:tentative="1">
      <w:start w:val="1"/>
      <w:numFmt w:val="lowerLetter"/>
      <w:lvlText w:val="%8."/>
      <w:lvlJc w:val="left"/>
      <w:pPr>
        <w:ind w:left="10167" w:hanging="360"/>
      </w:pPr>
    </w:lvl>
    <w:lvl w:ilvl="8" w:tplc="0809001B" w:tentative="1">
      <w:start w:val="1"/>
      <w:numFmt w:val="lowerRoman"/>
      <w:lvlText w:val="%9."/>
      <w:lvlJc w:val="right"/>
      <w:pPr>
        <w:ind w:left="10887" w:hanging="180"/>
      </w:p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6"/>
  </w:num>
  <w:num w:numId="2">
    <w:abstractNumId w:val="18"/>
  </w:num>
  <w:num w:numId="3">
    <w:abstractNumId w:val="11"/>
  </w:num>
  <w:num w:numId="4">
    <w:abstractNumId w:val="24"/>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4"/>
  </w:num>
  <w:num w:numId="18">
    <w:abstractNumId w:val="15"/>
  </w:num>
  <w:num w:numId="19">
    <w:abstractNumId w:val="17"/>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19"/>
  </w:num>
  <w:num w:numId="27">
    <w:abstractNumId w:val="34"/>
  </w:num>
  <w:num w:numId="28">
    <w:abstractNumId w:val="39"/>
  </w:num>
  <w:num w:numId="29">
    <w:abstractNumId w:val="5"/>
  </w:num>
  <w:num w:numId="30">
    <w:abstractNumId w:val="2"/>
  </w:num>
  <w:num w:numId="31">
    <w:abstractNumId w:val="22"/>
  </w:num>
  <w:num w:numId="32">
    <w:abstractNumId w:val="20"/>
  </w:num>
  <w:num w:numId="33">
    <w:abstractNumId w:val="36"/>
  </w:num>
  <w:num w:numId="34">
    <w:abstractNumId w:val="35"/>
  </w:num>
  <w:num w:numId="35">
    <w:abstractNumId w:val="9"/>
  </w:num>
  <w:num w:numId="36">
    <w:abstractNumId w:val="10"/>
  </w:num>
  <w:num w:numId="37">
    <w:abstractNumId w:val="12"/>
  </w:num>
  <w:num w:numId="38">
    <w:abstractNumId w:val="25"/>
  </w:num>
  <w:num w:numId="39">
    <w:abstractNumId w:val="2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PlCUEaAvJr8Lb5jkry+wZ+XFSdqn0f3IBqahFJAhxoajC/E+IoKSpsKau2RKxbE/TsCjXDm8uSYLCv0ZdRDYw==" w:salt="1tIUBtEByNwPcaf2tV4ZAQ=="/>
  <w:defaultTabStop w:val="709"/>
  <w:autoHyphenation/>
  <w:hyphenationZone w:val="567"/>
  <w:characterSpacingControl w:val="doNotCompress"/>
  <w:hdrShapeDefaults>
    <o:shapedefaults v:ext="edit" spidmax="10241">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26BE"/>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4C3"/>
    <w:rsid w:val="0007463D"/>
    <w:rsid w:val="000749F0"/>
    <w:rsid w:val="0007609D"/>
    <w:rsid w:val="00077C67"/>
    <w:rsid w:val="00080976"/>
    <w:rsid w:val="00081148"/>
    <w:rsid w:val="00081CEB"/>
    <w:rsid w:val="00081E60"/>
    <w:rsid w:val="00082626"/>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14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3AC7"/>
    <w:rsid w:val="00173B4B"/>
    <w:rsid w:val="001745D7"/>
    <w:rsid w:val="00175754"/>
    <w:rsid w:val="00176982"/>
    <w:rsid w:val="0017701C"/>
    <w:rsid w:val="00181264"/>
    <w:rsid w:val="001817D7"/>
    <w:rsid w:val="00181BD1"/>
    <w:rsid w:val="0018204A"/>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969F6"/>
    <w:rsid w:val="00197794"/>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2A2"/>
    <w:rsid w:val="001D2205"/>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0E59"/>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E71"/>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C82"/>
    <w:rsid w:val="002A0CD8"/>
    <w:rsid w:val="002A13EB"/>
    <w:rsid w:val="002A35EF"/>
    <w:rsid w:val="002A3DE0"/>
    <w:rsid w:val="002A40EA"/>
    <w:rsid w:val="002A46E8"/>
    <w:rsid w:val="002A491C"/>
    <w:rsid w:val="002A73F1"/>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4F86"/>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6420"/>
    <w:rsid w:val="00336B56"/>
    <w:rsid w:val="00337A3F"/>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B3F"/>
    <w:rsid w:val="00384CCE"/>
    <w:rsid w:val="003865E5"/>
    <w:rsid w:val="00386BB8"/>
    <w:rsid w:val="0039056F"/>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573C"/>
    <w:rsid w:val="003E5BAD"/>
    <w:rsid w:val="003E68C7"/>
    <w:rsid w:val="003E79B0"/>
    <w:rsid w:val="003F0403"/>
    <w:rsid w:val="003F1094"/>
    <w:rsid w:val="003F29B4"/>
    <w:rsid w:val="003F2E45"/>
    <w:rsid w:val="003F3EFE"/>
    <w:rsid w:val="003F40B8"/>
    <w:rsid w:val="003F5C06"/>
    <w:rsid w:val="00400195"/>
    <w:rsid w:val="0040075B"/>
    <w:rsid w:val="0040254B"/>
    <w:rsid w:val="00403086"/>
    <w:rsid w:val="00403460"/>
    <w:rsid w:val="004040FF"/>
    <w:rsid w:val="00404284"/>
    <w:rsid w:val="004042C4"/>
    <w:rsid w:val="00406E90"/>
    <w:rsid w:val="00407232"/>
    <w:rsid w:val="00410240"/>
    <w:rsid w:val="00412253"/>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0B2A"/>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247E"/>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D0D"/>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2D9A"/>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29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50C3"/>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2AAD"/>
    <w:rsid w:val="005860AF"/>
    <w:rsid w:val="00587F1D"/>
    <w:rsid w:val="00590348"/>
    <w:rsid w:val="00591161"/>
    <w:rsid w:val="00592318"/>
    <w:rsid w:val="00593133"/>
    <w:rsid w:val="0059575D"/>
    <w:rsid w:val="00596825"/>
    <w:rsid w:val="005A150A"/>
    <w:rsid w:val="005A2B3E"/>
    <w:rsid w:val="005A3644"/>
    <w:rsid w:val="005A4087"/>
    <w:rsid w:val="005A4B18"/>
    <w:rsid w:val="005A4DF9"/>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5F6BE3"/>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08D"/>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A17"/>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20C8"/>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CE6"/>
    <w:rsid w:val="006C5E96"/>
    <w:rsid w:val="006C795E"/>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3E9A"/>
    <w:rsid w:val="0070421B"/>
    <w:rsid w:val="007043F0"/>
    <w:rsid w:val="0070482E"/>
    <w:rsid w:val="00704D25"/>
    <w:rsid w:val="00704EED"/>
    <w:rsid w:val="00710519"/>
    <w:rsid w:val="00710F6E"/>
    <w:rsid w:val="00711663"/>
    <w:rsid w:val="007116B4"/>
    <w:rsid w:val="007118EB"/>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4A9B"/>
    <w:rsid w:val="00754AC4"/>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042"/>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2F86"/>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519"/>
    <w:rsid w:val="007D5915"/>
    <w:rsid w:val="007D5B4F"/>
    <w:rsid w:val="007D5C30"/>
    <w:rsid w:val="007E0660"/>
    <w:rsid w:val="007E1411"/>
    <w:rsid w:val="007E1882"/>
    <w:rsid w:val="007E1BB4"/>
    <w:rsid w:val="007E3514"/>
    <w:rsid w:val="007E4AAA"/>
    <w:rsid w:val="007E4BD2"/>
    <w:rsid w:val="007E4C29"/>
    <w:rsid w:val="007E5E44"/>
    <w:rsid w:val="007F0DDA"/>
    <w:rsid w:val="007F170C"/>
    <w:rsid w:val="007F1939"/>
    <w:rsid w:val="007F365C"/>
    <w:rsid w:val="007F4A2A"/>
    <w:rsid w:val="007F5066"/>
    <w:rsid w:val="007F621C"/>
    <w:rsid w:val="007F7155"/>
    <w:rsid w:val="007F7B93"/>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5D5"/>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A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0F6"/>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CF0"/>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24E"/>
    <w:rsid w:val="00A824A7"/>
    <w:rsid w:val="00A83644"/>
    <w:rsid w:val="00A83C07"/>
    <w:rsid w:val="00A83F40"/>
    <w:rsid w:val="00A84945"/>
    <w:rsid w:val="00A85226"/>
    <w:rsid w:val="00A85543"/>
    <w:rsid w:val="00A8728B"/>
    <w:rsid w:val="00A903D3"/>
    <w:rsid w:val="00A91682"/>
    <w:rsid w:val="00A91E16"/>
    <w:rsid w:val="00A92E4A"/>
    <w:rsid w:val="00A958CA"/>
    <w:rsid w:val="00A966B6"/>
    <w:rsid w:val="00A96B46"/>
    <w:rsid w:val="00A96C55"/>
    <w:rsid w:val="00AA003B"/>
    <w:rsid w:val="00AA016B"/>
    <w:rsid w:val="00AA15DD"/>
    <w:rsid w:val="00AA1B9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3CF"/>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48"/>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54A"/>
    <w:rsid w:val="00BA7820"/>
    <w:rsid w:val="00BA794C"/>
    <w:rsid w:val="00BB09FB"/>
    <w:rsid w:val="00BB1617"/>
    <w:rsid w:val="00BB238D"/>
    <w:rsid w:val="00BB37CC"/>
    <w:rsid w:val="00BB48C4"/>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11"/>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3E7"/>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E1C"/>
    <w:rsid w:val="00C86F96"/>
    <w:rsid w:val="00C909C6"/>
    <w:rsid w:val="00C923B7"/>
    <w:rsid w:val="00C94D4C"/>
    <w:rsid w:val="00CA012C"/>
    <w:rsid w:val="00CA0AA6"/>
    <w:rsid w:val="00CA2897"/>
    <w:rsid w:val="00CA44F3"/>
    <w:rsid w:val="00CA51BA"/>
    <w:rsid w:val="00CA582C"/>
    <w:rsid w:val="00CA6077"/>
    <w:rsid w:val="00CA715B"/>
    <w:rsid w:val="00CA74B0"/>
    <w:rsid w:val="00CA7988"/>
    <w:rsid w:val="00CA7BA2"/>
    <w:rsid w:val="00CB0B78"/>
    <w:rsid w:val="00CB12A5"/>
    <w:rsid w:val="00CB17FA"/>
    <w:rsid w:val="00CB23D8"/>
    <w:rsid w:val="00CB2ED9"/>
    <w:rsid w:val="00CB36A5"/>
    <w:rsid w:val="00CB3A59"/>
    <w:rsid w:val="00CB56B4"/>
    <w:rsid w:val="00CB7286"/>
    <w:rsid w:val="00CB7947"/>
    <w:rsid w:val="00CC1783"/>
    <w:rsid w:val="00CC1883"/>
    <w:rsid w:val="00CC38E9"/>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1134"/>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594A"/>
    <w:rsid w:val="00D56321"/>
    <w:rsid w:val="00D56AC0"/>
    <w:rsid w:val="00D6081B"/>
    <w:rsid w:val="00D613E3"/>
    <w:rsid w:val="00D61A37"/>
    <w:rsid w:val="00D6240A"/>
    <w:rsid w:val="00D63093"/>
    <w:rsid w:val="00D63599"/>
    <w:rsid w:val="00D63EBD"/>
    <w:rsid w:val="00D64B69"/>
    <w:rsid w:val="00D67101"/>
    <w:rsid w:val="00D7106D"/>
    <w:rsid w:val="00D71B45"/>
    <w:rsid w:val="00D71F8A"/>
    <w:rsid w:val="00D75603"/>
    <w:rsid w:val="00D75FEE"/>
    <w:rsid w:val="00D76933"/>
    <w:rsid w:val="00D76D88"/>
    <w:rsid w:val="00D77CC9"/>
    <w:rsid w:val="00D83D4B"/>
    <w:rsid w:val="00D871C6"/>
    <w:rsid w:val="00D91010"/>
    <w:rsid w:val="00D9120E"/>
    <w:rsid w:val="00D94EB7"/>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3223"/>
    <w:rsid w:val="00DE64A6"/>
    <w:rsid w:val="00DE66EB"/>
    <w:rsid w:val="00DE7035"/>
    <w:rsid w:val="00DF12E3"/>
    <w:rsid w:val="00DF3F1D"/>
    <w:rsid w:val="00DF595C"/>
    <w:rsid w:val="00DF7EA7"/>
    <w:rsid w:val="00E0216A"/>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624"/>
    <w:rsid w:val="00E53C15"/>
    <w:rsid w:val="00E54EE6"/>
    <w:rsid w:val="00E56715"/>
    <w:rsid w:val="00E56C2C"/>
    <w:rsid w:val="00E57F8E"/>
    <w:rsid w:val="00E60776"/>
    <w:rsid w:val="00E611C8"/>
    <w:rsid w:val="00E613EB"/>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28"/>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132"/>
    <w:rsid w:val="00EB167E"/>
    <w:rsid w:val="00EB24ED"/>
    <w:rsid w:val="00EB2A00"/>
    <w:rsid w:val="00EB2A3F"/>
    <w:rsid w:val="00EB309B"/>
    <w:rsid w:val="00EB3AA2"/>
    <w:rsid w:val="00EB4763"/>
    <w:rsid w:val="00EB5B17"/>
    <w:rsid w:val="00EB6CB7"/>
    <w:rsid w:val="00EC078B"/>
    <w:rsid w:val="00EC07A0"/>
    <w:rsid w:val="00EC08E4"/>
    <w:rsid w:val="00EC115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099A"/>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1BDD"/>
    <w:rsid w:val="00F42C41"/>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625B"/>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232F"/>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2d4491,#283583"/>
    </o:shapedefaults>
    <o:shapelayout v:ext="edit">
      <o:idmap v:ext="edit" data="1"/>
    </o:shapelayout>
  </w:shapeDefaults>
  <w:decimalSymbol w:val=","/>
  <w:listSeparator w:val=";"/>
  <w14:docId w14:val="6A3CB02B"/>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B9D"/>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uiPriority w:val="99"/>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link w:val="1"/>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uiPriority w:val="99"/>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uiPriority w:val="99"/>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uiPriority w:val="99"/>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7118EB"/>
    <w:pPr>
      <w:numPr>
        <w:numId w:val="37"/>
      </w:numPr>
      <w:spacing w:after="250" w:line="276" w:lineRule="auto"/>
      <w:ind w:hanging="294"/>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7118EB"/>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QStyle">
    <w:name w:val="Q Style"/>
    <w:basedOn w:val="ListParagraph"/>
    <w:qFormat/>
    <w:rsid w:val="00407232"/>
    <w:pPr>
      <w:numPr>
        <w:numId w:val="38"/>
      </w:numPr>
      <w:tabs>
        <w:tab w:val="left" w:pos="720"/>
      </w:tabs>
      <w:autoSpaceDE w:val="0"/>
      <w:autoSpaceDN w:val="0"/>
      <w:adjustRightInd w:val="0"/>
      <w:spacing w:after="120"/>
      <w:ind w:left="720" w:hanging="720"/>
      <w:contextualSpacing w:val="0"/>
      <w:jc w:val="both"/>
    </w:pPr>
    <w:rPr>
      <w:rFonts w:asciiTheme="minorHAnsi" w:eastAsiaTheme="minorEastAsia" w:hAnsiTheme="minorHAnsi"/>
      <w:b/>
      <w:bCs/>
      <w:noProof/>
      <w:color w:val="000000"/>
      <w:sz w:val="22"/>
      <w:lang w:eastAsia="en-US"/>
    </w:rPr>
  </w:style>
  <w:style w:type="paragraph" w:customStyle="1" w:styleId="List1">
    <w:name w:val="List1"/>
    <w:autoRedefine/>
    <w:qFormat/>
    <w:rsid w:val="00197794"/>
    <w:rPr>
      <w:rFonts w:asciiTheme="minorHAnsi" w:eastAsiaTheme="minorEastAsia" w:hAnsiTheme="minorHAnsi" w:cstheme="minorBidi"/>
      <w:sz w:val="22"/>
      <w:szCs w:val="22"/>
      <w:lang w:val="en-US" w:eastAsia="en-US"/>
    </w:rPr>
  </w:style>
  <w:style w:type="paragraph" w:customStyle="1" w:styleId="1">
    <w:name w:val="1"/>
    <w:basedOn w:val="Normal"/>
    <w:link w:val="FootnoteReference"/>
    <w:uiPriority w:val="99"/>
    <w:qFormat/>
    <w:rsid w:val="00197794"/>
    <w:pPr>
      <w:spacing w:after="160" w:line="240" w:lineRule="exact"/>
    </w:pPr>
    <w:rPr>
      <w:rFonts w:ascii="Times New Roman" w:hAnsi="Times New Roman"/>
      <w:szCs w:val="20"/>
      <w:vertAlign w:val="superscript"/>
      <w:lang w:eastAsia="en-GB"/>
    </w:rPr>
  </w:style>
  <w:style w:type="paragraph" w:customStyle="1" w:styleId="body">
    <w:name w:val="body"/>
    <w:link w:val="bodyChar"/>
    <w:uiPriority w:val="99"/>
    <w:qFormat/>
    <w:rsid w:val="00197794"/>
    <w:pPr>
      <w:spacing w:before="240" w:after="120" w:line="276" w:lineRule="auto"/>
      <w:jc w:val="both"/>
    </w:pPr>
    <w:rPr>
      <w:rFonts w:asciiTheme="minorHAnsi" w:eastAsiaTheme="minorEastAsia" w:hAnsiTheme="minorHAnsi" w:cstheme="minorBidi"/>
      <w:sz w:val="22"/>
      <w:szCs w:val="24"/>
      <w:lang w:val="en-US" w:eastAsia="en-US"/>
    </w:rPr>
  </w:style>
  <w:style w:type="character" w:customStyle="1" w:styleId="bodyChar">
    <w:name w:val="body Char"/>
    <w:link w:val="body"/>
    <w:uiPriority w:val="99"/>
    <w:locked/>
    <w:rsid w:val="00197794"/>
    <w:rPr>
      <w:rFonts w:asciiTheme="minorHAnsi" w:eastAsiaTheme="minorEastAsia" w:hAnsiTheme="minorHAnsi" w:cstheme="minorBidi"/>
      <w:sz w:val="22"/>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eiopa.europa.eu/Pages/Links/Legal-notice.asp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www.eba.europa.eu/legal-notice"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s://www.esma.europa.eu/press-news/consultations"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www.esma.europa.eu/legal-notice" TargetMode="Externa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Other Work Document" ma:contentTypeID="0x010100DD70E92362DEE14191597B20A60D97FF021000965AB77F8A9CDA4F84DF757DE0E7E0EB" ma:contentTypeVersion="139" ma:contentTypeDescription="" ma:contentTypeScope="" ma:versionID="1dade7e22ff44667bf538f766b29126c">
  <xsd:schema xmlns:xsd="http://www.w3.org/2001/XMLSchema" xmlns:xs="http://www.w3.org/2001/XMLSchema" xmlns:p="http://schemas.microsoft.com/office/2006/metadata/properties" xmlns:ns2="35c8e399-07b8-49e4-91bf-01a20105d4df" targetNamespace="http://schemas.microsoft.com/office/2006/metadata/properties" ma:root="true" ma:fieldsID="3efdec30530f1486a49bd24a2216b6f4" ns2:_="">
    <xsd:import namespace="35c8e399-07b8-49e4-91bf-01a20105d4df"/>
    <xsd:element name="properties">
      <xsd:complexType>
        <xsd:sequence>
          <xsd:element name="documentManagement">
            <xsd:complexType>
              <xsd:all>
                <xsd:element ref="ns2:Year"/>
                <xsd:element ref="ns2:MeetingDate" minOccurs="0"/>
                <xsd:element ref="ns2:_dlc_DocId" minOccurs="0"/>
                <xsd:element ref="ns2:TaxCatchAll" minOccurs="0"/>
                <xsd:element ref="ns2:_dlc_DocIdUrl" minOccurs="0"/>
                <xsd:element ref="ns2:_dlc_DocIdPersistId" minOccurs="0"/>
                <xsd:element ref="ns2:kdd529b9a5cb416096d62dbd0e6e5583" minOccurs="0"/>
                <xsd:element ref="ns2:k9db3a09612944c49e649e0ff38a506b" minOccurs="0"/>
                <xsd:element ref="ns2:oa4fe03ffd8943c1880fe290404e8de7" minOccurs="0"/>
                <xsd:element ref="ns2:o129a376828d47fdaef4d5f5d93fd079" minOccurs="0"/>
                <xsd:element ref="ns2:le43fdf786354491b6a92d49b491b10f" minOccurs="0"/>
                <xsd:element ref="ns2:TaxCatchAllLabel" minOccurs="0"/>
                <xsd:element ref="ns2:i273e4c9de95495b82bee898e1d119e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c8e399-07b8-49e4-91bf-01a20105d4df" elementFormDefault="qualified">
    <xsd:import namespace="http://schemas.microsoft.com/office/2006/documentManagement/types"/>
    <xsd:import namespace="http://schemas.microsoft.com/office/infopath/2007/PartnerControls"/>
    <xsd:element name="Year" ma:index="6" ma:displayName="Year"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TaxCatchAll" ma:index="11" nillable="true" ma:displayName="Taxonomy Catch All Column" ma:hidden="true" ma:list="{c380671e-f6c3-419a-ac4e-e7d07b07efc7}" ma:internalName="TaxCatchAll" ma:showField="CatchAllData"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kdd529b9a5cb416096d62dbd0e6e5583" ma:index="14" ma:taxonomy="true" ma:internalName="kdd529b9a5cb416096d62dbd0e6e5583" ma:taxonomyFieldName="TeamName" ma:displayName="Team Name" ma:readOnly="false" ma:default="38;#Investment Management|9630b78b-e81c-4ffd-baef-5f8b4aeb7ac5" ma:fieldId="{4dd529b9-a5cb-4160-96d6-2dbd0e6e558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k9db3a09612944c49e649e0ff38a506b" ma:index="15" nillable="true" ma:taxonomy="true" ma:internalName="k9db3a09612944c49e649e0ff38a506b" ma:taxonomyFieldName="EsmaAudience" ma:displayName="Audience" ma:default="" ma:fieldId="{49db3a09-6129-44c4-9e64-9e0ff38a506b}"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a4fe03ffd8943c1880fe290404e8de7" ma:index="16" ma:taxonomy="true" ma:internalName="oa4fe03ffd8943c1880fe290404e8de7" ma:taxonomyFieldName="DocumentType" ma:displayName="Document Type" ma:readOnly="false" ma:default="" ma:fieldId="{8a4fe03f-fd89-43c1-880f-e290404e8de7}"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o129a376828d47fdaef4d5f5d93fd079" ma:index="18" ma:taxonomy="true" ma:internalName="o129a376828d47fdaef4d5f5d93fd079" ma:taxonomyFieldName="ConfidentialityLevel" ma:displayName="Confidentiality Level" ma:readOnly="false" ma:default="15;#Regular|07f1e362-856b-423d-bea6-a14079762141" ma:fieldId="{8129a376-828d-47fd-aef4-d5f5d93fd079}"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le43fdf786354491b6a92d49b491b10f" ma:index="23" nillable="true" ma:taxonomy="true" ma:internalName="le43fdf786354491b6a92d49b491b10f" ma:taxonomyFieldName="TeamTopic" ma:displayName="Team Topic" ma:readOnly="false" ma:default="87;#Other Work|f1a52b52-917d-42ef-9667-945839604bb2" ma:fieldId="{5e43fdf7-8635-4491-b6a9-2d49b491b10f}" ma:taxonomyMulti="true" ma:sspId="0ac1876e-32bf-4158-94e7-cdbcd053a335" ma:termSetId="659d163a-41f8-4a11-98d0-47db219aa0e4" ma:anchorId="00000000-0000-0000-0000-000000000000" ma:open="false" ma:isKeyword="false">
      <xsd:complexType>
        <xsd:sequence>
          <xsd:element ref="pc:Terms" minOccurs="0" maxOccurs="1"/>
        </xsd:sequence>
      </xsd:complexType>
    </xsd:element>
    <xsd:element name="TaxCatchAllLabel" ma:index="24" nillable="true" ma:displayName="Taxonomy Catch All Column1" ma:hidden="true" ma:list="{c380671e-f6c3-419a-ac4e-e7d07b07efc7}" ma:internalName="TaxCatchAllLabel" ma:readOnly="true" ma:showField="CatchAllDataLabel" ma:web="35c8e399-07b8-49e4-91bf-01a20105d4df">
      <xsd:complexType>
        <xsd:complexContent>
          <xsd:extension base="dms:MultiChoiceLookup">
            <xsd:sequence>
              <xsd:element name="Value" type="dms:Lookup" maxOccurs="unbounded" minOccurs="0" nillable="true"/>
            </xsd:sequence>
          </xsd:extension>
        </xsd:complexContent>
      </xsd:complexType>
    </xsd:element>
    <xsd:element name="i273e4c9de95495b82bee898e1d119e4" ma:index="25" nillable="true" ma:taxonomy="true" ma:internalName="i273e4c9de95495b82bee898e1d119e4" ma:taxonomyFieldName="Topic" ma:displayName="Topic" ma:default="" ma:fieldId="{2273e4c9-de95-495b-82be-e898e1d119e4}" ma:sspId="0ac1876e-32bf-4158-94e7-cdbcd053a335" ma:termSetId="a11a6b21-db06-4e7f-a75f-2a10b1559aa2"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35c8e399-07b8-49e4-91bf-01a20105d4df">ESMA34-45-1218</_dlc_DocId>
    <_dlc_DocIdUrl xmlns="35c8e399-07b8-49e4-91bf-01a20105d4df">
      <Url>https://sherpa.esma.europa.eu/sites/INIIVM/_layouts/15/DocIdRedir.aspx?ID=ESMA34-45-1218</Url>
      <Description>ESMA34-45-1218</Description>
    </_dlc_DocIdUrl>
    <MeetingDate xmlns="35c8e399-07b8-49e4-91bf-01a20105d4df" xsi:nil="true"/>
    <TaxCatchAll xmlns="35c8e399-07b8-49e4-91bf-01a20105d4df">
      <Value>257</Value>
      <Value>66</Value>
      <Value>87</Value>
      <Value>72</Value>
      <Value>38</Value>
    </TaxCatchAll>
    <Year xmlns="35c8e399-07b8-49e4-91bf-01a20105d4df">2021</Year>
    <k9db3a09612944c49e649e0ff38a506b xmlns="35c8e399-07b8-49e4-91bf-01a20105d4df">
      <Terms xmlns="http://schemas.microsoft.com/office/infopath/2007/PartnerControls"/>
    </k9db3a09612944c49e649e0ff38a506b>
    <o129a376828d47fdaef4d5f5d93fd079 xmlns="35c8e399-07b8-49e4-91bf-01a20105d4df">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o129a376828d47fdaef4d5f5d93fd079>
    <le43fdf786354491b6a92d49b491b10f xmlns="35c8e399-07b8-49e4-91bf-01a20105d4df">
      <Terms xmlns="http://schemas.microsoft.com/office/infopath/2007/PartnerControls">
        <TermInfo xmlns="http://schemas.microsoft.com/office/infopath/2007/PartnerControls">
          <TermName xmlns="http://schemas.microsoft.com/office/infopath/2007/PartnerControls">Other Work</TermName>
          <TermId xmlns="http://schemas.microsoft.com/office/infopath/2007/PartnerControls">f1a52b52-917d-42ef-9667-945839604bb2</TermId>
        </TermInfo>
      </Terms>
    </le43fdf786354491b6a92d49b491b10f>
    <kdd529b9a5cb416096d62dbd0e6e5583 xmlns="35c8e399-07b8-49e4-91bf-01a20105d4df">
      <Terms xmlns="http://schemas.microsoft.com/office/infopath/2007/PartnerControls">
        <TermInfo xmlns="http://schemas.microsoft.com/office/infopath/2007/PartnerControls">
          <TermName xmlns="http://schemas.microsoft.com/office/infopath/2007/PartnerControls">Investment Management</TermName>
          <TermId xmlns="http://schemas.microsoft.com/office/infopath/2007/PartnerControls">9630b78b-e81c-4ffd-baef-5f8b4aeb7ac5</TermId>
        </TermInfo>
      </Terms>
    </kdd529b9a5cb416096d62dbd0e6e5583>
    <i273e4c9de95495b82bee898e1d119e4 xmlns="35c8e399-07b8-49e4-91bf-01a20105d4df">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3f3f5c47-29f7-449c-ab20-04ae7736b23b</TermId>
        </TermInfo>
      </Terms>
    </i273e4c9de95495b82bee898e1d119e4>
    <oa4fe03ffd8943c1880fe290404e8de7 xmlns="35c8e399-07b8-49e4-91bf-01a20105d4df">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oa4fe03ffd8943c1880fe290404e8de7>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8F0BA-D32A-4B60-B310-EF8735E9B5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c8e399-07b8-49e4-91bf-01a20105d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3.xml><?xml version="1.0" encoding="utf-8"?>
<ds:datastoreItem xmlns:ds="http://schemas.openxmlformats.org/officeDocument/2006/customXml" ds:itemID="{A1823ED9-4C25-4A0F-AA35-0F2F3F3B90A3}">
  <ds:schemaRefs>
    <ds:schemaRef ds:uri="35c8e399-07b8-49e4-91bf-01a20105d4df"/>
    <ds:schemaRef ds:uri="http://purl.org/dc/terms/"/>
    <ds:schemaRef ds:uri="http://purl.org/dc/dcmitype/"/>
    <ds:schemaRef ds:uri="http://www.w3.org/XML/1998/namespace"/>
    <ds:schemaRef ds:uri="http://schemas.microsoft.com/office/2006/documentManagement/types"/>
    <ds:schemaRef ds:uri="http://schemas.microsoft.com/office/infopath/2007/PartnerControls"/>
    <ds:schemaRef ds:uri="http://schemas.microsoft.com/office/2006/metadata/propertie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9D5ECEE6-08ED-4709-A798-4F4F4C16B87C}">
  <ds:schemaRefs>
    <ds:schemaRef ds:uri="http://schemas.openxmlformats.org/officeDocument/2006/bibliography"/>
  </ds:schemaRefs>
</ds:datastoreItem>
</file>

<file path=customXml/itemProps6.xml><?xml version="1.0" encoding="utf-8"?>
<ds:datastoreItem xmlns:ds="http://schemas.openxmlformats.org/officeDocument/2006/customXml" ds:itemID="{E606B4FD-5793-4054-9469-0323C1127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1873</Words>
  <Characters>10787</Characters>
  <Application>Microsoft Office Word</Application>
  <DocSecurity>8</DocSecurity>
  <Lines>89</Lines>
  <Paragraphs>25</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12635</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Bogaty Thierry (AMUNDI)</cp:lastModifiedBy>
  <cp:revision>4</cp:revision>
  <cp:lastPrinted>2015-02-18T11:01:00Z</cp:lastPrinted>
  <dcterms:created xsi:type="dcterms:W3CDTF">2021-05-12T12:45:00Z</dcterms:created>
  <dcterms:modified xsi:type="dcterms:W3CDTF">2021-05-12T12:51:00Z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0x010100DD70E92362DEE14191597B20A60D97FF021000965AB77F8A9CDA4F84DF757DE0E7E0EB</vt:lpwstr>
  </property>
  <property fmtid="{D5CDD505-2E9C-101B-9397-08002B2CF9AE}" pid="3" name="EsmaAudience">
    <vt:lpwstr/>
  </property>
  <property fmtid="{D5CDD505-2E9C-101B-9397-08002B2CF9AE}" pid="4" name="TeamName">
    <vt:lpwstr>38;#Investment Management|9630b78b-e81c-4ffd-baef-5f8b4aeb7ac5</vt:lpwstr>
  </property>
  <property fmtid="{D5CDD505-2E9C-101B-9397-08002B2CF9AE}" pid="5" name="Topic">
    <vt:lpwstr>257;#Sustainable Finance|3f3f5c47-29f7-449c-ab20-04ae7736b23b</vt:lpwstr>
  </property>
  <property fmtid="{D5CDD505-2E9C-101B-9397-08002B2CF9AE}" pid="6" name="SubTopic">
    <vt:lpwstr/>
  </property>
  <property fmtid="{D5CDD505-2E9C-101B-9397-08002B2CF9AE}" pid="7" name="DocumentType">
    <vt:lpwstr>66;#Questionnaire|a849d609-a31c-415e-a1a8-503bcc16b083</vt:lpwstr>
  </property>
  <property fmtid="{D5CDD505-2E9C-101B-9397-08002B2CF9AE}" pid="8" name="ConfidentialityLevel">
    <vt:lpwstr>72;#Public|a0c619ff-bd46-48f0-b213-6b7c03fe156d</vt:lpwstr>
  </property>
  <property fmtid="{D5CDD505-2E9C-101B-9397-08002B2CF9AE}" pid="9" name="_dlc_DocIdItemGuid">
    <vt:lpwstr>71cff28a-b92d-4336-b344-c47118f9edc5</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TeamTopic">
    <vt:lpwstr>87;#Other Work|f1a52b52-917d-42ef-9667-945839604bb2</vt:lpwstr>
  </property>
  <property fmtid="{D5CDD505-2E9C-101B-9397-08002B2CF9AE}" pid="17" name="Project">
    <vt:lpwstr>103;#PRIIPs|a491fde9-7cc6-4ddd-9670-fcf5e94cd88f</vt:lpwstr>
  </property>
</Properties>
</file>