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Accentuationlgre"/>
          <w:b w:val="0"/>
          <w:bCs/>
          <w:sz w:val="22"/>
        </w:rPr>
      </w:pPr>
      <w:r w:rsidRPr="005F6BE3">
        <w:rPr>
          <w:rStyle w:val="Accentuationlgre"/>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Accentuationlgre"/>
          <w:b w:val="0"/>
          <w:bCs/>
          <w:sz w:val="22"/>
        </w:rPr>
        <w:t xml:space="preserve"> </w:t>
      </w:r>
      <w:r w:rsidR="00754AC4" w:rsidRPr="00754AC4">
        <w:rPr>
          <w:rStyle w:val="Accentuationlgre"/>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Accentuationlgre"/>
          <w:b w:val="0"/>
          <w:bCs/>
          <w:sz w:val="22"/>
        </w:rPr>
      </w:pPr>
      <w:r w:rsidRPr="00754AC4">
        <w:rPr>
          <w:rStyle w:val="Accentuationlgre"/>
          <w:b w:val="0"/>
          <w:bCs/>
          <w:sz w:val="22"/>
        </w:rPr>
        <w:t>Comments are most helpful if they:</w:t>
      </w:r>
    </w:p>
    <w:p w14:paraId="443F1C2C" w14:textId="77777777" w:rsidR="00754AC4" w:rsidRPr="00754AC4" w:rsidRDefault="00754AC4" w:rsidP="00666A17">
      <w:pPr>
        <w:pStyle w:val="Paragraphedeliste"/>
        <w:numPr>
          <w:ilvl w:val="0"/>
          <w:numId w:val="39"/>
        </w:numPr>
        <w:spacing w:after="240"/>
        <w:jc w:val="both"/>
        <w:rPr>
          <w:rStyle w:val="Accentuationlgre"/>
          <w:b w:val="0"/>
          <w:bCs/>
          <w:sz w:val="22"/>
        </w:rPr>
      </w:pPr>
      <w:r w:rsidRPr="00754AC4">
        <w:rPr>
          <w:rStyle w:val="Accentuationlgre"/>
          <w:b w:val="0"/>
          <w:bCs/>
          <w:sz w:val="22"/>
        </w:rPr>
        <w:t>contain a clear rationale; and</w:t>
      </w:r>
    </w:p>
    <w:p w14:paraId="44288AF1" w14:textId="77777777" w:rsidR="00754AC4" w:rsidRPr="00754AC4" w:rsidRDefault="00754AC4" w:rsidP="00666A17">
      <w:pPr>
        <w:pStyle w:val="Paragraphedeliste"/>
        <w:numPr>
          <w:ilvl w:val="0"/>
          <w:numId w:val="39"/>
        </w:numPr>
        <w:spacing w:after="240"/>
        <w:jc w:val="both"/>
        <w:rPr>
          <w:rStyle w:val="Accentuationlgre"/>
          <w:b w:val="0"/>
          <w:bCs/>
          <w:sz w:val="22"/>
        </w:rPr>
      </w:pPr>
      <w:r w:rsidRPr="00754AC4">
        <w:rPr>
          <w:rStyle w:val="Accentuationlgre"/>
          <w:b w:val="0"/>
          <w:bCs/>
          <w:sz w:val="22"/>
        </w:rPr>
        <w:t>describe any alternatives the ESAs should consider.</w:t>
      </w:r>
    </w:p>
    <w:p w14:paraId="122FDDB2" w14:textId="5647B0AF" w:rsidR="00C86E1C" w:rsidRDefault="00C86E1C" w:rsidP="00754AC4">
      <w:pPr>
        <w:spacing w:after="240"/>
        <w:jc w:val="both"/>
        <w:rPr>
          <w:rStyle w:val="Accentuationlgre"/>
          <w:b w:val="0"/>
          <w:bCs/>
          <w:sz w:val="22"/>
        </w:rPr>
      </w:pPr>
      <w:r>
        <w:rPr>
          <w:rStyle w:val="Accentuationlgre"/>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Accentuationlgre"/>
          <w:b w:val="0"/>
          <w:sz w:val="22"/>
        </w:rPr>
      </w:pPr>
    </w:p>
    <w:p w14:paraId="6A3CB03F" w14:textId="77777777" w:rsidR="009A3017" w:rsidRPr="00E40A5C" w:rsidRDefault="009A3017" w:rsidP="009A3017">
      <w:pPr>
        <w:spacing w:after="120"/>
        <w:jc w:val="both"/>
        <w:rPr>
          <w:rStyle w:val="Accentuationlgre"/>
          <w:sz w:val="22"/>
        </w:rPr>
      </w:pPr>
      <w:r w:rsidRPr="00E40A5C">
        <w:rPr>
          <w:rStyle w:val="Accentuationlgre"/>
          <w:sz w:val="22"/>
        </w:rPr>
        <w:t>Instructions</w:t>
      </w:r>
    </w:p>
    <w:p w14:paraId="6A3CB040" w14:textId="77777777" w:rsidR="009A3017" w:rsidRPr="00E40A5C" w:rsidRDefault="009A3017" w:rsidP="009A3017">
      <w:pPr>
        <w:spacing w:after="240"/>
        <w:jc w:val="both"/>
        <w:rPr>
          <w:rStyle w:val="Accentuationlgre"/>
          <w:b w:val="0"/>
          <w:sz w:val="22"/>
        </w:rPr>
      </w:pPr>
      <w:r w:rsidRPr="00E40A5C">
        <w:rPr>
          <w:rStyle w:val="Accentuationlgr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Paragraphedeliste"/>
        <w:numPr>
          <w:ilvl w:val="0"/>
          <w:numId w:val="36"/>
        </w:numPr>
        <w:spacing w:after="240" w:line="276" w:lineRule="auto"/>
        <w:ind w:left="567" w:hanging="567"/>
        <w:contextualSpacing w:val="0"/>
        <w:jc w:val="both"/>
        <w:rPr>
          <w:rStyle w:val="Accentuationlgre"/>
          <w:b w:val="0"/>
          <w:sz w:val="22"/>
        </w:rPr>
      </w:pPr>
      <w:r w:rsidRPr="00E40A5C">
        <w:rPr>
          <w:rStyle w:val="Accentuationlgre"/>
          <w:b w:val="0"/>
          <w:sz w:val="22"/>
        </w:rPr>
        <w:t xml:space="preserve">Insert your responses to the questions in the Consultation Paper in </w:t>
      </w:r>
      <w:r w:rsidR="00963D60">
        <w:rPr>
          <w:rStyle w:val="Accentuationlgre"/>
          <w:b w:val="0"/>
          <w:sz w:val="22"/>
        </w:rPr>
        <w:t>the present</w:t>
      </w:r>
      <w:r w:rsidR="00963D60" w:rsidRPr="00E40A5C">
        <w:rPr>
          <w:rStyle w:val="Accentuationlgre"/>
          <w:b w:val="0"/>
          <w:sz w:val="22"/>
        </w:rPr>
        <w:t xml:space="preserve"> </w:t>
      </w:r>
      <w:r w:rsidR="00315895">
        <w:rPr>
          <w:rStyle w:val="Accentuationlgre"/>
          <w:b w:val="0"/>
          <w:sz w:val="22"/>
        </w:rPr>
        <w:t xml:space="preserve">response </w:t>
      </w:r>
      <w:r w:rsidRPr="00E40A5C">
        <w:rPr>
          <w:rStyle w:val="Accentuationlgre"/>
          <w:b w:val="0"/>
          <w:sz w:val="22"/>
        </w:rPr>
        <w:t>form</w:t>
      </w:r>
      <w:r w:rsidR="00963D60">
        <w:rPr>
          <w:rStyle w:val="Accentuationlgre"/>
          <w:b w:val="0"/>
          <w:sz w:val="22"/>
        </w:rPr>
        <w:t>.</w:t>
      </w:r>
      <w:r w:rsidRPr="00E40A5C">
        <w:rPr>
          <w:rStyle w:val="Accentuationlgre"/>
          <w:b w:val="0"/>
          <w:sz w:val="22"/>
        </w:rPr>
        <w:t xml:space="preserve"> </w:t>
      </w:r>
    </w:p>
    <w:p w14:paraId="6A3CB042" w14:textId="7681A708" w:rsidR="009A3017" w:rsidRPr="00E40A5C" w:rsidRDefault="009A3017" w:rsidP="00666A17">
      <w:pPr>
        <w:pStyle w:val="Paragraphedeliste"/>
        <w:numPr>
          <w:ilvl w:val="0"/>
          <w:numId w:val="36"/>
        </w:numPr>
        <w:spacing w:after="240" w:line="276" w:lineRule="auto"/>
        <w:ind w:left="567" w:hanging="567"/>
        <w:contextualSpacing w:val="0"/>
        <w:jc w:val="both"/>
        <w:rPr>
          <w:rStyle w:val="Accentuationlgre"/>
          <w:b w:val="0"/>
          <w:sz w:val="22"/>
        </w:rPr>
      </w:pPr>
      <w:r w:rsidRPr="00E40A5C">
        <w:rPr>
          <w:rStyle w:val="Accentuationlgre"/>
          <w:b w:val="0"/>
          <w:sz w:val="22"/>
        </w:rPr>
        <w:t>Please do not remove tags of the type &lt;ESA_QUESTION_</w:t>
      </w:r>
      <w:r w:rsidR="00C86E1C">
        <w:rPr>
          <w:rStyle w:val="Accentuationlgre"/>
          <w:b w:val="0"/>
          <w:sz w:val="22"/>
        </w:rPr>
        <w:t>ESG</w:t>
      </w:r>
      <w:r w:rsidRPr="00E40A5C">
        <w:rPr>
          <w:rStyle w:val="Accentuationlgre"/>
          <w:b w:val="0"/>
          <w:sz w:val="22"/>
        </w:rPr>
        <w:t>_1&gt;. Your response to each question has to be framed by the two tags corresponding to the question.</w:t>
      </w:r>
    </w:p>
    <w:p w14:paraId="6A3CB043" w14:textId="77777777" w:rsidR="009A3017" w:rsidRPr="00E40A5C" w:rsidRDefault="009A3017" w:rsidP="00666A17">
      <w:pPr>
        <w:pStyle w:val="Paragraphedeliste"/>
        <w:numPr>
          <w:ilvl w:val="0"/>
          <w:numId w:val="36"/>
        </w:numPr>
        <w:spacing w:after="240" w:line="276" w:lineRule="auto"/>
        <w:ind w:left="567" w:hanging="567"/>
        <w:contextualSpacing w:val="0"/>
        <w:jc w:val="both"/>
        <w:rPr>
          <w:rStyle w:val="Accentuationlgre"/>
          <w:b w:val="0"/>
          <w:sz w:val="22"/>
        </w:rPr>
      </w:pPr>
      <w:r w:rsidRPr="00E40A5C">
        <w:rPr>
          <w:rStyle w:val="Accentuationlgre"/>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Paragraphedeliste"/>
        <w:numPr>
          <w:ilvl w:val="0"/>
          <w:numId w:val="36"/>
        </w:numPr>
        <w:spacing w:after="240" w:line="276" w:lineRule="auto"/>
        <w:ind w:left="567" w:hanging="567"/>
        <w:contextualSpacing w:val="0"/>
        <w:jc w:val="both"/>
        <w:rPr>
          <w:rStyle w:val="Accentuationlgre"/>
          <w:b w:val="0"/>
          <w:sz w:val="22"/>
        </w:rPr>
      </w:pPr>
      <w:r w:rsidRPr="00E40A5C">
        <w:rPr>
          <w:rStyle w:val="Accentuationlgre"/>
          <w:b w:val="0"/>
          <w:sz w:val="22"/>
        </w:rPr>
        <w:t>When you have drafted your response, name your response form according to the following convention: ESA_</w:t>
      </w:r>
      <w:r w:rsidR="00C86E1C">
        <w:rPr>
          <w:rStyle w:val="Accentuationlgre"/>
          <w:b w:val="0"/>
          <w:sz w:val="22"/>
        </w:rPr>
        <w:t>ESG</w:t>
      </w:r>
      <w:r w:rsidRPr="00E40A5C">
        <w:rPr>
          <w:rStyle w:val="Accentuationlgre"/>
          <w:b w:val="0"/>
          <w:sz w:val="22"/>
        </w:rPr>
        <w:t>_nameofrespondent_RESPONSEFORM. For example, for a respondent named ABCD, the response form would be entitled ESA_</w:t>
      </w:r>
      <w:r w:rsidR="00C86E1C">
        <w:rPr>
          <w:rStyle w:val="Accentuationlgre"/>
          <w:b w:val="0"/>
          <w:sz w:val="22"/>
        </w:rPr>
        <w:t>ESG</w:t>
      </w:r>
      <w:r w:rsidRPr="00E40A5C">
        <w:rPr>
          <w:rStyle w:val="Accentuationlgre"/>
          <w:b w:val="0"/>
          <w:sz w:val="22"/>
        </w:rPr>
        <w:t>_ABCD_RESPONSEFORM.</w:t>
      </w:r>
    </w:p>
    <w:p w14:paraId="180C2205" w14:textId="03F3D16A" w:rsidR="00197794" w:rsidRPr="00197794" w:rsidRDefault="00197794" w:rsidP="00666A17">
      <w:pPr>
        <w:pStyle w:val="Paragraphedeliste"/>
        <w:numPr>
          <w:ilvl w:val="0"/>
          <w:numId w:val="36"/>
        </w:numPr>
        <w:spacing w:after="240" w:line="276" w:lineRule="auto"/>
        <w:ind w:left="567" w:hanging="567"/>
        <w:contextualSpacing w:val="0"/>
        <w:jc w:val="both"/>
        <w:rPr>
          <w:rStyle w:val="Accentuationlgre"/>
          <w:b w:val="0"/>
          <w:sz w:val="22"/>
        </w:rPr>
      </w:pPr>
      <w:r w:rsidRPr="00197794">
        <w:rPr>
          <w:rStyle w:val="Accentuationlgre"/>
          <w:b w:val="0"/>
          <w:sz w:val="22"/>
        </w:rPr>
        <w:t>The consultation paper is available on the websites of the three ESAs</w:t>
      </w:r>
      <w:r w:rsidR="00764042">
        <w:rPr>
          <w:rStyle w:val="Accentuationlgre"/>
          <w:b w:val="0"/>
          <w:sz w:val="22"/>
        </w:rPr>
        <w:t xml:space="preserve"> and the Joint Committee</w:t>
      </w:r>
      <w:r w:rsidRPr="00197794">
        <w:rPr>
          <w:rStyle w:val="Accentuationlgre"/>
          <w:b w:val="0"/>
          <w:sz w:val="22"/>
        </w:rPr>
        <w:t xml:space="preserve">. Comments on this consultation paper can be sent using the response form, via the </w:t>
      </w:r>
      <w:hyperlink r:id="rId19" w:history="1">
        <w:r w:rsidRPr="00197794">
          <w:rPr>
            <w:rStyle w:val="Lienhypertexte"/>
            <w:rFonts w:cs="Arial"/>
            <w:sz w:val="22"/>
          </w:rPr>
          <w:t>ESMA website</w:t>
        </w:r>
      </w:hyperlink>
      <w:r w:rsidRPr="00197794">
        <w:rPr>
          <w:rStyle w:val="Accentuationlgre"/>
          <w:b w:val="0"/>
          <w:sz w:val="24"/>
        </w:rPr>
        <w:t xml:space="preserve"> </w:t>
      </w:r>
      <w:r w:rsidRPr="00197794">
        <w:rPr>
          <w:rStyle w:val="Accentuationlgre"/>
          <w:b w:val="0"/>
          <w:sz w:val="22"/>
        </w:rPr>
        <w:t>under the heading ‘Your input - Consultations’ by</w:t>
      </w:r>
      <w:r w:rsidR="005F6BE3">
        <w:rPr>
          <w:rStyle w:val="Accentuationlgre"/>
          <w:b w:val="0"/>
          <w:sz w:val="22"/>
        </w:rPr>
        <w:t xml:space="preserve"> </w:t>
      </w:r>
      <w:r w:rsidR="00AA1B9D">
        <w:rPr>
          <w:rStyle w:val="Accentuationlgre"/>
          <w:b w:val="0"/>
          <w:sz w:val="22"/>
        </w:rPr>
        <w:t>12 May 2021</w:t>
      </w:r>
      <w:r w:rsidRPr="00197794">
        <w:rPr>
          <w:rStyle w:val="Accentuationlgre"/>
          <w:b w:val="0"/>
          <w:sz w:val="22"/>
        </w:rPr>
        <w:t>.</w:t>
      </w:r>
    </w:p>
    <w:p w14:paraId="2481E1E6" w14:textId="67CDDA3F" w:rsidR="00197794" w:rsidRDefault="00197794" w:rsidP="00666A17">
      <w:pPr>
        <w:pStyle w:val="Paragraphedeliste"/>
        <w:numPr>
          <w:ilvl w:val="0"/>
          <w:numId w:val="36"/>
        </w:numPr>
        <w:spacing w:after="240" w:line="276" w:lineRule="auto"/>
        <w:ind w:left="567" w:hanging="567"/>
        <w:contextualSpacing w:val="0"/>
        <w:jc w:val="both"/>
        <w:rPr>
          <w:rStyle w:val="Accentuationlgre"/>
          <w:b w:val="0"/>
          <w:sz w:val="22"/>
        </w:rPr>
      </w:pPr>
      <w:r w:rsidRPr="00197794">
        <w:rPr>
          <w:rStyle w:val="Accentuationlgre"/>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Accentuationlgre"/>
          <w:b w:val="0"/>
          <w:sz w:val="22"/>
        </w:rPr>
      </w:pPr>
    </w:p>
    <w:p w14:paraId="5E94D042" w14:textId="77777777" w:rsidR="00D5594A" w:rsidRPr="00197794" w:rsidRDefault="00D5594A" w:rsidP="00197794">
      <w:pPr>
        <w:spacing w:after="240" w:line="276" w:lineRule="auto"/>
        <w:jc w:val="both"/>
        <w:rPr>
          <w:rStyle w:val="Accentuationlgre"/>
          <w:b w:val="0"/>
          <w:sz w:val="22"/>
        </w:rPr>
      </w:pPr>
    </w:p>
    <w:p w14:paraId="6A3CB046" w14:textId="77777777" w:rsidR="00210E59" w:rsidRPr="00210E59" w:rsidRDefault="00210E59" w:rsidP="00210E59">
      <w:pPr>
        <w:spacing w:after="120"/>
        <w:jc w:val="both"/>
        <w:rPr>
          <w:rStyle w:val="Accentuationlgre"/>
          <w:sz w:val="22"/>
        </w:rPr>
      </w:pPr>
      <w:r w:rsidRPr="00210E59">
        <w:rPr>
          <w:rStyle w:val="Accentuationlgre"/>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Accentuationlgre"/>
          <w:sz w:val="22"/>
          <w:lang w:eastAsia="en-GB"/>
        </w:rPr>
      </w:pPr>
    </w:p>
    <w:p w14:paraId="3561D6A6" w14:textId="77777777" w:rsidR="00197794" w:rsidRDefault="00197794" w:rsidP="004E6AE4">
      <w:pPr>
        <w:rPr>
          <w:rStyle w:val="Accentuationlgre"/>
          <w:sz w:val="22"/>
          <w:lang w:eastAsia="en-GB"/>
        </w:rPr>
      </w:pPr>
    </w:p>
    <w:p w14:paraId="6A3CB048" w14:textId="1D432EA9" w:rsidR="009A3017" w:rsidRPr="00E40A5C" w:rsidRDefault="009A3017" w:rsidP="004E6AE4">
      <w:pPr>
        <w:rPr>
          <w:rStyle w:val="Accentuationlgre"/>
          <w:sz w:val="22"/>
          <w:lang w:eastAsia="en-GB"/>
        </w:rPr>
      </w:pPr>
      <w:r w:rsidRPr="00E40A5C">
        <w:rPr>
          <w:rStyle w:val="Accentuationlgr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Appelnotedebasdep"/>
          <w:rFonts w:cs="Arial"/>
          <w:sz w:val="22"/>
        </w:rPr>
        <w:footnoteReference w:id="2"/>
      </w:r>
      <w:r w:rsidRPr="00197794">
        <w:rPr>
          <w:rFonts w:cs="Arial"/>
          <w:sz w:val="22"/>
        </w:rPr>
        <w:t xml:space="preserve">. Further information on data protection can be found under the </w:t>
      </w:r>
      <w:hyperlink r:id="rId20" w:history="1">
        <w:r w:rsidRPr="00197794">
          <w:rPr>
            <w:rStyle w:val="Lienhypertexte"/>
            <w:rFonts w:cs="Arial"/>
            <w:sz w:val="22"/>
          </w:rPr>
          <w:t>Legal notice</w:t>
        </w:r>
      </w:hyperlink>
      <w:r w:rsidRPr="00197794">
        <w:rPr>
          <w:rFonts w:cs="Arial"/>
          <w:sz w:val="22"/>
        </w:rPr>
        <w:t xml:space="preserve"> section of the EBA website and under the </w:t>
      </w:r>
      <w:hyperlink r:id="rId21" w:history="1">
        <w:r w:rsidRPr="00197794">
          <w:rPr>
            <w:rStyle w:val="Lienhypertexte"/>
            <w:rFonts w:cs="Arial"/>
            <w:sz w:val="22"/>
          </w:rPr>
          <w:t>Legal notice</w:t>
        </w:r>
      </w:hyperlink>
      <w:r w:rsidRPr="00197794">
        <w:rPr>
          <w:rFonts w:cs="Arial"/>
          <w:sz w:val="22"/>
        </w:rPr>
        <w:t xml:space="preserve"> section of the EIOPA website and under the </w:t>
      </w:r>
      <w:hyperlink r:id="rId22" w:history="1">
        <w:r w:rsidRPr="00197794">
          <w:rPr>
            <w:rStyle w:val="Lienhypertext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Accentuationlgr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71B6C141" w:rsidR="00B327E9" w:rsidRPr="00AB6D88" w:rsidRDefault="00BA79DA" w:rsidP="00F136AD">
                <w:pPr>
                  <w:rPr>
                    <w:rStyle w:val="Textedelespacerserv"/>
                    <w:rFonts w:cs="Arial"/>
                  </w:rPr>
                </w:pPr>
                <w:r>
                  <w:rPr>
                    <w:rStyle w:val="Textedelespacerserv"/>
                    <w:rFonts w:cs="Arial"/>
                  </w:rPr>
                  <w:t>Afep</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07402A0" w:rsidR="00B327E9" w:rsidRPr="00AB6D88" w:rsidRDefault="003E1C39"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A79DA">
                  <w:rPr>
                    <w:rFonts w:cs="Arial"/>
                  </w:rPr>
                  <w:t>Non-financial counterparty</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6BA0580" w:rsidR="00B327E9" w:rsidRPr="00AB6D88" w:rsidRDefault="00BA79DA" w:rsidP="00F136AD">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Accentuationintense"/>
          <w:sz w:val="22"/>
        </w:rPr>
      </w:pPr>
      <w:r w:rsidRPr="00E40A5C">
        <w:rPr>
          <w:rStyle w:val="Accentuationintense"/>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Accentuationlgre"/>
          <w:b w:val="0"/>
          <w:sz w:val="22"/>
        </w:rPr>
        <w:t>ESG</w:t>
      </w:r>
      <w:r w:rsidRPr="006F4535">
        <w:t>_1&gt;</w:t>
      </w:r>
    </w:p>
    <w:p w14:paraId="6A3CB061" w14:textId="67229F5F" w:rsidR="00B327E9" w:rsidRDefault="004D17F4" w:rsidP="0051194C">
      <w:pPr>
        <w:spacing w:line="276" w:lineRule="auto"/>
        <w:jc w:val="both"/>
      </w:pPr>
      <w:permStart w:id="411981036" w:edGrp="everyone"/>
      <w:r>
        <w:t xml:space="preserve">Afep, the French Association of Large Companies, welcomes this consultation and the opportunity to comment on the draft </w:t>
      </w:r>
      <w:r w:rsidRPr="0087189A">
        <w:rPr>
          <w:szCs w:val="20"/>
        </w:rPr>
        <w:t>RTS</w:t>
      </w:r>
      <w:r w:rsidR="0087189A" w:rsidRPr="0087189A">
        <w:rPr>
          <w:szCs w:val="20"/>
        </w:rPr>
        <w:t xml:space="preserve"> </w:t>
      </w:r>
      <w:r w:rsidR="0087189A" w:rsidRPr="0087189A">
        <w:rPr>
          <w:rStyle w:val="Accentuationlgre"/>
          <w:b w:val="0"/>
          <w:bCs/>
          <w:szCs w:val="20"/>
        </w:rPr>
        <w:t>on content and presentation of disclosures pursuant to Article 8(4), 9(6) and 11(5) of Regulation (EU) 2019/2088</w:t>
      </w:r>
      <w:r w:rsidR="0087189A">
        <w:rPr>
          <w:rStyle w:val="Accentuationlgre"/>
          <w:b w:val="0"/>
          <w:bCs/>
          <w:szCs w:val="20"/>
        </w:rPr>
        <w:t xml:space="preserve">. Our contribution focuses on 2 questions and 1 specific </w:t>
      </w:r>
      <w:proofErr w:type="gramStart"/>
      <w:r w:rsidR="0087189A">
        <w:rPr>
          <w:rStyle w:val="Accentuationlgre"/>
          <w:b w:val="0"/>
          <w:bCs/>
          <w:szCs w:val="20"/>
        </w:rPr>
        <w:t>issue :</w:t>
      </w:r>
      <w:proofErr w:type="gramEnd"/>
      <w:r w:rsidR="0051194C">
        <w:rPr>
          <w:rStyle w:val="Accentuationlgre"/>
          <w:b w:val="0"/>
          <w:bCs/>
          <w:szCs w:val="20"/>
        </w:rPr>
        <w:t xml:space="preserve"> although we are aware that it is not the mandate of the ESAs to </w:t>
      </w:r>
      <w:r w:rsidR="00E81A79">
        <w:rPr>
          <w:rStyle w:val="Accentuationlgre"/>
          <w:b w:val="0"/>
          <w:bCs/>
          <w:szCs w:val="20"/>
        </w:rPr>
        <w:t xml:space="preserve">question the disclosure requirements laid down in Level 1 legislations, namely SFDR and the Taxonomy Regulation, </w:t>
      </w:r>
      <w:r w:rsidR="00442576">
        <w:rPr>
          <w:rStyle w:val="Accentuationlgre"/>
          <w:b w:val="0"/>
          <w:bCs/>
          <w:szCs w:val="20"/>
        </w:rPr>
        <w:t xml:space="preserve">we would like to stress that companies do not consider relevant and useful to publish </w:t>
      </w:r>
      <w:r w:rsidR="00D744A5">
        <w:rPr>
          <w:rStyle w:val="Accentuationlgre"/>
          <w:b w:val="0"/>
          <w:bCs/>
          <w:szCs w:val="20"/>
        </w:rPr>
        <w:t xml:space="preserve">on a mandatory basis an </w:t>
      </w:r>
      <w:proofErr w:type="spellStart"/>
      <w:r w:rsidR="00D744A5">
        <w:rPr>
          <w:rStyle w:val="Accentuationlgre"/>
          <w:b w:val="0"/>
          <w:bCs/>
          <w:szCs w:val="20"/>
        </w:rPr>
        <w:t>OpEx</w:t>
      </w:r>
      <w:proofErr w:type="spellEnd"/>
      <w:r w:rsidR="00D744A5">
        <w:rPr>
          <w:rStyle w:val="Accentuationlgre"/>
          <w:b w:val="0"/>
          <w:bCs/>
          <w:szCs w:val="20"/>
        </w:rPr>
        <w:t xml:space="preserve"> KPI. </w:t>
      </w:r>
      <w:r w:rsidR="00A66701">
        <w:rPr>
          <w:rStyle w:val="Accentuationlgre"/>
          <w:b w:val="0"/>
          <w:bCs/>
          <w:szCs w:val="20"/>
        </w:rPr>
        <w:t xml:space="preserve">Such requirement will generate undue burden for preparers, even </w:t>
      </w:r>
      <w:proofErr w:type="gramStart"/>
      <w:r w:rsidR="00972197">
        <w:rPr>
          <w:rStyle w:val="Accentuationlgre"/>
          <w:b w:val="0"/>
          <w:bCs/>
          <w:szCs w:val="20"/>
        </w:rPr>
        <w:t>taking into account</w:t>
      </w:r>
      <w:proofErr w:type="gramEnd"/>
      <w:r w:rsidR="00972197">
        <w:rPr>
          <w:rStyle w:val="Accentuationlgre"/>
          <w:b w:val="0"/>
          <w:bCs/>
          <w:szCs w:val="20"/>
        </w:rPr>
        <w:t xml:space="preserve"> the narrow definition of </w:t>
      </w:r>
      <w:r w:rsidR="00015E07">
        <w:rPr>
          <w:rStyle w:val="Accentuationlgre"/>
          <w:b w:val="0"/>
          <w:bCs/>
          <w:szCs w:val="20"/>
        </w:rPr>
        <w:t xml:space="preserve">operational expenditures envisaged by the Commission, without providing useful information for end-users. </w:t>
      </w:r>
      <w:r w:rsidR="0013627D">
        <w:rPr>
          <w:rStyle w:val="Accentuationlgre"/>
          <w:b w:val="0"/>
          <w:bCs/>
          <w:szCs w:val="20"/>
        </w:rPr>
        <w:t xml:space="preserve">More generally speaking, </w:t>
      </w:r>
      <w:r w:rsidR="00625B04">
        <w:rPr>
          <w:rStyle w:val="Accentuationlgre"/>
          <w:b w:val="0"/>
          <w:bCs/>
          <w:szCs w:val="20"/>
        </w:rPr>
        <w:t xml:space="preserve">we warn policymakers and authorities against building an overly complex (reporting) framework that would impose </w:t>
      </w:r>
      <w:r w:rsidR="0076401F">
        <w:rPr>
          <w:rStyle w:val="Accentuationlgre"/>
          <w:b w:val="0"/>
          <w:bCs/>
          <w:szCs w:val="20"/>
        </w:rPr>
        <w:t>disproportionate</w:t>
      </w:r>
      <w:r w:rsidR="00625B04">
        <w:rPr>
          <w:rStyle w:val="Accentuationlgre"/>
          <w:b w:val="0"/>
          <w:bCs/>
          <w:szCs w:val="20"/>
        </w:rPr>
        <w:t xml:space="preserve"> burden and </w:t>
      </w:r>
      <w:r w:rsidR="0076401F">
        <w:rPr>
          <w:rStyle w:val="Accentuationlgre"/>
          <w:b w:val="0"/>
          <w:bCs/>
          <w:szCs w:val="20"/>
        </w:rPr>
        <w:t>costs on all financial market participants without delivering relevant and useful information to potential end-users.</w:t>
      </w:r>
    </w:p>
    <w:permEnd w:id="411981036"/>
    <w:p w14:paraId="6A3CB062" w14:textId="67968787" w:rsidR="00B327E9" w:rsidRPr="00BF28DA" w:rsidRDefault="00B327E9" w:rsidP="00B327E9">
      <w:r w:rsidRPr="00BF28DA">
        <w:t>&lt;ESA_COMMENT_</w:t>
      </w:r>
      <w:r w:rsidR="00C86E1C">
        <w:rPr>
          <w:rStyle w:val="Accentuationlgre"/>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485F556A" w14:textId="07D49E12" w:rsidR="00AE1DA8" w:rsidRPr="00E26D84" w:rsidRDefault="00AE1DA8" w:rsidP="00AE1DA8">
      <w:pPr>
        <w:spacing w:line="276" w:lineRule="auto"/>
        <w:jc w:val="both"/>
      </w:pPr>
      <w:permStart w:id="729947415" w:edGrp="everyone"/>
      <w:r w:rsidRPr="00E26D84">
        <w:t xml:space="preserve">The disclosure of the </w:t>
      </w:r>
      <w:proofErr w:type="spellStart"/>
      <w:r w:rsidRPr="00E26D84">
        <w:t>CapEx</w:t>
      </w:r>
      <w:proofErr w:type="spellEnd"/>
      <w:r w:rsidRPr="00E26D84">
        <w:t xml:space="preserve"> and </w:t>
      </w:r>
      <w:proofErr w:type="spellStart"/>
      <w:r w:rsidRPr="00E26D84">
        <w:t>OpEx</w:t>
      </w:r>
      <w:proofErr w:type="spellEnd"/>
      <w:r w:rsidRPr="00E26D84">
        <w:t xml:space="preserve"> KPIs should not be mandatory and should be made by companies only on a voluntary basis when they deem it relevant. </w:t>
      </w:r>
      <w:proofErr w:type="gramStart"/>
      <w:r w:rsidRPr="00E26D84">
        <w:t>In particular, Afep</w:t>
      </w:r>
      <w:proofErr w:type="gramEnd"/>
      <w:r w:rsidRPr="00E26D84">
        <w:t xml:space="preserve"> member companies consider that the publication of the </w:t>
      </w:r>
      <w:proofErr w:type="spellStart"/>
      <w:r w:rsidRPr="00E26D84">
        <w:t>OpEx</w:t>
      </w:r>
      <w:proofErr w:type="spellEnd"/>
      <w:r w:rsidRPr="00E26D84">
        <w:t xml:space="preserve"> KPI will impose an undue burden on preparers without </w:t>
      </w:r>
      <w:r>
        <w:t xml:space="preserve">the guarantee to </w:t>
      </w:r>
      <w:r w:rsidRPr="00E26D84">
        <w:t>provid</w:t>
      </w:r>
      <w:r>
        <w:t>e</w:t>
      </w:r>
      <w:r w:rsidRPr="00E26D84">
        <w:t xml:space="preserve"> relevant information to potential end-users, despite the </w:t>
      </w:r>
      <w:r w:rsidR="00A13D21">
        <w:t xml:space="preserve">narrow definition </w:t>
      </w:r>
      <w:proofErr w:type="spellStart"/>
      <w:r w:rsidR="00F53775">
        <w:t>OpEx</w:t>
      </w:r>
      <w:proofErr w:type="spellEnd"/>
      <w:r w:rsidR="000E4C13">
        <w:t xml:space="preserve"> adopted by the Commission</w:t>
      </w:r>
      <w:r w:rsidRPr="00E26D84">
        <w:t xml:space="preserve">. </w:t>
      </w:r>
      <w:r>
        <w:t>As a matter of fact</w:t>
      </w:r>
      <w:r w:rsidRPr="00E26D84">
        <w:t>, several points need to be clarified regarding the potential use of these KPIs</w:t>
      </w:r>
      <w:r w:rsidR="00F53775">
        <w:t xml:space="preserve"> and </w:t>
      </w:r>
      <w:proofErr w:type="gramStart"/>
      <w:r w:rsidR="00F53775">
        <w:t>in particular of</w:t>
      </w:r>
      <w:proofErr w:type="gramEnd"/>
      <w:r w:rsidR="00F53775">
        <w:t xml:space="preserve"> the </w:t>
      </w:r>
      <w:proofErr w:type="spellStart"/>
      <w:r w:rsidR="00F53775">
        <w:t>OpEx</w:t>
      </w:r>
      <w:proofErr w:type="spellEnd"/>
      <w:r w:rsidR="00F53775">
        <w:t xml:space="preserve"> KPI</w:t>
      </w:r>
      <w:r w:rsidRPr="00E26D84">
        <w:t>:</w:t>
      </w:r>
    </w:p>
    <w:p w14:paraId="0C5CAB23" w14:textId="4A1DDF3D" w:rsidR="00AE1DA8" w:rsidRDefault="00AE1DA8" w:rsidP="00577F45">
      <w:pPr>
        <w:pStyle w:val="Paragraphedeliste"/>
        <w:numPr>
          <w:ilvl w:val="0"/>
          <w:numId w:val="40"/>
        </w:numPr>
        <w:spacing w:line="276" w:lineRule="auto"/>
        <w:ind w:left="357" w:hanging="357"/>
        <w:jc w:val="both"/>
      </w:pPr>
      <w:r>
        <w:t>H</w:t>
      </w:r>
      <w:r w:rsidRPr="000E363D">
        <w:t xml:space="preserve">ow </w:t>
      </w:r>
      <w:proofErr w:type="gramStart"/>
      <w:r w:rsidRPr="000E363D">
        <w:t>investors can</w:t>
      </w:r>
      <w:proofErr w:type="gramEnd"/>
      <w:r w:rsidRPr="000E363D">
        <w:t xml:space="preserve"> use the information (</w:t>
      </w:r>
      <w:proofErr w:type="spellStart"/>
      <w:r>
        <w:t>CapEx</w:t>
      </w:r>
      <w:proofErr w:type="spellEnd"/>
      <w:r w:rsidRPr="000E363D">
        <w:t xml:space="preserve"> and/or </w:t>
      </w:r>
      <w:proofErr w:type="spellStart"/>
      <w:r>
        <w:t>OpEx</w:t>
      </w:r>
      <w:proofErr w:type="spellEnd"/>
      <w:r w:rsidRPr="000E363D">
        <w:t xml:space="preserve">) to assess the sustainable proportion of their investments/portfolio </w:t>
      </w:r>
      <w:r>
        <w:t>shall</w:t>
      </w:r>
      <w:r w:rsidRPr="000E363D">
        <w:t xml:space="preserve"> be clarified</w:t>
      </w:r>
      <w:r>
        <w:t>?</w:t>
      </w:r>
      <w:r w:rsidR="00C26FA3">
        <w:t xml:space="preserve"> </w:t>
      </w:r>
      <w:proofErr w:type="gramStart"/>
      <w:r w:rsidR="000F4BBB">
        <w:t>In particular there</w:t>
      </w:r>
      <w:proofErr w:type="gramEnd"/>
      <w:r w:rsidR="00C26FA3">
        <w:t xml:space="preserve"> is no reference to </w:t>
      </w:r>
      <w:proofErr w:type="spellStart"/>
      <w:r w:rsidR="00C26FA3">
        <w:t>OpEx</w:t>
      </w:r>
      <w:proofErr w:type="spellEnd"/>
      <w:r w:rsidR="00C26FA3">
        <w:t xml:space="preserve"> in annexes III, IV and V of t</w:t>
      </w:r>
      <w:r w:rsidR="00141B15">
        <w:t>h</w:t>
      </w:r>
      <w:r w:rsidR="00C26FA3">
        <w:t xml:space="preserve">e draft </w:t>
      </w:r>
      <w:r w:rsidR="00141B15">
        <w:t xml:space="preserve">delegated regulation to be adopted by the European Commission under article 8 of the Taxonomy Regulation and </w:t>
      </w:r>
      <w:r w:rsidR="00F1155F">
        <w:t>published for consultation until 2 June 2021.</w:t>
      </w:r>
    </w:p>
    <w:p w14:paraId="5A1E1935" w14:textId="77777777" w:rsidR="00AE1DA8" w:rsidRDefault="00AE1DA8" w:rsidP="00577F45">
      <w:pPr>
        <w:pStyle w:val="Paragraphedeliste"/>
        <w:numPr>
          <w:ilvl w:val="0"/>
          <w:numId w:val="40"/>
        </w:numPr>
        <w:spacing w:line="276" w:lineRule="auto"/>
        <w:ind w:left="357" w:hanging="357"/>
        <w:jc w:val="both"/>
      </w:pPr>
      <w:r>
        <w:t>As regards investment plans, t</w:t>
      </w:r>
      <w:r w:rsidRPr="000E363D">
        <w:t>he question of when the alignment with the Taxonomy shall be assessed (substantial contribution to at least one objective</w:t>
      </w:r>
      <w:r>
        <w:t xml:space="preserve"> of the Taxonomy Regulation</w:t>
      </w:r>
      <w:r w:rsidRPr="000E363D">
        <w:t>, compliance with the D</w:t>
      </w:r>
      <w:r>
        <w:t xml:space="preserve">o </w:t>
      </w:r>
      <w:r w:rsidRPr="000E363D">
        <w:t>N</w:t>
      </w:r>
      <w:r>
        <w:t xml:space="preserve">o </w:t>
      </w:r>
      <w:r w:rsidRPr="000E363D">
        <w:t>S</w:t>
      </w:r>
      <w:r>
        <w:t xml:space="preserve">ignificant </w:t>
      </w:r>
      <w:r w:rsidRPr="000E363D">
        <w:t>H</w:t>
      </w:r>
      <w:r>
        <w:t>arm</w:t>
      </w:r>
      <w:r w:rsidRPr="000E363D">
        <w:t xml:space="preserve"> criterion and </w:t>
      </w:r>
      <w:r>
        <w:t>A</w:t>
      </w:r>
      <w:r w:rsidRPr="000E363D">
        <w:t xml:space="preserve">rticle 13 minimum safeguards) needs also to be </w:t>
      </w:r>
      <w:r>
        <w:t>clarified:</w:t>
      </w:r>
      <w:r w:rsidRPr="000E363D">
        <w:t xml:space="preserve"> </w:t>
      </w:r>
      <w:r>
        <w:t>a</w:t>
      </w:r>
      <w:r w:rsidRPr="000E363D">
        <w:t xml:space="preserve">t the inception or at the completion of the plan? Assessing </w:t>
      </w:r>
      <w:r w:rsidRPr="000E363D">
        <w:rPr>
          <w:i/>
          <w:iCs/>
        </w:rPr>
        <w:t>ex</w:t>
      </w:r>
      <w:r>
        <w:rPr>
          <w:i/>
          <w:iCs/>
        </w:rPr>
        <w:t>-</w:t>
      </w:r>
      <w:proofErr w:type="gramStart"/>
      <w:r w:rsidRPr="000E363D">
        <w:rPr>
          <w:i/>
          <w:iCs/>
        </w:rPr>
        <w:t>ante</w:t>
      </w:r>
      <w:proofErr w:type="gramEnd"/>
      <w:r w:rsidRPr="000E363D">
        <w:t xml:space="preserve"> the alignment does not seem possible. </w:t>
      </w:r>
      <w:r>
        <w:t>Therefore, we assume that a</w:t>
      </w:r>
      <w:r w:rsidRPr="000E363D">
        <w:t xml:space="preserve">lignment should be assessed </w:t>
      </w:r>
      <w:r w:rsidRPr="000E363D">
        <w:rPr>
          <w:i/>
          <w:iCs/>
        </w:rPr>
        <w:t>ex</w:t>
      </w:r>
      <w:r>
        <w:rPr>
          <w:i/>
          <w:iCs/>
        </w:rPr>
        <w:t>-</w:t>
      </w:r>
      <w:r w:rsidRPr="000E363D">
        <w:rPr>
          <w:i/>
          <w:iCs/>
        </w:rPr>
        <w:t>post</w:t>
      </w:r>
      <w:r>
        <w:rPr>
          <w:i/>
          <w:iCs/>
        </w:rPr>
        <w:t>.</w:t>
      </w:r>
      <w:r w:rsidRPr="000E363D">
        <w:t xml:space="preserve"> </w:t>
      </w:r>
      <w:r>
        <w:t>B</w:t>
      </w:r>
      <w:r w:rsidRPr="000E363D">
        <w:t>ut what would be the consequences for the company and for investors who used th</w:t>
      </w:r>
      <w:r>
        <w:t>e</w:t>
      </w:r>
      <w:r w:rsidRPr="000E363D">
        <w:t>s</w:t>
      </w:r>
      <w:r>
        <w:t>e</w:t>
      </w:r>
      <w:r w:rsidRPr="000E363D">
        <w:t xml:space="preserve"> KPI</w:t>
      </w:r>
      <w:r>
        <w:t>s</w:t>
      </w:r>
      <w:r w:rsidRPr="000E363D">
        <w:t xml:space="preserve"> to measure the sustainable impact/exposure of their investments/portfolio if the alignment criteria are not met once the investments have been completed</w:t>
      </w:r>
      <w:r>
        <w:t xml:space="preserve"> (the </w:t>
      </w:r>
      <w:r w:rsidRPr="00745786">
        <w:t xml:space="preserve">criteria </w:t>
      </w:r>
      <w:r>
        <w:t>for instance can be</w:t>
      </w:r>
      <w:r w:rsidRPr="00745786">
        <w:t xml:space="preserve"> tightened during the life of the plan</w:t>
      </w:r>
      <w:r>
        <w:t>)</w:t>
      </w:r>
      <w:r w:rsidRPr="000E363D">
        <w:t xml:space="preserve">? </w:t>
      </w:r>
    </w:p>
    <w:p w14:paraId="4FB9E8A2" w14:textId="38FC01C3" w:rsidR="00AE1DA8" w:rsidRPr="004C3C17" w:rsidRDefault="00AE1DA8" w:rsidP="00AE1DA8">
      <w:pPr>
        <w:pStyle w:val="Paragraphedeliste"/>
        <w:numPr>
          <w:ilvl w:val="0"/>
          <w:numId w:val="40"/>
        </w:numPr>
        <w:spacing w:line="276" w:lineRule="auto"/>
        <w:jc w:val="both"/>
      </w:pPr>
      <w:r>
        <w:t xml:space="preserve">In their advice to the Commission under </w:t>
      </w:r>
      <w:r w:rsidR="00577F45">
        <w:t>A</w:t>
      </w:r>
      <w:r>
        <w:t>rticle 8 of the Taxonomy Regulation, both ESMA and EBA consider that</w:t>
      </w:r>
      <w:r w:rsidRPr="00B33536">
        <w:t xml:space="preserve"> the most relevant KPI is the revenue</w:t>
      </w:r>
      <w:r>
        <w:t xml:space="preserve"> (</w:t>
      </w:r>
      <w:r w:rsidRPr="00B33536">
        <w:t xml:space="preserve">although EBA reckons that </w:t>
      </w:r>
      <w:proofErr w:type="spellStart"/>
      <w:r>
        <w:t>CapEx</w:t>
      </w:r>
      <w:proofErr w:type="spellEnd"/>
      <w:r w:rsidRPr="00B33536">
        <w:t xml:space="preserve"> is relevant where banks provide special purpose lending for taxonomy-aligned economic activities</w:t>
      </w:r>
      <w:r>
        <w:t xml:space="preserve">, </w:t>
      </w:r>
      <w:proofErr w:type="spellStart"/>
      <w:proofErr w:type="gramStart"/>
      <w:r>
        <w:t>ie</w:t>
      </w:r>
      <w:proofErr w:type="spellEnd"/>
      <w:proofErr w:type="gramEnd"/>
      <w:r>
        <w:t xml:space="preserve"> </w:t>
      </w:r>
      <w:r w:rsidRPr="00B33536">
        <w:t>project finance</w:t>
      </w:r>
      <w:r>
        <w:t>).</w:t>
      </w:r>
      <w:r w:rsidRPr="004C3C17">
        <w:t xml:space="preserve"> </w:t>
      </w:r>
    </w:p>
    <w:p w14:paraId="7A09C6A0" w14:textId="1D653FEC" w:rsidR="003E573C" w:rsidRPr="00A13D21" w:rsidRDefault="00AE1DA8" w:rsidP="00A13D21">
      <w:pPr>
        <w:spacing w:line="276" w:lineRule="auto"/>
        <w:jc w:val="both"/>
      </w:pPr>
      <w:r>
        <w:t xml:space="preserve">We consider therefore that the </w:t>
      </w:r>
      <w:proofErr w:type="spellStart"/>
      <w:r w:rsidRPr="00E26D84">
        <w:t>CapEx</w:t>
      </w:r>
      <w:proofErr w:type="spellEnd"/>
      <w:r w:rsidRPr="00E26D84">
        <w:t xml:space="preserve"> and </w:t>
      </w:r>
      <w:proofErr w:type="spellStart"/>
      <w:r w:rsidRPr="00E26D84">
        <w:t>OpEx</w:t>
      </w:r>
      <w:proofErr w:type="spellEnd"/>
      <w:r w:rsidRPr="00E26D84">
        <w:t xml:space="preserve"> KPIs should be published only if material in accordance with the overarching principle of materiality laid down in the NFRD.</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101787AB" w14:textId="77777777" w:rsidR="00742CA4" w:rsidRPr="00CD475B" w:rsidRDefault="00742CA4" w:rsidP="004221F9">
      <w:pPr>
        <w:pStyle w:val="Questionstyle"/>
        <w:numPr>
          <w:ilvl w:val="0"/>
          <w:numId w:val="0"/>
        </w:numPr>
        <w:spacing w:after="0"/>
        <w:rPr>
          <w:rFonts w:cstheme="minorHAnsi"/>
          <w:b w:val="0"/>
          <w:bCs/>
          <w:szCs w:val="22"/>
          <w:lang w:val="en-US"/>
        </w:rPr>
      </w:pPr>
      <w:permStart w:id="677205538" w:edGrp="everyone"/>
      <w:r w:rsidRPr="00CD475B">
        <w:rPr>
          <w:b w:val="0"/>
          <w:bCs/>
          <w:lang w:val="en-US"/>
        </w:rPr>
        <w:t xml:space="preserve">We disagree with the approach </w:t>
      </w:r>
      <w:r>
        <w:rPr>
          <w:b w:val="0"/>
          <w:bCs/>
          <w:lang w:val="en-US"/>
        </w:rPr>
        <w:t xml:space="preserve">adopted by the co-legislators in the Taxonomy Regulation and the ESAs </w:t>
      </w:r>
      <w:r w:rsidRPr="00CD475B">
        <w:rPr>
          <w:b w:val="0"/>
          <w:bCs/>
          <w:lang w:val="en-US"/>
        </w:rPr>
        <w:t xml:space="preserve">and question whether it is useful or relevant to publish </w:t>
      </w:r>
      <w:r>
        <w:rPr>
          <w:b w:val="0"/>
          <w:bCs/>
          <w:lang w:val="en-US"/>
        </w:rPr>
        <w:t>an</w:t>
      </w:r>
      <w:r w:rsidRPr="00CD475B">
        <w:rPr>
          <w:b w:val="0"/>
          <w:bCs/>
          <w:lang w:val="en-US"/>
        </w:rPr>
        <w:t xml:space="preserve"> </w:t>
      </w:r>
      <w:proofErr w:type="spellStart"/>
      <w:r w:rsidRPr="00CD475B">
        <w:rPr>
          <w:b w:val="0"/>
          <w:bCs/>
          <w:lang w:val="en-US"/>
        </w:rPr>
        <w:t>OpEx</w:t>
      </w:r>
      <w:proofErr w:type="spellEnd"/>
      <w:r w:rsidRPr="00CD475B">
        <w:rPr>
          <w:b w:val="0"/>
          <w:bCs/>
          <w:lang w:val="en-US"/>
        </w:rPr>
        <w:t xml:space="preserve"> KPI.</w:t>
      </w:r>
      <w:r>
        <w:rPr>
          <w:b w:val="0"/>
          <w:bCs/>
          <w:lang w:val="en-US"/>
        </w:rPr>
        <w:t xml:space="preserve"> </w:t>
      </w:r>
      <w:r w:rsidRPr="00CD475B">
        <w:rPr>
          <w:b w:val="0"/>
          <w:bCs/>
          <w:lang w:val="en-US"/>
        </w:rPr>
        <w:t xml:space="preserve">We would like to remind that the institutional agreement between the co-legislators reached in December 2019 on the Commission’s proposal for a regulation establishing the Taxonomy required – under article 4 delta – the disclosure of </w:t>
      </w:r>
      <w:r w:rsidRPr="00CD475B">
        <w:rPr>
          <w:b w:val="0"/>
          <w:bCs/>
          <w:szCs w:val="22"/>
          <w:lang w:val="en-US"/>
        </w:rPr>
        <w:t>“</w:t>
      </w:r>
      <w:r w:rsidRPr="00CD475B">
        <w:rPr>
          <w:b w:val="0"/>
          <w:bCs/>
          <w:i/>
          <w:iCs/>
          <w:szCs w:val="22"/>
        </w:rPr>
        <w:t xml:space="preserve">the </w:t>
      </w:r>
      <w:r w:rsidRPr="00CD475B">
        <w:rPr>
          <w:b w:val="0"/>
          <w:bCs/>
          <w:i/>
          <w:iCs/>
          <w:szCs w:val="22"/>
        </w:rPr>
        <w:lastRenderedPageBreak/>
        <w:t xml:space="preserve">proportion of their total investments (Capital Expenditure) </w:t>
      </w:r>
      <w:r w:rsidRPr="00CD475B">
        <w:rPr>
          <w:b w:val="0"/>
          <w:bCs/>
          <w:i/>
          <w:iCs/>
          <w:szCs w:val="22"/>
          <w:u w:val="single"/>
        </w:rPr>
        <w:t>and/or</w:t>
      </w:r>
      <w:r w:rsidRPr="00CD475B">
        <w:rPr>
          <w:b w:val="0"/>
          <w:bCs/>
          <w:i/>
          <w:iCs/>
          <w:szCs w:val="22"/>
        </w:rPr>
        <w:t xml:space="preserve"> expenditures (Operating Expenditure) related to assets or processes associated with environmentally sustainable economic activities</w:t>
      </w:r>
      <w:r w:rsidRPr="00CD475B">
        <w:rPr>
          <w:b w:val="0"/>
          <w:bCs/>
          <w:szCs w:val="22"/>
        </w:rPr>
        <w:t>” while the final version of the Regulation published requires under article 8 the disclosure of “</w:t>
      </w:r>
      <w:r w:rsidRPr="00CD475B">
        <w:rPr>
          <w:b w:val="0"/>
          <w:bCs/>
          <w:i/>
          <w:iCs/>
          <w:szCs w:val="22"/>
        </w:rPr>
        <w:t xml:space="preserve">the proportion of their capital expenditure </w:t>
      </w:r>
      <w:r w:rsidRPr="00CD475B">
        <w:rPr>
          <w:b w:val="0"/>
          <w:bCs/>
          <w:i/>
          <w:iCs/>
          <w:szCs w:val="22"/>
          <w:u w:val="single"/>
        </w:rPr>
        <w:t>and</w:t>
      </w:r>
      <w:r w:rsidRPr="00CD475B">
        <w:rPr>
          <w:b w:val="0"/>
          <w:bCs/>
          <w:i/>
          <w:iCs/>
          <w:szCs w:val="22"/>
        </w:rPr>
        <w:t xml:space="preserve"> the proportion of their operating </w:t>
      </w:r>
      <w:r w:rsidRPr="00CD475B">
        <w:rPr>
          <w:rFonts w:cstheme="minorHAnsi"/>
          <w:b w:val="0"/>
          <w:bCs/>
          <w:i/>
          <w:iCs/>
          <w:szCs w:val="22"/>
        </w:rPr>
        <w:t>expenditure</w:t>
      </w:r>
      <w:r w:rsidRPr="00CD475B">
        <w:rPr>
          <w:rFonts w:cstheme="minorHAnsi"/>
          <w:b w:val="0"/>
          <w:bCs/>
          <w:szCs w:val="22"/>
        </w:rPr>
        <w:t>”.</w:t>
      </w:r>
    </w:p>
    <w:p w14:paraId="72A23BA0" w14:textId="5F3BA6E3" w:rsidR="003E573C" w:rsidRDefault="00742CA4" w:rsidP="004221F9">
      <w:pPr>
        <w:spacing w:line="276" w:lineRule="auto"/>
        <w:jc w:val="both"/>
        <w:rPr>
          <w:rFonts w:cs="Arial"/>
        </w:rPr>
      </w:pPr>
      <w:r w:rsidRPr="00CD475B">
        <w:rPr>
          <w:rFonts w:cstheme="minorHAnsi"/>
          <w:bCs/>
          <w:lang w:val="en-US"/>
        </w:rPr>
        <w:t xml:space="preserve">It is our understanding that the purpose of this disclosure was to focus on operating expenses that contribute to environmental objectives, such as research and development expenses, and not to capture the totality of operating expenses associated with the business. Computing all operating expenses at product line level requires the implementation of a dedicated analytical accounting process, which would be both impossible to implement and </w:t>
      </w:r>
      <w:r>
        <w:rPr>
          <w:rFonts w:cstheme="minorHAnsi"/>
          <w:bCs/>
          <w:lang w:val="en-US"/>
        </w:rPr>
        <w:t>not relevant</w:t>
      </w:r>
      <w:r w:rsidRPr="00CD475B">
        <w:rPr>
          <w:rFonts w:cstheme="minorHAnsi"/>
          <w:bCs/>
          <w:lang w:val="en-US"/>
        </w:rPr>
        <w:t>. W</w:t>
      </w:r>
      <w:proofErr w:type="spellStart"/>
      <w:r w:rsidRPr="00CD475B">
        <w:rPr>
          <w:rFonts w:cstheme="minorHAnsi"/>
          <w:bCs/>
        </w:rPr>
        <w:t>e</w:t>
      </w:r>
      <w:proofErr w:type="spellEnd"/>
      <w:r w:rsidRPr="00CD475B">
        <w:rPr>
          <w:rFonts w:cstheme="minorHAnsi"/>
          <w:bCs/>
        </w:rPr>
        <w:t xml:space="preserve"> acknowledge </w:t>
      </w:r>
      <w:r>
        <w:rPr>
          <w:rFonts w:cstheme="minorHAnsi"/>
          <w:bCs/>
        </w:rPr>
        <w:t xml:space="preserve">that the Commission </w:t>
      </w:r>
      <w:r w:rsidR="00577F45">
        <w:rPr>
          <w:rFonts w:cstheme="minorHAnsi"/>
          <w:bCs/>
        </w:rPr>
        <w:t>i</w:t>
      </w:r>
      <w:r>
        <w:rPr>
          <w:rFonts w:cstheme="minorHAnsi"/>
          <w:bCs/>
        </w:rPr>
        <w:t xml:space="preserve">n the draft delegated </w:t>
      </w:r>
      <w:r w:rsidR="00577F45">
        <w:rPr>
          <w:rFonts w:cstheme="minorHAnsi"/>
          <w:bCs/>
        </w:rPr>
        <w:t>regulation to be adopted under Article 8 of the Taxonomy Regulation</w:t>
      </w:r>
      <w:r>
        <w:rPr>
          <w:rFonts w:cstheme="minorHAnsi"/>
          <w:bCs/>
        </w:rPr>
        <w:t xml:space="preserve"> is </w:t>
      </w:r>
      <w:r w:rsidR="00D76EE1">
        <w:rPr>
          <w:rFonts w:cstheme="minorHAnsi"/>
          <w:bCs/>
        </w:rPr>
        <w:t xml:space="preserve">putting forward </w:t>
      </w:r>
      <w:r>
        <w:rPr>
          <w:rFonts w:cstheme="minorHAnsi"/>
          <w:bCs/>
        </w:rPr>
        <w:t xml:space="preserve">a “narrow” definition of operational, expenses. However, we </w:t>
      </w:r>
      <w:r w:rsidRPr="00CD475B">
        <w:rPr>
          <w:rFonts w:cstheme="minorHAnsi"/>
          <w:bCs/>
        </w:rPr>
        <w:t xml:space="preserve">consider that </w:t>
      </w:r>
      <w:r>
        <w:rPr>
          <w:rFonts w:cstheme="minorHAnsi"/>
          <w:bCs/>
        </w:rPr>
        <w:t xml:space="preserve">full </w:t>
      </w:r>
      <w:r w:rsidRPr="00CD475B">
        <w:rPr>
          <w:rFonts w:cstheme="minorHAnsi"/>
          <w:bCs/>
        </w:rPr>
        <w:t xml:space="preserve">flexibility should be given to </w:t>
      </w:r>
      <w:r>
        <w:rPr>
          <w:rFonts w:cstheme="minorHAnsi"/>
          <w:bCs/>
        </w:rPr>
        <w:t xml:space="preserve">non-financial </w:t>
      </w:r>
      <w:r w:rsidRPr="00CD475B">
        <w:rPr>
          <w:rFonts w:cstheme="minorHAnsi"/>
          <w:bCs/>
        </w:rPr>
        <w:t xml:space="preserve">companies to decide whether it is relevant to disclose an </w:t>
      </w:r>
      <w:proofErr w:type="spellStart"/>
      <w:r w:rsidRPr="00CD475B">
        <w:rPr>
          <w:rFonts w:cstheme="minorHAnsi"/>
          <w:bCs/>
        </w:rPr>
        <w:t>OpEx</w:t>
      </w:r>
      <w:proofErr w:type="spellEnd"/>
      <w:r w:rsidRPr="00CD475B">
        <w:rPr>
          <w:rFonts w:cstheme="minorHAnsi"/>
          <w:bCs/>
        </w:rPr>
        <w:t xml:space="preserve"> KPI considering the variety of business models: where the taxonomy compliant part of </w:t>
      </w:r>
      <w:proofErr w:type="spellStart"/>
      <w:r w:rsidRPr="00CD475B">
        <w:rPr>
          <w:rFonts w:cstheme="minorHAnsi"/>
          <w:bCs/>
        </w:rPr>
        <w:t>OpEx</w:t>
      </w:r>
      <w:proofErr w:type="spellEnd"/>
      <w:r w:rsidRPr="00CD475B">
        <w:rPr>
          <w:rFonts w:cstheme="minorHAnsi"/>
          <w:bCs/>
        </w:rPr>
        <w:t xml:space="preserve"> is not deemed relevant and/or significant, companies should be authorised to explain why their taxonomy compliant part of </w:t>
      </w:r>
      <w:proofErr w:type="spellStart"/>
      <w:r w:rsidRPr="00CD475B">
        <w:rPr>
          <w:rFonts w:cstheme="minorHAnsi"/>
          <w:bCs/>
        </w:rPr>
        <w:t>OpEx</w:t>
      </w:r>
      <w:proofErr w:type="spellEnd"/>
      <w:r w:rsidRPr="00CD475B">
        <w:rPr>
          <w:rFonts w:cstheme="minorHAnsi"/>
          <w:bCs/>
        </w:rPr>
        <w:t xml:space="preserve"> is not significant instead of disclosing a useless figure.</w:t>
      </w:r>
      <w:r>
        <w:rPr>
          <w:rFonts w:cstheme="minorHAnsi"/>
          <w:bCs/>
        </w:rPr>
        <w:t xml:space="preserve"> </w:t>
      </w:r>
      <w:r w:rsidRPr="00E57565">
        <w:rPr>
          <w:rFonts w:cstheme="minorHAnsi"/>
          <w:bCs/>
        </w:rPr>
        <w:t>Furthermore</w:t>
      </w:r>
      <w:r>
        <w:rPr>
          <w:rFonts w:cstheme="minorHAnsi"/>
          <w:bCs/>
        </w:rPr>
        <w:t>,</w:t>
      </w:r>
      <w:r w:rsidRPr="00E57565">
        <w:rPr>
          <w:rFonts w:cstheme="minorHAnsi"/>
          <w:bCs/>
        </w:rPr>
        <w:t xml:space="preserve"> how this KPI can be used by investors to </w:t>
      </w:r>
      <w:r>
        <w:rPr>
          <w:rFonts w:cstheme="minorHAnsi"/>
          <w:bCs/>
        </w:rPr>
        <w:t xml:space="preserve">determine the sustainable proportion of their investments is not clear for investment in both equity and debt securities. </w:t>
      </w:r>
      <w:r w:rsidRPr="00630513">
        <w:rPr>
          <w:lang w:val="en-US"/>
        </w:rPr>
        <w:t>Please refer also to our answer to question 2.</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00044BD1" w:rsidR="003E573C" w:rsidRDefault="003E573C" w:rsidP="003E573C">
      <w:pPr>
        <w:rPr>
          <w:rFonts w:cs="Arial"/>
        </w:rPr>
      </w:pPr>
      <w:r>
        <w:rPr>
          <w:rFonts w:cs="Arial"/>
        </w:rPr>
        <w:lastRenderedPageBreak/>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Paragraphedeliste"/>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Paragraphedeliste"/>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3D5354FE" w14:textId="77777777" w:rsidR="003E573C" w:rsidRDefault="003E573C" w:rsidP="003E573C">
      <w:pPr>
        <w:rPr>
          <w:rFonts w:cs="Arial"/>
        </w:rPr>
      </w:pPr>
      <w:bookmarkStart w:id="2" w:name="_Hlk66781674"/>
      <w:permStart w:id="610013876" w:edGrp="everyone"/>
      <w:r>
        <w:rPr>
          <w:rFonts w:cs="Arial"/>
        </w:rPr>
        <w:t>TYPE YOUR TEXT HERE</w:t>
      </w:r>
    </w:p>
    <w:bookmarkEnd w:id="2"/>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3EEC" w14:textId="77777777" w:rsidR="003E1C39" w:rsidRDefault="003E1C39">
      <w:r>
        <w:separator/>
      </w:r>
    </w:p>
    <w:p w14:paraId="2A8DBBED" w14:textId="77777777" w:rsidR="003E1C39" w:rsidRDefault="003E1C39"/>
  </w:endnote>
  <w:endnote w:type="continuationSeparator" w:id="0">
    <w:p w14:paraId="39B3D2B3" w14:textId="77777777" w:rsidR="003E1C39" w:rsidRDefault="003E1C39">
      <w:r>
        <w:continuationSeparator/>
      </w:r>
    </w:p>
    <w:p w14:paraId="42A6E303" w14:textId="77777777" w:rsidR="003E1C39" w:rsidRDefault="003E1C39"/>
  </w:endnote>
  <w:endnote w:type="continuationNotice" w:id="1">
    <w:p w14:paraId="4DECAA27" w14:textId="77777777" w:rsidR="003E1C39" w:rsidRDefault="003E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mbri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0E59" w14:textId="77777777" w:rsidR="008F65D5" w:rsidRDefault="008F6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D7D7" w14:textId="77777777" w:rsidR="008F65D5" w:rsidRDefault="008F65D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100"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10AD" w14:textId="77777777" w:rsidR="003E1C39" w:rsidRDefault="003E1C39">
      <w:r>
        <w:separator/>
      </w:r>
    </w:p>
    <w:p w14:paraId="6C7AC690" w14:textId="77777777" w:rsidR="003E1C39" w:rsidRDefault="003E1C39"/>
  </w:footnote>
  <w:footnote w:type="continuationSeparator" w:id="0">
    <w:p w14:paraId="226CDD03" w14:textId="77777777" w:rsidR="003E1C39" w:rsidRDefault="003E1C39">
      <w:r>
        <w:continuationSeparator/>
      </w:r>
    </w:p>
    <w:p w14:paraId="45679242" w14:textId="77777777" w:rsidR="003E1C39" w:rsidRDefault="003E1C39"/>
  </w:footnote>
  <w:footnote w:type="continuationNotice" w:id="1">
    <w:p w14:paraId="34F1B619" w14:textId="77777777" w:rsidR="003E1C39" w:rsidRDefault="003E1C39"/>
  </w:footnote>
  <w:footnote w:id="2">
    <w:p w14:paraId="52F26208" w14:textId="77777777" w:rsidR="00197794" w:rsidRDefault="00197794" w:rsidP="00197794">
      <w:pPr>
        <w:pStyle w:val="Notedebasdepage"/>
      </w:pPr>
      <w:r>
        <w:rPr>
          <w:rStyle w:val="Appelnotedebasdep"/>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DCD1" w14:textId="77777777" w:rsidR="008F65D5" w:rsidRDefault="008F6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EC" w14:textId="0B1FCCA2" w:rsidR="00811EDA" w:rsidRDefault="008F65D5">
    <w:pPr>
      <w:pStyle w:val="En-tt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1" w14:textId="57FA93C8" w:rsidR="00811EDA" w:rsidRDefault="008F65D5" w:rsidP="00013CCE">
    <w:pPr>
      <w:pStyle w:val="En-tt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En-tte"/>
      <w:rPr>
        <w:lang w:val="fr-FR"/>
      </w:rPr>
    </w:pPr>
  </w:p>
  <w:p w14:paraId="6A3CB0F8" w14:textId="77777777" w:rsidR="00811EDA" w:rsidRPr="002F4496" w:rsidRDefault="00811EDA" w:rsidP="000C06C9">
    <w:pPr>
      <w:pStyle w:val="En-tte"/>
      <w:tabs>
        <w:tab w:val="clear" w:pos="4536"/>
        <w:tab w:val="clear" w:pos="9072"/>
        <w:tab w:val="left" w:pos="8227"/>
      </w:tabs>
      <w:rPr>
        <w:lang w:val="fr-FR"/>
      </w:rPr>
    </w:pPr>
  </w:p>
  <w:p w14:paraId="6A3CB0F9" w14:textId="77777777" w:rsidR="00811EDA" w:rsidRPr="002F4496" w:rsidRDefault="00811EDA" w:rsidP="000C06C9">
    <w:pPr>
      <w:pStyle w:val="En-tte"/>
      <w:tabs>
        <w:tab w:val="clear" w:pos="4536"/>
        <w:tab w:val="clear" w:pos="9072"/>
        <w:tab w:val="left" w:pos="8227"/>
      </w:tabs>
      <w:rPr>
        <w:lang w:val="fr-FR"/>
      </w:rPr>
    </w:pPr>
  </w:p>
  <w:p w14:paraId="6A3CB0FA" w14:textId="77777777" w:rsidR="00811EDA" w:rsidRPr="002F4496" w:rsidRDefault="00811EDA">
    <w:pPr>
      <w:pStyle w:val="En-tte"/>
      <w:rPr>
        <w:lang w:val="fr-FR"/>
      </w:rPr>
    </w:pPr>
  </w:p>
  <w:p w14:paraId="6A3CB0FB" w14:textId="77777777" w:rsidR="00811EDA" w:rsidRPr="002F4496" w:rsidRDefault="00811EDA">
    <w:pPr>
      <w:pStyle w:val="En-tte"/>
      <w:rPr>
        <w:lang w:val="fr-FR"/>
      </w:rPr>
    </w:pPr>
  </w:p>
  <w:p w14:paraId="6A3CB0FC" w14:textId="77777777" w:rsidR="00811EDA" w:rsidRPr="002F4496" w:rsidRDefault="00811EDA">
    <w:pPr>
      <w:pStyle w:val="En-tte"/>
      <w:rPr>
        <w:lang w:val="fr-FR"/>
      </w:rPr>
    </w:pPr>
  </w:p>
  <w:p w14:paraId="6A3CB0FD" w14:textId="77777777" w:rsidR="00811EDA" w:rsidRPr="002F4496" w:rsidRDefault="00811EDA">
    <w:pPr>
      <w:pStyle w:val="En-tte"/>
      <w:rPr>
        <w:lang w:val="fr-FR"/>
      </w:rPr>
    </w:pPr>
  </w:p>
  <w:p w14:paraId="6A3CB0FE" w14:textId="77777777" w:rsidR="00811EDA" w:rsidRPr="002F4496" w:rsidRDefault="00811EDA">
    <w:pPr>
      <w:pStyle w:val="En-tte"/>
      <w:rPr>
        <w:highlight w:val="yellow"/>
        <w:lang w:val="fr-FR"/>
      </w:rPr>
    </w:pPr>
  </w:p>
  <w:p w14:paraId="6A3CB0FF" w14:textId="05D5FF53" w:rsidR="00811EDA" w:rsidRDefault="00DE66EB">
    <w:pPr>
      <w:pStyle w:val="En-tt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3F0EC2"/>
    <w:multiLevelType w:val="hybridMultilevel"/>
    <w:tmpl w:val="C2386944"/>
    <w:lvl w:ilvl="0" w:tplc="57BA1144">
      <w:start w:val="1"/>
      <w:numFmt w:val="bullet"/>
      <w:lvlText w:val="−"/>
      <w:lvlJc w:val="left"/>
      <w:pPr>
        <w:ind w:left="360" w:hanging="360"/>
      </w:pPr>
      <w:rPr>
        <w:rFonts w:ascii="Calibri" w:hAnsi="Calibri" w:hint="default"/>
      </w:rPr>
    </w:lvl>
    <w:lvl w:ilvl="1" w:tplc="040C0005">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9"/>
  </w:num>
  <w:num w:numId="21">
    <w:abstractNumId w:val="38"/>
  </w:num>
  <w:num w:numId="22">
    <w:abstractNumId w:val="27"/>
  </w:num>
  <w:num w:numId="23">
    <w:abstractNumId w:val="8"/>
  </w:num>
  <w:num w:numId="24">
    <w:abstractNumId w:val="32"/>
  </w:num>
  <w:num w:numId="25">
    <w:abstractNumId w:val="31"/>
  </w:num>
  <w:num w:numId="26">
    <w:abstractNumId w:val="20"/>
  </w:num>
  <w:num w:numId="27">
    <w:abstractNumId w:val="35"/>
  </w:num>
  <w:num w:numId="28">
    <w:abstractNumId w:val="40"/>
  </w:num>
  <w:num w:numId="29">
    <w:abstractNumId w:val="6"/>
  </w:num>
  <w:num w:numId="30">
    <w:abstractNumId w:val="3"/>
  </w:num>
  <w:num w:numId="31">
    <w:abstractNumId w:val="23"/>
  </w:num>
  <w:num w:numId="32">
    <w:abstractNumId w:val="21"/>
  </w:num>
  <w:num w:numId="33">
    <w:abstractNumId w:val="37"/>
  </w:num>
  <w:num w:numId="34">
    <w:abstractNumId w:val="36"/>
  </w:num>
  <w:num w:numId="35">
    <w:abstractNumId w:val="10"/>
  </w:num>
  <w:num w:numId="36">
    <w:abstractNumId w:val="11"/>
  </w:num>
  <w:num w:numId="37">
    <w:abstractNumId w:val="13"/>
  </w:num>
  <w:num w:numId="38">
    <w:abstractNumId w:val="26"/>
  </w:num>
  <w:num w:numId="39">
    <w:abstractNumId w:val="22"/>
  </w:num>
  <w:num w:numId="40">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E07"/>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4C13"/>
    <w:rsid w:val="000E5F7F"/>
    <w:rsid w:val="000E667A"/>
    <w:rsid w:val="000E7086"/>
    <w:rsid w:val="000E7C65"/>
    <w:rsid w:val="000F04D2"/>
    <w:rsid w:val="000F4BBB"/>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627D"/>
    <w:rsid w:val="001372DD"/>
    <w:rsid w:val="001405BA"/>
    <w:rsid w:val="00141497"/>
    <w:rsid w:val="00141B15"/>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1A3"/>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C39"/>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1F9"/>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576"/>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7F4"/>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94C"/>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77F45"/>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B04"/>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CA4"/>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1F"/>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554"/>
    <w:rsid w:val="00865B01"/>
    <w:rsid w:val="00866D7A"/>
    <w:rsid w:val="00866EE3"/>
    <w:rsid w:val="008701E5"/>
    <w:rsid w:val="008706C5"/>
    <w:rsid w:val="0087189A"/>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197"/>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3D21"/>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137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701"/>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1DA8"/>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A79DA"/>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FA3"/>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C5E"/>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F8A"/>
    <w:rsid w:val="00D744A5"/>
    <w:rsid w:val="00D75603"/>
    <w:rsid w:val="00D75FEE"/>
    <w:rsid w:val="00D76933"/>
    <w:rsid w:val="00D76D88"/>
    <w:rsid w:val="00D76EE1"/>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A79"/>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155F"/>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77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uiPriority w:val="99"/>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uiPriority w:val="99"/>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7118EB"/>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phedeliste"/>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Appelnotedebasdep"/>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9e7585d-2ec8-4eff-8eb0-2a5dae3b3336">WDPCNM7KEHA6-1418529512-365280</_dlc_DocId>
    <_dlc_DocIdUrl xmlns="b9e7585d-2ec8-4eff-8eb0-2a5dae3b3336">
      <Url>https://domafep.sharepoint.com/sites/AFEP-Partage/_layouts/15/DocIdRedir.aspx?ID=WDPCNM7KEHA6-1418529512-365280</Url>
      <Description>WDPCNM7KEHA6-1418529512-365280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481AD854AFAB4ABF16BF81F20613B0" ma:contentTypeVersion="950" ma:contentTypeDescription="Crée un document." ma:contentTypeScope="" ma:versionID="a61c93553ce2005d483700823045fea7">
  <xsd:schema xmlns:xsd="http://www.w3.org/2001/XMLSchema" xmlns:xs="http://www.w3.org/2001/XMLSchema" xmlns:p="http://schemas.microsoft.com/office/2006/metadata/properties" xmlns:ns2="b9e7585d-2ec8-4eff-8eb0-2a5dae3b3336" xmlns:ns3="3a7a7858-319f-4063-9ead-c74d916519b8" targetNamespace="http://schemas.microsoft.com/office/2006/metadata/properties" ma:root="true" ma:fieldsID="e16cef0819863ba61f2a8b45609e63fa" ns2:_="" ns3:_="">
    <xsd:import namespace="b9e7585d-2ec8-4eff-8eb0-2a5dae3b3336"/>
    <xsd:import namespace="3a7a7858-319f-4063-9ead-c74d916519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7585d-2ec8-4eff-8eb0-2a5dae3b333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7a7858-319f-4063-9ead-c74d916519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8AE8-6EAB-4A97-8366-729700E3EE75}">
  <ds:schemaRefs>
    <ds:schemaRef ds:uri="http://schemas.microsoft.com/sharepoint/events"/>
  </ds:schemaRefs>
</ds:datastoreItem>
</file>

<file path=customXml/itemProps2.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b9e7585d-2ec8-4eff-8eb0-2a5dae3b3336"/>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E3160B19-F5F2-498A-9B37-2EBC9E689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7585d-2ec8-4eff-8eb0-2a5dae3b3336"/>
    <ds:schemaRef ds:uri="3a7a7858-319f-4063-9ead-c74d9165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1932</Words>
  <Characters>10628</Characters>
  <Application>Microsoft Office Word</Application>
  <DocSecurity>8</DocSecurity>
  <Lines>88</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12535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Tran Van Lé Quang</cp:lastModifiedBy>
  <cp:revision>30</cp:revision>
  <cp:lastPrinted>2015-02-18T11:01:00Z</cp:lastPrinted>
  <dcterms:created xsi:type="dcterms:W3CDTF">2021-05-11T17:01:00Z</dcterms:created>
  <dcterms:modified xsi:type="dcterms:W3CDTF">2021-05-12T07:50:00Z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0x010100B6481AD854AFAB4ABF16BF81F20613B0</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1791d758-6793-412c-968c-688d7ae7e34f</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