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B3D53" w14:textId="77777777" w:rsidR="00C07FDC" w:rsidRPr="00EC513F" w:rsidRDefault="00C07FDC" w:rsidP="00C07FDC">
      <w:pPr>
        <w:jc w:val="center"/>
        <w:rPr>
          <w:rFonts w:ascii="Garamond" w:hAnsi="Garamond"/>
          <w:sz w:val="24"/>
          <w:szCs w:val="24"/>
        </w:rPr>
      </w:pPr>
      <w:r w:rsidRPr="00EC513F">
        <w:rPr>
          <w:rFonts w:ascii="Garamond" w:hAnsi="Garamond"/>
          <w:sz w:val="24"/>
          <w:szCs w:val="24"/>
        </w:rPr>
        <w:t>« </w:t>
      </w:r>
      <w:proofErr w:type="spellStart"/>
      <w:r w:rsidRPr="00EC513F">
        <w:rPr>
          <w:rFonts w:ascii="Garamond" w:hAnsi="Garamond"/>
          <w:sz w:val="24"/>
          <w:szCs w:val="24"/>
        </w:rPr>
        <w:t>Taxonomy-related</w:t>
      </w:r>
      <w:proofErr w:type="spellEnd"/>
      <w:r w:rsidRPr="00EC513F">
        <w:rPr>
          <w:rFonts w:ascii="Garamond" w:hAnsi="Garamond"/>
          <w:sz w:val="24"/>
          <w:szCs w:val="24"/>
        </w:rPr>
        <w:t xml:space="preserve"> </w:t>
      </w:r>
      <w:proofErr w:type="spellStart"/>
      <w:r w:rsidRPr="00EC513F">
        <w:rPr>
          <w:rFonts w:ascii="Garamond" w:hAnsi="Garamond"/>
          <w:sz w:val="24"/>
          <w:szCs w:val="24"/>
        </w:rPr>
        <w:t>sustainability</w:t>
      </w:r>
      <w:proofErr w:type="spellEnd"/>
      <w:r w:rsidRPr="00EC513F">
        <w:rPr>
          <w:rFonts w:ascii="Garamond" w:hAnsi="Garamond"/>
          <w:sz w:val="24"/>
          <w:szCs w:val="24"/>
        </w:rPr>
        <w:t xml:space="preserve"> </w:t>
      </w:r>
      <w:proofErr w:type="spellStart"/>
      <w:r w:rsidRPr="00EC513F">
        <w:rPr>
          <w:rFonts w:ascii="Garamond" w:hAnsi="Garamond"/>
          <w:sz w:val="24"/>
          <w:szCs w:val="24"/>
        </w:rPr>
        <w:t>disclosures</w:t>
      </w:r>
      <w:proofErr w:type="spellEnd"/>
      <w:r w:rsidRPr="00EC513F">
        <w:rPr>
          <w:rFonts w:ascii="Garamond" w:hAnsi="Garamond"/>
          <w:sz w:val="24"/>
          <w:szCs w:val="24"/>
        </w:rPr>
        <w:t> »</w:t>
      </w:r>
    </w:p>
    <w:p w14:paraId="586E9E00" w14:textId="77777777" w:rsidR="00EC513F" w:rsidRPr="00EC513F" w:rsidRDefault="00EC513F" w:rsidP="00EC513F">
      <w:pPr>
        <w:jc w:val="center"/>
        <w:rPr>
          <w:rFonts w:ascii="Garamond" w:hAnsi="Garamond" w:cstheme="minorHAnsi"/>
          <w:sz w:val="24"/>
          <w:szCs w:val="24"/>
        </w:rPr>
      </w:pPr>
      <w:r w:rsidRPr="00EC513F">
        <w:rPr>
          <w:rFonts w:ascii="Garamond" w:eastAsia="Times New Roman" w:hAnsi="Garamond" w:cstheme="minorHAnsi"/>
          <w:color w:val="202124"/>
          <w:sz w:val="24"/>
          <w:szCs w:val="24"/>
          <w:lang w:eastAsia="fr-FR"/>
        </w:rPr>
        <w:t xml:space="preserve">SFAF </w:t>
      </w:r>
      <w:proofErr w:type="spellStart"/>
      <w:r w:rsidRPr="00EC513F">
        <w:rPr>
          <w:rFonts w:ascii="Garamond" w:eastAsia="Times New Roman" w:hAnsi="Garamond" w:cstheme="minorHAnsi"/>
          <w:color w:val="202124"/>
          <w:sz w:val="24"/>
          <w:szCs w:val="24"/>
          <w:lang w:eastAsia="fr-FR"/>
        </w:rPr>
        <w:t>response</w:t>
      </w:r>
      <w:proofErr w:type="spellEnd"/>
      <w:r w:rsidRPr="00EC513F">
        <w:rPr>
          <w:rFonts w:ascii="Garamond" w:eastAsia="Times New Roman" w:hAnsi="Garamond" w:cstheme="minorHAnsi"/>
          <w:color w:val="202124"/>
          <w:sz w:val="24"/>
          <w:szCs w:val="24"/>
          <w:lang w:eastAsia="fr-FR"/>
        </w:rPr>
        <w:t xml:space="preserve"> </w:t>
      </w:r>
      <w:r w:rsidRPr="00EC513F">
        <w:rPr>
          <w:rFonts w:ascii="Garamond" w:hAnsi="Garamond" w:cstheme="minorHAnsi"/>
          <w:sz w:val="24"/>
          <w:szCs w:val="24"/>
        </w:rPr>
        <w:t xml:space="preserve">(Société Française des Analystes Financiers) </w:t>
      </w:r>
    </w:p>
    <w:p w14:paraId="7A2C5E72" w14:textId="26B04F0D" w:rsidR="00EC513F" w:rsidRPr="00EC513F" w:rsidRDefault="00EC513F" w:rsidP="00EC513F">
      <w:pPr>
        <w:jc w:val="center"/>
        <w:rPr>
          <w:rFonts w:ascii="Garamond" w:eastAsia="Times New Roman" w:hAnsi="Garamond" w:cstheme="minorHAnsi"/>
          <w:color w:val="202124"/>
          <w:sz w:val="24"/>
          <w:szCs w:val="24"/>
          <w:lang w:val="en-US" w:eastAsia="fr-FR"/>
        </w:rPr>
      </w:pPr>
      <w:r w:rsidRPr="00EC513F">
        <w:rPr>
          <w:rFonts w:ascii="Garamond" w:eastAsia="Times New Roman" w:hAnsi="Garamond" w:cstheme="minorHAnsi"/>
          <w:color w:val="202124"/>
          <w:sz w:val="24"/>
          <w:szCs w:val="24"/>
          <w:lang w:val="en" w:eastAsia="fr-FR"/>
        </w:rPr>
        <w:t>to the consultation of European regulators</w:t>
      </w:r>
    </w:p>
    <w:p w14:paraId="15D80F76" w14:textId="77777777" w:rsidR="00EC513F" w:rsidRPr="00EC513F" w:rsidRDefault="00EC513F" w:rsidP="00071BD1">
      <w:pPr>
        <w:jc w:val="both"/>
        <w:rPr>
          <w:rFonts w:ascii="Garamond" w:hAnsi="Garamond"/>
          <w:sz w:val="24"/>
          <w:szCs w:val="24"/>
          <w:lang w:val="en-US"/>
        </w:rPr>
      </w:pPr>
    </w:p>
    <w:p w14:paraId="3BABB58F" w14:textId="19E8DFA2" w:rsidR="00902900" w:rsidRPr="00EC513F" w:rsidRDefault="00902900" w:rsidP="00071BD1">
      <w:pPr>
        <w:jc w:val="both"/>
        <w:rPr>
          <w:rFonts w:ascii="Garamond" w:hAnsi="Garamond"/>
          <w:sz w:val="24"/>
          <w:szCs w:val="24"/>
          <w:lang w:val="en-US"/>
        </w:rPr>
      </w:pPr>
      <w:r w:rsidRPr="00EC513F">
        <w:rPr>
          <w:rFonts w:ascii="Garamond" w:hAnsi="Garamond"/>
          <w:sz w:val="24"/>
          <w:szCs w:val="24"/>
          <w:lang w:val="en-US"/>
        </w:rPr>
        <w:t>The SFAF is a French association bringing together finance professionals in their personal capacity. It has more than 1,200 members working either as independent or as employees in Institutions or Investment Services Providers.</w:t>
      </w:r>
    </w:p>
    <w:p w14:paraId="4B3BF180" w14:textId="44B14768" w:rsidR="00902900" w:rsidRPr="00EC513F" w:rsidRDefault="00902900" w:rsidP="00071BD1">
      <w:pPr>
        <w:jc w:val="both"/>
        <w:rPr>
          <w:rFonts w:ascii="Garamond" w:hAnsi="Garamond"/>
          <w:sz w:val="24"/>
          <w:szCs w:val="24"/>
          <w:lang w:val="en-US"/>
        </w:rPr>
      </w:pPr>
      <w:r w:rsidRPr="00EC513F">
        <w:rPr>
          <w:rFonts w:ascii="Garamond" w:hAnsi="Garamond"/>
          <w:sz w:val="24"/>
          <w:szCs w:val="24"/>
          <w:lang w:val="en-US"/>
        </w:rPr>
        <w:t>The SFAF is organized into various committees, including that of Extra-financial Analysis, which brings together five Working Groups, Impact Investing, Governance, ESG Barometer and Training.</w:t>
      </w:r>
    </w:p>
    <w:p w14:paraId="600D3958" w14:textId="74467EC9" w:rsidR="00902900" w:rsidRPr="00EC513F" w:rsidRDefault="00902900" w:rsidP="00071BD1">
      <w:pPr>
        <w:jc w:val="both"/>
        <w:rPr>
          <w:rFonts w:ascii="Garamond" w:hAnsi="Garamond"/>
          <w:sz w:val="24"/>
          <w:szCs w:val="24"/>
          <w:lang w:val="en-US"/>
        </w:rPr>
      </w:pPr>
      <w:r w:rsidRPr="00EC513F">
        <w:rPr>
          <w:rFonts w:ascii="Garamond" w:hAnsi="Garamond"/>
          <w:sz w:val="24"/>
          <w:szCs w:val="24"/>
          <w:lang w:val="en-US"/>
        </w:rPr>
        <w:t>The SFAF wishes to limit itself in its responses to the consultation to a remark concerning the calculation of the K</w:t>
      </w:r>
      <w:r w:rsidR="00071BD1" w:rsidRPr="00EC513F">
        <w:rPr>
          <w:rFonts w:ascii="Garamond" w:hAnsi="Garamond"/>
          <w:sz w:val="24"/>
          <w:szCs w:val="24"/>
          <w:lang w:val="en-US"/>
        </w:rPr>
        <w:t>PI</w:t>
      </w:r>
      <w:r w:rsidRPr="00EC513F">
        <w:rPr>
          <w:rFonts w:ascii="Garamond" w:hAnsi="Garamond"/>
          <w:sz w:val="24"/>
          <w:szCs w:val="24"/>
          <w:lang w:val="en-US"/>
        </w:rPr>
        <w:t xml:space="preserve"> which favors bond assets over equity assets.</w:t>
      </w:r>
    </w:p>
    <w:p w14:paraId="1D9E8BCA" w14:textId="38AC1197" w:rsidR="00902900" w:rsidRPr="00EC513F" w:rsidRDefault="00902900" w:rsidP="00071BD1">
      <w:pPr>
        <w:jc w:val="both"/>
        <w:rPr>
          <w:rFonts w:ascii="Garamond" w:hAnsi="Garamond"/>
          <w:sz w:val="24"/>
          <w:szCs w:val="24"/>
          <w:lang w:val="en-US"/>
        </w:rPr>
      </w:pPr>
      <w:r w:rsidRPr="00EC513F">
        <w:rPr>
          <w:rFonts w:ascii="Garamond" w:hAnsi="Garamond"/>
          <w:sz w:val="24"/>
          <w:szCs w:val="24"/>
          <w:lang w:val="en-US"/>
        </w:rPr>
        <w:t xml:space="preserve">Recital 19 specifies </w:t>
      </w:r>
      <w:r w:rsidR="00576972" w:rsidRPr="00EC513F">
        <w:rPr>
          <w:rFonts w:ascii="Garamond" w:hAnsi="Garamond"/>
          <w:sz w:val="24"/>
          <w:szCs w:val="24"/>
          <w:lang w:val="en-US"/>
        </w:rPr>
        <w:t>“that the “extent” to which economic activities invested in qualify as environmentally sustainable should be shown as a graphical representation of the share of taxonomy-compliant investments of the financial product”.</w:t>
      </w:r>
    </w:p>
    <w:p w14:paraId="3C2B8F45" w14:textId="700FCC3B" w:rsidR="00576972" w:rsidRPr="00EC513F" w:rsidRDefault="00576972" w:rsidP="00071BD1">
      <w:pPr>
        <w:jc w:val="both"/>
        <w:rPr>
          <w:rFonts w:ascii="Garamond" w:hAnsi="Garamond"/>
          <w:sz w:val="24"/>
          <w:szCs w:val="24"/>
          <w:lang w:val="en-US"/>
        </w:rPr>
      </w:pPr>
      <w:r w:rsidRPr="00EC513F">
        <w:rPr>
          <w:rFonts w:ascii="Garamond" w:hAnsi="Garamond"/>
          <w:sz w:val="24"/>
          <w:szCs w:val="24"/>
          <w:lang w:val="en-US"/>
        </w:rPr>
        <w:t>Rec</w:t>
      </w:r>
      <w:r w:rsidR="00071BD1" w:rsidRPr="00EC513F">
        <w:rPr>
          <w:rFonts w:ascii="Garamond" w:hAnsi="Garamond"/>
          <w:sz w:val="24"/>
          <w:szCs w:val="24"/>
          <w:lang w:val="en-US"/>
        </w:rPr>
        <w:t>i</w:t>
      </w:r>
      <w:r w:rsidRPr="00EC513F">
        <w:rPr>
          <w:rFonts w:ascii="Garamond" w:hAnsi="Garamond"/>
          <w:sz w:val="24"/>
          <w:szCs w:val="24"/>
          <w:lang w:val="en-US"/>
        </w:rPr>
        <w:t>tal 20 pu</w:t>
      </w:r>
      <w:r w:rsidR="00071BD1" w:rsidRPr="00EC513F">
        <w:rPr>
          <w:rFonts w:ascii="Garamond" w:hAnsi="Garamond"/>
          <w:sz w:val="24"/>
          <w:szCs w:val="24"/>
          <w:lang w:val="en-US"/>
        </w:rPr>
        <w:t>r</w:t>
      </w:r>
      <w:r w:rsidRPr="00EC513F">
        <w:rPr>
          <w:rFonts w:ascii="Garamond" w:hAnsi="Garamond"/>
          <w:sz w:val="24"/>
          <w:szCs w:val="24"/>
          <w:lang w:val="en-US"/>
        </w:rPr>
        <w:t>suits : “The ESAs believe that the extent of alignment of the investments with the taxonomy is the only comparable element that should be allowed to be displayed by way of graphical representation for Article 8 and Article 9 product disclosures”.</w:t>
      </w:r>
    </w:p>
    <w:p w14:paraId="676421AF" w14:textId="45D3082F" w:rsidR="00576972" w:rsidRPr="00EC513F" w:rsidRDefault="00576972" w:rsidP="00071BD1">
      <w:pPr>
        <w:jc w:val="both"/>
        <w:rPr>
          <w:rFonts w:ascii="Garamond" w:hAnsi="Garamond"/>
          <w:sz w:val="24"/>
          <w:szCs w:val="24"/>
          <w:lang w:val="en-US"/>
        </w:rPr>
      </w:pPr>
      <w:r w:rsidRPr="00EC513F">
        <w:rPr>
          <w:rFonts w:ascii="Garamond" w:hAnsi="Garamond"/>
          <w:sz w:val="24"/>
          <w:szCs w:val="24"/>
          <w:lang w:val="en-US"/>
        </w:rPr>
        <w:t>The calculation method proposed by recital 22 favors bond assets over equity assets since green bonds issued under the future European standards on green bonds should ask for 100 % of their value in the numerator.</w:t>
      </w:r>
    </w:p>
    <w:p w14:paraId="4BEDDC59" w14:textId="03D140CF" w:rsidR="00576972" w:rsidRPr="00EC513F" w:rsidRDefault="00576972" w:rsidP="00071BD1">
      <w:pPr>
        <w:jc w:val="both"/>
        <w:rPr>
          <w:rFonts w:ascii="Garamond" w:hAnsi="Garamond"/>
          <w:sz w:val="24"/>
          <w:szCs w:val="24"/>
          <w:lang w:val="en-US"/>
        </w:rPr>
      </w:pPr>
      <w:r w:rsidRPr="00EC513F">
        <w:rPr>
          <w:rFonts w:ascii="Garamond" w:hAnsi="Garamond"/>
          <w:sz w:val="24"/>
          <w:szCs w:val="24"/>
          <w:lang w:val="en-US"/>
        </w:rPr>
        <w:t>If they were equities</w:t>
      </w:r>
      <w:r w:rsidR="00071BD1" w:rsidRPr="00EC513F">
        <w:rPr>
          <w:rFonts w:ascii="Garamond" w:hAnsi="Garamond"/>
          <w:sz w:val="24"/>
          <w:szCs w:val="24"/>
          <w:lang w:val="en-US"/>
        </w:rPr>
        <w:t>,</w:t>
      </w:r>
      <w:r w:rsidRPr="00EC513F">
        <w:rPr>
          <w:rFonts w:ascii="Garamond" w:hAnsi="Garamond"/>
          <w:sz w:val="24"/>
          <w:szCs w:val="24"/>
          <w:lang w:val="en-US"/>
        </w:rPr>
        <w:t xml:space="preserve"> the value of the securities invested by the financial product in companies must be weighted by the share of turnover or, where applicable, investment or operating expenses that contribute to ecologically sustainable economic activities.</w:t>
      </w:r>
    </w:p>
    <w:p w14:paraId="49097469" w14:textId="772DDC31" w:rsidR="00071BD1" w:rsidRPr="00EC513F" w:rsidRDefault="00576972" w:rsidP="00071BD1">
      <w:pPr>
        <w:jc w:val="both"/>
        <w:rPr>
          <w:rFonts w:ascii="Garamond" w:hAnsi="Garamond"/>
          <w:sz w:val="24"/>
          <w:szCs w:val="24"/>
          <w:lang w:val="en-US"/>
        </w:rPr>
      </w:pPr>
      <w:r w:rsidRPr="00EC513F">
        <w:rPr>
          <w:rFonts w:ascii="Garamond" w:hAnsi="Garamond"/>
          <w:sz w:val="24"/>
          <w:szCs w:val="24"/>
          <w:lang w:val="en-US"/>
        </w:rPr>
        <w:t>The SFAF thinks that this method of calculation strongly discriminates between equity and bonds.</w:t>
      </w:r>
      <w:r w:rsidR="00071BD1" w:rsidRPr="00EC513F">
        <w:rPr>
          <w:rFonts w:ascii="Garamond" w:hAnsi="Garamond"/>
          <w:sz w:val="24"/>
          <w:szCs w:val="24"/>
          <w:lang w:val="en-US"/>
        </w:rPr>
        <w:t xml:space="preserve"> </w:t>
      </w:r>
      <w:r w:rsidR="00071BD1" w:rsidRPr="00EC513F">
        <w:rPr>
          <w:rFonts w:ascii="Garamond" w:hAnsi="Garamond"/>
          <w:sz w:val="24"/>
          <w:szCs w:val="24"/>
          <w:lang w:val="en"/>
        </w:rPr>
        <w:t>Equity</w:t>
      </w:r>
      <w:r w:rsidR="00071BD1" w:rsidRPr="00EC513F">
        <w:rPr>
          <w:rFonts w:ascii="Garamond" w:hAnsi="Garamond"/>
          <w:sz w:val="24"/>
          <w:szCs w:val="24"/>
          <w:lang w:val="en"/>
        </w:rPr>
        <w:t xml:space="preserve"> represents a long financing compared to bonds which are of shorter duration</w:t>
      </w:r>
    </w:p>
    <w:p w14:paraId="0B090E50" w14:textId="4F7AE5E5" w:rsidR="00576972" w:rsidRPr="00EC513F" w:rsidRDefault="00576972" w:rsidP="00071BD1">
      <w:pPr>
        <w:jc w:val="both"/>
        <w:rPr>
          <w:rFonts w:ascii="Garamond" w:hAnsi="Garamond"/>
          <w:sz w:val="24"/>
          <w:szCs w:val="24"/>
          <w:lang w:val="en-US"/>
        </w:rPr>
      </w:pPr>
      <w:r w:rsidRPr="00EC513F">
        <w:rPr>
          <w:rFonts w:ascii="Garamond" w:hAnsi="Garamond"/>
          <w:sz w:val="24"/>
          <w:szCs w:val="24"/>
          <w:lang w:val="en-US"/>
        </w:rPr>
        <w:t>At a time when European and national institutions are trying to promote economic activity as part of the way out of the COVID crisis</w:t>
      </w:r>
      <w:r w:rsidR="00C07FDC" w:rsidRPr="00EC513F">
        <w:rPr>
          <w:rFonts w:ascii="Garamond" w:hAnsi="Garamond"/>
          <w:sz w:val="24"/>
          <w:szCs w:val="24"/>
          <w:lang w:val="en-US"/>
        </w:rPr>
        <w:t>, it seems dangerous to keep such a difference in treatment.</w:t>
      </w:r>
    </w:p>
    <w:p w14:paraId="2201B7DB" w14:textId="78E2D515" w:rsidR="00C07FDC" w:rsidRPr="00EC513F" w:rsidRDefault="00C07FDC" w:rsidP="00071BD1">
      <w:pPr>
        <w:jc w:val="both"/>
        <w:rPr>
          <w:rFonts w:ascii="Garamond" w:hAnsi="Garamond"/>
          <w:sz w:val="24"/>
          <w:szCs w:val="24"/>
          <w:lang w:val="en-US"/>
        </w:rPr>
      </w:pPr>
    </w:p>
    <w:p w14:paraId="31158D0D" w14:textId="6195614A" w:rsidR="005A2682" w:rsidRPr="00EC513F" w:rsidRDefault="005A2682" w:rsidP="00071BD1">
      <w:pPr>
        <w:jc w:val="both"/>
        <w:rPr>
          <w:rFonts w:ascii="Garamond" w:hAnsi="Garamond"/>
          <w:sz w:val="24"/>
          <w:szCs w:val="24"/>
        </w:rPr>
      </w:pPr>
      <w:r w:rsidRPr="00EC513F">
        <w:rPr>
          <w:rFonts w:ascii="Garamond" w:hAnsi="Garamond"/>
          <w:sz w:val="24"/>
          <w:szCs w:val="24"/>
        </w:rPr>
        <w:t>Paris, May 12, 2021</w:t>
      </w:r>
    </w:p>
    <w:p w14:paraId="3AC2476C" w14:textId="77777777" w:rsidR="005A2682" w:rsidRPr="00EC513F" w:rsidRDefault="005A2682">
      <w:pPr>
        <w:rPr>
          <w:rFonts w:ascii="Garamond" w:hAnsi="Garamond"/>
          <w:sz w:val="24"/>
          <w:szCs w:val="24"/>
        </w:rPr>
      </w:pPr>
    </w:p>
    <w:p w14:paraId="400DA54F" w14:textId="767105E4" w:rsidR="00C07FDC" w:rsidRPr="00EC513F" w:rsidRDefault="00C07FDC" w:rsidP="00C07FDC">
      <w:pPr>
        <w:jc w:val="both"/>
        <w:rPr>
          <w:rFonts w:ascii="Garamond" w:hAnsi="Garamond"/>
          <w:sz w:val="24"/>
          <w:szCs w:val="24"/>
        </w:rPr>
      </w:pPr>
      <w:r w:rsidRPr="00EC513F">
        <w:rPr>
          <w:rFonts w:ascii="Garamond" w:hAnsi="Garamond"/>
          <w:sz w:val="24"/>
          <w:szCs w:val="24"/>
        </w:rPr>
        <w:t xml:space="preserve">              Bruno BEAUVOIS</w:t>
      </w:r>
      <w:r w:rsidRPr="00EC513F">
        <w:rPr>
          <w:rFonts w:ascii="Garamond" w:hAnsi="Garamond"/>
          <w:sz w:val="24"/>
          <w:szCs w:val="24"/>
        </w:rPr>
        <w:tab/>
      </w:r>
      <w:r w:rsidRPr="00EC513F">
        <w:rPr>
          <w:rFonts w:ascii="Garamond" w:hAnsi="Garamond"/>
          <w:sz w:val="24"/>
          <w:szCs w:val="24"/>
        </w:rPr>
        <w:tab/>
      </w:r>
      <w:r w:rsidRPr="00EC513F">
        <w:rPr>
          <w:rFonts w:ascii="Garamond" w:hAnsi="Garamond"/>
          <w:sz w:val="24"/>
          <w:szCs w:val="24"/>
        </w:rPr>
        <w:tab/>
      </w:r>
      <w:r w:rsidRPr="00EC513F">
        <w:rPr>
          <w:rFonts w:ascii="Garamond" w:hAnsi="Garamond"/>
          <w:sz w:val="24"/>
          <w:szCs w:val="24"/>
        </w:rPr>
        <w:tab/>
      </w:r>
      <w:r w:rsidRPr="00EC513F">
        <w:rPr>
          <w:rFonts w:ascii="Garamond" w:hAnsi="Garamond"/>
          <w:sz w:val="24"/>
          <w:szCs w:val="24"/>
        </w:rPr>
        <w:tab/>
        <w:t>Martine LEONARD</w:t>
      </w:r>
    </w:p>
    <w:p w14:paraId="4EEE240F" w14:textId="3FF2E86D" w:rsidR="00C07FDC" w:rsidRPr="00EC513F" w:rsidRDefault="00EC513F" w:rsidP="005A2682">
      <w:pPr>
        <w:spacing w:after="0"/>
        <w:ind w:left="708"/>
        <w:jc w:val="both"/>
        <w:rPr>
          <w:rFonts w:ascii="Garamond" w:hAnsi="Garamond"/>
          <w:sz w:val="24"/>
          <w:szCs w:val="24"/>
        </w:rPr>
      </w:pPr>
      <w:r>
        <w:rPr>
          <w:rFonts w:ascii="Garamond" w:hAnsi="Garamond"/>
          <w:sz w:val="24"/>
          <w:szCs w:val="24"/>
        </w:rPr>
        <w:t xml:space="preserve">     </w:t>
      </w:r>
      <w:r w:rsidR="00C07FDC" w:rsidRPr="00EC513F">
        <w:rPr>
          <w:rFonts w:ascii="Garamond" w:hAnsi="Garamond"/>
          <w:sz w:val="24"/>
          <w:szCs w:val="24"/>
        </w:rPr>
        <w:t xml:space="preserve">Délégué général                               Présidente de la Commission </w:t>
      </w:r>
      <w:r>
        <w:rPr>
          <w:rFonts w:ascii="Garamond" w:hAnsi="Garamond"/>
          <w:sz w:val="24"/>
          <w:szCs w:val="24"/>
        </w:rPr>
        <w:t xml:space="preserve">Analyse </w:t>
      </w:r>
      <w:r w:rsidR="00C07FDC" w:rsidRPr="00EC513F">
        <w:rPr>
          <w:rFonts w:ascii="Garamond" w:hAnsi="Garamond"/>
          <w:sz w:val="24"/>
          <w:szCs w:val="24"/>
        </w:rPr>
        <w:t>extra-financière</w:t>
      </w:r>
    </w:p>
    <w:p w14:paraId="54F1A661" w14:textId="044C11CF" w:rsidR="00C07FDC" w:rsidRPr="00EC513F" w:rsidRDefault="00C07FDC" w:rsidP="005A2682">
      <w:pPr>
        <w:spacing w:after="0"/>
        <w:ind w:left="708"/>
        <w:jc w:val="both"/>
        <w:rPr>
          <w:rFonts w:ascii="Garamond" w:hAnsi="Garamond"/>
          <w:sz w:val="24"/>
          <w:szCs w:val="24"/>
        </w:rPr>
      </w:pPr>
      <w:r w:rsidRPr="00EC513F">
        <w:rPr>
          <w:rFonts w:ascii="Garamond" w:hAnsi="Garamond"/>
          <w:sz w:val="24"/>
          <w:szCs w:val="24"/>
        </w:rPr>
        <w:tab/>
      </w:r>
      <w:r w:rsidRPr="00EC513F">
        <w:rPr>
          <w:rFonts w:ascii="Garamond" w:hAnsi="Garamond"/>
          <w:sz w:val="24"/>
          <w:szCs w:val="24"/>
        </w:rPr>
        <w:tab/>
      </w:r>
      <w:r w:rsidRPr="00EC513F">
        <w:rPr>
          <w:rFonts w:ascii="Garamond" w:hAnsi="Garamond"/>
          <w:sz w:val="24"/>
          <w:szCs w:val="24"/>
        </w:rPr>
        <w:tab/>
      </w:r>
      <w:r w:rsidRPr="00EC513F">
        <w:rPr>
          <w:rFonts w:ascii="Garamond" w:hAnsi="Garamond"/>
          <w:sz w:val="24"/>
          <w:szCs w:val="24"/>
        </w:rPr>
        <w:tab/>
      </w:r>
      <w:r w:rsidRPr="00EC513F">
        <w:rPr>
          <w:rFonts w:ascii="Garamond" w:hAnsi="Garamond"/>
          <w:sz w:val="24"/>
          <w:szCs w:val="24"/>
        </w:rPr>
        <w:tab/>
      </w:r>
      <w:r w:rsidRPr="00EC513F">
        <w:rPr>
          <w:rFonts w:ascii="Garamond" w:hAnsi="Garamond"/>
          <w:sz w:val="24"/>
          <w:szCs w:val="24"/>
        </w:rPr>
        <w:tab/>
        <w:t xml:space="preserve">       Administrateur de la SFAF</w:t>
      </w:r>
    </w:p>
    <w:sectPr w:rsidR="00C07FDC" w:rsidRPr="00EC513F">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9870E" w14:textId="77777777" w:rsidR="00C07FDC" w:rsidRDefault="00C07FDC" w:rsidP="00C07FDC">
      <w:pPr>
        <w:spacing w:after="0" w:line="240" w:lineRule="auto"/>
      </w:pPr>
      <w:r>
        <w:separator/>
      </w:r>
    </w:p>
  </w:endnote>
  <w:endnote w:type="continuationSeparator" w:id="0">
    <w:p w14:paraId="77CEC66F" w14:textId="77777777" w:rsidR="00C07FDC" w:rsidRDefault="00C07FDC" w:rsidP="00C07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E480D" w14:textId="77777777" w:rsidR="00C07FDC" w:rsidRDefault="00C07FDC" w:rsidP="00C07FDC">
      <w:pPr>
        <w:spacing w:after="0" w:line="240" w:lineRule="auto"/>
      </w:pPr>
      <w:r>
        <w:separator/>
      </w:r>
    </w:p>
  </w:footnote>
  <w:footnote w:type="continuationSeparator" w:id="0">
    <w:p w14:paraId="46DFF0B8" w14:textId="77777777" w:rsidR="00C07FDC" w:rsidRDefault="00C07FDC" w:rsidP="00C07F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02779" w14:textId="7193CDC6" w:rsidR="00C07FDC" w:rsidRDefault="00C07FDC">
    <w:pPr>
      <w:pStyle w:val="En-tte"/>
    </w:pPr>
    <w:r>
      <w:rPr>
        <w:noProof/>
      </w:rPr>
      <w:drawing>
        <wp:inline distT="0" distB="0" distL="0" distR="0" wp14:anchorId="4618FF15" wp14:editId="04D797DB">
          <wp:extent cx="1274947" cy="806450"/>
          <wp:effectExtent l="0" t="0" r="190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278824" cy="808902"/>
                  </a:xfrm>
                  <a:prstGeom prst="rect">
                    <a:avLst/>
                  </a:prstGeom>
                </pic:spPr>
              </pic:pic>
            </a:graphicData>
          </a:graphic>
        </wp:inline>
      </w:drawing>
    </w:r>
  </w:p>
  <w:p w14:paraId="4E4A0B0E" w14:textId="45B4D940" w:rsidR="00C07FDC" w:rsidRDefault="00C07FDC">
    <w:pPr>
      <w:pStyle w:val="En-tte"/>
    </w:pPr>
  </w:p>
  <w:p w14:paraId="45FF487D" w14:textId="77777777" w:rsidR="00C07FDC" w:rsidRDefault="00C07FD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896"/>
    <w:rsid w:val="00071BD1"/>
    <w:rsid w:val="00123A26"/>
    <w:rsid w:val="00362182"/>
    <w:rsid w:val="00576972"/>
    <w:rsid w:val="005A2682"/>
    <w:rsid w:val="007D20A8"/>
    <w:rsid w:val="00902900"/>
    <w:rsid w:val="00C07FDC"/>
    <w:rsid w:val="00EA6896"/>
    <w:rsid w:val="00EC513F"/>
    <w:rsid w:val="00F16B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B98BE4"/>
  <w15:chartTrackingRefBased/>
  <w15:docId w15:val="{365D61E2-BFDF-4DDD-BFCF-C3F57F573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unhideWhenUsed/>
    <w:rsid w:val="00F16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F16BF1"/>
    <w:rPr>
      <w:rFonts w:ascii="Courier New" w:eastAsia="Times New Roman" w:hAnsi="Courier New" w:cs="Courier New"/>
      <w:sz w:val="20"/>
      <w:szCs w:val="20"/>
      <w:lang w:eastAsia="fr-FR"/>
    </w:rPr>
  </w:style>
  <w:style w:type="character" w:customStyle="1" w:styleId="y2iqfc">
    <w:name w:val="y2iqfc"/>
    <w:basedOn w:val="Policepardfaut"/>
    <w:rsid w:val="00F16BF1"/>
  </w:style>
  <w:style w:type="paragraph" w:styleId="En-tte">
    <w:name w:val="header"/>
    <w:basedOn w:val="Normal"/>
    <w:link w:val="En-tteCar"/>
    <w:uiPriority w:val="99"/>
    <w:unhideWhenUsed/>
    <w:rsid w:val="00C07FDC"/>
    <w:pPr>
      <w:tabs>
        <w:tab w:val="center" w:pos="4536"/>
        <w:tab w:val="right" w:pos="9072"/>
      </w:tabs>
      <w:spacing w:after="0" w:line="240" w:lineRule="auto"/>
    </w:pPr>
  </w:style>
  <w:style w:type="character" w:customStyle="1" w:styleId="En-tteCar">
    <w:name w:val="En-tête Car"/>
    <w:basedOn w:val="Policepardfaut"/>
    <w:link w:val="En-tte"/>
    <w:uiPriority w:val="99"/>
    <w:rsid w:val="00C07FDC"/>
  </w:style>
  <w:style w:type="paragraph" w:styleId="Pieddepage">
    <w:name w:val="footer"/>
    <w:basedOn w:val="Normal"/>
    <w:link w:val="PieddepageCar"/>
    <w:uiPriority w:val="99"/>
    <w:unhideWhenUsed/>
    <w:rsid w:val="00C07FD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7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24903">
      <w:bodyDiv w:val="1"/>
      <w:marLeft w:val="0"/>
      <w:marRight w:val="0"/>
      <w:marTop w:val="0"/>
      <w:marBottom w:val="0"/>
      <w:divBdr>
        <w:top w:val="none" w:sz="0" w:space="0" w:color="auto"/>
        <w:left w:val="none" w:sz="0" w:space="0" w:color="auto"/>
        <w:bottom w:val="none" w:sz="0" w:space="0" w:color="auto"/>
        <w:right w:val="none" w:sz="0" w:space="0" w:color="auto"/>
      </w:divBdr>
    </w:div>
    <w:div w:id="604386235">
      <w:bodyDiv w:val="1"/>
      <w:marLeft w:val="0"/>
      <w:marRight w:val="0"/>
      <w:marTop w:val="0"/>
      <w:marBottom w:val="0"/>
      <w:divBdr>
        <w:top w:val="none" w:sz="0" w:space="0" w:color="auto"/>
        <w:left w:val="none" w:sz="0" w:space="0" w:color="auto"/>
        <w:bottom w:val="none" w:sz="0" w:space="0" w:color="auto"/>
        <w:right w:val="none" w:sz="0" w:space="0" w:color="auto"/>
      </w:divBdr>
    </w:div>
    <w:div w:id="789520199">
      <w:bodyDiv w:val="1"/>
      <w:marLeft w:val="0"/>
      <w:marRight w:val="0"/>
      <w:marTop w:val="0"/>
      <w:marBottom w:val="0"/>
      <w:divBdr>
        <w:top w:val="none" w:sz="0" w:space="0" w:color="auto"/>
        <w:left w:val="none" w:sz="0" w:space="0" w:color="auto"/>
        <w:bottom w:val="none" w:sz="0" w:space="0" w:color="auto"/>
        <w:right w:val="none" w:sz="0" w:space="0" w:color="auto"/>
      </w:divBdr>
    </w:div>
    <w:div w:id="955713629">
      <w:bodyDiv w:val="1"/>
      <w:marLeft w:val="0"/>
      <w:marRight w:val="0"/>
      <w:marTop w:val="0"/>
      <w:marBottom w:val="0"/>
      <w:divBdr>
        <w:top w:val="none" w:sz="0" w:space="0" w:color="auto"/>
        <w:left w:val="none" w:sz="0" w:space="0" w:color="auto"/>
        <w:bottom w:val="none" w:sz="0" w:space="0" w:color="auto"/>
        <w:right w:val="none" w:sz="0" w:space="0" w:color="auto"/>
      </w:divBdr>
    </w:div>
    <w:div w:id="969171808">
      <w:bodyDiv w:val="1"/>
      <w:marLeft w:val="0"/>
      <w:marRight w:val="0"/>
      <w:marTop w:val="0"/>
      <w:marBottom w:val="0"/>
      <w:divBdr>
        <w:top w:val="none" w:sz="0" w:space="0" w:color="auto"/>
        <w:left w:val="none" w:sz="0" w:space="0" w:color="auto"/>
        <w:bottom w:val="none" w:sz="0" w:space="0" w:color="auto"/>
        <w:right w:val="none" w:sz="0" w:space="0" w:color="auto"/>
      </w:divBdr>
    </w:div>
    <w:div w:id="975110365">
      <w:bodyDiv w:val="1"/>
      <w:marLeft w:val="0"/>
      <w:marRight w:val="0"/>
      <w:marTop w:val="0"/>
      <w:marBottom w:val="0"/>
      <w:divBdr>
        <w:top w:val="none" w:sz="0" w:space="0" w:color="auto"/>
        <w:left w:val="none" w:sz="0" w:space="0" w:color="auto"/>
        <w:bottom w:val="none" w:sz="0" w:space="0" w:color="auto"/>
        <w:right w:val="none" w:sz="0" w:space="0" w:color="auto"/>
      </w:divBdr>
    </w:div>
    <w:div w:id="1290671262">
      <w:bodyDiv w:val="1"/>
      <w:marLeft w:val="0"/>
      <w:marRight w:val="0"/>
      <w:marTop w:val="0"/>
      <w:marBottom w:val="0"/>
      <w:divBdr>
        <w:top w:val="none" w:sz="0" w:space="0" w:color="auto"/>
        <w:left w:val="none" w:sz="0" w:space="0" w:color="auto"/>
        <w:bottom w:val="none" w:sz="0" w:space="0" w:color="auto"/>
        <w:right w:val="none" w:sz="0" w:space="0" w:color="auto"/>
      </w:divBdr>
    </w:div>
    <w:div w:id="1921909545">
      <w:bodyDiv w:val="1"/>
      <w:marLeft w:val="0"/>
      <w:marRight w:val="0"/>
      <w:marTop w:val="0"/>
      <w:marBottom w:val="0"/>
      <w:divBdr>
        <w:top w:val="none" w:sz="0" w:space="0" w:color="auto"/>
        <w:left w:val="none" w:sz="0" w:space="0" w:color="auto"/>
        <w:bottom w:val="none" w:sz="0" w:space="0" w:color="auto"/>
        <w:right w:val="none" w:sz="0" w:space="0" w:color="auto"/>
      </w:divBdr>
    </w:div>
    <w:div w:id="201151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1945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Beauvois</dc:creator>
  <cp:keywords/>
  <dc:description/>
  <cp:lastModifiedBy>Bruno Beauvois</cp:lastModifiedBy>
  <cp:revision>2</cp:revision>
  <dcterms:created xsi:type="dcterms:W3CDTF">2021-05-12T08:48:00Z</dcterms:created>
  <dcterms:modified xsi:type="dcterms:W3CDTF">2021-05-12T08:48:00Z</dcterms:modified>
</cp:coreProperties>
</file>