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rPr>
        <w:id w:val="-973058580"/>
        <w:docPartObj>
          <w:docPartGallery w:val="Cover Pages"/>
          <w:docPartUnique/>
        </w:docPartObj>
      </w:sdt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3CDBB7D7"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 xml:space="preserve">Response Form to the </w:t>
                </w:r>
                <w:r w:rsidR="008B2AF1">
                  <w:rPr>
                    <w:rFonts w:asciiTheme="minorHAnsi" w:hAnsiTheme="minorHAnsi" w:cstheme="minorHAnsi"/>
                    <w:sz w:val="48"/>
                    <w:szCs w:val="48"/>
                  </w:rPr>
                  <w:t xml:space="preserve">Consultation Paper </w:t>
                </w:r>
              </w:p>
            </w:tc>
          </w:tr>
          <w:tr w:rsidR="00AB6157" w:rsidRPr="00B8572C" w14:paraId="76D253F5" w14:textId="77777777" w:rsidTr="00D13661">
            <w:trPr>
              <w:trHeight w:hRule="exact" w:val="747"/>
            </w:trPr>
            <w:tc>
              <w:tcPr>
                <w:tcW w:w="10490" w:type="dxa"/>
                <w:tcMar>
                  <w:top w:w="142" w:type="dxa"/>
                </w:tcMar>
              </w:tcPr>
              <w:p w14:paraId="4D4BF1F9" w14:textId="77777777" w:rsidR="00854E85" w:rsidRDefault="00854E85" w:rsidP="00854E85">
                <w:pPr>
                  <w:pStyle w:val="Subtitle"/>
                  <w:rPr>
                    <w:rFonts w:cs="Arial"/>
                  </w:rPr>
                </w:pPr>
                <w:r>
                  <w:rPr>
                    <w:rFonts w:cs="Arial"/>
                  </w:rPr>
                  <w:t xml:space="preserve">Guidelines </w:t>
                </w:r>
                <w:bookmarkStart w:id="0" w:name="_Hlk62463695"/>
                <w:r>
                  <w:rPr>
                    <w:rFonts w:cs="Arial"/>
                  </w:rPr>
                  <w:t xml:space="preserve">on </w:t>
                </w:r>
                <w:bookmarkStart w:id="1" w:name="_Hlk63180787"/>
                <w:r>
                  <w:rPr>
                    <w:rFonts w:cs="Arial"/>
                  </w:rPr>
                  <w:t>methodology to be used in exceptional circumstances and amendment to the guidelines on non-significant benchmar</w:t>
                </w:r>
                <w:bookmarkEnd w:id="0"/>
                <w:r>
                  <w:rPr>
                    <w:rFonts w:cs="Arial"/>
                  </w:rPr>
                  <w:t>ks</w:t>
                </w:r>
                <w:bookmarkEnd w:id="1"/>
              </w:p>
              <w:p w14:paraId="7EFF292E" w14:textId="137345E0" w:rsidR="00363639" w:rsidRDefault="00363639" w:rsidP="00363639">
                <w:pPr>
                  <w:pStyle w:val="Subtitle"/>
                  <w:rPr>
                    <w:rFonts w:cs="Arial"/>
                  </w:rPr>
                </w:pPr>
              </w:p>
              <w:p w14:paraId="26CF3934" w14:textId="4EE33F45" w:rsidR="00AB6157" w:rsidRPr="00B8572C" w:rsidRDefault="00AB6157" w:rsidP="00AB6157">
                <w:pPr>
                  <w:pStyle w:val="Heading2"/>
                  <w:numPr>
                    <w:ilvl w:val="0"/>
                    <w:numId w:val="0"/>
                  </w:numPr>
                  <w:ind w:left="576" w:hanging="576"/>
                </w:pP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default"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4D09CB70"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paper and in particular on the specific questions summarised in Annex </w:t>
          </w:r>
          <w:r w:rsidR="0010762E">
            <w:rPr>
              <w:rFonts w:asciiTheme="minorHAnsi" w:eastAsiaTheme="minorEastAsia" w:hAnsiTheme="minorHAnsi" w:cstheme="minorBidi"/>
              <w:sz w:val="22"/>
              <w:szCs w:val="20"/>
              <w:lang w:eastAsia="en-US"/>
            </w:rPr>
            <w:t>1</w:t>
          </w:r>
          <w:r w:rsidRPr="00AB6157">
            <w:rPr>
              <w:rFonts w:asciiTheme="minorHAnsi" w:eastAsiaTheme="minorEastAsia" w:hAnsiTheme="minorHAnsi" w:cstheme="minorBidi"/>
              <w:sz w:val="22"/>
              <w:szCs w:val="20"/>
              <w:lang w:eastAsia="en-US"/>
            </w:rPr>
            <w:t>.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19DC48EC"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2D118A">
            <w:rPr>
              <w:rFonts w:asciiTheme="minorHAnsi" w:eastAsiaTheme="minorEastAsia" w:hAnsiTheme="minorHAnsi" w:cstheme="minorBidi"/>
              <w:sz w:val="22"/>
              <w:szCs w:val="20"/>
              <w:lang w:eastAsia="en-US"/>
            </w:rPr>
            <w:t>ESMA</w:t>
          </w:r>
          <w:r w:rsidRPr="00AB6157">
            <w:rPr>
              <w:rFonts w:asciiTheme="minorHAnsi" w:eastAsiaTheme="minorEastAsia" w:hAnsiTheme="minorHAnsi" w:cstheme="minorBidi"/>
              <w:sz w:val="22"/>
              <w:szCs w:val="20"/>
              <w:lang w:eastAsia="en-US"/>
            </w:rPr>
            <w:t xml:space="preserve"> will consider all comments received </w:t>
          </w:r>
          <w:r w:rsidRPr="002D118A">
            <w:rPr>
              <w:rFonts w:asciiTheme="minorHAnsi" w:eastAsiaTheme="minorEastAsia" w:hAnsiTheme="minorHAnsi" w:cstheme="minorBidi"/>
              <w:sz w:val="22"/>
              <w:szCs w:val="20"/>
              <w:lang w:eastAsia="en-US"/>
            </w:rPr>
            <w:t xml:space="preserve">by </w:t>
          </w:r>
          <w:r w:rsidR="00854E85" w:rsidRPr="00854E85">
            <w:rPr>
              <w:rFonts w:asciiTheme="minorHAnsi" w:eastAsiaTheme="minorEastAsia" w:hAnsiTheme="minorHAnsi" w:cstheme="minorBidi"/>
              <w:b/>
              <w:sz w:val="22"/>
              <w:szCs w:val="20"/>
              <w:lang w:eastAsia="en-US"/>
            </w:rPr>
            <w:t>3</w:t>
          </w:r>
          <w:r w:rsidR="0010762E">
            <w:rPr>
              <w:rFonts w:asciiTheme="minorHAnsi" w:eastAsiaTheme="minorEastAsia" w:hAnsiTheme="minorHAnsi" w:cstheme="minorBidi"/>
              <w:b/>
              <w:sz w:val="22"/>
              <w:szCs w:val="20"/>
              <w:lang w:eastAsia="en-US"/>
            </w:rPr>
            <w:t xml:space="preserve">0 </w:t>
          </w:r>
          <w:r w:rsidR="00854E85">
            <w:rPr>
              <w:rFonts w:asciiTheme="minorHAnsi" w:eastAsiaTheme="minorEastAsia" w:hAnsiTheme="minorHAnsi" w:cstheme="minorBidi"/>
              <w:b/>
              <w:sz w:val="22"/>
              <w:szCs w:val="20"/>
              <w:lang w:eastAsia="en-US"/>
            </w:rPr>
            <w:t>April</w:t>
          </w:r>
          <w:r w:rsidR="008F1DCF">
            <w:rPr>
              <w:rFonts w:asciiTheme="minorHAnsi" w:eastAsiaTheme="minorEastAsia" w:hAnsiTheme="minorHAnsi" w:cstheme="minorBidi"/>
              <w:b/>
              <w:sz w:val="22"/>
              <w:szCs w:val="20"/>
              <w:lang w:eastAsia="en-US"/>
            </w:rPr>
            <w:t xml:space="preserve"> 202</w:t>
          </w:r>
          <w:r w:rsidR="00854E85">
            <w:rPr>
              <w:rFonts w:asciiTheme="minorHAnsi" w:eastAsiaTheme="minorEastAsia" w:hAnsiTheme="minorHAnsi" w:cstheme="minorBidi"/>
              <w:b/>
              <w:sz w:val="22"/>
              <w:szCs w:val="20"/>
              <w:lang w:eastAsia="en-US"/>
            </w:rPr>
            <w:t>1</w:t>
          </w:r>
          <w:r w:rsidRPr="002D118A">
            <w:rPr>
              <w:rFonts w:asciiTheme="minorHAnsi" w:eastAsiaTheme="minorEastAsia" w:hAnsiTheme="minorHAnsi" w:cstheme="minorBidi"/>
              <w:b/>
              <w:sz w:val="22"/>
              <w:szCs w:val="20"/>
              <w:lang w:eastAsia="en-US"/>
            </w:rPr>
            <w:t>.</w:t>
          </w:r>
        </w:p>
        <w:p w14:paraId="6ABAAC1F" w14:textId="50B9A93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5"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1200930E" w14:textId="5BFB56D4"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Insert your responses to the questions in the Consultation Paper in the present response form. </w:t>
          </w:r>
        </w:p>
        <w:p w14:paraId="3B16398E" w14:textId="5E29823B"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10762E">
            <w:rPr>
              <w:rFonts w:eastAsiaTheme="minorEastAsia" w:cstheme="minorBidi"/>
              <w:szCs w:val="20"/>
              <w:lang w:eastAsia="en-US"/>
            </w:rPr>
            <w:t>CP_</w:t>
          </w:r>
          <w:r w:rsidR="00854E85">
            <w:rPr>
              <w:rFonts w:eastAsiaTheme="minorEastAsia" w:cstheme="minorBidi"/>
              <w:szCs w:val="20"/>
              <w:lang w:eastAsia="en-US"/>
            </w:rPr>
            <w:t>GMEC</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37797272"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the following convention: ESMA_</w:t>
          </w:r>
          <w:r w:rsidR="00854E85" w:rsidRPr="00854E85">
            <w:rPr>
              <w:rFonts w:eastAsiaTheme="minorEastAsia" w:cstheme="minorBidi"/>
              <w:szCs w:val="20"/>
              <w:lang w:eastAsia="en-US"/>
            </w:rPr>
            <w:t xml:space="preserve"> </w:t>
          </w:r>
          <w:r w:rsidR="00854E85">
            <w:rPr>
              <w:rFonts w:eastAsiaTheme="minorEastAsia" w:cstheme="minorBidi"/>
              <w:szCs w:val="20"/>
              <w:lang w:eastAsia="en-US"/>
            </w:rPr>
            <w:t>GMEC</w:t>
          </w:r>
          <w:r w:rsidR="00854E85" w:rsidRPr="00C85C8B">
            <w:rPr>
              <w:rFonts w:eastAsiaTheme="minorEastAsia" w:cstheme="minorBidi"/>
              <w:szCs w:val="20"/>
              <w:lang w:eastAsia="en-US"/>
            </w:rPr>
            <w:t xml:space="preserve"> </w:t>
          </w:r>
          <w:r w:rsidRPr="00C85C8B">
            <w:rPr>
              <w:rFonts w:eastAsiaTheme="minorEastAsia" w:cstheme="minorBidi"/>
              <w:szCs w:val="20"/>
              <w:lang w:eastAsia="en-US"/>
            </w:rPr>
            <w:t>_nameofrespondent_RESPONSEFORM. For example, for a respondent named ABCD, the response</w:t>
          </w:r>
          <w:r>
            <w:rPr>
              <w:rFonts w:eastAsiaTheme="minorEastAsia" w:cstheme="minorBidi"/>
              <w:szCs w:val="20"/>
              <w:lang w:eastAsia="en-US"/>
            </w:rPr>
            <w:t xml:space="preserve"> form would be entitled ESMA_</w:t>
          </w:r>
          <w:r w:rsidR="00854E85" w:rsidRPr="00854E85">
            <w:rPr>
              <w:rFonts w:eastAsiaTheme="minorEastAsia" w:cstheme="minorBidi"/>
              <w:szCs w:val="20"/>
              <w:lang w:eastAsia="en-US"/>
            </w:rPr>
            <w:t xml:space="preserve"> </w:t>
          </w:r>
          <w:r w:rsidR="00854E85">
            <w:rPr>
              <w:rFonts w:eastAsiaTheme="minorEastAsia" w:cstheme="minorBidi"/>
              <w:szCs w:val="20"/>
              <w:lang w:eastAsia="en-US"/>
            </w:rPr>
            <w:t>GMEC</w:t>
          </w:r>
          <w:r w:rsidRPr="00C85C8B">
            <w:rPr>
              <w:rFonts w:eastAsiaTheme="minorEastAsia" w:cstheme="minorBidi"/>
              <w:szCs w:val="20"/>
              <w:lang w:eastAsia="en-US"/>
            </w:rPr>
            <w:t>_ABCD_RESPONSEFORM.</w:t>
          </w:r>
        </w:p>
        <w:p w14:paraId="1A9C59D6" w14:textId="3A1FB9B8"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6"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w:t>
          </w:r>
          <w:r w:rsidR="008F1DCF">
            <w:rPr>
              <w:rFonts w:eastAsiaTheme="minorEastAsia" w:cstheme="minorBidi"/>
              <w:szCs w:val="20"/>
              <w:lang w:eastAsia="en-US"/>
            </w:rPr>
            <w:t>C</w:t>
          </w:r>
          <w:r w:rsidRPr="00C85C8B">
            <w:rPr>
              <w:rFonts w:eastAsiaTheme="minorEastAsia" w:cstheme="minorBidi"/>
              <w:szCs w:val="20"/>
              <w:lang w:eastAsia="en-US"/>
            </w:rPr>
            <w:t xml:space="preserve">onsultations” </w:t>
          </w:r>
          <w:r w:rsidRPr="00C85C8B">
            <w:rPr>
              <w:rFonts w:eastAsiaTheme="minorEastAsia"/>
              <w:lang w:eastAsia="en-US"/>
            </w:rPr>
            <w:sym w:font="Wingdings" w:char="F0E0"/>
          </w:r>
          <w:r w:rsidRPr="00C85C8B">
            <w:rPr>
              <w:rFonts w:eastAsiaTheme="minorEastAsia" w:cstheme="minorBidi"/>
              <w:szCs w:val="20"/>
              <w:lang w:eastAsia="en-US"/>
            </w:rPr>
            <w:t xml:space="preserve"> </w:t>
          </w:r>
          <w:r w:rsidRPr="00C85C8B">
            <w:rPr>
              <w:rFonts w:eastAsiaTheme="minorEastAsia" w:cstheme="minorBidi"/>
              <w:szCs w:val="20"/>
              <w:lang w:eastAsia="en-US"/>
            </w:rPr>
            <w:lastRenderedPageBreak/>
            <w:t>“</w:t>
          </w:r>
          <w:r w:rsidR="009C4F59">
            <w:rPr>
              <w:rFonts w:cs="Arial"/>
            </w:rPr>
            <w:t>Guidelines on methodology to be used in exceptional circumstances and amendment to the guidelines on non-significant benchmarks</w:t>
          </w:r>
          <w:r w:rsidRPr="00C85C8B">
            <w:rPr>
              <w:rFonts w:eastAsiaTheme="minorEastAsia" w:cstheme="minorBidi"/>
              <w:szCs w:val="20"/>
              <w:lang w:eastAsia="en-US"/>
            </w:rPr>
            <w:t>”).</w:t>
          </w: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Publication of responses</w:t>
          </w:r>
        </w:p>
        <w:p w14:paraId="0E37E27C" w14:textId="5B7931C9" w:rsidR="0010762E" w:rsidRDefault="0010762E" w:rsidP="0010762E">
          <w:pPr>
            <w:spacing w:after="250" w:line="276" w:lineRule="auto"/>
            <w:jc w:val="both"/>
            <w:rPr>
              <w:rFonts w:asciiTheme="minorHAnsi" w:eastAsiaTheme="minorEastAsia" w:hAnsiTheme="minorHAnsi" w:cstheme="minorBidi"/>
              <w:sz w:val="22"/>
              <w:szCs w:val="20"/>
              <w:lang w:eastAsia="en-US"/>
            </w:rPr>
          </w:pPr>
          <w:r w:rsidRPr="0010762E">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5377C076" w14:textId="77777777" w:rsidR="0010762E" w:rsidRPr="0010762E" w:rsidRDefault="0010762E" w:rsidP="0010762E">
          <w:pPr>
            <w:spacing w:after="250" w:line="276" w:lineRule="auto"/>
            <w:jc w:val="both"/>
            <w:rPr>
              <w:rFonts w:asciiTheme="minorHAnsi" w:eastAsiaTheme="minorEastAsia" w:hAnsiTheme="minorHAnsi" w:cstheme="minorBidi"/>
              <w:sz w:val="22"/>
              <w:szCs w:val="20"/>
              <w:lang w:eastAsia="en-US"/>
            </w:rPr>
          </w:pP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39C99B77" w:rsid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17"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18"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065DE725" w14:textId="77777777" w:rsidR="0010762E" w:rsidRPr="00AB6157" w:rsidRDefault="0010762E" w:rsidP="00AB6157">
          <w:pPr>
            <w:spacing w:after="250" w:line="276" w:lineRule="auto"/>
            <w:jc w:val="both"/>
            <w:rPr>
              <w:rFonts w:asciiTheme="minorHAnsi" w:eastAsiaTheme="minorEastAsia" w:hAnsiTheme="minorHAnsi" w:cstheme="minorBidi"/>
              <w:sz w:val="22"/>
              <w:szCs w:val="20"/>
              <w:lang w:eastAsia="en-US"/>
            </w:rPr>
          </w:pPr>
        </w:p>
        <w:p w14:paraId="7C02CD7B" w14:textId="7FC35D6F"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sdtContent>
    </w:sdt>
    <w:p w14:paraId="53617EDB" w14:textId="77777777" w:rsidR="0010762E" w:rsidRPr="0010762E" w:rsidRDefault="0010762E" w:rsidP="0010762E">
      <w:pPr>
        <w:spacing w:after="250" w:line="276" w:lineRule="auto"/>
        <w:jc w:val="both"/>
        <w:rPr>
          <w:rFonts w:asciiTheme="minorHAnsi" w:eastAsiaTheme="minorEastAsia" w:hAnsiTheme="minorHAnsi" w:cstheme="minorBidi"/>
          <w:sz w:val="22"/>
          <w:szCs w:val="20"/>
          <w:lang w:eastAsia="en-US"/>
        </w:rPr>
      </w:pPr>
      <w:r w:rsidRPr="0010762E">
        <w:rPr>
          <w:rFonts w:asciiTheme="minorHAnsi" w:eastAsiaTheme="minorEastAsia" w:hAnsiTheme="minorHAnsi" w:cstheme="minorBidi"/>
          <w:sz w:val="22"/>
          <w:szCs w:val="20"/>
          <w:lang w:eastAsia="en-US"/>
        </w:rPr>
        <w:t>This paper may be specifically of interest to administrators of benchmarks, contributors to benchmarks and to any investor dealing with financial instruments and financial contracts whose value is determined by a benchmark or with investment funds whose performances are measured by means of a benchmark.</w:t>
      </w:r>
    </w:p>
    <w:p w14:paraId="48A7DB1B" w14:textId="2EFAEF5E" w:rsidR="0010762E" w:rsidRPr="008F1DCF" w:rsidRDefault="0010762E" w:rsidP="008F1DCF">
      <w:pPr>
        <w:spacing w:after="250" w:line="276" w:lineRule="auto"/>
        <w:jc w:val="both"/>
        <w:rPr>
          <w:rFonts w:asciiTheme="minorHAnsi" w:eastAsiaTheme="minorEastAsia" w:hAnsiTheme="minorHAnsi" w:cstheme="minorBidi"/>
          <w:sz w:val="22"/>
          <w:szCs w:val="20"/>
          <w:lang w:eastAsia="en-US"/>
        </w:rPr>
        <w:sectPr w:rsidR="0010762E" w:rsidRPr="008F1DCF" w:rsidSect="00AC79E0">
          <w:headerReference w:type="default" r:id="rId19"/>
          <w:footerReference w:type="default" r:id="rId20"/>
          <w:headerReference w:type="first" r:id="rId21"/>
          <w:pgSz w:w="11906" w:h="16838"/>
          <w:pgMar w:top="1417" w:right="1417" w:bottom="1417" w:left="1417" w:header="708" w:footer="708" w:gutter="0"/>
          <w:pgNumType w:start="2"/>
          <w:cols w:space="708"/>
          <w:docGrid w:linePitch="360"/>
        </w:sectPr>
      </w:pPr>
    </w:p>
    <w:p w14:paraId="20AC791C" w14:textId="77777777" w:rsidR="00AF2EF7" w:rsidRPr="00B8572C" w:rsidRDefault="00AF2EF7" w:rsidP="00AF2EF7">
      <w:pPr>
        <w:spacing w:after="120" w:line="276" w:lineRule="auto"/>
        <w:rPr>
          <w:rFonts w:asciiTheme="minorHAnsi" w:hAnsiTheme="minorHAnsi" w:cstheme="minorHAnsi"/>
        </w:rPr>
      </w:pPr>
    </w:p>
    <w:p w14:paraId="54809E84" w14:textId="38073B1E" w:rsidR="00C85C8B" w:rsidRDefault="00C85C8B" w:rsidP="00C1698A">
      <w:pPr>
        <w:spacing w:line="276" w:lineRule="auto"/>
        <w:rPr>
          <w:rFonts w:asciiTheme="minorHAnsi" w:hAnsiTheme="minorHAnsi" w:cstheme="minorHAnsi"/>
          <w:b/>
          <w:sz w:val="28"/>
          <w:szCs w:val="28"/>
        </w:rPr>
      </w:pPr>
      <w:bookmarkStart w:id="2"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text/>
          </w:sdtPr>
          <w:sdtEndPr/>
          <w:sdtContent>
            <w:tc>
              <w:tcPr>
                <w:tcW w:w="5595" w:type="dxa"/>
                <w:shd w:val="clear" w:color="auto" w:fill="auto"/>
              </w:tcPr>
              <w:p w14:paraId="1B67440D" w14:textId="736F5F42" w:rsidR="00C85C8B" w:rsidRPr="00C85C8B" w:rsidRDefault="006343D0" w:rsidP="00C85C8B">
                <w:pPr>
                  <w:rPr>
                    <w:rFonts w:ascii="Arial" w:hAnsi="Arial" w:cs="Arial"/>
                    <w:color w:val="808080"/>
                    <w:sz w:val="20"/>
                    <w:lang w:eastAsia="de-DE"/>
                  </w:rPr>
                </w:pPr>
                <w:r>
                  <w:rPr>
                    <w:rFonts w:ascii="Arial" w:hAnsi="Arial" w:cs="Arial"/>
                    <w:color w:val="808080"/>
                    <w:sz w:val="20"/>
                    <w:lang w:eastAsia="de-DE"/>
                  </w:rPr>
                  <w:t>London Stock Exchange Group</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2ACE9027" w:rsidR="00C85C8B" w:rsidRPr="00C85C8B" w:rsidRDefault="00966A68"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951745">
                  <w:rPr>
                    <w:rFonts w:ascii="Arial" w:hAnsi="Arial" w:cs="Arial"/>
                    <w:sz w:val="20"/>
                    <w:lang w:eastAsia="de-DE"/>
                  </w:rPr>
                  <w:t>Other Financial service providers</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7777777" w:rsidR="00C85C8B" w:rsidRPr="00C85C8B" w:rsidRDefault="00C85C8B" w:rsidP="00C85C8B">
                <w:pPr>
                  <w:rPr>
                    <w:rFonts w:ascii="Arial" w:hAnsi="Arial" w:cs="Arial"/>
                    <w:sz w:val="20"/>
                    <w:lang w:eastAsia="de-DE"/>
                  </w:rPr>
                </w:pPr>
                <w:r w:rsidRPr="00C85C8B">
                  <w:rPr>
                    <w:rFonts w:ascii="Segoe UI Symbol" w:hAnsi="Segoe UI Symbol" w:cs="Segoe UI Symbol"/>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3C5BB711" w:rsidR="00C85C8B" w:rsidRPr="00C85C8B" w:rsidRDefault="006343D0" w:rsidP="00C85C8B">
                <w:pPr>
                  <w:rPr>
                    <w:rFonts w:ascii="Arial" w:hAnsi="Arial" w:cs="Arial"/>
                    <w:sz w:val="20"/>
                    <w:lang w:eastAsia="de-DE"/>
                  </w:rPr>
                </w:pPr>
                <w:r>
                  <w:rPr>
                    <w:rFonts w:ascii="Arial" w:hAnsi="Arial" w:cs="Arial"/>
                    <w:sz w:val="20"/>
                    <w:lang w:eastAsia="de-DE"/>
                  </w:rPr>
                  <w:t>Europe</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6749BFD6"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10762E">
        <w:rPr>
          <w:rFonts w:asciiTheme="minorHAnsi" w:eastAsiaTheme="minorEastAsia" w:hAnsiTheme="minorHAnsi" w:cstheme="minorBidi"/>
          <w:sz w:val="22"/>
          <w:szCs w:val="20"/>
          <w:lang w:eastAsia="en-US"/>
        </w:rPr>
        <w:t>CP_</w:t>
      </w:r>
      <w:r w:rsidR="009C4F59">
        <w:rPr>
          <w:rFonts w:asciiTheme="minorHAnsi" w:eastAsiaTheme="minorEastAsia" w:hAnsiTheme="minorHAnsi" w:cstheme="minorBidi"/>
          <w:sz w:val="22"/>
          <w:szCs w:val="20"/>
          <w:lang w:eastAsia="en-US"/>
        </w:rPr>
        <w:t>GMEC</w:t>
      </w:r>
      <w:r w:rsidRPr="00C85C8B">
        <w:rPr>
          <w:rFonts w:asciiTheme="minorHAnsi" w:eastAsiaTheme="minorEastAsia" w:hAnsiTheme="minorHAnsi" w:cstheme="minorBidi"/>
          <w:sz w:val="22"/>
          <w:szCs w:val="20"/>
          <w:lang w:eastAsia="en-US"/>
        </w:rPr>
        <w:t>_1&gt;</w:t>
      </w:r>
    </w:p>
    <w:p w14:paraId="2BDA74BC" w14:textId="5836FA2A" w:rsidR="006A6780" w:rsidRPr="00710112" w:rsidRDefault="006A6780" w:rsidP="006A6780">
      <w:pPr>
        <w:rPr>
          <w:rFonts w:asciiTheme="minorHAnsi" w:hAnsiTheme="minorHAnsi" w:cstheme="minorHAnsi"/>
          <w:sz w:val="22"/>
          <w:szCs w:val="22"/>
        </w:rPr>
      </w:pPr>
      <w:permStart w:id="885457707" w:edGrp="everyone"/>
      <w:r w:rsidRPr="00710112">
        <w:rPr>
          <w:rFonts w:asciiTheme="minorHAnsi" w:hAnsiTheme="minorHAnsi" w:cstheme="minorHAnsi"/>
          <w:sz w:val="22"/>
          <w:szCs w:val="22"/>
        </w:rPr>
        <w:t>London Stock Exchange Group (LSEG) includes two FCA regulated benchmark administrators, FTSE International Limited UK (FIL) and Refinitiv Benchmark Services (UK) Limited (RBSL) whose views are reflected in this consultation response.</w:t>
      </w:r>
    </w:p>
    <w:p w14:paraId="76BD0C03" w14:textId="77777777" w:rsidR="006A6780" w:rsidRPr="00710112" w:rsidRDefault="006A6780" w:rsidP="006A6780">
      <w:pPr>
        <w:rPr>
          <w:rFonts w:asciiTheme="minorHAnsi" w:hAnsiTheme="minorHAnsi" w:cstheme="minorHAnsi"/>
          <w:sz w:val="22"/>
          <w:szCs w:val="22"/>
        </w:rPr>
      </w:pPr>
    </w:p>
    <w:p w14:paraId="4D82C660" w14:textId="77777777" w:rsidR="006A6780" w:rsidRPr="00710112" w:rsidRDefault="006A6780" w:rsidP="006A6780">
      <w:pPr>
        <w:pStyle w:val="NormalWeb"/>
        <w:spacing w:before="0" w:beforeAutospacing="0" w:after="0" w:afterAutospacing="0"/>
        <w:textAlignment w:val="baseline"/>
        <w:rPr>
          <w:rFonts w:asciiTheme="minorHAnsi" w:hAnsiTheme="minorHAnsi" w:cstheme="minorHAnsi"/>
          <w:sz w:val="22"/>
          <w:szCs w:val="22"/>
        </w:rPr>
      </w:pPr>
      <w:r w:rsidRPr="00710112">
        <w:rPr>
          <w:rFonts w:asciiTheme="minorHAnsi" w:hAnsiTheme="minorHAnsi" w:cstheme="minorHAnsi"/>
          <w:sz w:val="22"/>
          <w:szCs w:val="22"/>
        </w:rPr>
        <w:t xml:space="preserve">FTSE Russell (part of LSEG) is a global index provider that provides equity, fixed income and multi asset solutions. FTSE Russell calculates thousands of indices that measure and benchmark markets and asset classes in more than 80 countries, covering 98% of the investable market globally. FTSE Russell is a trading name of FTSE International Limited, Frank Russell Company, FTSE Global Debt Capital Markets Limited (and its subsidiaries FTSE Global Debt Capital Markets Inc. and </w:t>
      </w:r>
      <w:proofErr w:type="spellStart"/>
      <w:r w:rsidRPr="00710112">
        <w:rPr>
          <w:rFonts w:asciiTheme="minorHAnsi" w:hAnsiTheme="minorHAnsi" w:cstheme="minorHAnsi"/>
          <w:sz w:val="22"/>
          <w:szCs w:val="22"/>
        </w:rPr>
        <w:t>MTSNext</w:t>
      </w:r>
      <w:proofErr w:type="spellEnd"/>
      <w:r w:rsidRPr="00710112">
        <w:rPr>
          <w:rFonts w:asciiTheme="minorHAnsi" w:hAnsiTheme="minorHAnsi" w:cstheme="minorHAnsi"/>
          <w:sz w:val="22"/>
          <w:szCs w:val="22"/>
        </w:rPr>
        <w:t xml:space="preserve"> Limited), </w:t>
      </w:r>
      <w:proofErr w:type="spellStart"/>
      <w:r w:rsidRPr="00710112">
        <w:rPr>
          <w:rFonts w:asciiTheme="minorHAnsi" w:hAnsiTheme="minorHAnsi" w:cstheme="minorHAnsi"/>
          <w:sz w:val="22"/>
          <w:szCs w:val="22"/>
        </w:rPr>
        <w:t>Mergent</w:t>
      </w:r>
      <w:proofErr w:type="spellEnd"/>
      <w:r w:rsidRPr="00710112">
        <w:rPr>
          <w:rFonts w:asciiTheme="minorHAnsi" w:hAnsiTheme="minorHAnsi" w:cstheme="minorHAnsi"/>
          <w:sz w:val="22"/>
          <w:szCs w:val="22"/>
        </w:rPr>
        <w:t>, Inc., FTSE Fixed Income LLC, The Yield Book Inc and Beyond Ratings</w:t>
      </w:r>
    </w:p>
    <w:p w14:paraId="2D01314F" w14:textId="77777777" w:rsidR="006A6780" w:rsidRPr="00710112" w:rsidRDefault="006A6780" w:rsidP="006A6780">
      <w:pPr>
        <w:pStyle w:val="NormalWeb"/>
        <w:spacing w:before="0" w:beforeAutospacing="0" w:after="0" w:afterAutospacing="0"/>
        <w:textAlignment w:val="baseline"/>
        <w:rPr>
          <w:rFonts w:asciiTheme="minorHAnsi" w:hAnsiTheme="minorHAnsi" w:cstheme="minorHAnsi"/>
          <w:sz w:val="22"/>
          <w:szCs w:val="22"/>
        </w:rPr>
      </w:pPr>
    </w:p>
    <w:p w14:paraId="21CD74C6" w14:textId="77777777" w:rsidR="006A6780" w:rsidRPr="00710112" w:rsidRDefault="006A6780" w:rsidP="006A6780">
      <w:pPr>
        <w:pStyle w:val="NormalWeb"/>
        <w:spacing w:before="0" w:beforeAutospacing="0" w:after="0" w:afterAutospacing="0"/>
        <w:textAlignment w:val="baseline"/>
        <w:rPr>
          <w:rFonts w:asciiTheme="minorHAnsi" w:hAnsiTheme="minorHAnsi" w:cstheme="minorHAnsi"/>
          <w:sz w:val="22"/>
          <w:szCs w:val="22"/>
        </w:rPr>
      </w:pPr>
      <w:r w:rsidRPr="00710112">
        <w:rPr>
          <w:rFonts w:asciiTheme="minorHAnsi" w:hAnsiTheme="minorHAnsi" w:cstheme="minorHAnsi"/>
          <w:sz w:val="22"/>
          <w:szCs w:val="22"/>
        </w:rPr>
        <w:t xml:space="preserve">Refinitiv (part of LSEG) is the administrator of more than 30 key rates, and calculation agent for over 40 important national and regional interest rates and FX rates in 12 different countries, such as Singapore, Hong </w:t>
      </w:r>
      <w:proofErr w:type="gramStart"/>
      <w:r w:rsidRPr="00710112">
        <w:rPr>
          <w:rFonts w:asciiTheme="minorHAnsi" w:hAnsiTheme="minorHAnsi" w:cstheme="minorHAnsi"/>
          <w:sz w:val="22"/>
          <w:szCs w:val="22"/>
        </w:rPr>
        <w:t>Kong</w:t>
      </w:r>
      <w:proofErr w:type="gramEnd"/>
      <w:r w:rsidRPr="00710112">
        <w:rPr>
          <w:rFonts w:asciiTheme="minorHAnsi" w:hAnsiTheme="minorHAnsi" w:cstheme="minorHAnsi"/>
          <w:sz w:val="22"/>
          <w:szCs w:val="22"/>
        </w:rPr>
        <w:t xml:space="preserve"> and Russia. Refinitiv assigned RBSL to be the regulated administrator of certain benchmarks, including the WM/R Benchmark Rates and others </w:t>
      </w:r>
      <w:hyperlink r:id="rId22" w:history="1">
        <w:r w:rsidRPr="00710112">
          <w:rPr>
            <w:rStyle w:val="Hyperlink"/>
            <w:rFonts w:asciiTheme="minorHAnsi" w:eastAsiaTheme="minorEastAsia" w:hAnsiTheme="minorHAnsi" w:cstheme="minorHAnsi"/>
            <w:sz w:val="22"/>
            <w:szCs w:val="22"/>
          </w:rPr>
          <w:t>listed here</w:t>
        </w:r>
      </w:hyperlink>
      <w:r w:rsidRPr="00710112">
        <w:rPr>
          <w:rFonts w:asciiTheme="minorHAnsi" w:hAnsiTheme="minorHAnsi" w:cstheme="minorHAnsi"/>
          <w:sz w:val="22"/>
          <w:szCs w:val="22"/>
        </w:rPr>
        <w:t>. </w:t>
      </w:r>
    </w:p>
    <w:p w14:paraId="620597EF" w14:textId="77777777" w:rsidR="006A6780" w:rsidRPr="00710112" w:rsidRDefault="006A6780" w:rsidP="006A6780">
      <w:pPr>
        <w:pStyle w:val="NormalWeb"/>
        <w:spacing w:before="0" w:beforeAutospacing="0" w:after="0" w:afterAutospacing="0"/>
        <w:textAlignment w:val="baseline"/>
        <w:rPr>
          <w:rFonts w:asciiTheme="minorHAnsi" w:hAnsiTheme="minorHAnsi" w:cstheme="minorHAnsi"/>
          <w:sz w:val="22"/>
          <w:szCs w:val="22"/>
        </w:rPr>
      </w:pPr>
    </w:p>
    <w:p w14:paraId="0BA29B05" w14:textId="77777777" w:rsidR="006A6780" w:rsidRPr="00710112" w:rsidRDefault="006A6780" w:rsidP="006A6780">
      <w:pPr>
        <w:pStyle w:val="NormalWeb"/>
        <w:spacing w:before="0" w:beforeAutospacing="0" w:after="0" w:afterAutospacing="0"/>
        <w:textAlignment w:val="baseline"/>
        <w:rPr>
          <w:rFonts w:asciiTheme="minorHAnsi" w:hAnsiTheme="minorHAnsi" w:cstheme="minorHAnsi"/>
          <w:sz w:val="22"/>
          <w:szCs w:val="22"/>
        </w:rPr>
      </w:pPr>
      <w:r w:rsidRPr="00710112">
        <w:rPr>
          <w:rFonts w:asciiTheme="minorHAnsi" w:hAnsiTheme="minorHAnsi" w:cstheme="minorHAnsi"/>
          <w:sz w:val="22"/>
          <w:szCs w:val="22"/>
        </w:rPr>
        <w:t xml:space="preserve">We have a core set of universal principles that guide index design and management: a transparent rules-based methodology that is informed by independent committees of market participants. LSEG is focused on applying the highest industry standards in index design and governance and follows the IOSCO Principles for Financial Benchmarks. </w:t>
      </w:r>
    </w:p>
    <w:p w14:paraId="7821D792" w14:textId="77777777" w:rsidR="006A6780" w:rsidRPr="00710112" w:rsidRDefault="006A6780" w:rsidP="006A6780">
      <w:pPr>
        <w:pStyle w:val="NormalWeb"/>
        <w:spacing w:before="0" w:beforeAutospacing="0" w:after="0" w:afterAutospacing="0"/>
        <w:textAlignment w:val="baseline"/>
        <w:rPr>
          <w:rFonts w:asciiTheme="minorHAnsi" w:hAnsiTheme="minorHAnsi" w:cstheme="minorHAnsi"/>
          <w:sz w:val="22"/>
          <w:szCs w:val="22"/>
        </w:rPr>
      </w:pPr>
    </w:p>
    <w:p w14:paraId="4557E430" w14:textId="77777777" w:rsidR="006A6780" w:rsidRPr="00710112" w:rsidRDefault="006A6780" w:rsidP="006A6780">
      <w:pPr>
        <w:rPr>
          <w:rFonts w:asciiTheme="minorHAnsi" w:hAnsiTheme="minorHAnsi" w:cstheme="minorHAnsi"/>
          <w:sz w:val="22"/>
          <w:szCs w:val="22"/>
        </w:rPr>
      </w:pPr>
      <w:r w:rsidRPr="00710112">
        <w:rPr>
          <w:rFonts w:asciiTheme="minorHAnsi" w:hAnsiTheme="minorHAnsi" w:cstheme="minorHAnsi"/>
          <w:sz w:val="22"/>
          <w:szCs w:val="22"/>
        </w:rPr>
        <w:t xml:space="preserve">LSEG appreciates ESMA’s open consultation to solicit stakeholder views on guidance for EU BMR implementation regarding changes to methodologies around the March 2020 rebalance decisions. LSEG supports the objectives of the EU BMR to ensure that benchmarks are produced in a transparent and reliable manner and so contribute to well-functioning and stable markets, and investor protection. </w:t>
      </w:r>
    </w:p>
    <w:p w14:paraId="57D9F1DC" w14:textId="77777777" w:rsidR="006A6780" w:rsidRPr="00710112" w:rsidRDefault="006A6780" w:rsidP="006A6780">
      <w:pPr>
        <w:rPr>
          <w:rFonts w:asciiTheme="minorHAnsi" w:hAnsiTheme="minorHAnsi" w:cstheme="minorHAnsi"/>
          <w:sz w:val="22"/>
          <w:szCs w:val="22"/>
        </w:rPr>
      </w:pPr>
    </w:p>
    <w:p w14:paraId="5F205864" w14:textId="0F49C3D8" w:rsidR="006A6780" w:rsidRPr="00710112" w:rsidRDefault="006A6780" w:rsidP="006A6780">
      <w:pPr>
        <w:rPr>
          <w:rFonts w:asciiTheme="minorHAnsi" w:hAnsiTheme="minorHAnsi" w:cstheme="minorHAnsi"/>
          <w:sz w:val="22"/>
          <w:szCs w:val="22"/>
        </w:rPr>
      </w:pPr>
      <w:r w:rsidRPr="00710112">
        <w:rPr>
          <w:rFonts w:asciiTheme="minorHAnsi" w:hAnsiTheme="minorHAnsi" w:cstheme="minorHAnsi"/>
          <w:sz w:val="22"/>
          <w:szCs w:val="22"/>
        </w:rPr>
        <w:t xml:space="preserve">We would highlight to ESMA that FIL and RBSL acted in line with EU BMR requirements in a transparent way and consulted with </w:t>
      </w:r>
      <w:r w:rsidR="00624EDD">
        <w:rPr>
          <w:rFonts w:asciiTheme="minorHAnsi" w:hAnsiTheme="minorHAnsi" w:cstheme="minorHAnsi"/>
          <w:sz w:val="22"/>
          <w:szCs w:val="22"/>
        </w:rPr>
        <w:t>external stakeholders</w:t>
      </w:r>
      <w:r w:rsidRPr="00710112">
        <w:rPr>
          <w:rFonts w:asciiTheme="minorHAnsi" w:hAnsiTheme="minorHAnsi" w:cstheme="minorHAnsi"/>
          <w:sz w:val="22"/>
          <w:szCs w:val="22"/>
        </w:rPr>
        <w:t xml:space="preserve"> during the various market events of March and April 2020. </w:t>
      </w:r>
    </w:p>
    <w:p w14:paraId="76EBDB80" w14:textId="77777777" w:rsidR="006A6780" w:rsidRPr="00710112" w:rsidRDefault="006A6780" w:rsidP="006A6780">
      <w:pPr>
        <w:rPr>
          <w:rFonts w:asciiTheme="minorHAnsi" w:hAnsiTheme="minorHAnsi" w:cstheme="minorHAnsi"/>
          <w:sz w:val="22"/>
          <w:szCs w:val="22"/>
        </w:rPr>
      </w:pPr>
    </w:p>
    <w:p w14:paraId="02AF2FF9" w14:textId="5150C246" w:rsidR="00C85C8B" w:rsidRPr="00C85C8B" w:rsidRDefault="006A6780" w:rsidP="006A6780">
      <w:pPr>
        <w:spacing w:after="250" w:line="276" w:lineRule="auto"/>
        <w:jc w:val="both"/>
        <w:rPr>
          <w:rFonts w:ascii="Arial" w:eastAsiaTheme="minorEastAsia" w:hAnsi="Arial" w:cs="Arial"/>
          <w:sz w:val="22"/>
          <w:szCs w:val="20"/>
          <w:lang w:eastAsia="en-US"/>
        </w:rPr>
      </w:pPr>
      <w:r w:rsidRPr="00710112">
        <w:rPr>
          <w:rFonts w:asciiTheme="minorHAnsi" w:hAnsiTheme="minorHAnsi" w:cstheme="minorHAnsi"/>
          <w:sz w:val="22"/>
          <w:szCs w:val="22"/>
        </w:rPr>
        <w:t>We believe the EU BMR requirements were clear and sufficient during the COVID-19 pandemic and we acted in line with these. Please see below further detail on our approach which is in line with ESMA’s proposed guidelines. We do not propose any changes to ESMA’s proposal.</w:t>
      </w:r>
    </w:p>
    <w:permEnd w:id="885457707"/>
    <w:p w14:paraId="15D00E65" w14:textId="6E185CB9" w:rsidR="00C85C8B" w:rsidRPr="00FF18D9" w:rsidRDefault="00C85C8B" w:rsidP="00C85C8B">
      <w:pPr>
        <w:spacing w:after="250" w:line="276" w:lineRule="auto"/>
        <w:jc w:val="both"/>
        <w:rPr>
          <w:rFonts w:asciiTheme="minorHAnsi" w:eastAsiaTheme="minorEastAsia" w:hAnsiTheme="minorHAnsi" w:cstheme="minorBidi"/>
          <w:sz w:val="22"/>
          <w:szCs w:val="20"/>
          <w:lang w:val="fr-CA" w:eastAsia="en-US"/>
        </w:rPr>
      </w:pPr>
      <w:r w:rsidRPr="00FF18D9">
        <w:rPr>
          <w:rFonts w:asciiTheme="minorHAnsi" w:eastAsiaTheme="minorEastAsia" w:hAnsiTheme="minorHAnsi" w:cstheme="minorBidi"/>
          <w:sz w:val="22"/>
          <w:szCs w:val="20"/>
          <w:lang w:val="fr-CA" w:eastAsia="en-US"/>
        </w:rPr>
        <w:t>&lt;ESMA_COMMENT_</w:t>
      </w:r>
      <w:r w:rsidR="0010762E" w:rsidRPr="00FF18D9">
        <w:rPr>
          <w:rFonts w:asciiTheme="minorHAnsi" w:eastAsiaTheme="minorEastAsia" w:hAnsiTheme="minorHAnsi" w:cstheme="minorBidi"/>
          <w:sz w:val="22"/>
          <w:szCs w:val="20"/>
          <w:lang w:val="fr-CA" w:eastAsia="en-US"/>
        </w:rPr>
        <w:t>CP_</w:t>
      </w:r>
      <w:r w:rsidR="009C4F59">
        <w:rPr>
          <w:rFonts w:asciiTheme="minorHAnsi" w:eastAsiaTheme="minorEastAsia" w:hAnsiTheme="minorHAnsi" w:cstheme="minorBidi"/>
          <w:sz w:val="22"/>
          <w:szCs w:val="20"/>
          <w:lang w:val="fr-CA" w:eastAsia="en-US"/>
        </w:rPr>
        <w:t>GMEC</w:t>
      </w:r>
      <w:r w:rsidRPr="00FF18D9">
        <w:rPr>
          <w:rFonts w:asciiTheme="minorHAnsi" w:eastAsiaTheme="minorEastAsia" w:hAnsiTheme="minorHAnsi" w:cstheme="minorBidi"/>
          <w:sz w:val="22"/>
          <w:szCs w:val="20"/>
          <w:lang w:val="fr-CA" w:eastAsia="en-US"/>
        </w:rPr>
        <w:t>_1&gt;</w:t>
      </w:r>
    </w:p>
    <w:p w14:paraId="58C2F704" w14:textId="77777777" w:rsidR="00C85C8B" w:rsidRPr="00FF18D9" w:rsidRDefault="00C85C8B" w:rsidP="00C1698A">
      <w:pPr>
        <w:spacing w:line="276" w:lineRule="auto"/>
        <w:rPr>
          <w:rFonts w:asciiTheme="minorHAnsi" w:hAnsiTheme="minorHAnsi" w:cstheme="minorHAnsi"/>
          <w:b/>
          <w:sz w:val="28"/>
          <w:szCs w:val="28"/>
          <w:lang w:val="fr-CA"/>
        </w:rPr>
      </w:pPr>
    </w:p>
    <w:p w14:paraId="4218CA54" w14:textId="77777777" w:rsidR="00C85C8B" w:rsidRPr="00FF18D9" w:rsidRDefault="00C85C8B" w:rsidP="00C1698A">
      <w:pPr>
        <w:spacing w:line="276" w:lineRule="auto"/>
        <w:rPr>
          <w:rFonts w:asciiTheme="minorHAnsi" w:hAnsiTheme="minorHAnsi" w:cstheme="minorHAnsi"/>
          <w:b/>
          <w:sz w:val="28"/>
          <w:szCs w:val="28"/>
          <w:lang w:val="fr-CA"/>
        </w:rPr>
      </w:pPr>
    </w:p>
    <w:p w14:paraId="0CE5A6A7" w14:textId="77777777" w:rsidR="00C85C8B" w:rsidRPr="00FF18D9" w:rsidRDefault="00C85C8B" w:rsidP="00C1698A">
      <w:pPr>
        <w:spacing w:line="276" w:lineRule="auto"/>
        <w:rPr>
          <w:rFonts w:asciiTheme="minorHAnsi" w:hAnsiTheme="minorHAnsi" w:cstheme="minorHAnsi"/>
          <w:b/>
          <w:sz w:val="28"/>
          <w:szCs w:val="28"/>
          <w:lang w:val="fr-CA"/>
        </w:rPr>
      </w:pPr>
    </w:p>
    <w:p w14:paraId="0D73DA59" w14:textId="77777777" w:rsidR="00C85C8B" w:rsidRPr="00FF18D9" w:rsidRDefault="00C85C8B" w:rsidP="00C1698A">
      <w:pPr>
        <w:spacing w:line="276" w:lineRule="auto"/>
        <w:rPr>
          <w:rFonts w:asciiTheme="minorHAnsi" w:hAnsiTheme="minorHAnsi" w:cstheme="minorHAnsi"/>
          <w:b/>
          <w:sz w:val="28"/>
          <w:szCs w:val="28"/>
          <w:lang w:val="fr-CA"/>
        </w:rPr>
      </w:pPr>
    </w:p>
    <w:p w14:paraId="0C037628" w14:textId="77777777" w:rsidR="00C85C8B" w:rsidRPr="00FF18D9" w:rsidRDefault="00C85C8B" w:rsidP="00C1698A">
      <w:pPr>
        <w:spacing w:line="276" w:lineRule="auto"/>
        <w:rPr>
          <w:rFonts w:asciiTheme="minorHAnsi" w:hAnsiTheme="minorHAnsi" w:cstheme="minorHAnsi"/>
          <w:b/>
          <w:sz w:val="28"/>
          <w:szCs w:val="28"/>
          <w:lang w:val="fr-CA"/>
        </w:rPr>
      </w:pPr>
    </w:p>
    <w:p w14:paraId="1D0DAFF5" w14:textId="77777777" w:rsidR="00C85C8B" w:rsidRPr="00FF18D9" w:rsidRDefault="00C85C8B">
      <w:pPr>
        <w:spacing w:after="120" w:line="264" w:lineRule="auto"/>
        <w:rPr>
          <w:rFonts w:asciiTheme="minorHAnsi" w:hAnsiTheme="minorHAnsi" w:cstheme="minorHAnsi"/>
          <w:b/>
          <w:sz w:val="28"/>
          <w:szCs w:val="28"/>
          <w:lang w:val="fr-CA"/>
        </w:rPr>
      </w:pPr>
      <w:r w:rsidRPr="00FF18D9">
        <w:rPr>
          <w:rFonts w:asciiTheme="minorHAnsi" w:hAnsiTheme="minorHAnsi" w:cstheme="minorHAnsi"/>
          <w:b/>
          <w:sz w:val="28"/>
          <w:szCs w:val="28"/>
          <w:lang w:val="fr-CA"/>
        </w:rPr>
        <w:br w:type="page"/>
      </w:r>
    </w:p>
    <w:p w14:paraId="005F1C41" w14:textId="4BA0A72F" w:rsidR="00C1698A" w:rsidRPr="00FF18D9" w:rsidRDefault="00C1698A" w:rsidP="00C1698A">
      <w:pPr>
        <w:spacing w:line="276" w:lineRule="auto"/>
        <w:rPr>
          <w:rFonts w:asciiTheme="minorHAnsi" w:hAnsiTheme="minorHAnsi" w:cstheme="minorHAnsi"/>
          <w:b/>
          <w:sz w:val="28"/>
          <w:szCs w:val="28"/>
          <w:lang w:val="fr-CA"/>
        </w:rPr>
      </w:pPr>
      <w:r w:rsidRPr="00FF18D9">
        <w:rPr>
          <w:rFonts w:asciiTheme="minorHAnsi" w:hAnsiTheme="minorHAnsi" w:cstheme="minorHAnsi"/>
          <w:b/>
          <w:sz w:val="28"/>
          <w:szCs w:val="28"/>
          <w:lang w:val="fr-CA"/>
        </w:rPr>
        <w:lastRenderedPageBreak/>
        <w:t xml:space="preserve">Questions </w:t>
      </w:r>
    </w:p>
    <w:p w14:paraId="6D3A8ABE" w14:textId="02004CA2" w:rsidR="0010762E" w:rsidRPr="00FF18D9" w:rsidRDefault="0010762E" w:rsidP="00C1698A">
      <w:pPr>
        <w:spacing w:line="276" w:lineRule="auto"/>
        <w:rPr>
          <w:rFonts w:asciiTheme="minorHAnsi" w:hAnsiTheme="minorHAnsi" w:cstheme="minorHAnsi"/>
          <w:b/>
          <w:sz w:val="28"/>
          <w:szCs w:val="28"/>
          <w:lang w:val="fr-CA"/>
        </w:rPr>
      </w:pPr>
    </w:p>
    <w:bookmarkEnd w:id="2"/>
    <w:p w14:paraId="309040F1" w14:textId="77777777" w:rsidR="009C4F59" w:rsidRDefault="009C4F59" w:rsidP="009C4F59">
      <w:pPr>
        <w:pStyle w:val="Questionstyle"/>
        <w:numPr>
          <w:ilvl w:val="0"/>
          <w:numId w:val="17"/>
        </w:numPr>
        <w:spacing w:after="250" w:line="276" w:lineRule="auto"/>
      </w:pPr>
      <w:r>
        <w:t>: Do you have any views on the content of the draft guidelines on the details of any methodology to be used to determine a critical or significant benchmark in exceptional circumstances? Would you suggest including any additional elements or to delete one or more of the elements proposed? Please explain.</w:t>
      </w:r>
    </w:p>
    <w:p w14:paraId="29182AE1" w14:textId="77777777" w:rsidR="009C4F59" w:rsidRDefault="009C4F59" w:rsidP="009C4F59">
      <w:r>
        <w:t>&lt;ESMA_QUESTION_CP_GMEC_1&gt;</w:t>
      </w:r>
    </w:p>
    <w:p w14:paraId="79C6EEA8" w14:textId="681066DA" w:rsidR="00726091" w:rsidRPr="00EC22F0" w:rsidRDefault="00726091" w:rsidP="00726091">
      <w:pPr>
        <w:rPr>
          <w:rFonts w:asciiTheme="minorHAnsi" w:hAnsiTheme="minorHAnsi" w:cstheme="minorHAnsi"/>
          <w:sz w:val="22"/>
          <w:szCs w:val="22"/>
        </w:rPr>
      </w:pPr>
      <w:permStart w:id="1658206811" w:edGrp="everyone"/>
      <w:r w:rsidRPr="00EC22F0">
        <w:rPr>
          <w:rFonts w:asciiTheme="minorHAnsi" w:hAnsiTheme="minorHAnsi" w:cstheme="minorHAnsi"/>
          <w:sz w:val="22"/>
          <w:szCs w:val="22"/>
        </w:rPr>
        <w:t>We believe ESMA’s guidance is sufficient and appropriate. We further note it is in line with both FTSE Russell’s and RBSL’s current governance frameworks, which were followed throughout recent market events</w:t>
      </w:r>
      <w:r w:rsidR="006D7E74">
        <w:rPr>
          <w:rFonts w:asciiTheme="minorHAnsi" w:hAnsiTheme="minorHAnsi" w:cstheme="minorHAnsi"/>
          <w:sz w:val="22"/>
          <w:szCs w:val="22"/>
        </w:rPr>
        <w:t>.</w:t>
      </w:r>
    </w:p>
    <w:p w14:paraId="5FBE8B2E" w14:textId="77777777" w:rsidR="00726091" w:rsidRPr="00EC22F0" w:rsidRDefault="00726091" w:rsidP="00726091">
      <w:pPr>
        <w:rPr>
          <w:rFonts w:asciiTheme="minorHAnsi" w:hAnsiTheme="minorHAnsi" w:cstheme="minorHAnsi"/>
          <w:sz w:val="22"/>
          <w:szCs w:val="22"/>
        </w:rPr>
      </w:pPr>
    </w:p>
    <w:p w14:paraId="2BEE5022" w14:textId="77777777" w:rsidR="00726091" w:rsidRPr="00EC22F0" w:rsidRDefault="00726091" w:rsidP="00726091">
      <w:pPr>
        <w:rPr>
          <w:rFonts w:asciiTheme="minorHAnsi" w:hAnsiTheme="minorHAnsi" w:cstheme="minorHAnsi"/>
          <w:sz w:val="22"/>
          <w:szCs w:val="22"/>
        </w:rPr>
      </w:pPr>
      <w:r w:rsidRPr="00EC22F0">
        <w:rPr>
          <w:rFonts w:asciiTheme="minorHAnsi" w:hAnsiTheme="minorHAnsi" w:cstheme="minorHAnsi"/>
          <w:sz w:val="22"/>
          <w:szCs w:val="22"/>
        </w:rPr>
        <w:t xml:space="preserve">Administrators encountered exceptional circumstances due to the COVID-19 pandemic such as extreme market volatility, irregular pricing and timing on input data, rebalancing concerns, operational stresses, and urgent activation of business continuity plans starting in March but persisting throughout 2020. </w:t>
      </w:r>
    </w:p>
    <w:p w14:paraId="7084FBD2" w14:textId="77777777" w:rsidR="00726091" w:rsidRPr="00EC22F0" w:rsidRDefault="00726091" w:rsidP="00726091">
      <w:pPr>
        <w:rPr>
          <w:rFonts w:asciiTheme="minorHAnsi" w:hAnsiTheme="minorHAnsi" w:cstheme="minorHAnsi"/>
          <w:sz w:val="22"/>
          <w:szCs w:val="22"/>
        </w:rPr>
      </w:pPr>
    </w:p>
    <w:p w14:paraId="38BD8E77" w14:textId="6E2EC791" w:rsidR="00726091" w:rsidRPr="00EC22F0" w:rsidRDefault="00726091" w:rsidP="00726091">
      <w:pPr>
        <w:rPr>
          <w:rFonts w:asciiTheme="minorHAnsi" w:hAnsiTheme="minorHAnsi" w:cstheme="minorHAnsi"/>
          <w:sz w:val="22"/>
          <w:szCs w:val="22"/>
        </w:rPr>
      </w:pPr>
      <w:r w:rsidRPr="00EC22F0">
        <w:rPr>
          <w:rFonts w:asciiTheme="minorHAnsi" w:hAnsiTheme="minorHAnsi" w:cstheme="minorHAnsi"/>
          <w:sz w:val="22"/>
          <w:szCs w:val="22"/>
        </w:rPr>
        <w:t>FTSE Russell and RBSL acted in line with EU BMR requirements and acted in accordance with published methodology documentation</w:t>
      </w:r>
      <w:r w:rsidR="00C927E7">
        <w:rPr>
          <w:rFonts w:asciiTheme="minorHAnsi" w:hAnsiTheme="minorHAnsi" w:cstheme="minorHAnsi"/>
          <w:sz w:val="22"/>
          <w:szCs w:val="22"/>
        </w:rPr>
        <w:t>. F</w:t>
      </w:r>
      <w:r w:rsidRPr="00EC22F0">
        <w:rPr>
          <w:rFonts w:asciiTheme="minorHAnsi" w:hAnsiTheme="minorHAnsi" w:cstheme="minorHAnsi"/>
          <w:sz w:val="22"/>
          <w:szCs w:val="22"/>
        </w:rPr>
        <w:t xml:space="preserve">or FTSE Russell </w:t>
      </w:r>
      <w:r w:rsidR="00C927E7">
        <w:rPr>
          <w:rFonts w:asciiTheme="minorHAnsi" w:hAnsiTheme="minorHAnsi" w:cstheme="minorHAnsi"/>
          <w:sz w:val="22"/>
          <w:szCs w:val="22"/>
        </w:rPr>
        <w:t>t</w:t>
      </w:r>
      <w:r w:rsidR="0026641A">
        <w:rPr>
          <w:rFonts w:asciiTheme="minorHAnsi" w:hAnsiTheme="minorHAnsi" w:cstheme="minorHAnsi"/>
          <w:sz w:val="22"/>
          <w:szCs w:val="22"/>
        </w:rPr>
        <w:t xml:space="preserve">his </w:t>
      </w:r>
      <w:r w:rsidRPr="00EC22F0">
        <w:rPr>
          <w:rFonts w:asciiTheme="minorHAnsi" w:hAnsiTheme="minorHAnsi" w:cstheme="minorHAnsi"/>
          <w:sz w:val="22"/>
          <w:szCs w:val="22"/>
        </w:rPr>
        <w:t>include</w:t>
      </w:r>
      <w:r w:rsidR="0026641A">
        <w:rPr>
          <w:rFonts w:asciiTheme="minorHAnsi" w:hAnsiTheme="minorHAnsi" w:cstheme="minorHAnsi"/>
          <w:sz w:val="22"/>
          <w:szCs w:val="22"/>
        </w:rPr>
        <w:t>s</w:t>
      </w:r>
      <w:r w:rsidRPr="00EC22F0">
        <w:rPr>
          <w:rFonts w:asciiTheme="minorHAnsi" w:hAnsiTheme="minorHAnsi" w:cstheme="minorHAnsi"/>
          <w:sz w:val="22"/>
          <w:szCs w:val="22"/>
        </w:rPr>
        <w:t xml:space="preserve"> the </w:t>
      </w:r>
      <w:r w:rsidRPr="00EC22F0">
        <w:rPr>
          <w:rFonts w:asciiTheme="minorHAnsi" w:hAnsiTheme="minorHAnsi" w:cstheme="minorHAnsi"/>
          <w:i/>
          <w:iCs/>
          <w:sz w:val="22"/>
          <w:szCs w:val="22"/>
        </w:rPr>
        <w:t>Statement of Principles</w:t>
      </w:r>
      <w:r w:rsidRPr="00EC22F0">
        <w:rPr>
          <w:rFonts w:asciiTheme="minorHAnsi" w:hAnsiTheme="minorHAnsi" w:cstheme="minorHAnsi"/>
          <w:sz w:val="22"/>
          <w:szCs w:val="22"/>
        </w:rPr>
        <w:t xml:space="preserve"> (</w:t>
      </w:r>
      <w:hyperlink r:id="rId23" w:history="1">
        <w:r w:rsidRPr="00EC22F0">
          <w:rPr>
            <w:rStyle w:val="Hyperlink"/>
            <w:rFonts w:asciiTheme="minorHAnsi" w:eastAsiaTheme="majorEastAsia" w:hAnsiTheme="minorHAnsi" w:cstheme="minorHAnsi"/>
            <w:sz w:val="22"/>
            <w:szCs w:val="22"/>
          </w:rPr>
          <w:t>link</w:t>
        </w:r>
      </w:hyperlink>
      <w:r w:rsidRPr="00EC22F0">
        <w:rPr>
          <w:rStyle w:val="Hyperlink"/>
          <w:rFonts w:asciiTheme="minorHAnsi" w:eastAsiaTheme="majorEastAsia" w:hAnsiTheme="minorHAnsi" w:cstheme="minorHAnsi"/>
          <w:sz w:val="22"/>
          <w:szCs w:val="22"/>
        </w:rPr>
        <w:t>)</w:t>
      </w:r>
      <w:r w:rsidRPr="00EC22F0">
        <w:rPr>
          <w:rFonts w:asciiTheme="minorHAnsi" w:hAnsiTheme="minorHAnsi" w:cstheme="minorHAnsi"/>
          <w:sz w:val="22"/>
          <w:szCs w:val="22"/>
        </w:rPr>
        <w:t xml:space="preserve"> and </w:t>
      </w:r>
      <w:r w:rsidRPr="00EC22F0">
        <w:rPr>
          <w:rFonts w:asciiTheme="minorHAnsi" w:hAnsiTheme="minorHAnsi" w:cstheme="minorHAnsi"/>
          <w:i/>
          <w:iCs/>
          <w:sz w:val="22"/>
          <w:szCs w:val="22"/>
        </w:rPr>
        <w:t>FTSE Russell Policy for Benchmark Methodology Changes</w:t>
      </w:r>
      <w:r w:rsidRPr="00EC22F0">
        <w:rPr>
          <w:rFonts w:asciiTheme="minorHAnsi" w:hAnsiTheme="minorHAnsi" w:cstheme="minorHAnsi"/>
          <w:sz w:val="22"/>
          <w:szCs w:val="22"/>
        </w:rPr>
        <w:t xml:space="preserve"> (</w:t>
      </w:r>
      <w:hyperlink r:id="rId24" w:history="1">
        <w:r w:rsidRPr="00EC22F0">
          <w:rPr>
            <w:rStyle w:val="Hyperlink"/>
            <w:rFonts w:asciiTheme="minorHAnsi" w:eastAsiaTheme="majorEastAsia" w:hAnsiTheme="minorHAnsi" w:cstheme="minorHAnsi"/>
            <w:sz w:val="22"/>
            <w:szCs w:val="22"/>
          </w:rPr>
          <w:t>link</w:t>
        </w:r>
      </w:hyperlink>
      <w:r w:rsidRPr="00EC22F0">
        <w:rPr>
          <w:rStyle w:val="Hyperlink"/>
          <w:rFonts w:asciiTheme="minorHAnsi" w:eastAsiaTheme="majorEastAsia" w:hAnsiTheme="minorHAnsi" w:cstheme="minorHAnsi"/>
          <w:sz w:val="22"/>
          <w:szCs w:val="22"/>
        </w:rPr>
        <w:t>)</w:t>
      </w:r>
      <w:r w:rsidRPr="00EC22F0">
        <w:rPr>
          <w:rFonts w:asciiTheme="minorHAnsi" w:hAnsiTheme="minorHAnsi" w:cstheme="minorHAnsi"/>
          <w:sz w:val="22"/>
          <w:szCs w:val="22"/>
        </w:rPr>
        <w:t xml:space="preserve">. Material changes to the methodology of any RBSL benchmark are governed by the </w:t>
      </w:r>
      <w:r w:rsidRPr="00EC22F0">
        <w:rPr>
          <w:rFonts w:asciiTheme="minorHAnsi" w:hAnsiTheme="minorHAnsi" w:cstheme="minorHAnsi"/>
          <w:i/>
          <w:iCs/>
          <w:sz w:val="22"/>
          <w:szCs w:val="22"/>
        </w:rPr>
        <w:t>RBSL Benchmark Change and Cessation Policy</w:t>
      </w:r>
      <w:r w:rsidRPr="00EC22F0">
        <w:rPr>
          <w:rFonts w:asciiTheme="minorHAnsi" w:hAnsiTheme="minorHAnsi" w:cstheme="minorHAnsi"/>
          <w:sz w:val="22"/>
          <w:szCs w:val="22"/>
        </w:rPr>
        <w:t xml:space="preserve"> (</w:t>
      </w:r>
      <w:hyperlink r:id="rId25" w:history="1">
        <w:r w:rsidRPr="00EC22F0">
          <w:rPr>
            <w:rStyle w:val="Hyperlink"/>
            <w:rFonts w:asciiTheme="minorHAnsi" w:eastAsiaTheme="majorEastAsia" w:hAnsiTheme="minorHAnsi" w:cstheme="minorHAnsi"/>
            <w:sz w:val="22"/>
            <w:szCs w:val="22"/>
          </w:rPr>
          <w:t>link</w:t>
        </w:r>
      </w:hyperlink>
      <w:r w:rsidRPr="00EC22F0">
        <w:rPr>
          <w:rFonts w:asciiTheme="minorHAnsi" w:hAnsiTheme="minorHAnsi" w:cstheme="minorHAnsi"/>
          <w:sz w:val="22"/>
          <w:szCs w:val="22"/>
        </w:rPr>
        <w:t>).</w:t>
      </w:r>
    </w:p>
    <w:p w14:paraId="5B0F49B7" w14:textId="77777777" w:rsidR="00726091" w:rsidRPr="00EC22F0" w:rsidRDefault="00726091" w:rsidP="00726091">
      <w:pPr>
        <w:rPr>
          <w:rFonts w:asciiTheme="minorHAnsi" w:hAnsiTheme="minorHAnsi" w:cstheme="minorHAnsi"/>
          <w:sz w:val="22"/>
          <w:szCs w:val="22"/>
        </w:rPr>
      </w:pPr>
    </w:p>
    <w:p w14:paraId="748BCD31" w14:textId="6FA39C2A" w:rsidR="00726091" w:rsidRPr="00EC22F0" w:rsidRDefault="00726091" w:rsidP="00726091">
      <w:pPr>
        <w:rPr>
          <w:rFonts w:asciiTheme="minorHAnsi" w:hAnsiTheme="minorHAnsi" w:cstheme="minorHAnsi"/>
          <w:sz w:val="22"/>
          <w:szCs w:val="22"/>
        </w:rPr>
      </w:pPr>
      <w:r w:rsidRPr="00EC22F0">
        <w:rPr>
          <w:rFonts w:asciiTheme="minorHAnsi" w:hAnsiTheme="minorHAnsi" w:cstheme="minorHAnsi"/>
          <w:sz w:val="22"/>
          <w:szCs w:val="22"/>
        </w:rPr>
        <w:t>Here is a summary of the decisions</w:t>
      </w:r>
      <w:r w:rsidR="00477AA3">
        <w:rPr>
          <w:rFonts w:asciiTheme="minorHAnsi" w:hAnsiTheme="minorHAnsi" w:cstheme="minorHAnsi"/>
          <w:sz w:val="22"/>
          <w:szCs w:val="22"/>
        </w:rPr>
        <w:t xml:space="preserve"> </w:t>
      </w:r>
      <w:r w:rsidR="00BC607A">
        <w:rPr>
          <w:rFonts w:asciiTheme="minorHAnsi" w:hAnsiTheme="minorHAnsi" w:cstheme="minorHAnsi"/>
          <w:sz w:val="22"/>
          <w:szCs w:val="22"/>
        </w:rPr>
        <w:t>to provide</w:t>
      </w:r>
      <w:r w:rsidRPr="00EC22F0">
        <w:rPr>
          <w:rFonts w:asciiTheme="minorHAnsi" w:hAnsiTheme="minorHAnsi" w:cstheme="minorHAnsi"/>
          <w:sz w:val="22"/>
          <w:szCs w:val="22"/>
        </w:rPr>
        <w:t xml:space="preserve"> an overview of the approach taken and how we consider the EU BMR requirements to be clear:</w:t>
      </w:r>
    </w:p>
    <w:p w14:paraId="324BB73B" w14:textId="3FC3A65F" w:rsidR="00726091" w:rsidRPr="00EC22F0" w:rsidRDefault="00726091" w:rsidP="00726091">
      <w:pPr>
        <w:pStyle w:val="ListParagraph"/>
        <w:numPr>
          <w:ilvl w:val="0"/>
          <w:numId w:val="18"/>
        </w:numPr>
        <w:tabs>
          <w:tab w:val="clear" w:pos="0"/>
          <w:tab w:val="clear" w:pos="142"/>
          <w:tab w:val="clear" w:pos="284"/>
          <w:tab w:val="clear" w:pos="567"/>
        </w:tabs>
        <w:autoSpaceDE/>
        <w:autoSpaceDN/>
        <w:adjustRightInd/>
        <w:spacing w:line="240" w:lineRule="auto"/>
        <w:contextualSpacing/>
        <w:jc w:val="left"/>
      </w:pPr>
      <w:r w:rsidRPr="00EC22F0">
        <w:t>FTSE Russell equity indices: index rebalances took place as planned</w:t>
      </w:r>
      <w:r w:rsidR="0072488B">
        <w:t>.</w:t>
      </w:r>
    </w:p>
    <w:p w14:paraId="1DC1119A" w14:textId="4FD255AA" w:rsidR="00726091" w:rsidRPr="00EC22F0" w:rsidRDefault="00726091" w:rsidP="00726091">
      <w:pPr>
        <w:pStyle w:val="ListParagraph"/>
        <w:numPr>
          <w:ilvl w:val="0"/>
          <w:numId w:val="18"/>
        </w:numPr>
        <w:tabs>
          <w:tab w:val="clear" w:pos="0"/>
          <w:tab w:val="clear" w:pos="142"/>
          <w:tab w:val="clear" w:pos="284"/>
          <w:tab w:val="clear" w:pos="567"/>
        </w:tabs>
        <w:autoSpaceDE/>
        <w:autoSpaceDN/>
        <w:adjustRightInd/>
        <w:spacing w:line="240" w:lineRule="auto"/>
        <w:contextualSpacing/>
        <w:jc w:val="left"/>
      </w:pPr>
      <w:r w:rsidRPr="00EC22F0">
        <w:t>FTSE Russell fixed income indices: postponement of rebalances from March until April 2020</w:t>
      </w:r>
      <w:r w:rsidR="0072488B">
        <w:t>.</w:t>
      </w:r>
    </w:p>
    <w:p w14:paraId="12CCF925" w14:textId="532D3BB7" w:rsidR="00726091" w:rsidRPr="00EC22F0" w:rsidRDefault="00726091" w:rsidP="00726091">
      <w:pPr>
        <w:pStyle w:val="ListParagraph"/>
        <w:numPr>
          <w:ilvl w:val="0"/>
          <w:numId w:val="18"/>
        </w:numPr>
        <w:tabs>
          <w:tab w:val="clear" w:pos="0"/>
          <w:tab w:val="clear" w:pos="142"/>
          <w:tab w:val="clear" w:pos="284"/>
          <w:tab w:val="clear" w:pos="567"/>
        </w:tabs>
        <w:autoSpaceDE/>
        <w:autoSpaceDN/>
        <w:adjustRightInd/>
        <w:spacing w:line="240" w:lineRule="auto"/>
        <w:contextualSpacing/>
        <w:jc w:val="left"/>
        <w:rPr>
          <w:color w:val="000000" w:themeColor="text1"/>
        </w:rPr>
      </w:pPr>
      <w:r w:rsidRPr="00EC22F0">
        <w:rPr>
          <w:color w:val="000000" w:themeColor="text1"/>
        </w:rPr>
        <w:t>Refinitiv Core Commodity CRB Indices: one-off exceptional forward roll of WTI Crude Oil futures in April 2020</w:t>
      </w:r>
      <w:r w:rsidR="0072488B">
        <w:rPr>
          <w:color w:val="000000" w:themeColor="text1"/>
        </w:rPr>
        <w:t>.</w:t>
      </w:r>
      <w:r w:rsidRPr="00EC22F0">
        <w:rPr>
          <w:color w:val="000000" w:themeColor="text1"/>
        </w:rPr>
        <w:t xml:space="preserve"> </w:t>
      </w:r>
    </w:p>
    <w:p w14:paraId="5C7EBCC2" w14:textId="77777777" w:rsidR="00726091" w:rsidRPr="00EC22F0" w:rsidRDefault="00726091" w:rsidP="00726091">
      <w:pPr>
        <w:rPr>
          <w:rFonts w:asciiTheme="minorHAnsi" w:hAnsiTheme="minorHAnsi" w:cstheme="minorHAnsi"/>
          <w:color w:val="000000" w:themeColor="text1"/>
          <w:sz w:val="22"/>
          <w:szCs w:val="22"/>
        </w:rPr>
      </w:pPr>
    </w:p>
    <w:p w14:paraId="051C40C9" w14:textId="77777777" w:rsidR="00726091" w:rsidRPr="00EC22F0" w:rsidRDefault="00726091" w:rsidP="00726091">
      <w:pPr>
        <w:rPr>
          <w:rFonts w:asciiTheme="minorHAnsi" w:hAnsiTheme="minorHAnsi" w:cstheme="minorHAnsi"/>
          <w:color w:val="000000" w:themeColor="text1"/>
          <w:sz w:val="22"/>
          <w:szCs w:val="22"/>
        </w:rPr>
      </w:pPr>
      <w:r w:rsidRPr="00EC22F0">
        <w:rPr>
          <w:rFonts w:asciiTheme="minorHAnsi" w:hAnsiTheme="minorHAnsi" w:cstheme="minorHAnsi"/>
          <w:color w:val="000000" w:themeColor="text1"/>
          <w:sz w:val="22"/>
          <w:szCs w:val="22"/>
        </w:rPr>
        <w:t>Key factors that resulted in the rebalance decision for fixed income indices:</w:t>
      </w:r>
    </w:p>
    <w:p w14:paraId="27EE1E7C" w14:textId="77777777" w:rsidR="00726091" w:rsidRPr="00EC22F0" w:rsidRDefault="00726091" w:rsidP="00726091">
      <w:pPr>
        <w:pStyle w:val="ListParagraph"/>
        <w:numPr>
          <w:ilvl w:val="0"/>
          <w:numId w:val="19"/>
        </w:numPr>
        <w:tabs>
          <w:tab w:val="clear" w:pos="0"/>
          <w:tab w:val="clear" w:pos="142"/>
          <w:tab w:val="clear" w:pos="284"/>
          <w:tab w:val="clear" w:pos="567"/>
        </w:tabs>
        <w:autoSpaceDE/>
        <w:autoSpaceDN/>
        <w:adjustRightInd/>
        <w:spacing w:line="240" w:lineRule="auto"/>
        <w:contextualSpacing/>
        <w:jc w:val="left"/>
        <w:rPr>
          <w:color w:val="000000" w:themeColor="text1"/>
        </w:rPr>
      </w:pPr>
      <w:r w:rsidRPr="00EC22F0">
        <w:rPr>
          <w:color w:val="000000" w:themeColor="text1"/>
          <w:shd w:val="clear" w:color="auto" w:fill="FFFFFF"/>
        </w:rPr>
        <w:t xml:space="preserve">Taken together, the market consultation results characterized global fixed income market conditions as severely stressed. Liquidity was impaired, the market infrastructure was challenged because of the changes to normal working practices, and the trading environment was characterized by extremely wide bid-offer spreads, reduced dealer inventory and poor price discovery. </w:t>
      </w:r>
    </w:p>
    <w:p w14:paraId="75144F1D" w14:textId="77777777" w:rsidR="00726091" w:rsidRPr="00EC22F0" w:rsidRDefault="00726091" w:rsidP="00726091">
      <w:pPr>
        <w:pStyle w:val="ListParagraph"/>
        <w:numPr>
          <w:ilvl w:val="0"/>
          <w:numId w:val="19"/>
        </w:numPr>
        <w:tabs>
          <w:tab w:val="clear" w:pos="0"/>
          <w:tab w:val="clear" w:pos="142"/>
          <w:tab w:val="clear" w:pos="284"/>
          <w:tab w:val="clear" w:pos="567"/>
        </w:tabs>
        <w:autoSpaceDE/>
        <w:autoSpaceDN/>
        <w:adjustRightInd/>
        <w:spacing w:line="240" w:lineRule="auto"/>
        <w:contextualSpacing/>
        <w:jc w:val="left"/>
        <w:rPr>
          <w:color w:val="000000" w:themeColor="text1"/>
        </w:rPr>
      </w:pPr>
      <w:r w:rsidRPr="00EC22F0">
        <w:rPr>
          <w:color w:val="000000" w:themeColor="text1"/>
          <w:shd w:val="clear" w:color="auto" w:fill="FFFFFF"/>
        </w:rPr>
        <w:t xml:space="preserve">FTSE Russell determined this situation to be a market disruption event. According to the </w:t>
      </w:r>
      <w:r w:rsidRPr="00EC22F0">
        <w:rPr>
          <w:i/>
          <w:iCs/>
          <w:color w:val="000000" w:themeColor="text1"/>
          <w:shd w:val="clear" w:color="auto" w:fill="FFFFFF"/>
        </w:rPr>
        <w:t>FTSE Fixed Income Statement of Principles</w:t>
      </w:r>
      <w:r w:rsidRPr="00EC22F0">
        <w:rPr>
          <w:color w:val="000000" w:themeColor="text1"/>
          <w:shd w:val="clear" w:color="auto" w:fill="FFFFFF"/>
        </w:rPr>
        <w:t xml:space="preserve"> (</w:t>
      </w:r>
      <w:hyperlink r:id="rId26" w:history="1">
        <w:r w:rsidRPr="00EC22F0">
          <w:rPr>
            <w:rStyle w:val="Hyperlink"/>
            <w:shd w:val="clear" w:color="auto" w:fill="FFFFFF"/>
          </w:rPr>
          <w:t>link</w:t>
        </w:r>
      </w:hyperlink>
      <w:r w:rsidRPr="00EC22F0">
        <w:rPr>
          <w:color w:val="000000" w:themeColor="text1"/>
          <w:shd w:val="clear" w:color="auto" w:fill="FFFFFF"/>
        </w:rPr>
        <w:t>), FTSE Russell may exercise expert judgment to ensure that indexes continue to meet the needs of index users and meet their stated objectives in such extreme circumstances.</w:t>
      </w:r>
    </w:p>
    <w:p w14:paraId="272C0419" w14:textId="77777777" w:rsidR="00726091" w:rsidRPr="00EC22F0" w:rsidRDefault="00726091" w:rsidP="00726091">
      <w:pPr>
        <w:rPr>
          <w:rFonts w:asciiTheme="minorHAnsi" w:hAnsiTheme="minorHAnsi" w:cstheme="minorHAnsi"/>
          <w:color w:val="000000" w:themeColor="text1"/>
          <w:sz w:val="22"/>
          <w:szCs w:val="22"/>
        </w:rPr>
      </w:pPr>
    </w:p>
    <w:p w14:paraId="5EA5F099" w14:textId="77777777" w:rsidR="00726091" w:rsidRPr="00EC22F0" w:rsidRDefault="00726091" w:rsidP="00726091">
      <w:pPr>
        <w:rPr>
          <w:rFonts w:asciiTheme="minorHAnsi" w:hAnsiTheme="minorHAnsi" w:cstheme="minorHAnsi"/>
          <w:color w:val="000000" w:themeColor="text1"/>
          <w:sz w:val="22"/>
          <w:szCs w:val="22"/>
        </w:rPr>
      </w:pPr>
      <w:r w:rsidRPr="00EC22F0">
        <w:rPr>
          <w:rFonts w:asciiTheme="minorHAnsi" w:hAnsiTheme="minorHAnsi" w:cstheme="minorHAnsi"/>
          <w:color w:val="000000" w:themeColor="text1"/>
          <w:sz w:val="22"/>
          <w:szCs w:val="22"/>
        </w:rPr>
        <w:t>Key factors that resulted in the forward roll decision for Refinitiv Core Commodity CRB Indices:</w:t>
      </w:r>
    </w:p>
    <w:p w14:paraId="1F0BFC4B" w14:textId="77777777" w:rsidR="00726091" w:rsidRPr="00EC22F0" w:rsidRDefault="00726091" w:rsidP="00726091">
      <w:pPr>
        <w:pStyle w:val="ListParagraph"/>
        <w:numPr>
          <w:ilvl w:val="0"/>
          <w:numId w:val="19"/>
        </w:numPr>
        <w:tabs>
          <w:tab w:val="clear" w:pos="0"/>
          <w:tab w:val="clear" w:pos="142"/>
          <w:tab w:val="clear" w:pos="284"/>
          <w:tab w:val="clear" w:pos="567"/>
        </w:tabs>
        <w:autoSpaceDE/>
        <w:autoSpaceDN/>
        <w:adjustRightInd/>
        <w:spacing w:line="240" w:lineRule="auto"/>
        <w:contextualSpacing/>
        <w:jc w:val="left"/>
      </w:pPr>
      <w:r w:rsidRPr="00EC22F0">
        <w:t>Concerns by market participants following the negative settlement price of the WTI Crude Oil May 2020 futures contract.</w:t>
      </w:r>
    </w:p>
    <w:p w14:paraId="29DA9380" w14:textId="5C1E0140" w:rsidR="00726091" w:rsidRPr="00EC22F0" w:rsidRDefault="00726091" w:rsidP="00726091">
      <w:pPr>
        <w:pStyle w:val="ListParagraph"/>
        <w:numPr>
          <w:ilvl w:val="0"/>
          <w:numId w:val="19"/>
        </w:numPr>
        <w:tabs>
          <w:tab w:val="clear" w:pos="0"/>
          <w:tab w:val="clear" w:pos="142"/>
          <w:tab w:val="clear" w:pos="284"/>
          <w:tab w:val="clear" w:pos="567"/>
        </w:tabs>
        <w:autoSpaceDE/>
        <w:autoSpaceDN/>
        <w:adjustRightInd/>
        <w:spacing w:line="240" w:lineRule="auto"/>
        <w:contextualSpacing/>
        <w:jc w:val="left"/>
      </w:pPr>
      <w:r w:rsidRPr="00EC22F0">
        <w:t>An extraordinary Oversight Committee meeting proposed a methodology change to be consulted on, which was approved by the RBSL Board</w:t>
      </w:r>
      <w:r w:rsidR="00CE73CD">
        <w:t>.</w:t>
      </w:r>
    </w:p>
    <w:p w14:paraId="41596F90" w14:textId="77777777" w:rsidR="00726091" w:rsidRPr="00EC22F0" w:rsidRDefault="00726091" w:rsidP="00726091">
      <w:pPr>
        <w:pStyle w:val="ListParagraph"/>
        <w:numPr>
          <w:ilvl w:val="0"/>
          <w:numId w:val="19"/>
        </w:numPr>
        <w:tabs>
          <w:tab w:val="clear" w:pos="0"/>
          <w:tab w:val="clear" w:pos="142"/>
          <w:tab w:val="clear" w:pos="284"/>
          <w:tab w:val="clear" w:pos="567"/>
        </w:tabs>
        <w:autoSpaceDE/>
        <w:autoSpaceDN/>
        <w:adjustRightInd/>
        <w:spacing w:line="240" w:lineRule="auto"/>
        <w:contextualSpacing/>
        <w:jc w:val="left"/>
      </w:pPr>
      <w:r w:rsidRPr="00EC22F0">
        <w:t>An expedited public consultation was conducted, and the methodology change implemented following client feedback received.</w:t>
      </w:r>
    </w:p>
    <w:p w14:paraId="1F19CDE4" w14:textId="77777777" w:rsidR="00726091" w:rsidRPr="00EC22F0" w:rsidRDefault="00726091" w:rsidP="00726091">
      <w:pPr>
        <w:rPr>
          <w:rFonts w:asciiTheme="minorHAnsi" w:hAnsiTheme="minorHAnsi" w:cstheme="minorHAnsi"/>
          <w:sz w:val="22"/>
          <w:szCs w:val="22"/>
        </w:rPr>
      </w:pPr>
    </w:p>
    <w:p w14:paraId="3BFC70DB" w14:textId="77777777" w:rsidR="00726091" w:rsidRPr="00EC22F0" w:rsidRDefault="00726091" w:rsidP="00726091">
      <w:pPr>
        <w:rPr>
          <w:rFonts w:asciiTheme="minorHAnsi" w:hAnsiTheme="minorHAnsi" w:cstheme="minorHAnsi"/>
          <w:sz w:val="22"/>
          <w:szCs w:val="22"/>
        </w:rPr>
      </w:pPr>
      <w:r w:rsidRPr="00EC22F0">
        <w:rPr>
          <w:rFonts w:asciiTheme="minorHAnsi" w:hAnsiTheme="minorHAnsi" w:cstheme="minorHAnsi"/>
          <w:sz w:val="22"/>
          <w:szCs w:val="22"/>
        </w:rPr>
        <w:t xml:space="preserve">As of January 2021, the FTSE Russell equity indices can postpone an index review by five business days in the event of a market outage. This change was introduced following the </w:t>
      </w:r>
      <w:r w:rsidRPr="00EC22F0">
        <w:rPr>
          <w:rFonts w:asciiTheme="minorHAnsi" w:hAnsiTheme="minorHAnsi" w:cstheme="minorHAnsi"/>
          <w:sz w:val="22"/>
          <w:szCs w:val="22"/>
        </w:rPr>
        <w:lastRenderedPageBreak/>
        <w:t xml:space="preserve">market exceptional circumstances in 2020 and is reflected in the </w:t>
      </w:r>
      <w:r w:rsidRPr="00EC22F0">
        <w:rPr>
          <w:rFonts w:asciiTheme="minorHAnsi" w:hAnsiTheme="minorHAnsi" w:cstheme="minorHAnsi"/>
          <w:i/>
          <w:iCs/>
          <w:sz w:val="22"/>
          <w:szCs w:val="22"/>
        </w:rPr>
        <w:t>FTSE Russell Index Policy for Trading Halts and Market Closures</w:t>
      </w:r>
      <w:r w:rsidRPr="00EC22F0">
        <w:rPr>
          <w:rFonts w:asciiTheme="minorHAnsi" w:hAnsiTheme="minorHAnsi" w:cstheme="minorHAnsi"/>
          <w:sz w:val="22"/>
          <w:szCs w:val="22"/>
        </w:rPr>
        <w:t xml:space="preserve"> </w:t>
      </w:r>
      <w:r w:rsidRPr="00EC22F0">
        <w:rPr>
          <w:rFonts w:asciiTheme="minorHAnsi" w:hAnsiTheme="minorHAnsi" w:cstheme="minorHAnsi"/>
          <w:i/>
          <w:iCs/>
          <w:sz w:val="22"/>
          <w:szCs w:val="22"/>
        </w:rPr>
        <w:t>(</w:t>
      </w:r>
      <w:hyperlink r:id="rId27" w:history="1">
        <w:r w:rsidRPr="00EC22F0">
          <w:rPr>
            <w:rStyle w:val="Hyperlink"/>
            <w:rFonts w:asciiTheme="minorHAnsi" w:eastAsiaTheme="majorEastAsia" w:hAnsiTheme="minorHAnsi" w:cstheme="minorHAnsi"/>
            <w:sz w:val="22"/>
            <w:szCs w:val="22"/>
          </w:rPr>
          <w:t>link</w:t>
        </w:r>
      </w:hyperlink>
      <w:r w:rsidRPr="00EC22F0">
        <w:rPr>
          <w:rFonts w:asciiTheme="minorHAnsi" w:hAnsiTheme="minorHAnsi" w:cstheme="minorHAnsi"/>
          <w:sz w:val="22"/>
          <w:szCs w:val="22"/>
        </w:rPr>
        <w:t>)</w:t>
      </w:r>
    </w:p>
    <w:p w14:paraId="5E8250E8" w14:textId="77777777" w:rsidR="00726091" w:rsidRPr="00EC22F0" w:rsidRDefault="00726091" w:rsidP="00726091">
      <w:pPr>
        <w:rPr>
          <w:rFonts w:asciiTheme="minorHAnsi" w:hAnsiTheme="minorHAnsi" w:cstheme="minorHAnsi"/>
          <w:sz w:val="22"/>
          <w:szCs w:val="22"/>
        </w:rPr>
      </w:pPr>
    </w:p>
    <w:p w14:paraId="4866BBD5" w14:textId="77777777" w:rsidR="00726091" w:rsidRPr="00EC22F0" w:rsidRDefault="00726091" w:rsidP="00726091">
      <w:pPr>
        <w:rPr>
          <w:rFonts w:asciiTheme="minorHAnsi" w:hAnsiTheme="minorHAnsi" w:cstheme="minorHAnsi"/>
          <w:sz w:val="22"/>
          <w:szCs w:val="22"/>
        </w:rPr>
      </w:pPr>
      <w:r w:rsidRPr="00EC22F0">
        <w:rPr>
          <w:rFonts w:asciiTheme="minorHAnsi" w:hAnsiTheme="minorHAnsi" w:cstheme="minorHAnsi"/>
          <w:sz w:val="22"/>
          <w:szCs w:val="22"/>
        </w:rPr>
        <w:t xml:space="preserve">Therefore, we highlight to ESMA that FIL and RBSL acted in line with EU BMR requirements, in a transparent way and in consultation with external stakeholders. The EU BMR requirements were clear and sufficient during the COVID-19 pandemic, and our actions were in line with ESMA’s proposed guidelines. </w:t>
      </w:r>
    </w:p>
    <w:p w14:paraId="2840B545" w14:textId="77777777" w:rsidR="00726091" w:rsidRPr="00EC22F0" w:rsidRDefault="00726091" w:rsidP="00726091">
      <w:pPr>
        <w:rPr>
          <w:rFonts w:asciiTheme="minorHAnsi" w:hAnsiTheme="minorHAnsi" w:cstheme="minorHAnsi"/>
          <w:sz w:val="22"/>
          <w:szCs w:val="22"/>
        </w:rPr>
      </w:pPr>
    </w:p>
    <w:p w14:paraId="1F31BE9A" w14:textId="3B105D4E" w:rsidR="009C4F59" w:rsidRPr="00EC22F0" w:rsidRDefault="00726091" w:rsidP="009C4F59">
      <w:pPr>
        <w:rPr>
          <w:rFonts w:asciiTheme="minorHAnsi" w:hAnsiTheme="minorHAnsi" w:cstheme="minorHAnsi"/>
          <w:sz w:val="22"/>
          <w:szCs w:val="22"/>
        </w:rPr>
      </w:pPr>
      <w:r w:rsidRPr="00EC22F0">
        <w:rPr>
          <w:rFonts w:asciiTheme="minorHAnsi" w:hAnsiTheme="minorHAnsi" w:cstheme="minorHAnsi"/>
          <w:sz w:val="22"/>
          <w:szCs w:val="22"/>
        </w:rPr>
        <w:t>We do not propose any changes to ESMA’s draft.</w:t>
      </w:r>
    </w:p>
    <w:permEnd w:id="1658206811"/>
    <w:p w14:paraId="5269CAA6" w14:textId="77777777" w:rsidR="009C4F59" w:rsidRDefault="009C4F59" w:rsidP="009C4F59">
      <w:r>
        <w:t>&lt;ESMA_QUESTION_CP_GMEC_1&gt;</w:t>
      </w:r>
    </w:p>
    <w:p w14:paraId="3F901EB1" w14:textId="77777777" w:rsidR="009C4F59" w:rsidRDefault="009C4F59" w:rsidP="009C4F59"/>
    <w:p w14:paraId="16F644B8" w14:textId="77777777" w:rsidR="009C4F59" w:rsidRDefault="009C4F59" w:rsidP="009C4F59">
      <w:pPr>
        <w:pStyle w:val="Questionstyle"/>
        <w:numPr>
          <w:ilvl w:val="0"/>
          <w:numId w:val="17"/>
        </w:numPr>
        <w:spacing w:after="250" w:line="276" w:lineRule="auto"/>
      </w:pPr>
      <w:r>
        <w:t xml:space="preserve">: Would you suggest including any additional elements to be taken into account for identifying the overarching principles of the exceptional circumstances? Please explain. </w:t>
      </w:r>
    </w:p>
    <w:p w14:paraId="00B70736" w14:textId="77777777" w:rsidR="009C4F59" w:rsidRDefault="009C4F59" w:rsidP="009C4F59">
      <w:r>
        <w:t>&lt;ESMA_QUESTION_CP_GMEC_2&gt;</w:t>
      </w:r>
    </w:p>
    <w:p w14:paraId="78CDA809" w14:textId="55D1EC8A" w:rsidR="00E02A27" w:rsidRPr="00EC22F0" w:rsidRDefault="00E02A27" w:rsidP="00E02A27">
      <w:pPr>
        <w:rPr>
          <w:rFonts w:asciiTheme="minorHAnsi" w:hAnsiTheme="minorHAnsi" w:cstheme="minorHAnsi"/>
          <w:sz w:val="22"/>
          <w:szCs w:val="22"/>
        </w:rPr>
      </w:pPr>
      <w:permStart w:id="39417556" w:edGrp="everyone"/>
      <w:r w:rsidRPr="00EC22F0">
        <w:rPr>
          <w:rFonts w:asciiTheme="minorHAnsi" w:hAnsiTheme="minorHAnsi" w:cstheme="minorHAnsi"/>
          <w:sz w:val="22"/>
          <w:szCs w:val="22"/>
        </w:rPr>
        <w:t>We do not suggest any additional elements to be included in these proposed guidelines.</w:t>
      </w:r>
    </w:p>
    <w:p w14:paraId="04B453EA" w14:textId="77777777" w:rsidR="00E02A27" w:rsidRPr="00EC22F0" w:rsidRDefault="00E02A27" w:rsidP="00E02A27">
      <w:pPr>
        <w:rPr>
          <w:rFonts w:asciiTheme="minorHAnsi" w:hAnsiTheme="minorHAnsi" w:cstheme="minorHAnsi"/>
          <w:sz w:val="22"/>
          <w:szCs w:val="22"/>
        </w:rPr>
      </w:pPr>
    </w:p>
    <w:p w14:paraId="1503E831" w14:textId="77777777" w:rsidR="00E02A27" w:rsidRPr="00EC22F0" w:rsidRDefault="00E02A27" w:rsidP="00E02A27">
      <w:pPr>
        <w:rPr>
          <w:rFonts w:asciiTheme="minorHAnsi" w:hAnsiTheme="minorHAnsi" w:cstheme="minorHAnsi"/>
          <w:sz w:val="22"/>
          <w:szCs w:val="22"/>
        </w:rPr>
      </w:pPr>
      <w:r w:rsidRPr="00EC22F0">
        <w:rPr>
          <w:rFonts w:asciiTheme="minorHAnsi" w:hAnsiTheme="minorHAnsi" w:cstheme="minorHAnsi"/>
          <w:sz w:val="22"/>
          <w:szCs w:val="22"/>
        </w:rPr>
        <w:t xml:space="preserve">Based on external stakeholder discussions, FTSE Russell believes that our Statement of Principles for </w:t>
      </w:r>
      <w:hyperlink r:id="rId28" w:history="1">
        <w:r w:rsidRPr="00EC22F0">
          <w:rPr>
            <w:rStyle w:val="Hyperlink"/>
            <w:rFonts w:asciiTheme="minorHAnsi" w:eastAsiaTheme="majorEastAsia" w:hAnsiTheme="minorHAnsi" w:cstheme="minorHAnsi"/>
            <w:sz w:val="22"/>
            <w:szCs w:val="22"/>
          </w:rPr>
          <w:t>equity</w:t>
        </w:r>
      </w:hyperlink>
      <w:r w:rsidRPr="00EC22F0">
        <w:rPr>
          <w:rFonts w:asciiTheme="minorHAnsi" w:hAnsiTheme="minorHAnsi" w:cstheme="minorHAnsi"/>
          <w:sz w:val="22"/>
          <w:szCs w:val="22"/>
        </w:rPr>
        <w:t xml:space="preserve"> and </w:t>
      </w:r>
      <w:hyperlink r:id="rId29" w:history="1">
        <w:r w:rsidRPr="00EC22F0">
          <w:rPr>
            <w:rStyle w:val="Hyperlink"/>
            <w:rFonts w:asciiTheme="minorHAnsi" w:eastAsiaTheme="majorEastAsia" w:hAnsiTheme="minorHAnsi" w:cstheme="minorHAnsi"/>
            <w:sz w:val="22"/>
            <w:szCs w:val="22"/>
          </w:rPr>
          <w:t>fixed income</w:t>
        </w:r>
      </w:hyperlink>
      <w:r w:rsidRPr="00EC22F0">
        <w:rPr>
          <w:rFonts w:asciiTheme="minorHAnsi" w:hAnsiTheme="minorHAnsi" w:cstheme="minorHAnsi"/>
          <w:sz w:val="22"/>
          <w:szCs w:val="22"/>
        </w:rPr>
        <w:t xml:space="preserve"> capture ESMA’s proposed overarching principles for exceptional circumstances. </w:t>
      </w:r>
    </w:p>
    <w:p w14:paraId="51EF4B69" w14:textId="77777777" w:rsidR="00E02A27" w:rsidRPr="00EC22F0" w:rsidRDefault="00E02A27" w:rsidP="00E02A27">
      <w:pPr>
        <w:rPr>
          <w:rFonts w:asciiTheme="minorHAnsi" w:hAnsiTheme="minorHAnsi" w:cstheme="minorHAnsi"/>
          <w:sz w:val="22"/>
          <w:szCs w:val="22"/>
        </w:rPr>
      </w:pPr>
    </w:p>
    <w:p w14:paraId="642CCA0B" w14:textId="77777777" w:rsidR="00E02A27" w:rsidRPr="00EC22F0" w:rsidRDefault="00E02A27" w:rsidP="00E02A27">
      <w:pPr>
        <w:rPr>
          <w:rFonts w:asciiTheme="minorHAnsi" w:hAnsiTheme="minorHAnsi" w:cstheme="minorHAnsi"/>
          <w:sz w:val="22"/>
          <w:szCs w:val="22"/>
        </w:rPr>
      </w:pPr>
      <w:r w:rsidRPr="00EC22F0">
        <w:rPr>
          <w:rFonts w:asciiTheme="minorHAnsi" w:hAnsiTheme="minorHAnsi" w:cstheme="minorHAnsi"/>
          <w:sz w:val="22"/>
          <w:szCs w:val="22"/>
        </w:rPr>
        <w:t>As an illustrative example of how our policies take into account exceptional circumstances, the</w:t>
      </w:r>
      <w:r w:rsidRPr="00EC22F0">
        <w:rPr>
          <w:rFonts w:asciiTheme="minorHAnsi" w:hAnsiTheme="minorHAnsi" w:cstheme="minorHAnsi"/>
          <w:i/>
          <w:iCs/>
          <w:sz w:val="22"/>
          <w:szCs w:val="22"/>
        </w:rPr>
        <w:t xml:space="preserve"> FTSE Russell Index Policy in the Event Clients are Unable to Trade a Market (</w:t>
      </w:r>
      <w:hyperlink r:id="rId30" w:history="1">
        <w:r w:rsidRPr="00EC22F0">
          <w:rPr>
            <w:rStyle w:val="Hyperlink"/>
            <w:rFonts w:asciiTheme="minorHAnsi" w:eastAsiaTheme="majorEastAsia" w:hAnsiTheme="minorHAnsi" w:cstheme="minorHAnsi"/>
            <w:sz w:val="22"/>
            <w:szCs w:val="22"/>
          </w:rPr>
          <w:t>link</w:t>
        </w:r>
      </w:hyperlink>
      <w:r w:rsidRPr="00EC22F0">
        <w:rPr>
          <w:rFonts w:asciiTheme="minorHAnsi" w:hAnsiTheme="minorHAnsi" w:cstheme="minorHAnsi"/>
          <w:sz w:val="22"/>
          <w:szCs w:val="22"/>
        </w:rPr>
        <w:t xml:space="preserve">) and the </w:t>
      </w:r>
      <w:r w:rsidRPr="00EC22F0">
        <w:rPr>
          <w:rFonts w:asciiTheme="minorHAnsi" w:hAnsiTheme="minorHAnsi" w:cstheme="minorHAnsi"/>
          <w:i/>
          <w:iCs/>
          <w:sz w:val="22"/>
          <w:szCs w:val="22"/>
        </w:rPr>
        <w:t xml:space="preserve">FTSE Russell Index Policy for Trading Halts and Market Closures </w:t>
      </w:r>
      <w:r w:rsidRPr="00EC22F0">
        <w:rPr>
          <w:rFonts w:asciiTheme="minorHAnsi" w:hAnsiTheme="minorHAnsi" w:cstheme="minorHAnsi"/>
          <w:sz w:val="22"/>
          <w:szCs w:val="22"/>
        </w:rPr>
        <w:t>(</w:t>
      </w:r>
      <w:hyperlink r:id="rId31" w:history="1">
        <w:r w:rsidRPr="00EC22F0">
          <w:rPr>
            <w:rStyle w:val="Hyperlink"/>
            <w:rFonts w:asciiTheme="minorHAnsi" w:eastAsiaTheme="majorEastAsia" w:hAnsiTheme="minorHAnsi" w:cstheme="minorHAnsi"/>
            <w:sz w:val="22"/>
            <w:szCs w:val="22"/>
          </w:rPr>
          <w:t>link</w:t>
        </w:r>
      </w:hyperlink>
      <w:r w:rsidRPr="00EC22F0">
        <w:rPr>
          <w:rFonts w:asciiTheme="minorHAnsi" w:hAnsiTheme="minorHAnsi" w:cstheme="minorHAnsi"/>
          <w:sz w:val="22"/>
          <w:szCs w:val="22"/>
        </w:rPr>
        <w:t>) both address the policies for exceptional circumstances.</w:t>
      </w:r>
    </w:p>
    <w:p w14:paraId="254FEC1A" w14:textId="77777777" w:rsidR="00E02A27" w:rsidRPr="00EC22F0" w:rsidRDefault="00E02A27" w:rsidP="00E02A27">
      <w:pPr>
        <w:rPr>
          <w:rFonts w:asciiTheme="minorHAnsi" w:hAnsiTheme="minorHAnsi" w:cstheme="minorHAnsi"/>
          <w:sz w:val="22"/>
          <w:szCs w:val="22"/>
        </w:rPr>
      </w:pPr>
    </w:p>
    <w:p w14:paraId="06216EB3" w14:textId="77777777" w:rsidR="00E02A27" w:rsidRPr="00EC22F0" w:rsidRDefault="00E02A27" w:rsidP="00E02A27">
      <w:pPr>
        <w:rPr>
          <w:rFonts w:asciiTheme="minorHAnsi" w:hAnsiTheme="minorHAnsi" w:cstheme="minorHAnsi"/>
          <w:sz w:val="22"/>
          <w:szCs w:val="22"/>
        </w:rPr>
      </w:pPr>
      <w:r w:rsidRPr="00EC22F0">
        <w:rPr>
          <w:rFonts w:asciiTheme="minorHAnsi" w:hAnsiTheme="minorHAnsi" w:cstheme="minorHAnsi"/>
          <w:sz w:val="22"/>
          <w:szCs w:val="22"/>
        </w:rPr>
        <w:t>These circumstances include events such as:</w:t>
      </w:r>
    </w:p>
    <w:p w14:paraId="4BA086EB" w14:textId="77777777" w:rsidR="00E02A27" w:rsidRPr="00EC22F0" w:rsidRDefault="00E02A27" w:rsidP="00E02A27">
      <w:pPr>
        <w:pStyle w:val="ListParagraph"/>
        <w:numPr>
          <w:ilvl w:val="0"/>
          <w:numId w:val="20"/>
        </w:numPr>
        <w:tabs>
          <w:tab w:val="clear" w:pos="0"/>
          <w:tab w:val="clear" w:pos="142"/>
          <w:tab w:val="clear" w:pos="284"/>
          <w:tab w:val="clear" w:pos="567"/>
        </w:tabs>
        <w:autoSpaceDE/>
        <w:autoSpaceDN/>
        <w:adjustRightInd/>
        <w:spacing w:line="240" w:lineRule="auto"/>
        <w:contextualSpacing/>
        <w:jc w:val="left"/>
      </w:pPr>
      <w:r w:rsidRPr="00EC22F0">
        <w:t>Trading halts</w:t>
      </w:r>
    </w:p>
    <w:p w14:paraId="6864C08F" w14:textId="77777777" w:rsidR="00E02A27" w:rsidRPr="00EC22F0" w:rsidRDefault="00E02A27" w:rsidP="00E02A27">
      <w:pPr>
        <w:pStyle w:val="ListParagraph"/>
        <w:numPr>
          <w:ilvl w:val="0"/>
          <w:numId w:val="20"/>
        </w:numPr>
        <w:tabs>
          <w:tab w:val="clear" w:pos="0"/>
          <w:tab w:val="clear" w:pos="142"/>
          <w:tab w:val="clear" w:pos="284"/>
          <w:tab w:val="clear" w:pos="567"/>
        </w:tabs>
        <w:autoSpaceDE/>
        <w:autoSpaceDN/>
        <w:adjustRightInd/>
        <w:spacing w:line="240" w:lineRule="auto"/>
        <w:contextualSpacing/>
        <w:jc w:val="left"/>
      </w:pPr>
      <w:r w:rsidRPr="00EC22F0">
        <w:t>Unscheduled market closures</w:t>
      </w:r>
    </w:p>
    <w:p w14:paraId="7C3C09F5" w14:textId="77777777" w:rsidR="00E02A27" w:rsidRPr="00EC22F0" w:rsidRDefault="00E02A27" w:rsidP="00E02A27">
      <w:pPr>
        <w:pStyle w:val="ListParagraph"/>
        <w:numPr>
          <w:ilvl w:val="0"/>
          <w:numId w:val="20"/>
        </w:numPr>
        <w:tabs>
          <w:tab w:val="clear" w:pos="0"/>
          <w:tab w:val="clear" w:pos="142"/>
          <w:tab w:val="clear" w:pos="284"/>
          <w:tab w:val="clear" w:pos="567"/>
        </w:tabs>
        <w:autoSpaceDE/>
        <w:autoSpaceDN/>
        <w:adjustRightInd/>
        <w:spacing w:line="240" w:lineRule="auto"/>
        <w:contextualSpacing/>
        <w:jc w:val="left"/>
      </w:pPr>
      <w:r w:rsidRPr="00EC22F0">
        <w:t>Restrictions on the repatriation of capital</w:t>
      </w:r>
    </w:p>
    <w:p w14:paraId="2656FE4E" w14:textId="77777777" w:rsidR="00E02A27" w:rsidRPr="00EC22F0" w:rsidRDefault="00E02A27" w:rsidP="00E02A27">
      <w:pPr>
        <w:pStyle w:val="ListParagraph"/>
        <w:numPr>
          <w:ilvl w:val="0"/>
          <w:numId w:val="20"/>
        </w:numPr>
        <w:tabs>
          <w:tab w:val="clear" w:pos="0"/>
          <w:tab w:val="clear" w:pos="142"/>
          <w:tab w:val="clear" w:pos="284"/>
          <w:tab w:val="clear" w:pos="567"/>
        </w:tabs>
        <w:autoSpaceDE/>
        <w:autoSpaceDN/>
        <w:adjustRightInd/>
        <w:spacing w:line="240" w:lineRule="auto"/>
        <w:contextualSpacing/>
        <w:jc w:val="left"/>
      </w:pPr>
      <w:r w:rsidRPr="00EC22F0">
        <w:t>National stock market closures for an extended period</w:t>
      </w:r>
    </w:p>
    <w:p w14:paraId="7266CB60" w14:textId="77777777" w:rsidR="00E02A27" w:rsidRPr="00EC22F0" w:rsidRDefault="00E02A27" w:rsidP="00E02A27">
      <w:pPr>
        <w:pStyle w:val="ListParagraph"/>
        <w:numPr>
          <w:ilvl w:val="0"/>
          <w:numId w:val="20"/>
        </w:numPr>
        <w:tabs>
          <w:tab w:val="clear" w:pos="0"/>
          <w:tab w:val="clear" w:pos="142"/>
          <w:tab w:val="clear" w:pos="284"/>
          <w:tab w:val="clear" w:pos="567"/>
        </w:tabs>
        <w:autoSpaceDE/>
        <w:autoSpaceDN/>
        <w:adjustRightInd/>
        <w:spacing w:line="240" w:lineRule="auto"/>
        <w:contextualSpacing/>
        <w:jc w:val="left"/>
      </w:pPr>
      <w:r w:rsidRPr="00EC22F0">
        <w:t>Exceptional Market Disruptions</w:t>
      </w:r>
    </w:p>
    <w:p w14:paraId="6C95284B" w14:textId="77777777" w:rsidR="00E02A27" w:rsidRPr="00EC22F0" w:rsidRDefault="00E02A27" w:rsidP="00E02A27">
      <w:pPr>
        <w:pStyle w:val="ListParagraph"/>
        <w:numPr>
          <w:ilvl w:val="0"/>
          <w:numId w:val="20"/>
        </w:numPr>
        <w:tabs>
          <w:tab w:val="clear" w:pos="0"/>
          <w:tab w:val="clear" w:pos="142"/>
          <w:tab w:val="clear" w:pos="284"/>
          <w:tab w:val="clear" w:pos="567"/>
        </w:tabs>
        <w:autoSpaceDE/>
        <w:autoSpaceDN/>
        <w:adjustRightInd/>
        <w:spacing w:line="240" w:lineRule="auto"/>
        <w:contextualSpacing/>
        <w:jc w:val="left"/>
      </w:pPr>
      <w:r w:rsidRPr="00EC22F0">
        <w:t>Trading Suspensions in Depositary Receipts</w:t>
      </w:r>
    </w:p>
    <w:p w14:paraId="3137C05B" w14:textId="77777777" w:rsidR="00E02A27" w:rsidRPr="00EC22F0" w:rsidRDefault="00E02A27" w:rsidP="00E02A27">
      <w:pPr>
        <w:rPr>
          <w:rFonts w:asciiTheme="minorHAnsi" w:hAnsiTheme="minorHAnsi" w:cstheme="minorHAnsi"/>
          <w:sz w:val="22"/>
          <w:szCs w:val="22"/>
        </w:rPr>
      </w:pPr>
    </w:p>
    <w:p w14:paraId="42DB2752" w14:textId="77777777" w:rsidR="00E02A27" w:rsidRPr="00EC22F0" w:rsidRDefault="00E02A27" w:rsidP="00E02A27">
      <w:pPr>
        <w:rPr>
          <w:rFonts w:asciiTheme="minorHAnsi" w:hAnsiTheme="minorHAnsi" w:cstheme="minorHAnsi"/>
          <w:sz w:val="22"/>
          <w:szCs w:val="22"/>
        </w:rPr>
      </w:pPr>
      <w:r w:rsidRPr="00EC22F0">
        <w:rPr>
          <w:rFonts w:asciiTheme="minorHAnsi" w:hAnsiTheme="minorHAnsi" w:cstheme="minorHAnsi"/>
          <w:sz w:val="22"/>
          <w:szCs w:val="22"/>
        </w:rPr>
        <w:t xml:space="preserve">Following the extreme market conditions of March 2020 and following discussions with FTSE Russell’s clients, </w:t>
      </w:r>
      <w:r w:rsidRPr="00EC22F0">
        <w:rPr>
          <w:rFonts w:asciiTheme="minorHAnsi" w:hAnsiTheme="minorHAnsi" w:cstheme="minorHAnsi"/>
          <w:i/>
          <w:iCs/>
          <w:sz w:val="22"/>
          <w:szCs w:val="22"/>
        </w:rPr>
        <w:t>FTSE Russell Index Policy for Trading Halts and Market Closures</w:t>
      </w:r>
      <w:r w:rsidRPr="00EC22F0">
        <w:rPr>
          <w:rFonts w:asciiTheme="minorHAnsi" w:hAnsiTheme="minorHAnsi" w:cstheme="minorHAnsi"/>
          <w:sz w:val="22"/>
          <w:szCs w:val="22"/>
        </w:rPr>
        <w:t xml:space="preserve"> was updated to include an option to postpone equity index rebalances up to 5 days in case of an unscheduled market closure or outage. </w:t>
      </w:r>
    </w:p>
    <w:p w14:paraId="6C803A78" w14:textId="77777777" w:rsidR="00E02A27" w:rsidRPr="00EC22F0" w:rsidRDefault="00E02A27" w:rsidP="00E02A27">
      <w:pPr>
        <w:rPr>
          <w:rFonts w:asciiTheme="minorHAnsi" w:hAnsiTheme="minorHAnsi" w:cstheme="minorHAnsi"/>
          <w:sz w:val="22"/>
          <w:szCs w:val="22"/>
        </w:rPr>
      </w:pPr>
    </w:p>
    <w:p w14:paraId="089C5738" w14:textId="735C2F34" w:rsidR="009C4F59" w:rsidRPr="00EC22F0" w:rsidRDefault="00E02A27" w:rsidP="009C4F59">
      <w:pPr>
        <w:rPr>
          <w:rFonts w:ascii="Arial" w:eastAsia="Arial" w:hAnsi="Arial" w:cs="Arial"/>
        </w:rPr>
      </w:pPr>
      <w:r w:rsidRPr="00EC22F0">
        <w:rPr>
          <w:rFonts w:asciiTheme="minorHAnsi" w:eastAsia="Arial" w:hAnsiTheme="minorHAnsi" w:cstheme="minorHAnsi"/>
          <w:sz w:val="22"/>
          <w:szCs w:val="22"/>
        </w:rPr>
        <w:t>Due to the unique nature of each market outage and unexpected closure, FTSE Russell will review each situation on a case-by-case basis and will determine the best course of action following consultation with its external advisory committees or other internal and external stakeholders (as far as is reasonably practical). This includes evaluating whether FTSE Russell should consider cancelling the impacted reviews altogether; this will be considered if an outage or closure lasts for more than 10 business days.</w:t>
      </w:r>
    </w:p>
    <w:permEnd w:id="39417556"/>
    <w:p w14:paraId="70CAC673" w14:textId="77777777" w:rsidR="009C4F59" w:rsidRDefault="009C4F59" w:rsidP="009C4F59">
      <w:r>
        <w:t>&lt;ESMA_QUESTION_CP_GMEC_2&gt;</w:t>
      </w:r>
    </w:p>
    <w:p w14:paraId="2E2C1D95" w14:textId="77777777" w:rsidR="009C4F59" w:rsidRDefault="009C4F59" w:rsidP="009C4F59"/>
    <w:p w14:paraId="6D77994B" w14:textId="4B534977" w:rsidR="009C4F59" w:rsidRDefault="009C4F59" w:rsidP="009C4F59">
      <w:pPr>
        <w:pStyle w:val="Questionstyle"/>
        <w:numPr>
          <w:ilvl w:val="0"/>
          <w:numId w:val="17"/>
        </w:numPr>
        <w:spacing w:after="250" w:line="276" w:lineRule="auto"/>
      </w:pPr>
      <w:r>
        <w:t xml:space="preserve">: Do you have any views on the content of the draft guidelines on the </w:t>
      </w:r>
      <w:r w:rsidR="003A5EA0">
        <w:t>m</w:t>
      </w:r>
      <w:r>
        <w:t>aterial changes to the methodology used to determine a critical or significant benchmark? Would you suggest including any additional elements or to delete one or more of the elements proposed? Please explain.</w:t>
      </w:r>
    </w:p>
    <w:p w14:paraId="2040CCFB" w14:textId="77777777" w:rsidR="009C4F59" w:rsidRDefault="009C4F59" w:rsidP="009C4F59">
      <w:r>
        <w:t>&lt;ESMA_QUESTION_CP_GMEC_3&gt;</w:t>
      </w:r>
    </w:p>
    <w:p w14:paraId="2D8EA924" w14:textId="02F8150D" w:rsidR="00F91ACC" w:rsidRPr="00EC22F0" w:rsidRDefault="00F91ACC" w:rsidP="00F91ACC">
      <w:pPr>
        <w:rPr>
          <w:rFonts w:asciiTheme="minorHAnsi" w:hAnsiTheme="minorHAnsi" w:cstheme="minorHAnsi"/>
          <w:sz w:val="22"/>
          <w:szCs w:val="22"/>
        </w:rPr>
      </w:pPr>
      <w:permStart w:id="360659164" w:edGrp="everyone"/>
      <w:r w:rsidRPr="00EC22F0">
        <w:rPr>
          <w:rFonts w:asciiTheme="minorHAnsi" w:hAnsiTheme="minorHAnsi" w:cstheme="minorHAnsi"/>
          <w:sz w:val="22"/>
          <w:szCs w:val="22"/>
        </w:rPr>
        <w:lastRenderedPageBreak/>
        <w:t xml:space="preserve">We agree with ESMA that administrators should ensure users and potential users of the benchmark understand the steps of a shorter consultation process, including a high-level assessment by the administrator of the responses received and the rationale behind the outcome of the consultation. The proposed guidelines here appear sensible. </w:t>
      </w:r>
    </w:p>
    <w:p w14:paraId="54FB9FFC" w14:textId="77777777" w:rsidR="00F91ACC" w:rsidRPr="00EC22F0" w:rsidRDefault="00F91ACC" w:rsidP="00F91ACC">
      <w:pPr>
        <w:rPr>
          <w:rFonts w:asciiTheme="minorHAnsi" w:hAnsiTheme="minorHAnsi" w:cstheme="minorHAnsi"/>
          <w:sz w:val="22"/>
          <w:szCs w:val="22"/>
        </w:rPr>
      </w:pPr>
    </w:p>
    <w:p w14:paraId="543556D5" w14:textId="77777777" w:rsidR="00F91ACC" w:rsidRPr="00EC22F0" w:rsidRDefault="00F91ACC" w:rsidP="00F91ACC">
      <w:pPr>
        <w:rPr>
          <w:rFonts w:asciiTheme="minorHAnsi" w:hAnsiTheme="minorHAnsi" w:cstheme="minorHAnsi"/>
          <w:sz w:val="22"/>
          <w:szCs w:val="22"/>
        </w:rPr>
      </w:pPr>
      <w:r w:rsidRPr="00EC22F0">
        <w:rPr>
          <w:rFonts w:asciiTheme="minorHAnsi" w:hAnsiTheme="minorHAnsi" w:cstheme="minorHAnsi"/>
          <w:sz w:val="22"/>
          <w:szCs w:val="22"/>
        </w:rPr>
        <w:t>FTSE Russell’s consultation policy and consultation process is described in section 2 of</w:t>
      </w:r>
      <w:r w:rsidRPr="00EC22F0">
        <w:rPr>
          <w:rFonts w:asciiTheme="minorHAnsi" w:hAnsiTheme="minorHAnsi" w:cstheme="minorHAnsi"/>
          <w:i/>
          <w:iCs/>
          <w:sz w:val="22"/>
          <w:szCs w:val="22"/>
        </w:rPr>
        <w:t xml:space="preserve"> FTSE Russell Policy for Benchmark Methodology Changes</w:t>
      </w:r>
      <w:r w:rsidRPr="00EC22F0">
        <w:rPr>
          <w:rFonts w:asciiTheme="minorHAnsi" w:hAnsiTheme="minorHAnsi" w:cstheme="minorHAnsi"/>
          <w:sz w:val="22"/>
          <w:szCs w:val="22"/>
        </w:rPr>
        <w:t xml:space="preserve"> (</w:t>
      </w:r>
      <w:hyperlink r:id="rId32" w:history="1">
        <w:r w:rsidRPr="00EC22F0">
          <w:rPr>
            <w:rStyle w:val="Hyperlink"/>
            <w:rFonts w:asciiTheme="minorHAnsi" w:eastAsiaTheme="majorEastAsia" w:hAnsiTheme="minorHAnsi" w:cstheme="minorHAnsi"/>
            <w:sz w:val="22"/>
            <w:szCs w:val="22"/>
          </w:rPr>
          <w:t>link</w:t>
        </w:r>
      </w:hyperlink>
      <w:r w:rsidRPr="00EC22F0">
        <w:rPr>
          <w:rFonts w:asciiTheme="minorHAnsi" w:hAnsiTheme="minorHAnsi" w:cstheme="minorHAnsi"/>
          <w:sz w:val="22"/>
          <w:szCs w:val="22"/>
        </w:rPr>
        <w:t xml:space="preserve">). </w:t>
      </w:r>
    </w:p>
    <w:p w14:paraId="1D510817" w14:textId="77777777" w:rsidR="00F91ACC" w:rsidRPr="00EC22F0" w:rsidRDefault="00F91ACC" w:rsidP="00F91ACC">
      <w:pPr>
        <w:rPr>
          <w:rFonts w:asciiTheme="minorHAnsi" w:hAnsiTheme="minorHAnsi" w:cstheme="minorHAnsi"/>
          <w:sz w:val="22"/>
          <w:szCs w:val="22"/>
        </w:rPr>
      </w:pPr>
    </w:p>
    <w:p w14:paraId="48B0249C" w14:textId="77777777" w:rsidR="00F91ACC" w:rsidRPr="00EC22F0" w:rsidRDefault="00F91ACC" w:rsidP="00F91ACC">
      <w:pPr>
        <w:rPr>
          <w:rFonts w:asciiTheme="minorHAnsi" w:hAnsiTheme="minorHAnsi" w:cstheme="minorHAnsi"/>
          <w:sz w:val="22"/>
          <w:szCs w:val="22"/>
        </w:rPr>
      </w:pPr>
      <w:r w:rsidRPr="00EC22F0">
        <w:rPr>
          <w:rFonts w:asciiTheme="minorHAnsi" w:hAnsiTheme="minorHAnsi" w:cstheme="minorHAnsi"/>
          <w:sz w:val="22"/>
          <w:szCs w:val="22"/>
        </w:rPr>
        <w:t xml:space="preserve">Material changes to the methodology of any RBSL benchmark are governed by the </w:t>
      </w:r>
      <w:r w:rsidRPr="00EC22F0">
        <w:rPr>
          <w:rFonts w:asciiTheme="minorHAnsi" w:hAnsiTheme="minorHAnsi" w:cstheme="minorHAnsi"/>
          <w:i/>
          <w:iCs/>
          <w:sz w:val="22"/>
          <w:szCs w:val="22"/>
        </w:rPr>
        <w:t>RBSL Benchmark Change and Cessation Policy</w:t>
      </w:r>
      <w:r w:rsidRPr="00EC22F0">
        <w:rPr>
          <w:rFonts w:asciiTheme="minorHAnsi" w:hAnsiTheme="minorHAnsi" w:cstheme="minorHAnsi"/>
          <w:sz w:val="22"/>
          <w:szCs w:val="22"/>
        </w:rPr>
        <w:t xml:space="preserve"> (</w:t>
      </w:r>
      <w:hyperlink r:id="rId33" w:history="1">
        <w:r w:rsidRPr="00EC22F0">
          <w:rPr>
            <w:rStyle w:val="Hyperlink"/>
            <w:rFonts w:asciiTheme="minorHAnsi" w:eastAsiaTheme="majorEastAsia" w:hAnsiTheme="minorHAnsi" w:cstheme="minorHAnsi"/>
            <w:sz w:val="22"/>
            <w:szCs w:val="22"/>
          </w:rPr>
          <w:t>link</w:t>
        </w:r>
      </w:hyperlink>
      <w:r w:rsidRPr="00EC22F0">
        <w:rPr>
          <w:rFonts w:asciiTheme="minorHAnsi" w:hAnsiTheme="minorHAnsi" w:cstheme="minorHAnsi"/>
          <w:sz w:val="22"/>
          <w:szCs w:val="22"/>
        </w:rPr>
        <w:t>).</w:t>
      </w:r>
    </w:p>
    <w:p w14:paraId="28794EBD" w14:textId="77777777" w:rsidR="00F91ACC" w:rsidRPr="00EC22F0" w:rsidRDefault="00F91ACC" w:rsidP="00F91ACC">
      <w:pPr>
        <w:rPr>
          <w:rFonts w:asciiTheme="minorHAnsi" w:hAnsiTheme="minorHAnsi" w:cstheme="minorHAnsi"/>
          <w:sz w:val="22"/>
          <w:szCs w:val="22"/>
        </w:rPr>
      </w:pPr>
    </w:p>
    <w:p w14:paraId="50CE68DF" w14:textId="77777777" w:rsidR="00F91ACC" w:rsidRPr="00EC22F0" w:rsidRDefault="00F91ACC" w:rsidP="00F91ACC">
      <w:pPr>
        <w:rPr>
          <w:rFonts w:asciiTheme="minorHAnsi" w:hAnsiTheme="minorHAnsi" w:cstheme="minorHAnsi"/>
          <w:sz w:val="22"/>
          <w:szCs w:val="22"/>
        </w:rPr>
      </w:pPr>
      <w:r w:rsidRPr="00EC22F0">
        <w:rPr>
          <w:rFonts w:asciiTheme="minorHAnsi" w:hAnsiTheme="minorHAnsi" w:cstheme="minorHAnsi"/>
          <w:sz w:val="22"/>
          <w:szCs w:val="22"/>
        </w:rPr>
        <w:t xml:space="preserve">Given ESMA’s questions about the use of expert judgement, FIL's approach is described in </w:t>
      </w:r>
      <w:r w:rsidRPr="00EC22F0">
        <w:rPr>
          <w:rFonts w:asciiTheme="minorHAnsi" w:hAnsiTheme="minorHAnsi" w:cstheme="minorHAnsi"/>
          <w:i/>
          <w:iCs/>
          <w:sz w:val="22"/>
          <w:szCs w:val="22"/>
        </w:rPr>
        <w:t>Exercise of Expert Judgement in FTSE Russell Indexes</w:t>
      </w:r>
      <w:r w:rsidRPr="00EC22F0">
        <w:rPr>
          <w:rFonts w:asciiTheme="minorHAnsi" w:hAnsiTheme="minorHAnsi" w:cstheme="minorHAnsi"/>
          <w:sz w:val="22"/>
          <w:szCs w:val="22"/>
        </w:rPr>
        <w:t xml:space="preserve"> (</w:t>
      </w:r>
      <w:hyperlink r:id="rId34" w:history="1">
        <w:r w:rsidRPr="00EC22F0">
          <w:rPr>
            <w:rStyle w:val="Hyperlink"/>
            <w:rFonts w:asciiTheme="minorHAnsi" w:eastAsiaTheme="majorEastAsia" w:hAnsiTheme="minorHAnsi" w:cstheme="minorHAnsi"/>
            <w:sz w:val="22"/>
            <w:szCs w:val="22"/>
          </w:rPr>
          <w:t>link</w:t>
        </w:r>
      </w:hyperlink>
      <w:r w:rsidRPr="00EC22F0">
        <w:rPr>
          <w:rFonts w:asciiTheme="minorHAnsi" w:hAnsiTheme="minorHAnsi" w:cstheme="minorHAnsi"/>
          <w:sz w:val="22"/>
          <w:szCs w:val="22"/>
        </w:rPr>
        <w:t xml:space="preserve">): if the Index Policy team considers that stakeholder input is required to determine the preferred treatment of an event or calculation issue, the Index Policy team will, where time allows, consult stakeholders, either through discussion at ad-hoc meetings of relevant FTSE Russell advisory committees, or through consultation with affected stakeholders individually, on the most appropriate treatment. </w:t>
      </w:r>
    </w:p>
    <w:p w14:paraId="199A2667" w14:textId="77777777" w:rsidR="00F91ACC" w:rsidRPr="00EC22F0" w:rsidRDefault="00F91ACC" w:rsidP="00F91ACC">
      <w:pPr>
        <w:rPr>
          <w:rFonts w:asciiTheme="minorHAnsi" w:hAnsiTheme="minorHAnsi" w:cstheme="minorHAnsi"/>
          <w:sz w:val="22"/>
          <w:szCs w:val="22"/>
        </w:rPr>
      </w:pPr>
    </w:p>
    <w:p w14:paraId="49C00CC4" w14:textId="77777777" w:rsidR="00F91ACC" w:rsidRPr="00EC22F0" w:rsidRDefault="00F91ACC" w:rsidP="00F91ACC">
      <w:pPr>
        <w:rPr>
          <w:rFonts w:asciiTheme="minorHAnsi" w:hAnsiTheme="minorHAnsi" w:cstheme="minorHAnsi"/>
          <w:sz w:val="22"/>
          <w:szCs w:val="22"/>
        </w:rPr>
      </w:pPr>
      <w:r w:rsidRPr="00EC22F0">
        <w:rPr>
          <w:rFonts w:asciiTheme="minorHAnsi" w:hAnsiTheme="minorHAnsi" w:cstheme="minorHAnsi"/>
          <w:sz w:val="22"/>
          <w:szCs w:val="22"/>
        </w:rPr>
        <w:t>Such consultations will be conducted through open-ended questions and under no circumstances will notice of any final decision be provided to respondents. Based on their analysis of the feedback received, the Index Policy team will determine the appropriate treatment of the event or calculation issue. Instances of the use of expert judgement will be recorded and detailed at the subsequent meeting of the FTSE Russell Product Governance Board.</w:t>
      </w:r>
    </w:p>
    <w:p w14:paraId="67B6A2C0" w14:textId="77777777" w:rsidR="00F91ACC" w:rsidRPr="00EC22F0" w:rsidRDefault="00F91ACC" w:rsidP="00F91ACC">
      <w:pPr>
        <w:rPr>
          <w:rFonts w:asciiTheme="minorHAnsi" w:hAnsiTheme="minorHAnsi" w:cstheme="minorHAnsi"/>
          <w:sz w:val="22"/>
          <w:szCs w:val="22"/>
        </w:rPr>
      </w:pPr>
    </w:p>
    <w:p w14:paraId="7104810A" w14:textId="35123FFF" w:rsidR="009C4F59" w:rsidRPr="00EC22F0" w:rsidRDefault="00F91ACC" w:rsidP="009C4F59">
      <w:pPr>
        <w:rPr>
          <w:rFonts w:asciiTheme="minorHAnsi" w:hAnsiTheme="minorHAnsi" w:cstheme="minorHAnsi"/>
          <w:sz w:val="22"/>
          <w:szCs w:val="22"/>
        </w:rPr>
      </w:pPr>
      <w:r w:rsidRPr="00EC22F0">
        <w:rPr>
          <w:rFonts w:asciiTheme="minorHAnsi" w:hAnsiTheme="minorHAnsi" w:cstheme="minorHAnsi"/>
          <w:sz w:val="22"/>
          <w:szCs w:val="22"/>
        </w:rPr>
        <w:t>However, extreme market conditions may create conditions under which clients have insufficient time to provide well-informed answers to the questions of a consultation. In this case the benchmark administrator should follow the principles in the Statement of Principles and other relevant policies.</w:t>
      </w:r>
    </w:p>
    <w:permEnd w:id="360659164"/>
    <w:p w14:paraId="54D73DE4" w14:textId="77777777" w:rsidR="009C4F59" w:rsidRDefault="009C4F59" w:rsidP="009C4F59">
      <w:r>
        <w:t>&lt;ESMA_QUESTION_CP_GMEC_3&gt;</w:t>
      </w:r>
    </w:p>
    <w:p w14:paraId="606E24F9" w14:textId="77777777" w:rsidR="009C4F59" w:rsidRDefault="009C4F59" w:rsidP="009C4F59"/>
    <w:p w14:paraId="7C8D59CB" w14:textId="77777777" w:rsidR="009C4F59" w:rsidRDefault="009C4F59" w:rsidP="009C4F59">
      <w:pPr>
        <w:pStyle w:val="Questionstyle"/>
        <w:numPr>
          <w:ilvl w:val="0"/>
          <w:numId w:val="17"/>
        </w:numPr>
        <w:spacing w:after="250" w:line="276" w:lineRule="auto"/>
      </w:pPr>
      <w:r>
        <w:t>: Do you have any views on the content of the draft guidelines on the oversight function for critical and significant benchmarks? Would you suggest to include any additional elements or to delete one of the elements proposed? Please explain.</w:t>
      </w:r>
    </w:p>
    <w:p w14:paraId="55BAABD1" w14:textId="77777777" w:rsidR="009C4F59" w:rsidRDefault="009C4F59" w:rsidP="009C4F59">
      <w:r>
        <w:t>&lt;ESMA_QUESTION_CP_GMEC_4&gt;</w:t>
      </w:r>
    </w:p>
    <w:p w14:paraId="2BB05FCE" w14:textId="571DBEFB" w:rsidR="00A930AA" w:rsidRPr="00EC22F0" w:rsidRDefault="00A930AA" w:rsidP="00A930AA">
      <w:pPr>
        <w:rPr>
          <w:rFonts w:asciiTheme="minorHAnsi" w:hAnsiTheme="minorHAnsi" w:cstheme="minorHAnsi"/>
          <w:sz w:val="22"/>
          <w:szCs w:val="22"/>
        </w:rPr>
      </w:pPr>
      <w:permStart w:id="1630104358" w:edGrp="everyone"/>
      <w:r w:rsidRPr="00EC22F0">
        <w:rPr>
          <w:rFonts w:asciiTheme="minorHAnsi" w:hAnsiTheme="minorHAnsi" w:cstheme="minorHAnsi"/>
          <w:sz w:val="22"/>
          <w:szCs w:val="22"/>
        </w:rPr>
        <w:t xml:space="preserve">We believe ESMA’s guidance is sufficient and appropriate. We further note it </w:t>
      </w:r>
      <w:proofErr w:type="gramStart"/>
      <w:r w:rsidRPr="00EC22F0">
        <w:rPr>
          <w:rFonts w:asciiTheme="minorHAnsi" w:hAnsiTheme="minorHAnsi" w:cstheme="minorHAnsi"/>
          <w:sz w:val="22"/>
          <w:szCs w:val="22"/>
        </w:rPr>
        <w:t>is in agreement</w:t>
      </w:r>
      <w:proofErr w:type="gramEnd"/>
      <w:r w:rsidRPr="00EC22F0">
        <w:rPr>
          <w:rFonts w:asciiTheme="minorHAnsi" w:hAnsiTheme="minorHAnsi" w:cstheme="minorHAnsi"/>
          <w:sz w:val="22"/>
          <w:szCs w:val="22"/>
        </w:rPr>
        <w:t xml:space="preserve"> with both FTSE Russell’s and RBSL’s current governance frameworks</w:t>
      </w:r>
      <w:r w:rsidR="00966A68">
        <w:rPr>
          <w:rFonts w:asciiTheme="minorHAnsi" w:hAnsiTheme="minorHAnsi" w:cstheme="minorHAnsi"/>
          <w:sz w:val="22"/>
          <w:szCs w:val="22"/>
        </w:rPr>
        <w:t>.</w:t>
      </w:r>
    </w:p>
    <w:p w14:paraId="28582E1D" w14:textId="77777777" w:rsidR="00A930AA" w:rsidRPr="00EC22F0" w:rsidRDefault="00A930AA" w:rsidP="00A930AA">
      <w:pPr>
        <w:rPr>
          <w:rFonts w:asciiTheme="minorHAnsi" w:hAnsiTheme="minorHAnsi" w:cstheme="minorHAnsi"/>
          <w:sz w:val="22"/>
          <w:szCs w:val="22"/>
        </w:rPr>
      </w:pPr>
    </w:p>
    <w:p w14:paraId="59EDE4ED" w14:textId="77777777" w:rsidR="00A930AA" w:rsidRPr="00EC22F0" w:rsidRDefault="00A930AA" w:rsidP="00A930AA">
      <w:pPr>
        <w:rPr>
          <w:rFonts w:asciiTheme="minorHAnsi" w:hAnsiTheme="minorHAnsi" w:cstheme="minorHAnsi"/>
          <w:sz w:val="22"/>
          <w:szCs w:val="22"/>
        </w:rPr>
      </w:pPr>
      <w:r w:rsidRPr="00EC22F0">
        <w:rPr>
          <w:rFonts w:asciiTheme="minorHAnsi" w:hAnsiTheme="minorHAnsi" w:cstheme="minorHAnsi"/>
          <w:sz w:val="22"/>
          <w:szCs w:val="22"/>
        </w:rPr>
        <w:t xml:space="preserve">To oversee its indices and benchmarks, FTSE Russell and RBSL employ governance frameworks that encompass product, </w:t>
      </w:r>
      <w:proofErr w:type="gramStart"/>
      <w:r w:rsidRPr="00EC22F0">
        <w:rPr>
          <w:rFonts w:asciiTheme="minorHAnsi" w:hAnsiTheme="minorHAnsi" w:cstheme="minorHAnsi"/>
          <w:sz w:val="22"/>
          <w:szCs w:val="22"/>
        </w:rPr>
        <w:t>service</w:t>
      </w:r>
      <w:proofErr w:type="gramEnd"/>
      <w:r w:rsidRPr="00EC22F0">
        <w:rPr>
          <w:rFonts w:asciiTheme="minorHAnsi" w:hAnsiTheme="minorHAnsi" w:cstheme="minorHAnsi"/>
          <w:sz w:val="22"/>
          <w:szCs w:val="22"/>
        </w:rPr>
        <w:t xml:space="preserve"> and technology governance. The frameworks incorporate three lines of defence risk management models and are aligned with IOSCO Principles for Financial Benchmarks, the EU </w:t>
      </w:r>
      <w:proofErr w:type="gramStart"/>
      <w:r w:rsidRPr="00EC22F0">
        <w:rPr>
          <w:rFonts w:asciiTheme="minorHAnsi" w:hAnsiTheme="minorHAnsi" w:cstheme="minorHAnsi"/>
          <w:sz w:val="22"/>
          <w:szCs w:val="22"/>
        </w:rPr>
        <w:t>BMR</w:t>
      </w:r>
      <w:proofErr w:type="gramEnd"/>
      <w:r w:rsidRPr="00EC22F0">
        <w:rPr>
          <w:rFonts w:asciiTheme="minorHAnsi" w:hAnsiTheme="minorHAnsi" w:cstheme="minorHAnsi"/>
          <w:sz w:val="22"/>
          <w:szCs w:val="22"/>
        </w:rPr>
        <w:t xml:space="preserve"> and the UK BMR. </w:t>
      </w:r>
    </w:p>
    <w:p w14:paraId="16744280" w14:textId="77777777" w:rsidR="00A930AA" w:rsidRPr="00EC22F0" w:rsidRDefault="00A930AA" w:rsidP="00A930AA">
      <w:pPr>
        <w:rPr>
          <w:rFonts w:asciiTheme="minorHAnsi" w:hAnsiTheme="minorHAnsi" w:cstheme="minorHAnsi"/>
          <w:sz w:val="22"/>
          <w:szCs w:val="22"/>
        </w:rPr>
      </w:pPr>
    </w:p>
    <w:p w14:paraId="755E607E" w14:textId="0CF0DFEC" w:rsidR="009C4F59" w:rsidRPr="00EC22F0" w:rsidRDefault="00A930AA" w:rsidP="009C4F59">
      <w:pPr>
        <w:rPr>
          <w:rFonts w:asciiTheme="minorHAnsi" w:hAnsiTheme="minorHAnsi" w:cstheme="minorHAnsi"/>
          <w:sz w:val="22"/>
          <w:szCs w:val="22"/>
        </w:rPr>
      </w:pPr>
      <w:r w:rsidRPr="00EC22F0">
        <w:rPr>
          <w:rFonts w:asciiTheme="minorHAnsi" w:hAnsiTheme="minorHAnsi" w:cstheme="minorHAnsi"/>
          <w:sz w:val="22"/>
          <w:szCs w:val="22"/>
        </w:rPr>
        <w:t xml:space="preserve">For more details, please see </w:t>
      </w:r>
      <w:r w:rsidRPr="00EC22F0">
        <w:rPr>
          <w:rFonts w:asciiTheme="minorHAnsi" w:hAnsiTheme="minorHAnsi" w:cstheme="minorHAnsi"/>
          <w:i/>
          <w:iCs/>
          <w:sz w:val="22"/>
          <w:szCs w:val="22"/>
        </w:rPr>
        <w:t>FTSE Russell Governance Framework (</w:t>
      </w:r>
      <w:hyperlink r:id="rId35" w:history="1">
        <w:r w:rsidRPr="00EC22F0">
          <w:rPr>
            <w:rStyle w:val="Hyperlink"/>
            <w:rFonts w:asciiTheme="minorHAnsi" w:eastAsiaTheme="majorEastAsia" w:hAnsiTheme="minorHAnsi" w:cstheme="minorHAnsi"/>
            <w:sz w:val="22"/>
            <w:szCs w:val="22"/>
          </w:rPr>
          <w:t>link</w:t>
        </w:r>
      </w:hyperlink>
      <w:r w:rsidRPr="00EC22F0">
        <w:rPr>
          <w:rFonts w:asciiTheme="minorHAnsi" w:hAnsiTheme="minorHAnsi" w:cstheme="minorHAnsi"/>
          <w:sz w:val="22"/>
          <w:szCs w:val="22"/>
        </w:rPr>
        <w:t xml:space="preserve">) and </w:t>
      </w:r>
      <w:r w:rsidRPr="00EC22F0">
        <w:rPr>
          <w:rFonts w:asciiTheme="minorHAnsi" w:hAnsiTheme="minorHAnsi" w:cstheme="minorHAnsi"/>
          <w:i/>
          <w:iCs/>
          <w:sz w:val="22"/>
          <w:szCs w:val="22"/>
        </w:rPr>
        <w:t>RBSL Conflicts of Interest Public Disclosure Statement</w:t>
      </w:r>
      <w:r w:rsidRPr="00EC22F0">
        <w:rPr>
          <w:rFonts w:asciiTheme="minorHAnsi" w:hAnsiTheme="minorHAnsi" w:cstheme="minorHAnsi"/>
          <w:sz w:val="22"/>
          <w:szCs w:val="22"/>
        </w:rPr>
        <w:t xml:space="preserve"> (</w:t>
      </w:r>
      <w:hyperlink r:id="rId36" w:history="1">
        <w:r w:rsidRPr="00EC22F0">
          <w:rPr>
            <w:rStyle w:val="Hyperlink"/>
            <w:rFonts w:asciiTheme="minorHAnsi" w:eastAsiaTheme="majorEastAsia" w:hAnsiTheme="minorHAnsi" w:cstheme="minorHAnsi"/>
            <w:sz w:val="22"/>
            <w:szCs w:val="22"/>
          </w:rPr>
          <w:t>link</w:t>
        </w:r>
      </w:hyperlink>
      <w:r w:rsidRPr="00EC22F0">
        <w:rPr>
          <w:rFonts w:asciiTheme="minorHAnsi" w:hAnsiTheme="minorHAnsi" w:cstheme="minorHAnsi"/>
          <w:sz w:val="22"/>
          <w:szCs w:val="22"/>
        </w:rPr>
        <w:t>).</w:t>
      </w:r>
    </w:p>
    <w:permEnd w:id="1630104358"/>
    <w:p w14:paraId="40A8AD5F" w14:textId="77777777" w:rsidR="009C4F59" w:rsidRDefault="009C4F59" w:rsidP="009C4F59">
      <w:r>
        <w:t>&lt;ESMA_QUESTION_CP_GMEC_4&gt;</w:t>
      </w:r>
    </w:p>
    <w:p w14:paraId="220FE90F" w14:textId="77777777" w:rsidR="009C4F59" w:rsidRDefault="009C4F59" w:rsidP="009C4F59"/>
    <w:p w14:paraId="576CAC3B" w14:textId="77777777" w:rsidR="009C4F59" w:rsidRDefault="009C4F59" w:rsidP="009C4F59">
      <w:pPr>
        <w:pStyle w:val="Questionstyle"/>
        <w:numPr>
          <w:ilvl w:val="0"/>
          <w:numId w:val="17"/>
        </w:numPr>
        <w:spacing w:after="250" w:line="276" w:lineRule="auto"/>
      </w:pPr>
      <w:r>
        <w:t>: Do you have any views on the content of the draft guidelines on the record keeping requirements? Would you suggest to include any additional elements or to delete one or more of the elements proposed? Please explain.</w:t>
      </w:r>
    </w:p>
    <w:p w14:paraId="7F182DB8" w14:textId="77777777" w:rsidR="009C4F59" w:rsidRDefault="009C4F59" w:rsidP="009C4F59">
      <w:r>
        <w:lastRenderedPageBreak/>
        <w:t>&lt;ESMA_QUESTION_CP_GMEC_5&gt;</w:t>
      </w:r>
    </w:p>
    <w:p w14:paraId="341D422E" w14:textId="3FB37132" w:rsidR="009C4F59" w:rsidRDefault="00166AD2" w:rsidP="009C4F59">
      <w:permStart w:id="1603876596" w:edGrp="everyone"/>
      <w:r w:rsidRPr="00C23571">
        <w:rPr>
          <w:rFonts w:ascii="Arial" w:hAnsi="Arial" w:cs="Arial"/>
          <w:sz w:val="22"/>
          <w:szCs w:val="22"/>
        </w:rPr>
        <w:t xml:space="preserve">The suggested record keeping guidelines are in line with both FTSE Russell’s and RBSL’s record keeping policies and practices. We have no further suggestions. </w:t>
      </w:r>
      <w:permEnd w:id="1603876596"/>
      <w:r w:rsidR="009C4F59">
        <w:t>&lt;ESMA_QUESTION_CP_GMEC_5&gt;</w:t>
      </w:r>
    </w:p>
    <w:p w14:paraId="6180AF2F" w14:textId="77777777" w:rsidR="009C4F59" w:rsidRDefault="009C4F59" w:rsidP="009C4F59"/>
    <w:p w14:paraId="20CD7B10" w14:textId="77777777" w:rsidR="009C4F59" w:rsidRDefault="009C4F59" w:rsidP="009C4F59">
      <w:pPr>
        <w:pStyle w:val="Questionstyle"/>
        <w:numPr>
          <w:ilvl w:val="0"/>
          <w:numId w:val="17"/>
        </w:numPr>
        <w:spacing w:after="250" w:line="276" w:lineRule="auto"/>
      </w:pPr>
      <w:r>
        <w:t>: Would you suggest to further specify any additional elements of the regulatory framework with regard to the use of an alternative methodology in exceptional circumstances? Please explain.</w:t>
      </w:r>
    </w:p>
    <w:p w14:paraId="05F6D840" w14:textId="77777777" w:rsidR="009C4F59" w:rsidRDefault="009C4F59" w:rsidP="009C4F59">
      <w:r>
        <w:t>&lt;ESMA_QUESTION_CP_GMEC_6&gt;</w:t>
      </w:r>
    </w:p>
    <w:p w14:paraId="69D2D502" w14:textId="2CCD6FDB" w:rsidR="009C4F59" w:rsidRPr="00C23571" w:rsidRDefault="007E379D" w:rsidP="009C4F59">
      <w:pPr>
        <w:rPr>
          <w:rFonts w:ascii="Arial" w:hAnsi="Arial" w:cs="Arial"/>
          <w:b/>
          <w:bCs/>
          <w:sz w:val="22"/>
          <w:szCs w:val="22"/>
        </w:rPr>
      </w:pPr>
      <w:permStart w:id="620841185" w:edGrp="everyone"/>
      <w:r w:rsidRPr="00C23571">
        <w:rPr>
          <w:rFonts w:ascii="Arial" w:hAnsi="Arial" w:cs="Arial"/>
          <w:sz w:val="22"/>
          <w:szCs w:val="22"/>
        </w:rPr>
        <w:t>We have no further suggestions.</w:t>
      </w:r>
    </w:p>
    <w:permEnd w:id="620841185"/>
    <w:p w14:paraId="58428BAF" w14:textId="77777777" w:rsidR="009C4F59" w:rsidRDefault="009C4F59" w:rsidP="009C4F59">
      <w:r>
        <w:t>&lt;ESMA_QUESTION_CP_GMEC_6&gt;</w:t>
      </w:r>
    </w:p>
    <w:p w14:paraId="0BF5B03D" w14:textId="77777777" w:rsidR="009C4F59" w:rsidRDefault="009C4F59" w:rsidP="009C4F59"/>
    <w:p w14:paraId="6B76CAB5" w14:textId="77777777" w:rsidR="009C4F59" w:rsidRDefault="009C4F59" w:rsidP="009C4F59">
      <w:pPr>
        <w:pStyle w:val="Questionstyle"/>
        <w:numPr>
          <w:ilvl w:val="0"/>
          <w:numId w:val="17"/>
        </w:numPr>
        <w:spacing w:after="250" w:line="276" w:lineRule="auto"/>
      </w:pPr>
      <w:r>
        <w:t>: Do you have any views on the content of the draft guidelines amending the guidelines on non-significant benchmarks in respect of any methodology to be used in exceptional circumstances and the oversight function? Would you suggest to include any additional elements or to delete one of the elements proposed? Please explain.</w:t>
      </w:r>
    </w:p>
    <w:p w14:paraId="474B6496" w14:textId="77777777" w:rsidR="009C4F59" w:rsidRDefault="009C4F59" w:rsidP="009C4F59">
      <w:r>
        <w:t>&lt;ESMA_QUESTION_CP_GMEC_7&gt;</w:t>
      </w:r>
    </w:p>
    <w:p w14:paraId="325E9873" w14:textId="31023F5C" w:rsidR="009C4F59" w:rsidRPr="00C23571" w:rsidRDefault="00311355" w:rsidP="009C4F59">
      <w:pPr>
        <w:rPr>
          <w:rFonts w:ascii="Arial" w:hAnsi="Arial" w:cs="Arial"/>
          <w:sz w:val="22"/>
          <w:szCs w:val="22"/>
        </w:rPr>
      </w:pPr>
      <w:permStart w:id="454838470" w:edGrp="everyone"/>
      <w:r w:rsidRPr="00C23571">
        <w:rPr>
          <w:rFonts w:ascii="Arial" w:hAnsi="Arial" w:cs="Arial"/>
          <w:sz w:val="22"/>
          <w:szCs w:val="22"/>
        </w:rPr>
        <w:t>We have no further suggestions.</w:t>
      </w:r>
    </w:p>
    <w:permEnd w:id="454838470"/>
    <w:p w14:paraId="720B31F7" w14:textId="77777777" w:rsidR="009C4F59" w:rsidRDefault="009C4F59" w:rsidP="009C4F59">
      <w:r>
        <w:t>&lt;ESMA_QUESTION_CP_GMEC_7&gt;</w:t>
      </w:r>
    </w:p>
    <w:p w14:paraId="3288C7CB" w14:textId="77777777" w:rsidR="009C4F59" w:rsidRDefault="009C4F59" w:rsidP="009C4F59"/>
    <w:p w14:paraId="60888218" w14:textId="77777777" w:rsidR="0010762E" w:rsidRDefault="0010762E" w:rsidP="00C1698A">
      <w:pPr>
        <w:spacing w:line="276" w:lineRule="auto"/>
        <w:rPr>
          <w:rFonts w:asciiTheme="minorHAnsi" w:hAnsiTheme="minorHAnsi" w:cstheme="minorHAnsi"/>
          <w:b/>
          <w:sz w:val="28"/>
          <w:szCs w:val="28"/>
        </w:rPr>
      </w:pPr>
    </w:p>
    <w:sectPr w:rsidR="0010762E" w:rsidSect="00C85C8B">
      <w:headerReference w:type="default" r:id="rId37"/>
      <w:footerReference w:type="default" r:id="rId3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5D140" w14:textId="77777777" w:rsidR="009F5F3A" w:rsidRDefault="009F5F3A" w:rsidP="007E7997">
      <w:r>
        <w:separator/>
      </w:r>
    </w:p>
  </w:endnote>
  <w:endnote w:type="continuationSeparator" w:id="0">
    <w:p w14:paraId="7B31239D" w14:textId="77777777" w:rsidR="009F5F3A" w:rsidRDefault="009F5F3A" w:rsidP="007E7997">
      <w:r>
        <w:continuationSeparator/>
      </w:r>
    </w:p>
  </w:endnote>
  <w:endnote w:type="continuationNotice" w:id="1">
    <w:p w14:paraId="014C166D" w14:textId="77777777" w:rsidR="009F5F3A" w:rsidRDefault="009F5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3915" w14:textId="0386B0AD" w:rsidR="00E36813" w:rsidRPr="00514DFA" w:rsidRDefault="00E36813" w:rsidP="007A160F">
    <w:pPr>
      <w:pStyle w:val="Footer"/>
      <w:rPr>
        <w:rFonts w:asciiTheme="majorHAnsi" w:hAnsiTheme="majorHAnsi"/>
        <w:color w:val="FFFFFF" w:themeColor="background1"/>
      </w:rPr>
    </w:pPr>
    <w:r>
      <w:rPr>
        <w:rFonts w:asciiTheme="majorHAnsi" w:hAnsiTheme="majorHAnsi"/>
        <w:color w:val="FFFFFF" w:themeColor="background1"/>
      </w:rPr>
      <w:tab/>
    </w:r>
    <w:r>
      <w:rPr>
        <w:rFonts w:asciiTheme="majorHAnsi" w:hAnsiTheme="majorHAnsi"/>
        <w:color w:val="FFFFFF" w:themeColor="background1"/>
      </w:rPr>
      <w:tab/>
    </w:r>
    <w:r w:rsidR="00327C82">
      <w:rPr>
        <w:rFonts w:asciiTheme="majorHAnsi" w:hAnsiTheme="majorHAnsi"/>
        <w:color w:val="FFFFFF" w:themeColor="background1"/>
      </w:rPr>
      <w:t>25</w:t>
    </w:r>
    <w:r w:rsidR="0010762E">
      <w:rPr>
        <w:rFonts w:asciiTheme="majorHAnsi" w:hAnsiTheme="majorHAnsi"/>
        <w:color w:val="FFFFFF" w:themeColor="background1"/>
      </w:rPr>
      <w:t xml:space="preserve"> </w:t>
    </w:r>
    <w:r w:rsidR="00854E85">
      <w:rPr>
        <w:rFonts w:asciiTheme="majorHAnsi" w:hAnsiTheme="majorHAnsi"/>
        <w:color w:val="FFFFFF" w:themeColor="background1"/>
      </w:rPr>
      <w:t>February</w:t>
    </w:r>
    <w:r w:rsidR="008F1DCF" w:rsidRPr="0010762E">
      <w:rPr>
        <w:rFonts w:asciiTheme="majorHAnsi" w:hAnsiTheme="majorHAnsi"/>
        <w:color w:val="FFFFFF" w:themeColor="background1"/>
      </w:rPr>
      <w:t xml:space="preserve"> 202</w:t>
    </w:r>
    <w:r w:rsidR="00854E85">
      <w:rPr>
        <w:rFonts w:asciiTheme="majorHAnsi" w:hAnsiTheme="majorHAnsi"/>
        <w:color w:val="FFFFFF" w:themeColor="background1"/>
      </w:rPr>
      <w:t>1</w:t>
    </w:r>
    <w:r w:rsidR="008F1DCF">
      <w:rPr>
        <w:rFonts w:asciiTheme="majorHAnsi" w:hAnsiTheme="majorHAnsi"/>
        <w:color w:val="FFFFFF" w:themeColor="background1"/>
      </w:rPr>
      <w:t xml:space="preserve"> | </w:t>
    </w:r>
    <w:r w:rsidR="002D118A" w:rsidRPr="002D118A">
      <w:rPr>
        <w:rFonts w:asciiTheme="majorHAnsi" w:hAnsiTheme="majorHAnsi"/>
        <w:color w:val="FFFFFF" w:themeColor="background1"/>
      </w:rPr>
      <w:t>ESMA</w:t>
    </w:r>
    <w:r w:rsidR="008A2D71">
      <w:rPr>
        <w:rFonts w:asciiTheme="majorHAnsi" w:hAnsiTheme="majorHAnsi"/>
        <w:color w:val="FFFFFF" w:themeColor="background1"/>
      </w:rPr>
      <w:t>81</w:t>
    </w:r>
    <w:r w:rsidR="002D118A" w:rsidRPr="002D118A">
      <w:rPr>
        <w:rFonts w:asciiTheme="majorHAnsi" w:hAnsiTheme="majorHAnsi"/>
        <w:color w:val="FFFFFF" w:themeColor="background1"/>
      </w:rPr>
      <w:t>-</w:t>
    </w:r>
    <w:r w:rsidR="008A2D71">
      <w:rPr>
        <w:rFonts w:asciiTheme="majorHAnsi" w:hAnsiTheme="majorHAnsi"/>
        <w:color w:val="FFFFFF" w:themeColor="background1"/>
      </w:rPr>
      <w:t>393</w:t>
    </w:r>
    <w:r w:rsidR="008F1DCF">
      <w:rPr>
        <w:rFonts w:asciiTheme="majorHAnsi" w:hAnsiTheme="majorHAnsi"/>
        <w:color w:val="FFFFFF" w:themeColor="background1"/>
      </w:rPr>
      <w:t>-</w:t>
    </w:r>
    <w:r w:rsidR="008A2D71">
      <w:rPr>
        <w:rFonts w:asciiTheme="majorHAnsi" w:hAnsiTheme="majorHAnsi"/>
        <w:color w:val="FFFFFF" w:themeColor="background1"/>
      </w:rPr>
      <w:t>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616098339"/>
      <w:docPartObj>
        <w:docPartGallery w:val="Page Numbers (Bottom of Page)"/>
        <w:docPartUnique/>
      </w:docPartObj>
    </w:sdtPr>
    <w:sdtEndPr>
      <w:rPr>
        <w:noProof/>
      </w:rPr>
    </w:sdtEndPr>
    <w:sdtContent>
      <w:p w14:paraId="47ECB64F" w14:textId="66A056E9" w:rsidR="008F1DCF" w:rsidRPr="008F1DCF" w:rsidRDefault="008F1DCF" w:rsidP="008F1DCF">
        <w:pPr>
          <w:pStyle w:val="Footer"/>
          <w:rPr>
            <w:rFonts w:asciiTheme="majorHAnsi" w:hAnsiTheme="majorHAnsi" w:cstheme="majorHAnsi"/>
            <w:color w:val="3E3F90"/>
            <w:sz w:val="16"/>
            <w:szCs w:val="16"/>
            <w:lang w:val="es-ES_tradnl"/>
          </w:rPr>
        </w:pPr>
        <w:r w:rsidRPr="008F1DCF">
          <w:rPr>
            <w:rFonts w:asciiTheme="majorHAnsi" w:hAnsiTheme="majorHAnsi" w:cstheme="majorHAnsi"/>
            <w:color w:val="3E3F90"/>
            <w:sz w:val="16"/>
            <w:szCs w:val="16"/>
            <w:lang w:val="fr-FR"/>
          </w:rPr>
          <w:t xml:space="preserve">ESMA • 201-203 rue de Bercy • CS 80910 • 75589 Paris Cedex 12 • France • Tel. </w:t>
        </w:r>
        <w:r w:rsidRPr="008F1DCF">
          <w:rPr>
            <w:rFonts w:asciiTheme="majorHAnsi" w:hAnsiTheme="majorHAnsi" w:cstheme="majorHAnsi"/>
            <w:color w:val="3E3F90"/>
            <w:sz w:val="16"/>
            <w:szCs w:val="16"/>
            <w:lang w:val="fr-BE"/>
          </w:rPr>
          <w:t xml:space="preserve">+33 (0) 1 58 36 43 21 • </w:t>
        </w:r>
        <w:hyperlink r:id="rId1" w:history="1">
          <w:r w:rsidRPr="008F1DCF">
            <w:rPr>
              <w:rStyle w:val="Hyperlink"/>
              <w:rFonts w:asciiTheme="majorHAnsi" w:hAnsiTheme="majorHAnsi" w:cstheme="majorHAnsi"/>
              <w:sz w:val="16"/>
              <w:szCs w:val="16"/>
              <w:lang w:val="es-ES_tradnl"/>
            </w:rPr>
            <w:t>www.esma.europa.eu</w:t>
          </w:r>
        </w:hyperlink>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752247"/>
      <w:docPartObj>
        <w:docPartGallery w:val="Page Numbers (Bottom of Page)"/>
        <w:docPartUnique/>
      </w:docPartObj>
    </w:sdtPr>
    <w:sdtEndPr>
      <w:rPr>
        <w:noProof/>
      </w:rPr>
    </w:sdtEndPr>
    <w:sdtContent>
      <w:p w14:paraId="4C9B3DBF" w14:textId="5E65E51B" w:rsidR="00E36813" w:rsidRDefault="00E36813" w:rsidP="008F1DCF">
        <w:pPr>
          <w:pStyle w:val="Footer"/>
          <w:jc w:val="right"/>
        </w:pPr>
        <w:r>
          <w:fldChar w:fldCharType="begin"/>
        </w:r>
        <w:r>
          <w:instrText xml:space="preserve"> PAGE   \* MERGEFORMAT </w:instrText>
        </w:r>
        <w:r>
          <w:fldChar w:fldCharType="separate"/>
        </w:r>
        <w:r w:rsidR="001B768F">
          <w:rPr>
            <w:noProof/>
          </w:rPr>
          <w:t>7</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1538F" w14:textId="77777777" w:rsidR="009F5F3A" w:rsidRDefault="009F5F3A" w:rsidP="007E7997">
      <w:r>
        <w:separator/>
      </w:r>
    </w:p>
  </w:footnote>
  <w:footnote w:type="continuationSeparator" w:id="0">
    <w:p w14:paraId="78B9C87C" w14:textId="77777777" w:rsidR="009F5F3A" w:rsidRDefault="009F5F3A" w:rsidP="007E7997">
      <w:r>
        <w:continuationSeparator/>
      </w:r>
    </w:p>
  </w:footnote>
  <w:footnote w:type="continuationNotice" w:id="1">
    <w:p w14:paraId="4FD79622" w14:textId="77777777" w:rsidR="009F5F3A" w:rsidRDefault="009F5F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D6BE1" w14:textId="77777777" w:rsidR="008F1DCF" w:rsidRPr="003669AC" w:rsidRDefault="008F1DCF" w:rsidP="006C5A3D">
    <w:pPr>
      <w:pStyle w:val="Header"/>
      <w:ind w:left="708"/>
      <w:jc w:val="right"/>
    </w:pPr>
  </w:p>
  <w:p w14:paraId="4E70851B" w14:textId="77777777" w:rsidR="008F1DCF" w:rsidRPr="003669AC" w:rsidRDefault="008F1DCF" w:rsidP="006C5A3D">
    <w:pPr>
      <w:pStyle w:val="Header"/>
      <w:ind w:left="708"/>
      <w:jc w:val="right"/>
    </w:pPr>
  </w:p>
  <w:p w14:paraId="4DAF4C00" w14:textId="1FF1C421" w:rsidR="008F1DCF" w:rsidRPr="008F1DCF" w:rsidRDefault="008F1DCF" w:rsidP="006C5A3D">
    <w:pPr>
      <w:pStyle w:val="Header"/>
      <w:ind w:left="6663"/>
      <w:rPr>
        <w:rFonts w:asciiTheme="majorHAnsi" w:hAnsiTheme="majorHAnsi" w:cstheme="majorHAnsi"/>
        <w:color w:val="2F5496" w:themeColor="accent5" w:themeShade="BF"/>
        <w:sz w:val="20"/>
      </w:rPr>
    </w:pPr>
  </w:p>
  <w:tbl>
    <w:tblPr>
      <w:tblpPr w:leftFromText="8505" w:bottomFromText="1134" w:vertAnchor="page" w:horzAnchor="margin" w:tblpXSpec="right" w:tblpY="1501"/>
      <w:tblOverlap w:val="never"/>
      <w:tblW w:w="0" w:type="auto"/>
      <w:tblLayout w:type="fixed"/>
      <w:tblCellMar>
        <w:left w:w="0" w:type="dxa"/>
        <w:right w:w="0" w:type="dxa"/>
      </w:tblCellMar>
      <w:tblLook w:val="01E0" w:firstRow="1" w:lastRow="1" w:firstColumn="1" w:lastColumn="1" w:noHBand="0" w:noVBand="0"/>
    </w:tblPr>
    <w:tblGrid>
      <w:gridCol w:w="2377"/>
    </w:tblGrid>
    <w:tr w:rsidR="008F1DCF" w:rsidRPr="008F1DCF" w14:paraId="3C1246A2" w14:textId="77777777" w:rsidTr="00AE4A5B">
      <w:trPr>
        <w:trHeight w:hRule="exact" w:val="589"/>
      </w:trPr>
      <w:tc>
        <w:tcPr>
          <w:tcW w:w="2377" w:type="dxa"/>
        </w:tcPr>
        <w:p w14:paraId="59038B1E" w14:textId="1CCB74B2" w:rsidR="008F1DCF" w:rsidRPr="008F1DCF" w:rsidRDefault="00327C82" w:rsidP="00AE4A5B">
          <w:pPr>
            <w:pStyle w:val="02Date"/>
            <w:rPr>
              <w:rFonts w:asciiTheme="majorHAnsi" w:hAnsiTheme="majorHAnsi" w:cstheme="majorHAnsi"/>
            </w:rPr>
          </w:pPr>
          <w:r>
            <w:rPr>
              <w:rFonts w:asciiTheme="majorHAnsi" w:hAnsiTheme="majorHAnsi" w:cstheme="majorHAnsi"/>
            </w:rPr>
            <w:t>25</w:t>
          </w:r>
          <w:r w:rsidR="0010762E">
            <w:rPr>
              <w:rFonts w:asciiTheme="majorHAnsi" w:hAnsiTheme="majorHAnsi" w:cstheme="majorHAnsi"/>
            </w:rPr>
            <w:t xml:space="preserve"> </w:t>
          </w:r>
          <w:r w:rsidR="00854E85">
            <w:rPr>
              <w:rFonts w:asciiTheme="majorHAnsi" w:hAnsiTheme="majorHAnsi" w:cstheme="majorHAnsi"/>
            </w:rPr>
            <w:t>February</w:t>
          </w:r>
          <w:r w:rsidR="0010762E">
            <w:rPr>
              <w:rFonts w:asciiTheme="majorHAnsi" w:hAnsiTheme="majorHAnsi" w:cstheme="majorHAnsi"/>
            </w:rPr>
            <w:t xml:space="preserve"> 202</w:t>
          </w:r>
          <w:r w:rsidR="00854E85">
            <w:rPr>
              <w:rFonts w:asciiTheme="majorHAnsi" w:hAnsiTheme="majorHAnsi" w:cstheme="majorHAnsi"/>
            </w:rPr>
            <w:t>1</w:t>
          </w:r>
        </w:p>
        <w:p w14:paraId="77FCE60C" w14:textId="3AD02528" w:rsidR="008F1DCF" w:rsidRPr="008F1DCF" w:rsidRDefault="008A2D71" w:rsidP="00CE55C4">
          <w:pPr>
            <w:pStyle w:val="02Date"/>
            <w:rPr>
              <w:rFonts w:asciiTheme="majorHAnsi" w:hAnsiTheme="majorHAnsi" w:cstheme="majorHAnsi"/>
            </w:rPr>
          </w:pPr>
          <w:r w:rsidRPr="008A2D71">
            <w:rPr>
              <w:rFonts w:asciiTheme="majorHAnsi" w:hAnsiTheme="majorHAnsi" w:cstheme="majorHAnsi"/>
            </w:rPr>
            <w:t>ESMA81-393-96</w:t>
          </w:r>
        </w:p>
      </w:tc>
    </w:tr>
  </w:tbl>
  <w:p w14:paraId="242C7A76" w14:textId="77777777" w:rsidR="008F1DCF" w:rsidRDefault="008F1DCF" w:rsidP="006C5A3D">
    <w:pPr>
      <w:pStyle w:val="Header"/>
      <w:ind w:left="6663"/>
      <w:rPr>
        <w:color w:val="FF0000"/>
        <w:sz w:val="20"/>
      </w:rPr>
    </w:pPr>
  </w:p>
  <w:p w14:paraId="5962D0E4" w14:textId="77777777" w:rsidR="008F1DCF" w:rsidRDefault="008F1DCF">
    <w:pPr>
      <w:pStyle w:val="Header"/>
    </w:pPr>
    <w:r>
      <w:rPr>
        <w:noProof/>
      </w:rPr>
      <w:drawing>
        <wp:anchor distT="0" distB="0" distL="114300" distR="114300" simplePos="0" relativeHeight="251660800" behindDoc="0" locked="0" layoutInCell="1" allowOverlap="1" wp14:anchorId="0A2270BF" wp14:editId="664BF4C6">
          <wp:simplePos x="0" y="0"/>
          <wp:positionH relativeFrom="page">
            <wp:posOffset>899795</wp:posOffset>
          </wp:positionH>
          <wp:positionV relativeFrom="page">
            <wp:posOffset>448945</wp:posOffset>
          </wp:positionV>
          <wp:extent cx="2209800" cy="904875"/>
          <wp:effectExtent l="0" t="0" r="0" b="9525"/>
          <wp:wrapNone/>
          <wp:docPr id="1" name="Picture 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97A22" w14:textId="77777777" w:rsidR="008F1DCF" w:rsidRDefault="008F1DCF">
    <w:pPr>
      <w:pStyle w:val="Header"/>
    </w:pPr>
  </w:p>
  <w:p w14:paraId="462F1DD4" w14:textId="77777777" w:rsidR="008F1DCF" w:rsidRDefault="008F1DCF">
    <w:pPr>
      <w:pStyle w:val="Header"/>
    </w:pPr>
  </w:p>
  <w:p w14:paraId="18981FB1" w14:textId="77777777" w:rsidR="008F1DCF" w:rsidRDefault="008F1DCF">
    <w:pPr>
      <w:pStyle w:val="Header"/>
    </w:pPr>
    <w:r>
      <w:rPr>
        <w:noProof/>
      </w:rPr>
      <w:drawing>
        <wp:anchor distT="0" distB="0" distL="114300" distR="114300" simplePos="0" relativeHeight="251661824" behindDoc="0" locked="0" layoutInCell="1" allowOverlap="1" wp14:anchorId="0AFA4246" wp14:editId="3DCD31F3">
          <wp:simplePos x="0" y="0"/>
          <wp:positionH relativeFrom="page">
            <wp:posOffset>366395</wp:posOffset>
          </wp:positionH>
          <wp:positionV relativeFrom="page">
            <wp:posOffset>372745</wp:posOffset>
          </wp:positionV>
          <wp:extent cx="2209800" cy="904875"/>
          <wp:effectExtent l="0" t="0" r="0" b="9525"/>
          <wp:wrapNone/>
          <wp:docPr id="11" name="Picture 1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043C8"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6" w14:textId="55B98B05" w:rsidR="00E36813" w:rsidRPr="00B50534" w:rsidRDefault="00E36813" w:rsidP="00B50534">
    <w:pPr>
      <w:pStyle w:val="Header"/>
      <w:jc w:val="right"/>
      <w:rPr>
        <w:b/>
        <w:color w:val="FF0000"/>
      </w:rPr>
    </w:pPr>
    <w:r w:rsidRPr="00D13661">
      <w:rPr>
        <w:rFonts w:asciiTheme="minorHAnsi" w:hAnsiTheme="minorHAnsi" w:cstheme="minorHAnsi"/>
        <w:noProof/>
        <w:color w:val="2F5496" w:themeColor="accent5" w:themeShade="BF"/>
        <w:sz w:val="20"/>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52F6233"/>
    <w:multiLevelType w:val="hybridMultilevel"/>
    <w:tmpl w:val="32B2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A36E2"/>
    <w:multiLevelType w:val="hybridMultilevel"/>
    <w:tmpl w:val="263E9E26"/>
    <w:lvl w:ilvl="0" w:tplc="4B7A185E">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B3C3CD4"/>
    <w:multiLevelType w:val="hybridMultilevel"/>
    <w:tmpl w:val="C0F4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12"/>
  </w:num>
  <w:num w:numId="4">
    <w:abstractNumId w:val="1"/>
  </w:num>
  <w:num w:numId="5">
    <w:abstractNumId w:val="7"/>
  </w:num>
  <w:num w:numId="6">
    <w:abstractNumId w:val="14"/>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fr-FR" w:vendorID="64" w:dllVersion="6" w:nlCheck="1" w:checkStyle="0"/>
  <w:activeWritingStyle w:appName="MSWord" w:lang="fr-CA" w:vendorID="64" w:dllVersion="6" w:nlCheck="1" w:checkStyle="0"/>
  <w:activeWritingStyle w:appName="MSWord" w:lang="fr-CA"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Dm8lRTYaJeKElYYyo+Jyjn5hOVMEUyrdim55B2RrDP8FgwPj/6LTQiNpYz84P8tEAN9xaAWaLEc9N0scTmOZSA==" w:salt="AkKbMjwEq71a+3VkWDElHQ=="/>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0838"/>
    <w:rsid w:val="00061B2B"/>
    <w:rsid w:val="0006448C"/>
    <w:rsid w:val="0006449B"/>
    <w:rsid w:val="000655AD"/>
    <w:rsid w:val="00066FD1"/>
    <w:rsid w:val="00072BF9"/>
    <w:rsid w:val="00073DF9"/>
    <w:rsid w:val="0007767E"/>
    <w:rsid w:val="0007796D"/>
    <w:rsid w:val="00080C8F"/>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17B1"/>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ADC"/>
    <w:rsid w:val="0010429A"/>
    <w:rsid w:val="00105424"/>
    <w:rsid w:val="001075EC"/>
    <w:rsid w:val="0010762E"/>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66AD2"/>
    <w:rsid w:val="00170AD6"/>
    <w:rsid w:val="001735B8"/>
    <w:rsid w:val="00177AA7"/>
    <w:rsid w:val="00180295"/>
    <w:rsid w:val="00180917"/>
    <w:rsid w:val="00180E53"/>
    <w:rsid w:val="00181CB7"/>
    <w:rsid w:val="001862A5"/>
    <w:rsid w:val="00186A70"/>
    <w:rsid w:val="00191035"/>
    <w:rsid w:val="001918E5"/>
    <w:rsid w:val="00191AE9"/>
    <w:rsid w:val="00192A7A"/>
    <w:rsid w:val="001A1EF4"/>
    <w:rsid w:val="001A7046"/>
    <w:rsid w:val="001A710D"/>
    <w:rsid w:val="001A7E6F"/>
    <w:rsid w:val="001B0A77"/>
    <w:rsid w:val="001B1727"/>
    <w:rsid w:val="001B2151"/>
    <w:rsid w:val="001B3CFF"/>
    <w:rsid w:val="001B4957"/>
    <w:rsid w:val="001B4996"/>
    <w:rsid w:val="001B768F"/>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0938"/>
    <w:rsid w:val="00224806"/>
    <w:rsid w:val="002271C7"/>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41A"/>
    <w:rsid w:val="002665E3"/>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118A"/>
    <w:rsid w:val="002D2992"/>
    <w:rsid w:val="002D37A0"/>
    <w:rsid w:val="002D5AB5"/>
    <w:rsid w:val="002D6667"/>
    <w:rsid w:val="002D79F3"/>
    <w:rsid w:val="002E1C11"/>
    <w:rsid w:val="002E3D0B"/>
    <w:rsid w:val="002E3E7D"/>
    <w:rsid w:val="002F6279"/>
    <w:rsid w:val="003013B7"/>
    <w:rsid w:val="00301993"/>
    <w:rsid w:val="00301E55"/>
    <w:rsid w:val="00303778"/>
    <w:rsid w:val="00307397"/>
    <w:rsid w:val="003101EF"/>
    <w:rsid w:val="00311355"/>
    <w:rsid w:val="00312BDD"/>
    <w:rsid w:val="00314117"/>
    <w:rsid w:val="00317EDF"/>
    <w:rsid w:val="003279E7"/>
    <w:rsid w:val="00327B62"/>
    <w:rsid w:val="00327C82"/>
    <w:rsid w:val="00331FE9"/>
    <w:rsid w:val="0033324D"/>
    <w:rsid w:val="0033587C"/>
    <w:rsid w:val="00336BF9"/>
    <w:rsid w:val="003371E8"/>
    <w:rsid w:val="00337471"/>
    <w:rsid w:val="00340F82"/>
    <w:rsid w:val="0034151D"/>
    <w:rsid w:val="00342B5B"/>
    <w:rsid w:val="00343532"/>
    <w:rsid w:val="00345469"/>
    <w:rsid w:val="003454ED"/>
    <w:rsid w:val="00345EB9"/>
    <w:rsid w:val="0035030F"/>
    <w:rsid w:val="00353C4B"/>
    <w:rsid w:val="003545A6"/>
    <w:rsid w:val="00356C60"/>
    <w:rsid w:val="003578D1"/>
    <w:rsid w:val="00363639"/>
    <w:rsid w:val="00366D42"/>
    <w:rsid w:val="0036748C"/>
    <w:rsid w:val="00372615"/>
    <w:rsid w:val="00373A3C"/>
    <w:rsid w:val="00376233"/>
    <w:rsid w:val="00380B30"/>
    <w:rsid w:val="00381784"/>
    <w:rsid w:val="00381EB0"/>
    <w:rsid w:val="00382A72"/>
    <w:rsid w:val="00382EBA"/>
    <w:rsid w:val="0038331A"/>
    <w:rsid w:val="0039135B"/>
    <w:rsid w:val="003A34E7"/>
    <w:rsid w:val="003A3CB1"/>
    <w:rsid w:val="003A3D55"/>
    <w:rsid w:val="003A5EA0"/>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5EAA"/>
    <w:rsid w:val="004708CA"/>
    <w:rsid w:val="004709E7"/>
    <w:rsid w:val="00470ADE"/>
    <w:rsid w:val="004712C7"/>
    <w:rsid w:val="0047490D"/>
    <w:rsid w:val="004759EB"/>
    <w:rsid w:val="00477919"/>
    <w:rsid w:val="00477AA3"/>
    <w:rsid w:val="00482611"/>
    <w:rsid w:val="00482A27"/>
    <w:rsid w:val="00487DCE"/>
    <w:rsid w:val="004950B7"/>
    <w:rsid w:val="00497FEA"/>
    <w:rsid w:val="004A4C46"/>
    <w:rsid w:val="004B07B2"/>
    <w:rsid w:val="004B0955"/>
    <w:rsid w:val="004B1842"/>
    <w:rsid w:val="004B25D0"/>
    <w:rsid w:val="004B3553"/>
    <w:rsid w:val="004B5E92"/>
    <w:rsid w:val="004B6C3B"/>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4DFA"/>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042F"/>
    <w:rsid w:val="005725BD"/>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4EDD"/>
    <w:rsid w:val="006255EC"/>
    <w:rsid w:val="00625A25"/>
    <w:rsid w:val="0062736A"/>
    <w:rsid w:val="00632815"/>
    <w:rsid w:val="006343D0"/>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6780"/>
    <w:rsid w:val="006A7A10"/>
    <w:rsid w:val="006B0DA4"/>
    <w:rsid w:val="006B1B6B"/>
    <w:rsid w:val="006B2C57"/>
    <w:rsid w:val="006B79E0"/>
    <w:rsid w:val="006C1633"/>
    <w:rsid w:val="006C5BF8"/>
    <w:rsid w:val="006C7CCB"/>
    <w:rsid w:val="006D6009"/>
    <w:rsid w:val="006D7D41"/>
    <w:rsid w:val="006D7E74"/>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0112"/>
    <w:rsid w:val="00713644"/>
    <w:rsid w:val="00721256"/>
    <w:rsid w:val="007217AD"/>
    <w:rsid w:val="00723BA1"/>
    <w:rsid w:val="0072488B"/>
    <w:rsid w:val="00724A1B"/>
    <w:rsid w:val="00726091"/>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3AA1"/>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379D"/>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57C8"/>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10D9"/>
    <w:rsid w:val="00851EE3"/>
    <w:rsid w:val="00853121"/>
    <w:rsid w:val="00854E85"/>
    <w:rsid w:val="008555E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2D71"/>
    <w:rsid w:val="008A6000"/>
    <w:rsid w:val="008A70A8"/>
    <w:rsid w:val="008A7FAC"/>
    <w:rsid w:val="008B1FD9"/>
    <w:rsid w:val="008B2AF1"/>
    <w:rsid w:val="008B5191"/>
    <w:rsid w:val="008B710D"/>
    <w:rsid w:val="008B7CA1"/>
    <w:rsid w:val="008B7E39"/>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DCF"/>
    <w:rsid w:val="008F3386"/>
    <w:rsid w:val="008F3AD9"/>
    <w:rsid w:val="008F4642"/>
    <w:rsid w:val="008F4E00"/>
    <w:rsid w:val="008F761D"/>
    <w:rsid w:val="00900D44"/>
    <w:rsid w:val="00902520"/>
    <w:rsid w:val="009057CF"/>
    <w:rsid w:val="00906DC4"/>
    <w:rsid w:val="0091457F"/>
    <w:rsid w:val="0091729E"/>
    <w:rsid w:val="009321D7"/>
    <w:rsid w:val="0093261E"/>
    <w:rsid w:val="0094008E"/>
    <w:rsid w:val="00941C0C"/>
    <w:rsid w:val="009437F2"/>
    <w:rsid w:val="0094528B"/>
    <w:rsid w:val="00951745"/>
    <w:rsid w:val="00960A8B"/>
    <w:rsid w:val="00965128"/>
    <w:rsid w:val="00966A6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6424"/>
    <w:rsid w:val="009B7B79"/>
    <w:rsid w:val="009C0383"/>
    <w:rsid w:val="009C145B"/>
    <w:rsid w:val="009C3E04"/>
    <w:rsid w:val="009C4F59"/>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9F5F3A"/>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97E"/>
    <w:rsid w:val="00A76E20"/>
    <w:rsid w:val="00A8284E"/>
    <w:rsid w:val="00A870EE"/>
    <w:rsid w:val="00A91D91"/>
    <w:rsid w:val="00A930AA"/>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379F"/>
    <w:rsid w:val="00AE4A24"/>
    <w:rsid w:val="00AE4FC7"/>
    <w:rsid w:val="00AF01E3"/>
    <w:rsid w:val="00AF0DE7"/>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C607A"/>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3571"/>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70"/>
    <w:rsid w:val="00C76054"/>
    <w:rsid w:val="00C779A2"/>
    <w:rsid w:val="00C80546"/>
    <w:rsid w:val="00C83CAD"/>
    <w:rsid w:val="00C8419E"/>
    <w:rsid w:val="00C851D7"/>
    <w:rsid w:val="00C85C8B"/>
    <w:rsid w:val="00C867AD"/>
    <w:rsid w:val="00C87F9F"/>
    <w:rsid w:val="00C927E7"/>
    <w:rsid w:val="00C9531B"/>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E73CD"/>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33E9"/>
    <w:rsid w:val="00DD55C2"/>
    <w:rsid w:val="00DD759E"/>
    <w:rsid w:val="00DE314E"/>
    <w:rsid w:val="00DE4CFB"/>
    <w:rsid w:val="00DF045B"/>
    <w:rsid w:val="00DF1ED8"/>
    <w:rsid w:val="00DF3785"/>
    <w:rsid w:val="00DF3D27"/>
    <w:rsid w:val="00DF6074"/>
    <w:rsid w:val="00E02239"/>
    <w:rsid w:val="00E02A27"/>
    <w:rsid w:val="00E047EC"/>
    <w:rsid w:val="00E07D42"/>
    <w:rsid w:val="00E163E9"/>
    <w:rsid w:val="00E240F5"/>
    <w:rsid w:val="00E30004"/>
    <w:rsid w:val="00E333AC"/>
    <w:rsid w:val="00E3456B"/>
    <w:rsid w:val="00E35C16"/>
    <w:rsid w:val="00E36085"/>
    <w:rsid w:val="00E36813"/>
    <w:rsid w:val="00E42382"/>
    <w:rsid w:val="00E52A78"/>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236F"/>
    <w:rsid w:val="00EB237E"/>
    <w:rsid w:val="00EC1546"/>
    <w:rsid w:val="00EC22F0"/>
    <w:rsid w:val="00EC5B23"/>
    <w:rsid w:val="00EC5DED"/>
    <w:rsid w:val="00EC6BD8"/>
    <w:rsid w:val="00ED0356"/>
    <w:rsid w:val="00ED0D71"/>
    <w:rsid w:val="00ED3DCD"/>
    <w:rsid w:val="00ED3DD5"/>
    <w:rsid w:val="00ED56BE"/>
    <w:rsid w:val="00ED74D7"/>
    <w:rsid w:val="00EE40F8"/>
    <w:rsid w:val="00EE6DD6"/>
    <w:rsid w:val="00EF0441"/>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876C4"/>
    <w:rsid w:val="00F91ACC"/>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4F52"/>
    <w:rsid w:val="00FC589E"/>
    <w:rsid w:val="00FC5AC4"/>
    <w:rsid w:val="00FC6733"/>
    <w:rsid w:val="00FD2677"/>
    <w:rsid w:val="00FD28B8"/>
    <w:rsid w:val="00FE0BD8"/>
    <w:rsid w:val="00FE1709"/>
    <w:rsid w:val="00FE1FC9"/>
    <w:rsid w:val="00FE753F"/>
    <w:rsid w:val="00FF18D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760444955">
      <w:bodyDiv w:val="1"/>
      <w:marLeft w:val="0"/>
      <w:marRight w:val="0"/>
      <w:marTop w:val="0"/>
      <w:marBottom w:val="0"/>
      <w:divBdr>
        <w:top w:val="none" w:sz="0" w:space="0" w:color="auto"/>
        <w:left w:val="none" w:sz="0" w:space="0" w:color="auto"/>
        <w:bottom w:val="none" w:sz="0" w:space="0" w:color="auto"/>
        <w:right w:val="none" w:sz="0" w:space="0" w:color="auto"/>
      </w:divBdr>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1792625226">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sma.europa.eu/legal-notice" TargetMode="External"/><Relationship Id="rId26" Type="http://schemas.openxmlformats.org/officeDocument/2006/relationships/hyperlink" Target="https://research.ftserussell.com/products/downloads/Statement_of_Principles_Fixed_Income_Indexes.pdf?_ga=2.152201849.1163737429.1601543396-1611391050.1593677658"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s://research.ftserussell.com/products/downloads/Exercise_of_Expert_Judgement_in_FTSE_Russell_Indexes.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sma.europa.eu" TargetMode="External"/><Relationship Id="rId25" Type="http://schemas.openxmlformats.org/officeDocument/2006/relationships/hyperlink" Target="https://www.refinitiv.com/content/dam/marketing/en_us/documents/methodology/rbsl-benchmark-methodology-change-cessation-policy.pdf" TargetMode="External"/><Relationship Id="rId33" Type="http://schemas.openxmlformats.org/officeDocument/2006/relationships/hyperlink" Target="https://www.refinitiv.com/content/dam/marketing/en_us/documents/methodology/rbsl-benchmark-methodology-change-cessation-policy.pdf"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3.xml"/><Relationship Id="rId29" Type="http://schemas.openxmlformats.org/officeDocument/2006/relationships/hyperlink" Target="https://research.ftserussell.com/products/downloads/Statement_of_Principles_Fixed_Income_Indexes.pdf?_ga=2.152201849.1163737429.1601543396-1611391050.159367765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research.ftserussell.com/products/downloads/FTSE_Russell_Policy_for_Benchmark_Methodology_Changes.pdf?_ga=2.117971530.2110538642.1616497099-949130886.1593677720" TargetMode="External"/><Relationship Id="rId32" Type="http://schemas.openxmlformats.org/officeDocument/2006/relationships/hyperlink" Target="https://research.ftserussell.com/products/downloads/FTSE_Russell_Policy_for_Benchmark_Methodology_Changes.pdf?_ga=2.117971530.2110538642.1616497099-949130886.1593677720"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sma.europa.eu" TargetMode="External"/><Relationship Id="rId23" Type="http://schemas.openxmlformats.org/officeDocument/2006/relationships/hyperlink" Target="https://research.ftserussell.com/products/downloads/statement_of_principles.pdf" TargetMode="External"/><Relationship Id="rId28" Type="http://schemas.openxmlformats.org/officeDocument/2006/relationships/hyperlink" Target="https://research.ftserussell.com/products/downloads/statement_of_principles.pdf" TargetMode="External"/><Relationship Id="rId36" Type="http://schemas.openxmlformats.org/officeDocument/2006/relationships/hyperlink" Target="https://www.refinitiv.com/content/dam/marketing/en_us/documents/policies/conflicts-of-interest-disclosure-statement.pdf"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research.ftserussell.com/products/downloads/FTSE_Russell_Index_Policy_for_Trading_Halts_and_Market_Closur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refinitiv.com/content/dam/marketing/en_us/documents/policies/eu-benchmarks-regulation-commitment.pdf" TargetMode="External"/><Relationship Id="rId27" Type="http://schemas.openxmlformats.org/officeDocument/2006/relationships/hyperlink" Target="https://research.ftserussell.com/products/downloads/FTSE_Russell_Index_Policy_in_the_Event_Clients_are_Unable_to_Trade_a_Market.pdf" TargetMode="External"/><Relationship Id="rId30" Type="http://schemas.openxmlformats.org/officeDocument/2006/relationships/hyperlink" Target="https://research.ftserussell.com/products/downloads/FTSE_Russell_Index_Policy_in_the_Event_Clients_are_Unable_to_Trade_a_Market.pdf" TargetMode="External"/><Relationship Id="rId35" Type="http://schemas.openxmlformats.org/officeDocument/2006/relationships/hyperlink" Target="https://research.ftserussell.com/products/downloads/FTSE_Russell_Governance_Framework.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43FD9E92A52419BA4BEF80FE679BC" ma:contentTypeVersion="11" ma:contentTypeDescription="Create a new document." ma:contentTypeScope="" ma:versionID="2e7bfc3a7ecb38d4e83c0fa33f8c824d">
  <xsd:schema xmlns:xsd="http://www.w3.org/2001/XMLSchema" xmlns:xs="http://www.w3.org/2001/XMLSchema" xmlns:p="http://schemas.microsoft.com/office/2006/metadata/properties" xmlns:ns3="3f92d8c9-780b-4683-851b-f4606078d499" xmlns:ns4="570c5b0f-d542-44ed-9f70-128c7e07bc47" targetNamespace="http://schemas.microsoft.com/office/2006/metadata/properties" ma:root="true" ma:fieldsID="462c945e025f9def819e386734a58f9d" ns3:_="" ns4:_="">
    <xsd:import namespace="3f92d8c9-780b-4683-851b-f4606078d499"/>
    <xsd:import namespace="570c5b0f-d542-44ed-9f70-128c7e07bc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2d8c9-780b-4683-851b-f4606078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c5b0f-d542-44ed-9f70-128c7e07bc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0B168-DC2C-41F9-B581-B60EF5349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2d8c9-780b-4683-851b-f4606078d499"/>
    <ds:schemaRef ds:uri="570c5b0f-d542-44ed-9f70-128c7e07b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8116E7-9814-46D9-B341-14E7AB21F242}">
  <ds:schemaRefs>
    <ds:schemaRef ds:uri="http://schemas.openxmlformats.org/officeDocument/2006/bibliography"/>
  </ds:schemaRefs>
</ds:datastoreItem>
</file>

<file path=customXml/itemProps4.xml><?xml version="1.0" encoding="utf-8"?>
<ds:datastoreItem xmlns:ds="http://schemas.openxmlformats.org/officeDocument/2006/customXml" ds:itemID="{FC2455EB-3D3A-4C02-9873-6A72D376E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13</TotalTime>
  <Pages>9</Pages>
  <Words>2649</Words>
  <Characters>15105</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Babbar, Anoushka</cp:lastModifiedBy>
  <cp:revision>30</cp:revision>
  <cp:lastPrinted>2017-07-24T14:47:00Z</cp:lastPrinted>
  <dcterms:created xsi:type="dcterms:W3CDTF">2021-04-29T20:00:00Z</dcterms:created>
  <dcterms:modified xsi:type="dcterms:W3CDTF">2021-04-29T20:15:00Z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41;#Public|a0c619ff-bd46-48f0-b213-6b7c03fe156d</vt:lpwstr>
  </property>
  <property fmtid="{D5CDD505-2E9C-101B-9397-08002B2CF9AE}" pid="4" name="ContentTypeId">
    <vt:lpwstr>0x01010093E43FD9E92A52419BA4BEF80FE679BC</vt:lpwstr>
  </property>
  <property fmtid="{D5CDD505-2E9C-101B-9397-08002B2CF9AE}" pid="5" name="_dlc_DocIdItemGuid">
    <vt:lpwstr>b95e94c1-cc8a-4b34-9982-44e8fa302772</vt:lpwstr>
  </property>
  <property fmtid="{D5CDD505-2E9C-101B-9397-08002B2CF9AE}" pid="6" name="DocumentType">
    <vt:lpwstr>73;#Questionnaire|a849d609-a31c-415e-a1a8-503bcc16b083</vt:lpwstr>
  </property>
  <property fmtid="{D5CDD505-2E9C-101B-9397-08002B2CF9AE}" pid="7" name="Topic">
    <vt:lpwstr>44;#Level 3 measures|347ff97c-6242-44d1-8319-a925ad570285</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
  </property>
</Properties>
</file>