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BBE37" w14:textId="77777777" w:rsidR="002546C8" w:rsidRDefault="002546C8" w:rsidP="002546C8"/>
    <w:p w14:paraId="1E19AB1C" w14:textId="77777777" w:rsidR="00A35AD2" w:rsidRPr="00A35AD2" w:rsidRDefault="00A35AD2" w:rsidP="00A35AD2">
      <w:pPr>
        <w:rPr>
          <w:rFonts w:ascii="Arial" w:eastAsia="Times New Roman" w:hAnsi="Arial" w:cs="Times New Roman"/>
          <w:b/>
          <w:sz w:val="28"/>
          <w:szCs w:val="24"/>
        </w:rPr>
      </w:pPr>
    </w:p>
    <w:sdt>
      <w:sdtPr>
        <w:rPr>
          <w:rFonts w:ascii="Arial" w:eastAsia="Times New Roman" w:hAnsi="Arial" w:cs="Times New Roman"/>
          <w:b/>
          <w:sz w:val="28"/>
          <w:szCs w:val="24"/>
        </w:rPr>
        <w:id w:val="-973058580"/>
        <w:docPartObj>
          <w:docPartGallery w:val="Cover Pages"/>
          <w:docPartUnique/>
        </w:docPartObj>
      </w:sdtPr>
      <w:sdtEndPr/>
      <w:sdtContent>
        <w:p w14:paraId="59C606F8" w14:textId="77777777" w:rsidR="00A35AD2" w:rsidRPr="00A35AD2" w:rsidRDefault="00A35AD2" w:rsidP="00A35AD2">
          <w:pPr>
            <w:rPr>
              <w:rFonts w:ascii="Arial" w:eastAsia="Times New Roman" w:hAnsi="Arial" w:cs="Times New Roman"/>
              <w:color w:val="FF0000"/>
            </w:rPr>
          </w:pPr>
        </w:p>
        <w:tbl>
          <w:tblPr>
            <w:tblpPr w:leftFromText="8505" w:vertAnchor="page" w:horzAnchor="margin" w:tblpXSpec="right" w:tblpY="3691"/>
            <w:tblW w:w="9952" w:type="dxa"/>
            <w:tblLayout w:type="fixed"/>
            <w:tblCellMar>
              <w:left w:w="0" w:type="dxa"/>
              <w:right w:w="0" w:type="dxa"/>
            </w:tblCellMar>
            <w:tblLook w:val="01E0" w:firstRow="1" w:lastRow="1" w:firstColumn="1" w:lastColumn="1" w:noHBand="0" w:noVBand="0"/>
          </w:tblPr>
          <w:tblGrid>
            <w:gridCol w:w="9952"/>
          </w:tblGrid>
          <w:tr w:rsidR="00A35AD2" w:rsidRPr="00A35AD2" w14:paraId="141D93D3" w14:textId="77777777" w:rsidTr="00930295">
            <w:trPr>
              <w:trHeight w:hRule="exact" w:val="1662"/>
            </w:trPr>
            <w:tc>
              <w:tcPr>
                <w:tcW w:w="9952" w:type="dxa"/>
                <w:vAlign w:val="bottom"/>
              </w:tcPr>
              <w:p w14:paraId="1D0641F8" w14:textId="2AE9B4BE" w:rsidR="00A35AD2" w:rsidRPr="00A35AD2" w:rsidRDefault="00454F8B" w:rsidP="00A35AD2">
                <w:pPr>
                  <w:spacing w:after="0" w:line="240" w:lineRule="auto"/>
                  <w:contextualSpacing/>
                  <w:rPr>
                    <w:rFonts w:ascii="Arial" w:eastAsia="Times New Roman" w:hAnsi="Arial" w:cs="Times New Roman"/>
                    <w:b/>
                    <w:color w:val="2F5496"/>
                    <w:spacing w:val="-10"/>
                    <w:sz w:val="56"/>
                    <w:szCs w:val="56"/>
                  </w:rPr>
                </w:pPr>
                <w:r>
                  <w:rPr>
                    <w:rFonts w:ascii="Arial" w:eastAsia="Times New Roman" w:hAnsi="Arial" w:cs="Times New Roman"/>
                    <w:b/>
                    <w:color w:val="2F5496"/>
                    <w:spacing w:val="-10"/>
                    <w:sz w:val="56"/>
                    <w:szCs w:val="56"/>
                  </w:rPr>
                  <w:t xml:space="preserve">Response Form </w:t>
                </w:r>
              </w:p>
            </w:tc>
          </w:tr>
          <w:tr w:rsidR="00A35AD2" w:rsidRPr="00A35AD2" w14:paraId="784E44C8" w14:textId="77777777" w:rsidTr="00930295">
            <w:trPr>
              <w:trHeight w:hRule="exact" w:val="832"/>
            </w:trPr>
            <w:tc>
              <w:tcPr>
                <w:tcW w:w="9952" w:type="dxa"/>
                <w:tcMar>
                  <w:top w:w="142" w:type="dxa"/>
                </w:tcMar>
              </w:tcPr>
              <w:p w14:paraId="4DBCB921" w14:textId="74A9FB8A" w:rsidR="00A35AD2" w:rsidRPr="00A35AD2" w:rsidRDefault="00454F8B" w:rsidP="00A35AD2">
                <w:pPr>
                  <w:numPr>
                    <w:ilvl w:val="1"/>
                    <w:numId w:val="0"/>
                  </w:numPr>
                  <w:spacing w:line="240" w:lineRule="auto"/>
                  <w:rPr>
                    <w:rFonts w:ascii="Arial" w:eastAsia="Times New Roman" w:hAnsi="Arial" w:cs="Arial"/>
                    <w:b/>
                    <w:sz w:val="28"/>
                    <w:szCs w:val="24"/>
                  </w:rPr>
                </w:pPr>
                <w:r>
                  <w:rPr>
                    <w:rFonts w:ascii="Arial" w:eastAsia="Times New Roman" w:hAnsi="Arial" w:cs="Arial"/>
                    <w:b/>
                    <w:sz w:val="28"/>
                    <w:szCs w:val="24"/>
                  </w:rPr>
                  <w:t xml:space="preserve">Consultation on </w:t>
                </w:r>
                <w:r w:rsidR="00A35AD2" w:rsidRPr="00A35AD2">
                  <w:rPr>
                    <w:rFonts w:ascii="Arial" w:eastAsia="Times New Roman" w:hAnsi="Arial" w:cs="Arial"/>
                    <w:b/>
                    <w:sz w:val="28"/>
                    <w:szCs w:val="24"/>
                  </w:rPr>
                  <w:t>Fees charged to Credit Rating Agencies by ESMA</w:t>
                </w:r>
              </w:p>
              <w:p w14:paraId="5C16F8A9" w14:textId="77777777" w:rsidR="00A35AD2" w:rsidRPr="00A35AD2" w:rsidRDefault="00A35AD2" w:rsidP="00A35AD2">
                <w:pPr>
                  <w:rPr>
                    <w:rFonts w:ascii="Arial" w:eastAsia="Times New Roman" w:hAnsi="Arial" w:cs="Times New Roman"/>
                  </w:rPr>
                </w:pPr>
              </w:p>
            </w:tc>
          </w:tr>
        </w:tbl>
        <w:p w14:paraId="6DB1A13E" w14:textId="77777777" w:rsidR="00A35AD2" w:rsidRPr="00A35AD2" w:rsidRDefault="00A35AD2" w:rsidP="00A35AD2">
          <w:pPr>
            <w:spacing w:after="120" w:line="264" w:lineRule="auto"/>
            <w:rPr>
              <w:rFonts w:ascii="Arial" w:eastAsia="Times New Roman" w:hAnsi="Arial" w:cs="Times New Roman"/>
            </w:rPr>
          </w:pPr>
          <w:r w:rsidRPr="00A35AD2">
            <w:rPr>
              <w:rFonts w:ascii="Arial" w:eastAsia="Times New Roman" w:hAnsi="Arial" w:cs="Times New Roman"/>
              <w:color w:val="FF0000"/>
            </w:rPr>
            <w:br w:type="page"/>
          </w:r>
        </w:p>
        <w:p w14:paraId="5283B9A3" w14:textId="77777777" w:rsidR="00A35AD2" w:rsidRPr="00A35AD2" w:rsidRDefault="00A35AD2" w:rsidP="00A35AD2">
          <w:pPr>
            <w:spacing w:after="120" w:line="264" w:lineRule="auto"/>
            <w:rPr>
              <w:rFonts w:ascii="Arial" w:eastAsia="Times New Roman" w:hAnsi="Arial" w:cs="Times New Roman"/>
              <w:sz w:val="32"/>
              <w:szCs w:val="32"/>
            </w:rPr>
            <w:sectPr w:rsidR="00A35AD2" w:rsidRPr="00A35AD2" w:rsidSect="00930295">
              <w:headerReference w:type="first" r:id="rId12"/>
              <w:footerReference w:type="first" r:id="rId13"/>
              <w:pgSz w:w="11906" w:h="16838"/>
              <w:pgMar w:top="1417" w:right="1417" w:bottom="1417" w:left="1417" w:header="708" w:footer="708" w:gutter="0"/>
              <w:pgNumType w:start="0"/>
              <w:cols w:space="708"/>
              <w:titlePg/>
              <w:docGrid w:linePitch="360"/>
            </w:sectPr>
          </w:pPr>
        </w:p>
        <w:p w14:paraId="227594A2" w14:textId="77777777" w:rsidR="00A35AD2" w:rsidRPr="00A35AD2" w:rsidRDefault="00327C30" w:rsidP="00A35AD2">
          <w:pPr>
            <w:numPr>
              <w:ilvl w:val="1"/>
              <w:numId w:val="0"/>
            </w:numPr>
            <w:spacing w:line="240" w:lineRule="auto"/>
            <w:rPr>
              <w:rFonts w:ascii="Arial" w:eastAsia="Times New Roman" w:hAnsi="Arial" w:cs="Times New Roman"/>
              <w:b/>
              <w:sz w:val="28"/>
              <w:szCs w:val="24"/>
            </w:rPr>
          </w:pPr>
        </w:p>
      </w:sdtContent>
    </w:sdt>
    <w:p w14:paraId="13D3CC58" w14:textId="77777777" w:rsidR="00A35AD2" w:rsidRPr="00A35AD2" w:rsidRDefault="00A35AD2" w:rsidP="00A35AD2">
      <w:pPr>
        <w:numPr>
          <w:ilvl w:val="1"/>
          <w:numId w:val="0"/>
        </w:numPr>
        <w:spacing w:line="240" w:lineRule="auto"/>
        <w:rPr>
          <w:rFonts w:ascii="Arial" w:eastAsia="Times New Roman" w:hAnsi="Arial" w:cs="Times New Roman"/>
          <w:b/>
          <w:sz w:val="28"/>
          <w:szCs w:val="24"/>
          <w:highlight w:val="yellow"/>
        </w:rPr>
      </w:pPr>
      <w:r w:rsidRPr="00A35AD2">
        <w:rPr>
          <w:rFonts w:ascii="Arial" w:eastAsia="Times New Roman" w:hAnsi="Arial" w:cs="Times New Roman"/>
          <w:b/>
          <w:sz w:val="28"/>
          <w:szCs w:val="24"/>
        </w:rPr>
        <w:t xml:space="preserve">Responding to this paper </w:t>
      </w:r>
    </w:p>
    <w:p w14:paraId="3F52F601" w14:textId="56158331" w:rsidR="00A35AD2" w:rsidRPr="00A35AD2" w:rsidRDefault="00A35AD2" w:rsidP="00A35AD2">
      <w:pPr>
        <w:rPr>
          <w:rFonts w:ascii="Arial" w:eastAsia="Times New Roman" w:hAnsi="Arial" w:cs="Times New Roman"/>
        </w:rPr>
      </w:pPr>
      <w:r w:rsidRPr="00A35AD2">
        <w:rPr>
          <w:rFonts w:ascii="Arial" w:eastAsia="Times New Roman" w:hAnsi="Arial" w:cs="Times New Roman"/>
        </w:rPr>
        <w:t xml:space="preserve">ESMA invites comments on all matters </w:t>
      </w:r>
      <w:r w:rsidR="0081014A">
        <w:rPr>
          <w:rFonts w:ascii="Arial" w:eastAsia="Times New Roman" w:hAnsi="Arial" w:cs="Times New Roman"/>
        </w:rPr>
        <w:t xml:space="preserve">set out </w:t>
      </w:r>
      <w:r w:rsidRPr="00A35AD2">
        <w:rPr>
          <w:rFonts w:ascii="Arial" w:eastAsia="Times New Roman" w:hAnsi="Arial" w:cs="Times New Roman"/>
        </w:rPr>
        <w:t>in this paper and in particular on the specific questions summarised in Annex 1. Comments are most helpful if they:</w:t>
      </w:r>
    </w:p>
    <w:p w14:paraId="6CB45A61" w14:textId="77777777" w:rsidR="00A35AD2" w:rsidRPr="004A63A5" w:rsidRDefault="00A35AD2" w:rsidP="00934C4B">
      <w:pPr>
        <w:pStyle w:val="Listenabsatz"/>
        <w:numPr>
          <w:ilvl w:val="0"/>
          <w:numId w:val="44"/>
        </w:numPr>
      </w:pPr>
      <w:r w:rsidRPr="004A63A5">
        <w:t>respond to the question stated;</w:t>
      </w:r>
    </w:p>
    <w:p w14:paraId="5DFC2928" w14:textId="77777777" w:rsidR="00A35AD2" w:rsidRPr="004A63A5" w:rsidRDefault="00A35AD2" w:rsidP="00934C4B">
      <w:pPr>
        <w:pStyle w:val="Listenabsatz"/>
        <w:numPr>
          <w:ilvl w:val="0"/>
          <w:numId w:val="44"/>
        </w:numPr>
      </w:pPr>
      <w:r w:rsidRPr="004A63A5">
        <w:t>indicate the specific question to which the comment relates;</w:t>
      </w:r>
    </w:p>
    <w:p w14:paraId="2DC3CF5B" w14:textId="77777777" w:rsidR="00A35AD2" w:rsidRPr="004A63A5" w:rsidRDefault="00A35AD2" w:rsidP="00934C4B">
      <w:pPr>
        <w:pStyle w:val="Listenabsatz"/>
        <w:numPr>
          <w:ilvl w:val="0"/>
          <w:numId w:val="44"/>
        </w:numPr>
      </w:pPr>
      <w:r w:rsidRPr="004A63A5">
        <w:t>contain a clear rationale; and</w:t>
      </w:r>
    </w:p>
    <w:p w14:paraId="4BF69825" w14:textId="0A7931F6" w:rsidR="00A35AD2" w:rsidRPr="004A63A5" w:rsidRDefault="00A35AD2" w:rsidP="00934C4B">
      <w:pPr>
        <w:pStyle w:val="Listenabsatz"/>
        <w:numPr>
          <w:ilvl w:val="0"/>
          <w:numId w:val="44"/>
        </w:numPr>
      </w:pPr>
      <w:r w:rsidRPr="004A63A5">
        <w:t>describe any alternatives ESMA should consider.</w:t>
      </w:r>
    </w:p>
    <w:p w14:paraId="4E37A539" w14:textId="09A7BB09" w:rsidR="00A35AD2" w:rsidRPr="00A35AD2" w:rsidRDefault="00A35AD2" w:rsidP="00A35AD2">
      <w:pPr>
        <w:rPr>
          <w:rFonts w:ascii="Arial" w:eastAsia="Times New Roman" w:hAnsi="Arial" w:cs="Times New Roman"/>
        </w:rPr>
      </w:pPr>
      <w:r w:rsidRPr="00A35AD2">
        <w:rPr>
          <w:rFonts w:ascii="Arial" w:eastAsia="Times New Roman" w:hAnsi="Arial" w:cs="Times New Roman"/>
        </w:rPr>
        <w:t xml:space="preserve">ESMA will consider all comments received by </w:t>
      </w:r>
      <w:r w:rsidRPr="004B6D91">
        <w:rPr>
          <w:rFonts w:ascii="Arial" w:eastAsia="Times New Roman" w:hAnsi="Arial" w:cs="Times New Roman"/>
          <w:b/>
        </w:rPr>
        <w:t>15 March</w:t>
      </w:r>
      <w:r w:rsidRPr="00D82F28">
        <w:rPr>
          <w:rFonts w:ascii="Arial" w:eastAsia="Times New Roman" w:hAnsi="Arial" w:cs="Times New Roman"/>
          <w:b/>
        </w:rPr>
        <w:t xml:space="preserve"> 2021.</w:t>
      </w:r>
      <w:r w:rsidRPr="00A35AD2">
        <w:rPr>
          <w:rFonts w:ascii="Arial" w:eastAsia="Times New Roman" w:hAnsi="Arial" w:cs="Times New Roman"/>
          <w:b/>
        </w:rPr>
        <w:t xml:space="preserve"> </w:t>
      </w:r>
    </w:p>
    <w:p w14:paraId="47CA571F" w14:textId="6662DD4B" w:rsidR="00A35AD2" w:rsidRDefault="00A35AD2" w:rsidP="00A35AD2">
      <w:pPr>
        <w:rPr>
          <w:rFonts w:ascii="Arial" w:eastAsia="Times New Roman" w:hAnsi="Arial" w:cs="Times New Roman"/>
        </w:rPr>
      </w:pPr>
      <w:r w:rsidRPr="00A35AD2">
        <w:rPr>
          <w:rFonts w:ascii="Arial" w:eastAsia="Times New Roman" w:hAnsi="Arial" w:cs="Times New Roman"/>
        </w:rPr>
        <w:t xml:space="preserve">All contributions should be submitted online at </w:t>
      </w:r>
      <w:hyperlink r:id="rId14" w:history="1">
        <w:r w:rsidRPr="00A35AD2">
          <w:rPr>
            <w:rFonts w:ascii="Arial" w:eastAsia="Times New Roman" w:hAnsi="Arial" w:cs="Times New Roman"/>
            <w:color w:val="0563C1"/>
            <w:u w:val="single"/>
          </w:rPr>
          <w:t>www.esma.europa.eu</w:t>
        </w:r>
      </w:hyperlink>
      <w:r w:rsidRPr="00A35AD2">
        <w:rPr>
          <w:rFonts w:ascii="Arial" w:eastAsia="Times New Roman" w:hAnsi="Arial" w:cs="Times New Roman"/>
        </w:rPr>
        <w:t xml:space="preserve"> under the heading</w:t>
      </w:r>
      <w:r w:rsidR="0081014A">
        <w:rPr>
          <w:rFonts w:ascii="Arial" w:eastAsia="Times New Roman" w:hAnsi="Arial" w:cs="Times New Roman"/>
        </w:rPr>
        <w:t>:</w:t>
      </w:r>
      <w:r w:rsidRPr="00A35AD2">
        <w:rPr>
          <w:rFonts w:ascii="Arial" w:eastAsia="Times New Roman" w:hAnsi="Arial" w:cs="Times New Roman"/>
        </w:rPr>
        <w:t xml:space="preserve"> ‘Your input - Consultations’. </w:t>
      </w:r>
    </w:p>
    <w:p w14:paraId="4EF6A4A1" w14:textId="77777777" w:rsidR="00934C4B" w:rsidRPr="00934C4B" w:rsidRDefault="00934C4B" w:rsidP="00934C4B">
      <w:pPr>
        <w:rPr>
          <w:rFonts w:ascii="Arial" w:eastAsia="Times New Roman" w:hAnsi="Arial" w:cs="Times New Roman"/>
          <w:b/>
        </w:rPr>
      </w:pPr>
      <w:r w:rsidRPr="00934C4B">
        <w:rPr>
          <w:rFonts w:ascii="Arial" w:eastAsia="Times New Roman" w:hAnsi="Arial" w:cs="Times New Roman"/>
          <w:b/>
        </w:rPr>
        <w:t>Instructions</w:t>
      </w:r>
    </w:p>
    <w:p w14:paraId="6716A601" w14:textId="77777777" w:rsidR="00934C4B" w:rsidRPr="00934C4B" w:rsidRDefault="00934C4B" w:rsidP="00934C4B">
      <w:pPr>
        <w:rPr>
          <w:rFonts w:ascii="Arial" w:eastAsia="Times New Roman" w:hAnsi="Arial" w:cs="Times New Roman"/>
        </w:rPr>
      </w:pPr>
      <w:r w:rsidRPr="00934C4B">
        <w:rPr>
          <w:rFonts w:ascii="Arial" w:eastAsia="Times New Roman" w:hAnsi="Arial" w:cs="Times New Roman"/>
        </w:rPr>
        <w:t>In order to facilitate analysis of responses to the Consultation Paper, respondents are requested to follow the below steps when preparing and submitting their response:</w:t>
      </w:r>
    </w:p>
    <w:p w14:paraId="6AEB5551" w14:textId="04F2581E" w:rsidR="00934C4B" w:rsidRPr="00934C4B" w:rsidRDefault="00934C4B" w:rsidP="00934C4B">
      <w:pPr>
        <w:pStyle w:val="Listenabsatz"/>
        <w:numPr>
          <w:ilvl w:val="0"/>
          <w:numId w:val="54"/>
        </w:numPr>
      </w:pPr>
      <w:r w:rsidRPr="00934C4B">
        <w:t>Insert your responses to the questions in the Consultation Paper in the present response</w:t>
      </w:r>
      <w:r>
        <w:t xml:space="preserve"> form</w:t>
      </w:r>
      <w:r w:rsidRPr="00934C4B">
        <w:t xml:space="preserve">. </w:t>
      </w:r>
    </w:p>
    <w:p w14:paraId="61350646" w14:textId="5E45081C" w:rsidR="00934C4B" w:rsidRPr="00934C4B" w:rsidRDefault="00934C4B" w:rsidP="00934C4B">
      <w:pPr>
        <w:pStyle w:val="Listenabsatz"/>
        <w:numPr>
          <w:ilvl w:val="0"/>
          <w:numId w:val="54"/>
        </w:numPr>
      </w:pPr>
      <w:r w:rsidRPr="00934C4B">
        <w:t>Please do not remove tags of the type &lt;ESMA_QUESTION_</w:t>
      </w:r>
      <w:r>
        <w:t>CRAFees</w:t>
      </w:r>
      <w:r w:rsidRPr="00934C4B">
        <w:t>_1&gt;. Your response to</w:t>
      </w:r>
      <w:r>
        <w:t xml:space="preserve"> </w:t>
      </w:r>
      <w:r w:rsidRPr="00934C4B">
        <w:t>each</w:t>
      </w:r>
      <w:r>
        <w:t xml:space="preserve"> </w:t>
      </w:r>
      <w:r w:rsidRPr="00934C4B">
        <w:t>question has to be framed by the two tags corresponding to the question.</w:t>
      </w:r>
    </w:p>
    <w:p w14:paraId="4A3EA364" w14:textId="77777777" w:rsidR="00934C4B" w:rsidRPr="00934C4B" w:rsidRDefault="00934C4B" w:rsidP="00934C4B">
      <w:pPr>
        <w:pStyle w:val="Listenabsatz"/>
        <w:numPr>
          <w:ilvl w:val="0"/>
          <w:numId w:val="54"/>
        </w:numPr>
      </w:pPr>
      <w:r w:rsidRPr="00934C4B">
        <w:t>If you do not wish to respond to a given question, please do not delete it but simply leave the text “TYPE YOUR TEXT HERE” between the tags.</w:t>
      </w:r>
    </w:p>
    <w:p w14:paraId="600F05BF" w14:textId="29592639" w:rsidR="00934C4B" w:rsidRPr="00934C4B" w:rsidRDefault="00934C4B" w:rsidP="00934C4B">
      <w:pPr>
        <w:pStyle w:val="Listenabsatz"/>
        <w:numPr>
          <w:ilvl w:val="0"/>
          <w:numId w:val="54"/>
        </w:numPr>
      </w:pPr>
      <w:r w:rsidRPr="00934C4B">
        <w:t>When you have drafted your response, name your response form according to the following convention: ESMA_</w:t>
      </w:r>
      <w:r>
        <w:t>CRAFees</w:t>
      </w:r>
      <w:r w:rsidRPr="00934C4B">
        <w:t xml:space="preserve">_nameofrespondent_RESPONSEFORM. For example, for a respondent named ABCD, the response form would be entitled ESMA_ </w:t>
      </w:r>
      <w:r>
        <w:t>CRAFees</w:t>
      </w:r>
      <w:r w:rsidRPr="00934C4B">
        <w:t>_ABCD_RESPONSEFORM.</w:t>
      </w:r>
    </w:p>
    <w:p w14:paraId="3B5C6919" w14:textId="557C1272" w:rsidR="00934C4B" w:rsidRPr="00934C4B" w:rsidRDefault="00934C4B" w:rsidP="00934C4B">
      <w:pPr>
        <w:pStyle w:val="Listenabsatz"/>
        <w:numPr>
          <w:ilvl w:val="0"/>
          <w:numId w:val="54"/>
        </w:numPr>
      </w:pPr>
      <w:r w:rsidRPr="00934C4B">
        <w:t>Upload the form containing your responses, in Word format, to ESMA’s website</w:t>
      </w:r>
      <w:r>
        <w:t xml:space="preserve"> </w:t>
      </w:r>
      <w:r w:rsidRPr="00934C4B">
        <w:t>(</w:t>
      </w:r>
      <w:hyperlink r:id="rId15" w:history="1">
        <w:r w:rsidRPr="00934C4B">
          <w:t>www.esma.europa.eu</w:t>
        </w:r>
      </w:hyperlink>
      <w:r w:rsidRPr="00934C4B">
        <w:t xml:space="preserve"> under the heading “Your input – Open consultations” </w:t>
      </w:r>
      <w:r w:rsidRPr="00934C4B">
        <w:sym w:font="Wingdings" w:char="F0E0"/>
      </w:r>
      <w:r w:rsidRPr="00934C4B">
        <w:t xml:space="preserve"> “Consultation on</w:t>
      </w:r>
      <w:r>
        <w:t xml:space="preserve"> </w:t>
      </w:r>
      <w:r w:rsidRPr="00934C4B">
        <w:t>Fees charged to Credit Rating Agencies by ESMA”).</w:t>
      </w:r>
    </w:p>
    <w:p w14:paraId="6338AF75" w14:textId="77777777" w:rsidR="00934C4B" w:rsidRPr="00934C4B" w:rsidRDefault="00934C4B" w:rsidP="00934C4B">
      <w:pPr>
        <w:rPr>
          <w:rFonts w:ascii="Arial" w:eastAsia="Times New Roman" w:hAnsi="Arial" w:cs="Times New Roman"/>
        </w:rPr>
      </w:pPr>
    </w:p>
    <w:p w14:paraId="79D08120" w14:textId="77777777" w:rsidR="00934C4B" w:rsidRPr="00A35AD2" w:rsidRDefault="00934C4B" w:rsidP="00A35AD2">
      <w:pPr>
        <w:rPr>
          <w:rFonts w:ascii="Arial" w:eastAsia="Times New Roman" w:hAnsi="Arial" w:cs="Times New Roman"/>
        </w:rPr>
      </w:pPr>
    </w:p>
    <w:p w14:paraId="387D0AD1" w14:textId="77777777" w:rsidR="00A35AD2" w:rsidRPr="00A35AD2" w:rsidRDefault="00A35AD2" w:rsidP="00A35AD2">
      <w:pPr>
        <w:rPr>
          <w:rFonts w:ascii="Arial" w:eastAsia="Times New Roman" w:hAnsi="Arial" w:cs="Times New Roman"/>
          <w:b/>
        </w:rPr>
      </w:pPr>
      <w:r w:rsidRPr="00A35AD2">
        <w:rPr>
          <w:rFonts w:ascii="Arial" w:eastAsia="Times New Roman" w:hAnsi="Arial" w:cs="Times New Roman"/>
          <w:b/>
        </w:rPr>
        <w:lastRenderedPageBreak/>
        <w:t>Publication of responses</w:t>
      </w:r>
    </w:p>
    <w:p w14:paraId="3014C380" w14:textId="035D7359" w:rsidR="00A35AD2" w:rsidRPr="00A35AD2" w:rsidRDefault="00A35AD2" w:rsidP="00A35AD2">
      <w:pPr>
        <w:rPr>
          <w:rFonts w:ascii="Arial" w:eastAsia="Times New Roman" w:hAnsi="Arial" w:cs="Times New Roman"/>
        </w:rPr>
      </w:pPr>
      <w:r w:rsidRPr="00A35AD2">
        <w:rPr>
          <w:rFonts w:ascii="Arial" w:eastAsia="Times New Roman" w:hAnsi="Arial" w:cs="Times New Roman"/>
        </w:rPr>
        <w:t>All contributions received will be published following the clos</w:t>
      </w:r>
      <w:r w:rsidR="006A412C">
        <w:rPr>
          <w:rFonts w:ascii="Arial" w:eastAsia="Times New Roman" w:hAnsi="Arial" w:cs="Times New Roman"/>
        </w:rPr>
        <w:t>ure</w:t>
      </w:r>
      <w:r w:rsidRPr="00A35AD2">
        <w:rPr>
          <w:rFonts w:ascii="Arial" w:eastAsia="Times New Roman" w:hAnsi="Arial" w:cs="Times New Roman"/>
        </w:rPr>
        <w:t xml:space="preserve"> of the consultation</w:t>
      </w:r>
      <w:r w:rsidR="006A412C">
        <w:rPr>
          <w:rFonts w:ascii="Arial" w:eastAsia="Times New Roman" w:hAnsi="Arial" w:cs="Times New Roman"/>
        </w:rPr>
        <w:t xml:space="preserve"> period</w:t>
      </w:r>
      <w:r w:rsidRPr="00A35AD2">
        <w:rPr>
          <w:rFonts w:ascii="Arial" w:eastAsia="Times New Roman" w:hAnsi="Arial" w:cs="Times New Roman"/>
        </w:rPr>
        <w:t xml:space="preserve">, unless you </w:t>
      </w:r>
      <w:r w:rsidR="00D82F28">
        <w:rPr>
          <w:rFonts w:ascii="Arial" w:eastAsia="Times New Roman" w:hAnsi="Arial" w:cs="Times New Roman"/>
        </w:rPr>
        <w:t xml:space="preserve">specifically </w:t>
      </w:r>
      <w:r w:rsidRPr="00A35AD2">
        <w:rPr>
          <w:rFonts w:ascii="Arial" w:eastAsia="Times New Roman" w:hAnsi="Arial" w:cs="Times New Roman"/>
        </w:rPr>
        <w:t xml:space="preserve">request otherwise. Please clearly and prominently indicate in your submission any part that you do not wish to be publicly disclosed. A standard confidentiality statement in an email message will not be treated as a request for non-disclosure. A confidential response may be requested </w:t>
      </w:r>
      <w:r w:rsidR="00A778C8">
        <w:rPr>
          <w:rFonts w:ascii="Arial" w:eastAsia="Times New Roman" w:hAnsi="Arial" w:cs="Times New Roman"/>
        </w:rPr>
        <w:t xml:space="preserve">by ESMA </w:t>
      </w:r>
      <w:r w:rsidRPr="00A35AD2">
        <w:rPr>
          <w:rFonts w:ascii="Arial" w:eastAsia="Times New Roman" w:hAnsi="Arial" w:cs="Times New Roman"/>
        </w:rPr>
        <w:t xml:space="preserve">in accordance with ESMA’s rules on access to documents. We may consult you if we receive such a request. Any decision we make not to disclose </w:t>
      </w:r>
      <w:r w:rsidR="006A412C">
        <w:rPr>
          <w:rFonts w:ascii="Arial" w:eastAsia="Times New Roman" w:hAnsi="Arial" w:cs="Times New Roman"/>
        </w:rPr>
        <w:t>a</w:t>
      </w:r>
      <w:r w:rsidRPr="00A35AD2">
        <w:rPr>
          <w:rFonts w:ascii="Arial" w:eastAsia="Times New Roman" w:hAnsi="Arial" w:cs="Times New Roman"/>
        </w:rPr>
        <w:t xml:space="preserve"> response is reviewable by ESMA’s Board of Appeal and the European Ombudsman.</w:t>
      </w:r>
    </w:p>
    <w:p w14:paraId="279CDB98" w14:textId="77777777" w:rsidR="00A35AD2" w:rsidRPr="00A35AD2" w:rsidRDefault="00A35AD2" w:rsidP="00A35AD2">
      <w:pPr>
        <w:rPr>
          <w:rFonts w:ascii="Arial" w:eastAsia="Times New Roman" w:hAnsi="Arial" w:cs="Times New Roman"/>
          <w:b/>
        </w:rPr>
      </w:pPr>
      <w:r w:rsidRPr="00A35AD2">
        <w:rPr>
          <w:rFonts w:ascii="Arial" w:eastAsia="Times New Roman" w:hAnsi="Arial" w:cs="Times New Roman"/>
          <w:b/>
        </w:rPr>
        <w:t>Data protection</w:t>
      </w:r>
    </w:p>
    <w:p w14:paraId="47A124BE" w14:textId="77777777" w:rsidR="00A35AD2" w:rsidRPr="00A35AD2" w:rsidRDefault="00A35AD2" w:rsidP="00A35AD2">
      <w:pPr>
        <w:rPr>
          <w:rFonts w:ascii="Arial" w:eastAsia="Times New Roman" w:hAnsi="Arial" w:cs="Times New Roman"/>
        </w:rPr>
      </w:pPr>
      <w:r w:rsidRPr="00A35AD2">
        <w:rPr>
          <w:rFonts w:ascii="Arial" w:eastAsia="Times New Roman" w:hAnsi="Arial" w:cs="Times New Roman"/>
        </w:rPr>
        <w:t xml:space="preserve">Information on data protection can be found at </w:t>
      </w:r>
      <w:hyperlink r:id="rId16" w:history="1">
        <w:r w:rsidRPr="00A35AD2">
          <w:rPr>
            <w:rFonts w:ascii="Arial" w:eastAsia="Times New Roman" w:hAnsi="Arial" w:cs="Times New Roman"/>
            <w:color w:val="0563C1"/>
            <w:u w:val="single"/>
          </w:rPr>
          <w:t>www.esma.europa.eu</w:t>
        </w:r>
      </w:hyperlink>
      <w:r w:rsidRPr="00A35AD2">
        <w:rPr>
          <w:rFonts w:ascii="Arial" w:eastAsia="Times New Roman" w:hAnsi="Arial" w:cs="Times New Roman"/>
        </w:rPr>
        <w:t xml:space="preserve"> under the heading </w:t>
      </w:r>
      <w:hyperlink r:id="rId17" w:history="1">
        <w:r w:rsidRPr="00A35AD2">
          <w:rPr>
            <w:rFonts w:ascii="Arial" w:eastAsia="Times New Roman" w:hAnsi="Arial" w:cs="Times New Roman"/>
            <w:color w:val="0563C1"/>
            <w:u w:val="single"/>
          </w:rPr>
          <w:t>Legal Notice</w:t>
        </w:r>
      </w:hyperlink>
      <w:r w:rsidRPr="00A35AD2">
        <w:rPr>
          <w:rFonts w:ascii="Arial" w:eastAsia="Times New Roman" w:hAnsi="Arial" w:cs="Times New Roman"/>
        </w:rPr>
        <w:t>.</w:t>
      </w:r>
    </w:p>
    <w:p w14:paraId="0C0B74A7" w14:textId="1A367F20" w:rsidR="00A35AD2" w:rsidRPr="00A35AD2" w:rsidRDefault="00A35AD2" w:rsidP="00A35AD2">
      <w:pPr>
        <w:rPr>
          <w:rFonts w:ascii="Arial" w:eastAsia="Times New Roman" w:hAnsi="Arial" w:cs="Times New Roman"/>
          <w:b/>
        </w:rPr>
      </w:pPr>
      <w:r w:rsidRPr="00A35AD2">
        <w:rPr>
          <w:rFonts w:ascii="Arial" w:eastAsia="Times New Roman" w:hAnsi="Arial" w:cs="Times New Roman"/>
          <w:b/>
        </w:rPr>
        <w:t xml:space="preserve">Who should </w:t>
      </w:r>
      <w:r w:rsidR="00AC523D">
        <w:rPr>
          <w:rFonts w:ascii="Arial" w:eastAsia="Times New Roman" w:hAnsi="Arial" w:cs="Times New Roman"/>
          <w:b/>
        </w:rPr>
        <w:t>respond to the consultation paper</w:t>
      </w:r>
    </w:p>
    <w:p w14:paraId="2E86E62A" w14:textId="77777777" w:rsidR="00A35AD2" w:rsidRPr="00A35AD2" w:rsidRDefault="00A35AD2" w:rsidP="00A35AD2">
      <w:pPr>
        <w:rPr>
          <w:rFonts w:ascii="Arial" w:eastAsia="Times New Roman" w:hAnsi="Arial" w:cs="Times New Roman"/>
        </w:rPr>
      </w:pPr>
      <w:r w:rsidRPr="00A35AD2">
        <w:rPr>
          <w:rFonts w:ascii="Arial" w:eastAsia="Times New Roman" w:hAnsi="Arial" w:cs="Times New Roman"/>
        </w:rPr>
        <w:t>Credit Rating Agencies (CRAs) issuing or endorsing credit ratings for use in the EU and their auditors, CRAs certifying credit ratings for use in the EU, firms considering registration as Credit Rating Agencies or firms applying for certification status. This Consultation Paper may also be of interest to trade associations representing CRAs and users of credit ratings.</w:t>
      </w:r>
    </w:p>
    <w:p w14:paraId="08389547" w14:textId="77777777" w:rsidR="00A35AD2" w:rsidRPr="00A35AD2" w:rsidRDefault="00A35AD2" w:rsidP="00A35AD2">
      <w:pPr>
        <w:spacing w:after="120" w:line="264" w:lineRule="auto"/>
        <w:rPr>
          <w:rFonts w:ascii="Arial" w:eastAsia="Times New Roman" w:hAnsi="Arial" w:cs="Times New Roman"/>
        </w:rPr>
        <w:sectPr w:rsidR="00A35AD2" w:rsidRPr="00A35AD2" w:rsidSect="00930295">
          <w:headerReference w:type="default" r:id="rId18"/>
          <w:footerReference w:type="default" r:id="rId19"/>
          <w:headerReference w:type="first" r:id="rId20"/>
          <w:pgSz w:w="11906" w:h="16838"/>
          <w:pgMar w:top="1417" w:right="1417" w:bottom="1417" w:left="1417" w:header="708" w:footer="708" w:gutter="0"/>
          <w:pgNumType w:start="2"/>
          <w:cols w:space="708"/>
          <w:docGrid w:linePitch="360"/>
        </w:sectPr>
      </w:pPr>
    </w:p>
    <w:p w14:paraId="76DCDFEA" w14:textId="77777777" w:rsidR="00A35AD2" w:rsidRPr="00346AB7" w:rsidRDefault="00A35AD2" w:rsidP="00A35AD2">
      <w:pPr>
        <w:spacing w:after="120" w:line="264" w:lineRule="auto"/>
        <w:rPr>
          <w:rFonts w:ascii="Arial" w:eastAsia="Times New Roman" w:hAnsi="Arial" w:cs="Arial"/>
        </w:rPr>
      </w:pPr>
    </w:p>
    <w:p w14:paraId="12870E38" w14:textId="77777777" w:rsidR="00A35AD2" w:rsidRPr="00A35AD2" w:rsidRDefault="00A35AD2" w:rsidP="00A35AD2">
      <w:pPr>
        <w:spacing w:after="120" w:line="264" w:lineRule="auto"/>
        <w:rPr>
          <w:rFonts w:ascii="Arial" w:eastAsia="Times New Roman" w:hAnsi="Arial" w:cs="Times New Roman"/>
        </w:rPr>
      </w:pPr>
    </w:p>
    <w:p w14:paraId="5C3EDE5E" w14:textId="77777777" w:rsidR="00AC523D" w:rsidRPr="00AC523D" w:rsidRDefault="00AC523D" w:rsidP="00AC523D">
      <w:pPr>
        <w:keepNext/>
        <w:keepLines/>
        <w:spacing w:before="320"/>
        <w:outlineLvl w:val="0"/>
        <w:rPr>
          <w:rFonts w:ascii="Arial" w:eastAsia="Times New Roman" w:hAnsi="Arial" w:cs="Times New Roman"/>
          <w:b/>
          <w:sz w:val="32"/>
          <w:szCs w:val="32"/>
        </w:rPr>
      </w:pPr>
      <w:bookmarkStart w:id="0" w:name="_Toc61370895"/>
      <w:r w:rsidRPr="00AC523D">
        <w:rPr>
          <w:rFonts w:ascii="Arial" w:eastAsia="Times New Roman" w:hAnsi="Arial" w:cs="Times New Roman"/>
          <w:b/>
          <w:sz w:val="32"/>
          <w:szCs w:val="32"/>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AC523D" w:rsidRPr="00C85C8B" w14:paraId="3F3C093C" w14:textId="77777777" w:rsidTr="00666C36">
        <w:tc>
          <w:tcPr>
            <w:tcW w:w="3929" w:type="dxa"/>
            <w:shd w:val="clear" w:color="auto" w:fill="auto"/>
          </w:tcPr>
          <w:p w14:paraId="72E59370" w14:textId="56895E6F" w:rsidR="00AC523D" w:rsidRPr="00C85C8B" w:rsidRDefault="00AC523D" w:rsidP="00666C36">
            <w:pPr>
              <w:rPr>
                <w:rFonts w:ascii="Arial" w:hAnsi="Arial" w:cs="Arial"/>
                <w:lang w:eastAsia="de-DE"/>
              </w:rPr>
            </w:pPr>
            <w:permStart w:id="1617586445" w:edGrp="everyone" w:colFirst="1" w:colLast="1"/>
            <w:r w:rsidRPr="00C85C8B">
              <w:rPr>
                <w:rFonts w:ascii="Arial" w:hAnsi="Arial" w:cs="Arial"/>
                <w:lang w:eastAsia="de-DE"/>
              </w:rPr>
              <w:t>Name of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6C5620FA" w14:textId="0928395C" w:rsidR="00AC523D" w:rsidRPr="00C85C8B" w:rsidRDefault="00554B51" w:rsidP="00666C36">
                <w:pPr>
                  <w:rPr>
                    <w:rFonts w:ascii="Arial" w:hAnsi="Arial" w:cs="Arial"/>
                    <w:color w:val="808080"/>
                    <w:sz w:val="20"/>
                    <w:lang w:eastAsia="de-DE"/>
                  </w:rPr>
                </w:pPr>
                <w:r>
                  <w:rPr>
                    <w:rFonts w:ascii="Arial" w:hAnsi="Arial" w:cs="Arial"/>
                    <w:color w:val="808080"/>
                    <w:sz w:val="20"/>
                    <w:lang w:eastAsia="de-DE"/>
                  </w:rPr>
                  <w:t>European Association of Credit Rating Agencies (EACRA)</w:t>
                </w:r>
              </w:p>
            </w:tc>
          </w:sdtContent>
        </w:sdt>
      </w:tr>
      <w:tr w:rsidR="00AC523D" w:rsidRPr="00C85C8B" w14:paraId="55B52373" w14:textId="77777777" w:rsidTr="00666C36">
        <w:tc>
          <w:tcPr>
            <w:tcW w:w="3929" w:type="dxa"/>
            <w:shd w:val="clear" w:color="auto" w:fill="auto"/>
          </w:tcPr>
          <w:p w14:paraId="7D3B2AB8" w14:textId="77777777" w:rsidR="00AC523D" w:rsidRPr="00C85C8B" w:rsidRDefault="00AC523D" w:rsidP="00666C36">
            <w:pPr>
              <w:rPr>
                <w:rFonts w:ascii="Arial" w:hAnsi="Arial" w:cs="Arial"/>
                <w:lang w:eastAsia="de-DE"/>
              </w:rPr>
            </w:pPr>
            <w:permStart w:id="1769503361" w:edGrp="everyone" w:colFirst="1" w:colLast="1"/>
            <w:permEnd w:id="1617586445"/>
            <w:r w:rsidRPr="00C85C8B">
              <w:rPr>
                <w:rFonts w:ascii="Arial" w:hAnsi="Arial" w:cs="Arial"/>
                <w:lang w:eastAsia="de-DE"/>
              </w:rPr>
              <w:t>Activity</w:t>
            </w:r>
          </w:p>
        </w:tc>
        <w:tc>
          <w:tcPr>
            <w:tcW w:w="5595" w:type="dxa"/>
            <w:shd w:val="clear" w:color="auto" w:fill="auto"/>
          </w:tcPr>
          <w:p w14:paraId="61E2D292" w14:textId="2EE7ECE7" w:rsidR="00AC523D" w:rsidRPr="00C85C8B" w:rsidRDefault="00327C30" w:rsidP="00666C36">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554B51">
                  <w:rPr>
                    <w:rFonts w:ascii="Arial" w:hAnsi="Arial" w:cs="Arial"/>
                    <w:sz w:val="20"/>
                    <w:lang w:eastAsia="de-DE"/>
                  </w:rPr>
                  <w:t>Other Financial service providers</w:t>
                </w:r>
              </w:sdtContent>
            </w:sdt>
          </w:p>
        </w:tc>
      </w:tr>
      <w:tr w:rsidR="00AC523D" w:rsidRPr="00C85C8B" w14:paraId="4198EEB9" w14:textId="77777777" w:rsidTr="00666C36">
        <w:tc>
          <w:tcPr>
            <w:tcW w:w="3929" w:type="dxa"/>
            <w:shd w:val="clear" w:color="auto" w:fill="auto"/>
          </w:tcPr>
          <w:p w14:paraId="211DC8A6" w14:textId="77777777" w:rsidR="00AC523D" w:rsidRPr="00C85C8B" w:rsidRDefault="00AC523D" w:rsidP="00666C36">
            <w:pPr>
              <w:rPr>
                <w:rFonts w:ascii="Arial" w:hAnsi="Arial" w:cs="Arial"/>
                <w:lang w:eastAsia="de-DE"/>
              </w:rPr>
            </w:pPr>
            <w:permStart w:id="1664836910" w:edGrp="everyone" w:colFirst="1" w:colLast="1"/>
            <w:permEnd w:id="1769503361"/>
            <w:r w:rsidRPr="00C85C8B">
              <w:rPr>
                <w:rFonts w:ascii="Arial" w:hAnsi="Arial" w:cs="Arial"/>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0EA741EE" w14:textId="1AB22CE3" w:rsidR="00AC523D" w:rsidRPr="00C85C8B" w:rsidRDefault="00554B51" w:rsidP="00666C36">
                <w:pPr>
                  <w:rPr>
                    <w:rFonts w:ascii="Arial" w:hAnsi="Arial" w:cs="Arial"/>
                    <w:sz w:val="20"/>
                    <w:lang w:eastAsia="de-DE"/>
                  </w:rPr>
                </w:pPr>
                <w:r>
                  <w:rPr>
                    <w:rFonts w:ascii="MS Gothic" w:eastAsia="MS Gothic" w:hAnsi="MS Gothic" w:cs="Arial" w:hint="eastAsia"/>
                    <w:sz w:val="20"/>
                    <w:lang w:eastAsia="de-DE"/>
                  </w:rPr>
                  <w:t>☒</w:t>
                </w:r>
              </w:p>
            </w:tc>
          </w:sdtContent>
        </w:sdt>
      </w:tr>
      <w:tr w:rsidR="00AC523D" w:rsidRPr="00C85C8B" w14:paraId="1C6E913D" w14:textId="77777777" w:rsidTr="00666C36">
        <w:tc>
          <w:tcPr>
            <w:tcW w:w="3929" w:type="dxa"/>
            <w:shd w:val="clear" w:color="auto" w:fill="auto"/>
          </w:tcPr>
          <w:p w14:paraId="230B0FF1" w14:textId="77777777" w:rsidR="00AC523D" w:rsidRPr="00C85C8B" w:rsidRDefault="00AC523D" w:rsidP="00666C36">
            <w:pPr>
              <w:rPr>
                <w:rFonts w:ascii="Arial" w:hAnsi="Arial" w:cs="Arial"/>
                <w:lang w:eastAsia="de-DE"/>
              </w:rPr>
            </w:pPr>
            <w:permStart w:id="1674714279" w:edGrp="everyone" w:colFirst="1" w:colLast="1"/>
            <w:permEnd w:id="1664836910"/>
            <w:r w:rsidRPr="00C85C8B">
              <w:rPr>
                <w:rFonts w:ascii="Arial" w:hAnsi="Arial" w:cs="Arial"/>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7A6F5721" w14:textId="7B2A3A62" w:rsidR="00AC523D" w:rsidRPr="00C85C8B" w:rsidRDefault="00554B51" w:rsidP="00666C36">
                <w:pPr>
                  <w:rPr>
                    <w:rFonts w:ascii="Arial" w:hAnsi="Arial" w:cs="Arial"/>
                    <w:sz w:val="20"/>
                    <w:lang w:eastAsia="de-DE"/>
                  </w:rPr>
                </w:pPr>
                <w:r>
                  <w:rPr>
                    <w:rFonts w:ascii="Arial" w:hAnsi="Arial" w:cs="Arial"/>
                    <w:sz w:val="20"/>
                    <w:lang w:eastAsia="de-DE"/>
                  </w:rPr>
                  <w:t>France</w:t>
                </w:r>
              </w:p>
            </w:tc>
          </w:sdtContent>
        </w:sdt>
      </w:tr>
      <w:permEnd w:id="1674714279"/>
    </w:tbl>
    <w:p w14:paraId="58C69B90" w14:textId="77777777" w:rsidR="00AC523D" w:rsidRPr="00C85C8B" w:rsidRDefault="00AC523D" w:rsidP="00AC523D">
      <w:pPr>
        <w:spacing w:after="120" w:line="264" w:lineRule="auto"/>
      </w:pPr>
    </w:p>
    <w:p w14:paraId="564ACB50" w14:textId="77777777" w:rsidR="00AC523D" w:rsidRPr="00C85C8B" w:rsidRDefault="00AC523D" w:rsidP="00AC523D">
      <w:pPr>
        <w:spacing w:after="120" w:line="264" w:lineRule="auto"/>
      </w:pPr>
    </w:p>
    <w:bookmarkEnd w:id="0"/>
    <w:p w14:paraId="35DB09E8" w14:textId="77777777" w:rsidR="00AC523D" w:rsidRDefault="00AC523D" w:rsidP="00767093">
      <w:pPr>
        <w:keepNext/>
        <w:keepLines/>
        <w:spacing w:before="320"/>
        <w:outlineLvl w:val="0"/>
        <w:rPr>
          <w:rFonts w:ascii="Arial" w:eastAsia="Times New Roman" w:hAnsi="Arial" w:cs="Times New Roman"/>
          <w:b/>
          <w:sz w:val="32"/>
          <w:szCs w:val="32"/>
        </w:rPr>
      </w:pPr>
      <w:r>
        <w:rPr>
          <w:rFonts w:ascii="Arial" w:eastAsia="Times New Roman" w:hAnsi="Arial" w:cs="Times New Roman"/>
          <w:b/>
          <w:sz w:val="32"/>
          <w:szCs w:val="32"/>
        </w:rPr>
        <w:t>Introductory comments</w:t>
      </w:r>
    </w:p>
    <w:p w14:paraId="4AACC84B" w14:textId="14B3EA79" w:rsidR="00AC523D" w:rsidRDefault="00AC523D" w:rsidP="00AC523D">
      <w:pPr>
        <w:rPr>
          <w:rFonts w:ascii="Arial" w:eastAsia="Times New Roman" w:hAnsi="Arial" w:cs="Times New Roman"/>
          <w:b/>
        </w:rPr>
      </w:pPr>
      <w:r w:rsidRPr="00AC523D">
        <w:rPr>
          <w:rFonts w:ascii="Arial" w:eastAsia="Times New Roman" w:hAnsi="Arial" w:cs="Times New Roman"/>
          <w:b/>
        </w:rPr>
        <w:t xml:space="preserve">Please </w:t>
      </w:r>
      <w:r w:rsidR="002E2C8E">
        <w:rPr>
          <w:rFonts w:ascii="Arial" w:eastAsia="Times New Roman" w:hAnsi="Arial" w:cs="Times New Roman"/>
          <w:b/>
        </w:rPr>
        <w:t>use this space to provide any relevant introductory comments:</w:t>
      </w:r>
    </w:p>
    <w:p w14:paraId="32CD97A9" w14:textId="006DECC9" w:rsidR="002E2C8E" w:rsidRPr="002E2C8E" w:rsidRDefault="002E2C8E" w:rsidP="00AC523D">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Qi</w:t>
      </w:r>
      <w:r w:rsidRPr="00C85C8B">
        <w:t>&gt;</w:t>
      </w:r>
    </w:p>
    <w:p w14:paraId="5BE421E6" w14:textId="77777777" w:rsidR="00554B51" w:rsidRDefault="00554B51" w:rsidP="00554B51">
      <w:r>
        <w:t>With reference to your Consultation Paper on “Fees charged to CRAs by ESMA”</w:t>
      </w:r>
      <w:r>
        <w:rPr>
          <w:rStyle w:val="Funotenzeichen"/>
        </w:rPr>
        <w:footnoteReference w:id="2"/>
      </w:r>
      <w:r>
        <w:t xml:space="preserve"> dated 29 January 2021, we are pleased to hereby provide the views of our association.</w:t>
      </w:r>
    </w:p>
    <w:p w14:paraId="59F56732" w14:textId="77777777" w:rsidR="00554B51" w:rsidRDefault="00554B51" w:rsidP="00554B51">
      <w:r>
        <w:t xml:space="preserve">ESMA proposes </w:t>
      </w:r>
      <w:proofErr w:type="gramStart"/>
      <w:r>
        <w:t>a number of</w:t>
      </w:r>
      <w:proofErr w:type="gramEnd"/>
      <w:r>
        <w:t xml:space="preserve"> changes to the current Delegated Regulation on CRA Supervisory fees</w:t>
      </w:r>
      <w:r>
        <w:rPr>
          <w:rStyle w:val="Funotenzeichen"/>
        </w:rPr>
        <w:footnoteReference w:id="3"/>
      </w:r>
      <w:r>
        <w:t xml:space="preserve">, the key elements being 1) the introduction of a flat annual supervisory of EUR 20.000 for CRAs with a turnover between EUR 1 and 10 </w:t>
      </w:r>
      <w:proofErr w:type="spellStart"/>
      <w:r>
        <w:t>mln</w:t>
      </w:r>
      <w:proofErr w:type="spellEnd"/>
      <w:r>
        <w:t>, 2) the calculation of fees based on total turnover and 3) the introduction of an endorsement fee. You shall find our detailed responses to these proposals in Question 5, 6 and 7 below.</w:t>
      </w:r>
    </w:p>
    <w:p w14:paraId="3684BF8F" w14:textId="77777777" w:rsidR="00554B51" w:rsidRDefault="00554B51" w:rsidP="00554B51">
      <w:r>
        <w:t xml:space="preserve">We have assessed ESMA CRA Supervisory fees proposal against the transparency reports of ESMA registered CRAs for 2018 covering the EU 28 at that time. We retained from using data for 2019, as several new entities were registered ahead of Brexit with still limited operations. </w:t>
      </w:r>
    </w:p>
    <w:p w14:paraId="1DB594FD" w14:textId="77777777" w:rsidR="00554B51" w:rsidRDefault="00554B51" w:rsidP="00554B51">
      <w:pPr>
        <w:jc w:val="center"/>
      </w:pPr>
      <w:r>
        <w:rPr>
          <w:noProof/>
        </w:rPr>
        <w:lastRenderedPageBreak/>
        <w:drawing>
          <wp:inline distT="0" distB="0" distL="0" distR="0" wp14:anchorId="0A066660" wp14:editId="32921AD6">
            <wp:extent cx="5153025" cy="3306979"/>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6334" cy="3328355"/>
                    </a:xfrm>
                    <a:prstGeom prst="rect">
                      <a:avLst/>
                    </a:prstGeom>
                  </pic:spPr>
                </pic:pic>
              </a:graphicData>
            </a:graphic>
          </wp:inline>
        </w:drawing>
      </w:r>
    </w:p>
    <w:p w14:paraId="5A215EB0" w14:textId="77777777" w:rsidR="00554B51" w:rsidRDefault="00554B51" w:rsidP="00554B51">
      <w:r>
        <w:t xml:space="preserve">Based on our analysis, we estimate that the new revenue categories (flat supervisory fee on small agencies and endorsement fee) will contribute together only 5% to ESMA CRA Supervisory Budget. While the annual supervisory fee on small agencies is disproportionately high, the proposed endorsement fees are far too low compared to the role of endorsed ratings. </w:t>
      </w:r>
    </w:p>
    <w:p w14:paraId="4D3A694B" w14:textId="77777777" w:rsidR="00554B51" w:rsidRDefault="00554B51" w:rsidP="00554B51">
      <w:r>
        <w:t xml:space="preserve">We believe that the current approach to CRA supervisory fees has worked – overall - properly well, except for two important elements: </w:t>
      </w:r>
    </w:p>
    <w:p w14:paraId="54E6368A" w14:textId="77777777" w:rsidR="00554B51" w:rsidRDefault="00554B51" w:rsidP="00554B51">
      <w:pPr>
        <w:pStyle w:val="Listenabsatz"/>
        <w:numPr>
          <w:ilvl w:val="0"/>
          <w:numId w:val="56"/>
        </w:numPr>
        <w:tabs>
          <w:tab w:val="clear" w:pos="0"/>
          <w:tab w:val="clear" w:pos="142"/>
        </w:tabs>
        <w:autoSpaceDE/>
        <w:autoSpaceDN/>
        <w:adjustRightInd/>
        <w:spacing w:after="160" w:line="259" w:lineRule="auto"/>
        <w:contextualSpacing/>
        <w:jc w:val="left"/>
        <w:rPr>
          <w:lang w:val="en-GB"/>
        </w:rPr>
      </w:pPr>
      <w:r>
        <w:rPr>
          <w:lang w:val="en-GB"/>
        </w:rPr>
        <w:t>ESMA expects to receive audited annual accounts for the purpose of the CRA Supervisory Fees calculation. We note that some CRAs are not required to audit their accounts under Member States tax laws – these CRAs undergo costs of approx. EUR 6.000 solely to meet ESMAs formal requirements with the result that the concerned CRAs are thereafter exempted from paying supervisory fees!</w:t>
      </w:r>
    </w:p>
    <w:p w14:paraId="1EC7333D" w14:textId="77777777" w:rsidR="00554B51" w:rsidRDefault="00554B51" w:rsidP="00554B51">
      <w:pPr>
        <w:pStyle w:val="Listenabsatz"/>
        <w:numPr>
          <w:ilvl w:val="0"/>
          <w:numId w:val="56"/>
        </w:numPr>
        <w:tabs>
          <w:tab w:val="clear" w:pos="0"/>
          <w:tab w:val="clear" w:pos="142"/>
        </w:tabs>
        <w:autoSpaceDE/>
        <w:autoSpaceDN/>
        <w:adjustRightInd/>
        <w:spacing w:after="160" w:line="259" w:lineRule="auto"/>
        <w:contextualSpacing/>
        <w:jc w:val="left"/>
        <w:rPr>
          <w:lang w:val="en-GB"/>
        </w:rPr>
      </w:pPr>
      <w:r>
        <w:rPr>
          <w:lang w:val="en-GB"/>
        </w:rPr>
        <w:t xml:space="preserve">While the current Delegated Regulation includes a threshold of EUR 10 </w:t>
      </w:r>
      <w:proofErr w:type="spellStart"/>
      <w:r>
        <w:rPr>
          <w:lang w:val="en-GB"/>
        </w:rPr>
        <w:t>mln</w:t>
      </w:r>
      <w:proofErr w:type="spellEnd"/>
      <w:r>
        <w:rPr>
          <w:lang w:val="en-GB"/>
        </w:rPr>
        <w:t xml:space="preserve"> of total turnover before CRA Supervisory Fees are due, the threshold marks a cliff edge as thereafter the CRAs are subject to contribute in full to ESMA CRA Supervisory Fee budget. Whatever threshold is being </w:t>
      </w:r>
      <w:proofErr w:type="gramStart"/>
      <w:r>
        <w:rPr>
          <w:lang w:val="en-GB"/>
        </w:rPr>
        <w:t>defined and retained,</w:t>
      </w:r>
      <w:proofErr w:type="gramEnd"/>
      <w:r>
        <w:rPr>
          <w:lang w:val="en-GB"/>
        </w:rPr>
        <w:t xml:space="preserve"> we strongly recommend that this threshold is being excluded from the “applicable turnover” in order to smoothen the cliff. </w:t>
      </w:r>
    </w:p>
    <w:p w14:paraId="5B055C3D" w14:textId="77777777" w:rsidR="00554B51" w:rsidRDefault="00554B51" w:rsidP="00554B51">
      <w:r>
        <w:rPr>
          <w:noProof/>
        </w:rPr>
        <w:lastRenderedPageBreak/>
        <w:drawing>
          <wp:inline distT="0" distB="0" distL="0" distR="0" wp14:anchorId="2A1C52CB" wp14:editId="1BA1016D">
            <wp:extent cx="5760720" cy="376301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763010"/>
                    </a:xfrm>
                    <a:prstGeom prst="rect">
                      <a:avLst/>
                    </a:prstGeom>
                  </pic:spPr>
                </pic:pic>
              </a:graphicData>
            </a:graphic>
          </wp:inline>
        </w:drawing>
      </w:r>
      <w:proofErr w:type="gramStart"/>
      <w:r>
        <w:t>Last but not least</w:t>
      </w:r>
      <w:proofErr w:type="gramEnd"/>
      <w:r>
        <w:t xml:space="preserve">, let us express our concern with ESMA CRA Supervisory Budget on CRAs. While ESMAs budget averaged EUR 5,5 </w:t>
      </w:r>
      <w:proofErr w:type="spellStart"/>
      <w:r>
        <w:t>mln</w:t>
      </w:r>
      <w:proofErr w:type="spellEnd"/>
      <w:r>
        <w:t xml:space="preserve"> per year for 2013 and 2014, followed by average annual fees of EUR 8,7 </w:t>
      </w:r>
      <w:proofErr w:type="spellStart"/>
      <w:r>
        <w:t>mln</w:t>
      </w:r>
      <w:proofErr w:type="spellEnd"/>
      <w:r>
        <w:t xml:space="preserve"> for 2015 to 2019 reflecting the entry into force of CRA III and additional supervisory tasks for ESMA, ESMA budget of EUR 10,5 </w:t>
      </w:r>
      <w:proofErr w:type="spellStart"/>
      <w:r>
        <w:t>mln</w:t>
      </w:r>
      <w:proofErr w:type="spellEnd"/>
      <w:r>
        <w:t xml:space="preserve"> for 2021</w:t>
      </w:r>
      <w:r>
        <w:rPr>
          <w:rStyle w:val="Funotenzeichen"/>
        </w:rPr>
        <w:footnoteReference w:id="4"/>
      </w:r>
      <w:r>
        <w:t xml:space="preserve"> is </w:t>
      </w:r>
      <w:r w:rsidRPr="009D56FA">
        <w:t>an unexplained, worrisome increase</w:t>
      </w:r>
      <w:r>
        <w:t>.</w:t>
      </w:r>
    </w:p>
    <w:p w14:paraId="77B06906" w14:textId="77777777" w:rsidR="00554B51" w:rsidRDefault="00554B51" w:rsidP="00554B51">
      <w:r>
        <w:rPr>
          <w:noProof/>
        </w:rPr>
        <w:lastRenderedPageBreak/>
        <w:drawing>
          <wp:inline distT="0" distB="0" distL="0" distR="0" wp14:anchorId="0AC0779C" wp14:editId="14B95A51">
            <wp:extent cx="5302155" cy="31665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7835" cy="3175929"/>
                    </a:xfrm>
                    <a:prstGeom prst="rect">
                      <a:avLst/>
                    </a:prstGeom>
                  </pic:spPr>
                </pic:pic>
              </a:graphicData>
            </a:graphic>
          </wp:inline>
        </w:drawing>
      </w:r>
      <w:r>
        <w:t xml:space="preserve"> </w:t>
      </w:r>
    </w:p>
    <w:p w14:paraId="45B9F55A" w14:textId="77777777" w:rsidR="00554B51" w:rsidRDefault="00554B51" w:rsidP="00554B51">
      <w:r>
        <w:t>In view of the UKs final Withdrawal from the EU and that approx. 50% of the Dominant CRAs</w:t>
      </w:r>
      <w:r>
        <w:rPr>
          <w:rStyle w:val="Funotenzeichen"/>
        </w:rPr>
        <w:footnoteReference w:id="5"/>
      </w:r>
      <w:r>
        <w:t xml:space="preserve"> applicable turnover for the calculation of supervisory contributions has fallen outside of ESMA merit, we are particularly concerned as European agencies paying supervisory fees to ESMA currently will see their contributions probably doubled. We recommend that ESMA reviews its CRA Supervisory Budget </w:t>
      </w:r>
      <w:proofErr w:type="gramStart"/>
      <w:r>
        <w:t>in order to</w:t>
      </w:r>
      <w:proofErr w:type="gramEnd"/>
      <w:r>
        <w:t xml:space="preserve"> reflect the new environment.</w:t>
      </w:r>
    </w:p>
    <w:p w14:paraId="16A82813" w14:textId="5DF6B5D5" w:rsidR="00AC523D" w:rsidRPr="00C85C8B" w:rsidRDefault="00AC523D" w:rsidP="00AC523D">
      <w:r w:rsidRPr="00C85C8B">
        <w:t>&lt;ESMA_</w:t>
      </w:r>
      <w:r w:rsidRPr="00AC523D">
        <w:rPr>
          <w:rFonts w:eastAsia="Times New Roman"/>
        </w:rPr>
        <w:t xml:space="preserve"> </w:t>
      </w:r>
      <w:proofErr w:type="spellStart"/>
      <w:r w:rsidRPr="00934C4B">
        <w:rPr>
          <w:rFonts w:eastAsia="Times New Roman"/>
        </w:rPr>
        <w:t>QUESTION_</w:t>
      </w:r>
      <w:r>
        <w:t>CRAFees</w:t>
      </w:r>
      <w:r w:rsidRPr="00934C4B">
        <w:rPr>
          <w:rFonts w:eastAsia="Times New Roman"/>
        </w:rPr>
        <w:t>_</w:t>
      </w:r>
      <w:r w:rsidR="00767093">
        <w:rPr>
          <w:rFonts w:eastAsia="Times New Roman"/>
        </w:rPr>
        <w:t>Qi</w:t>
      </w:r>
      <w:proofErr w:type="spellEnd"/>
      <w:r w:rsidRPr="00C85C8B">
        <w:t>&gt;</w:t>
      </w:r>
    </w:p>
    <w:p w14:paraId="786C1E62" w14:textId="77777777" w:rsidR="00AC523D" w:rsidRPr="00AC523D" w:rsidRDefault="00AC523D" w:rsidP="00AC523D">
      <w:pPr>
        <w:keepNext/>
        <w:keepLines/>
        <w:numPr>
          <w:ilvl w:val="0"/>
          <w:numId w:val="2"/>
        </w:numPr>
        <w:spacing w:before="320"/>
        <w:ind w:left="567" w:hanging="567"/>
        <w:outlineLvl w:val="0"/>
        <w:rPr>
          <w:rFonts w:ascii="Arial" w:eastAsia="Times New Roman" w:hAnsi="Arial" w:cs="Times New Roman"/>
          <w:b/>
          <w:sz w:val="32"/>
          <w:szCs w:val="32"/>
        </w:rPr>
      </w:pPr>
      <w:r w:rsidRPr="00AC523D">
        <w:rPr>
          <w:rFonts w:ascii="Arial" w:eastAsia="Times New Roman" w:hAnsi="Arial" w:cs="Times New Roman"/>
          <w:b/>
          <w:sz w:val="32"/>
          <w:szCs w:val="32"/>
        </w:rPr>
        <w:t>Changes to general budgetary approach</w:t>
      </w:r>
    </w:p>
    <w:p w14:paraId="66D6A046" w14:textId="7C2FD75B"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 xml:space="preserve">Q1: Do you agree with the proposals to reflect ESMA’s general budgetary approach in the revised Fees Delegated Regulation? If not, please explain why not. </w:t>
      </w:r>
    </w:p>
    <w:p w14:paraId="59EF0F65" w14:textId="0F445DF6"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Q1</w:t>
      </w:r>
      <w:r w:rsidRPr="00C85C8B">
        <w:t>&gt;</w:t>
      </w:r>
    </w:p>
    <w:p w14:paraId="61189C8B" w14:textId="77777777" w:rsidR="00554B51" w:rsidRDefault="00554B51" w:rsidP="00554B51">
      <w:r>
        <w:t xml:space="preserve">We take note of ESMAs wish to modify the current approach to CRA Supervisory </w:t>
      </w:r>
      <w:proofErr w:type="gramStart"/>
      <w:r>
        <w:t>Fee’s</w:t>
      </w:r>
      <w:proofErr w:type="gramEnd"/>
      <w:r>
        <w:t xml:space="preserve"> where any surplus / deficit in a given year is refunded / charged to the CRAs the following year to align it with its “universal budgeting model” where any surpluses or deficits would be absorbed by the general ESMA budget. </w:t>
      </w:r>
    </w:p>
    <w:p w14:paraId="083A5A1D" w14:textId="77777777" w:rsidR="00554B51" w:rsidRDefault="00554B51" w:rsidP="00554B51">
      <w:r>
        <w:lastRenderedPageBreak/>
        <w:t xml:space="preserve">We highlight that ESMA new budgeting model is not universally applied across EU authorities. For instance, the ECB Banking Supervision uses the same approach as currently ESMA for CRAs. The ECB charges a total of EUR 603 </w:t>
      </w:r>
      <w:proofErr w:type="spellStart"/>
      <w:r>
        <w:t>mln</w:t>
      </w:r>
      <w:proofErr w:type="spellEnd"/>
      <w:r>
        <w:t xml:space="preserve"> for 2020 in supervisory fee, the large bulk being paid by significant institutions.</w:t>
      </w:r>
      <w:r>
        <w:rPr>
          <w:rStyle w:val="Funotenzeichen"/>
        </w:rPr>
        <w:footnoteReference w:id="6"/>
      </w:r>
    </w:p>
    <w:p w14:paraId="419FC74D" w14:textId="77777777" w:rsidR="00554B51" w:rsidRPr="00C56674" w:rsidRDefault="00554B51" w:rsidP="00554B51">
      <w:r>
        <w:t xml:space="preserve">According to ESMAs work plan for 2021, ESMA expects to collect a total of EUR 18,5 </w:t>
      </w:r>
      <w:proofErr w:type="spellStart"/>
      <w:r>
        <w:t>mln</w:t>
      </w:r>
      <w:proofErr w:type="spellEnd"/>
      <w:r>
        <w:t xml:space="preserve"> in supervisory fees from its supervised entities. CRAs are expected to pay EUR 10,5 </w:t>
      </w:r>
      <w:proofErr w:type="spellStart"/>
      <w:r>
        <w:t>mln</w:t>
      </w:r>
      <w:proofErr w:type="spellEnd"/>
      <w:r>
        <w:t xml:space="preserve"> or about 60% of all supervisory fees. If harmonisation of ESMAs approach to supervisory fee across all industries is really required, then other market segments should follow the main </w:t>
      </w:r>
      <w:proofErr w:type="gramStart"/>
      <w:r>
        <w:t>contributors</w:t>
      </w:r>
      <w:proofErr w:type="gramEnd"/>
      <w:r>
        <w:t xml:space="preserve"> benchmark. Additionally, CRAs are the oldest industry under ESMAs direct supervision. Finally, we believe that Benchmark Administrators (73 registered or recognized entities under different categories) as well as the Trade Repositories (4 being registered) industries are different to the CRA industry (with 30 registered or certified players) in terms of structure and revenues - a</w:t>
      </w:r>
      <w:r w:rsidRPr="00DA56C0">
        <w:t xml:space="preserve"> “one approach to all sectors” may therefore not correspond to the different industries.</w:t>
      </w:r>
    </w:p>
    <w:p w14:paraId="29ADBABA" w14:textId="77777777" w:rsidR="00554B51" w:rsidRDefault="00554B51" w:rsidP="00554B51">
      <w:r>
        <w:t xml:space="preserve">With respect to the proposal on annual fixed fees, we refer to our response in Question 5 below. </w:t>
      </w:r>
    </w:p>
    <w:p w14:paraId="6981CEAB" w14:textId="08E13EAD" w:rsidR="002E2C8E" w:rsidRPr="00C85C8B" w:rsidRDefault="00554B51" w:rsidP="00554B51">
      <w:r>
        <w:t xml:space="preserve">With respect to ESMAs wish to collect the whole supervisory fee in one instalment in March, we believe that this requirement creates an unnecessary liquidity peak for both, the supervised CRAs and ESMA. We therefore propose to keep the current 2 instalments. </w:t>
      </w:r>
      <w:r w:rsidR="002E2C8E" w:rsidRPr="00C85C8B">
        <w:t>&lt;ESMA_</w:t>
      </w:r>
      <w:r w:rsidR="002E2C8E" w:rsidRPr="00AC523D">
        <w:rPr>
          <w:rFonts w:eastAsia="Times New Roman"/>
        </w:rPr>
        <w:t xml:space="preserve"> </w:t>
      </w:r>
      <w:r w:rsidR="002E2C8E" w:rsidRPr="00934C4B">
        <w:rPr>
          <w:rFonts w:eastAsia="Times New Roman"/>
        </w:rPr>
        <w:t>QUESTION_</w:t>
      </w:r>
      <w:r w:rsidR="002E2C8E">
        <w:t>CRAFees</w:t>
      </w:r>
      <w:r w:rsidR="002E2C8E" w:rsidRPr="00934C4B">
        <w:rPr>
          <w:rFonts w:eastAsia="Times New Roman"/>
        </w:rPr>
        <w:t>_</w:t>
      </w:r>
      <w:r w:rsidR="002E2C8E">
        <w:rPr>
          <w:rFonts w:eastAsia="Times New Roman"/>
        </w:rPr>
        <w:t>Q1</w:t>
      </w:r>
      <w:r w:rsidR="002E2C8E" w:rsidRPr="00C85C8B">
        <w:t>&gt;</w:t>
      </w:r>
    </w:p>
    <w:p w14:paraId="5265BA5D" w14:textId="77777777" w:rsidR="00767093" w:rsidRPr="00A35AD2" w:rsidRDefault="00767093" w:rsidP="00AC523D">
      <w:pPr>
        <w:spacing w:afterLines="120" w:after="288"/>
        <w:rPr>
          <w:rFonts w:ascii="Arial" w:eastAsia="Times New Roman" w:hAnsi="Arial" w:cs="Times New Roman"/>
          <w:b/>
        </w:rPr>
      </w:pPr>
    </w:p>
    <w:p w14:paraId="52CF8774" w14:textId="77777777" w:rsidR="00AC523D" w:rsidRPr="00AC523D" w:rsidRDefault="00AC523D" w:rsidP="00AC523D">
      <w:pPr>
        <w:keepNext/>
        <w:keepLines/>
        <w:numPr>
          <w:ilvl w:val="0"/>
          <w:numId w:val="2"/>
        </w:numPr>
        <w:spacing w:before="320"/>
        <w:ind w:left="567" w:hanging="567"/>
        <w:outlineLvl w:val="0"/>
        <w:rPr>
          <w:rFonts w:ascii="Arial" w:eastAsia="Times New Roman" w:hAnsi="Arial" w:cs="Times New Roman"/>
          <w:b/>
          <w:sz w:val="32"/>
          <w:szCs w:val="32"/>
        </w:rPr>
      </w:pPr>
      <w:r w:rsidRPr="00AC523D">
        <w:rPr>
          <w:rFonts w:ascii="Arial" w:eastAsia="Times New Roman" w:hAnsi="Arial" w:cs="Times New Roman"/>
          <w:b/>
          <w:sz w:val="32"/>
          <w:szCs w:val="32"/>
        </w:rPr>
        <w:t>Registration fees</w:t>
      </w:r>
    </w:p>
    <w:p w14:paraId="7E8C47CD" w14:textId="4DF1CB81"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 xml:space="preserve">Q2: Do you agree with the proposed changes to registration fees? If not, please explain why not. </w:t>
      </w:r>
    </w:p>
    <w:p w14:paraId="057B4D7D" w14:textId="2DAA7AAB"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Q2</w:t>
      </w:r>
      <w:r w:rsidRPr="00C85C8B">
        <w:t>&gt;</w:t>
      </w:r>
    </w:p>
    <w:p w14:paraId="66587393" w14:textId="77777777" w:rsidR="002E2C8E" w:rsidRPr="00C85C8B" w:rsidRDefault="002E2C8E" w:rsidP="002E2C8E">
      <w:pPr>
        <w:rPr>
          <w:rFonts w:ascii="Arial" w:hAnsi="Arial" w:cs="Arial"/>
        </w:rPr>
      </w:pPr>
      <w:permStart w:id="2024014690" w:edGrp="everyone"/>
      <w:r w:rsidRPr="00C85C8B">
        <w:rPr>
          <w:rFonts w:ascii="Arial" w:hAnsi="Arial" w:cs="Arial"/>
        </w:rPr>
        <w:t>TYPE YOUR TEXT HERE</w:t>
      </w:r>
    </w:p>
    <w:permEnd w:id="2024014690"/>
    <w:p w14:paraId="6A56ACF6" w14:textId="67199B8F"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Q2</w:t>
      </w:r>
      <w:r w:rsidRPr="00C85C8B">
        <w:t>&gt;</w:t>
      </w:r>
    </w:p>
    <w:p w14:paraId="747E3A27" w14:textId="77777777" w:rsidR="00767093" w:rsidRPr="00767093" w:rsidRDefault="00767093" w:rsidP="00767093"/>
    <w:p w14:paraId="66AB7B6E" w14:textId="28649DEF"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lastRenderedPageBreak/>
        <w:t>Q3: Do you agree with the proposed changes to the reimbursement of registration fees? If not, please explain why not.</w:t>
      </w:r>
    </w:p>
    <w:p w14:paraId="1B78C3D0" w14:textId="69FCC9EC"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Q3</w:t>
      </w:r>
      <w:r w:rsidRPr="00C85C8B">
        <w:t>&gt;</w:t>
      </w:r>
    </w:p>
    <w:p w14:paraId="02FCB96A" w14:textId="77777777" w:rsidR="002E2C8E" w:rsidRPr="00C85C8B" w:rsidRDefault="002E2C8E" w:rsidP="002E2C8E">
      <w:pPr>
        <w:rPr>
          <w:rFonts w:ascii="Arial" w:hAnsi="Arial" w:cs="Arial"/>
        </w:rPr>
      </w:pPr>
      <w:permStart w:id="1114912846" w:edGrp="everyone"/>
      <w:r w:rsidRPr="00C85C8B">
        <w:rPr>
          <w:rFonts w:ascii="Arial" w:hAnsi="Arial" w:cs="Arial"/>
        </w:rPr>
        <w:t>TYPE YOUR TEXT HERE</w:t>
      </w:r>
    </w:p>
    <w:permEnd w:id="1114912846"/>
    <w:p w14:paraId="3461C97C" w14:textId="7436937C"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Q3</w:t>
      </w:r>
      <w:r w:rsidRPr="00C85C8B">
        <w:t>&gt;</w:t>
      </w:r>
    </w:p>
    <w:p w14:paraId="27171C8B" w14:textId="77777777" w:rsidR="00767093" w:rsidRPr="00767093" w:rsidRDefault="00767093" w:rsidP="00767093"/>
    <w:p w14:paraId="5BAB23D2" w14:textId="0310E36B"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Q4: Do you agree with the proposed changes to the calculation of initial supervisory fees for CRAs? If not, please explain why not.</w:t>
      </w:r>
    </w:p>
    <w:p w14:paraId="7FC2620A" w14:textId="331305A4"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Q4</w:t>
      </w:r>
      <w:r w:rsidRPr="00C85C8B">
        <w:t>&gt;</w:t>
      </w:r>
    </w:p>
    <w:p w14:paraId="5F38138A" w14:textId="77777777" w:rsidR="002E2C8E" w:rsidRPr="00C85C8B" w:rsidRDefault="002E2C8E" w:rsidP="002E2C8E">
      <w:pPr>
        <w:rPr>
          <w:rFonts w:ascii="Arial" w:hAnsi="Arial" w:cs="Arial"/>
        </w:rPr>
      </w:pPr>
      <w:permStart w:id="1978749059" w:edGrp="everyone"/>
      <w:r w:rsidRPr="00C85C8B">
        <w:rPr>
          <w:rFonts w:ascii="Arial" w:hAnsi="Arial" w:cs="Arial"/>
        </w:rPr>
        <w:t>TYPE YOUR TEXT HERE</w:t>
      </w:r>
    </w:p>
    <w:permEnd w:id="1978749059"/>
    <w:p w14:paraId="0552835B" w14:textId="61CBEB59"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Q4</w:t>
      </w:r>
      <w:r w:rsidRPr="00C85C8B">
        <w:t>&gt;</w:t>
      </w:r>
    </w:p>
    <w:p w14:paraId="1A0691E9" w14:textId="77777777" w:rsidR="00767093" w:rsidRPr="00767093" w:rsidRDefault="00767093" w:rsidP="00767093"/>
    <w:p w14:paraId="4F8A089A" w14:textId="77777777" w:rsidR="00AC523D" w:rsidRPr="00AC523D" w:rsidRDefault="00AC523D" w:rsidP="00AC523D">
      <w:pPr>
        <w:keepNext/>
        <w:keepLines/>
        <w:numPr>
          <w:ilvl w:val="0"/>
          <w:numId w:val="2"/>
        </w:numPr>
        <w:spacing w:before="320"/>
        <w:ind w:left="567" w:hanging="567"/>
        <w:outlineLvl w:val="0"/>
        <w:rPr>
          <w:rFonts w:ascii="Arial" w:eastAsia="Times New Roman" w:hAnsi="Arial" w:cs="Times New Roman"/>
          <w:b/>
          <w:sz w:val="32"/>
          <w:szCs w:val="32"/>
        </w:rPr>
      </w:pPr>
      <w:r w:rsidRPr="00AC523D">
        <w:rPr>
          <w:rFonts w:ascii="Arial" w:eastAsia="Times New Roman" w:hAnsi="Arial" w:cs="Times New Roman"/>
          <w:b/>
          <w:sz w:val="32"/>
          <w:szCs w:val="32"/>
        </w:rPr>
        <w:t xml:space="preserve">Annual supervisory fees </w:t>
      </w:r>
    </w:p>
    <w:p w14:paraId="7D78E990" w14:textId="055CD987"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Q</w:t>
      </w:r>
      <w:r>
        <w:rPr>
          <w:rFonts w:ascii="Arial" w:eastAsia="Times New Roman" w:hAnsi="Arial" w:cs="Times New Roman"/>
          <w:b/>
        </w:rPr>
        <w:t>5</w:t>
      </w:r>
      <w:r w:rsidRPr="00A35AD2">
        <w:rPr>
          <w:rFonts w:ascii="Arial" w:eastAsia="Times New Roman" w:hAnsi="Arial" w:cs="Times New Roman"/>
          <w:b/>
        </w:rPr>
        <w:t>: Do you agree with the proposal to exempt CRAs with a total turnover of under €1,000,000 from the payment of annual supervisory fees? If not, please explain why not.</w:t>
      </w:r>
    </w:p>
    <w:p w14:paraId="7B7596B0" w14:textId="1177502E"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Q5</w:t>
      </w:r>
      <w:r w:rsidRPr="00C85C8B">
        <w:t>&gt;</w:t>
      </w:r>
    </w:p>
    <w:p w14:paraId="4CB83C62" w14:textId="77777777" w:rsidR="00554B51" w:rsidRDefault="00554B51" w:rsidP="00554B51">
      <w:r>
        <w:t>Upfront to the current Delegated Regulation on CRA Supervisory Fees, ESMA proposed in its Technical Advice dated May 2011 a minimum annual registration fee of EUR 5.000</w:t>
      </w:r>
      <w:r>
        <w:rPr>
          <w:rStyle w:val="Funotenzeichen"/>
        </w:rPr>
        <w:footnoteReference w:id="7"/>
      </w:r>
      <w:r>
        <w:t xml:space="preserve">. The final Delegated Regulation rejected ESMA wish and introduced the threshold of EUR 10 </w:t>
      </w:r>
      <w:proofErr w:type="spellStart"/>
      <w:r>
        <w:t>mln</w:t>
      </w:r>
      <w:proofErr w:type="spellEnd"/>
      <w:r>
        <w:t xml:space="preserve"> for exempting CRA of supervisory fees, the reasoning being provided in Recital 3: “</w:t>
      </w:r>
      <w:r w:rsidRPr="00A24313">
        <w:t xml:space="preserve">An annual supervisory fee should be charged to credit rating agencies exceeding a certain threshold of turnover </w:t>
      </w:r>
      <w:proofErr w:type="gramStart"/>
      <w:r w:rsidRPr="00A24313">
        <w:t>in order to</w:t>
      </w:r>
      <w:proofErr w:type="gramEnd"/>
      <w:r w:rsidRPr="00A24313">
        <w:t xml:space="preserve"> provide for budgetary certainty for both ESMA and the credit rating agencies concerned. Annual supervisory fees should not become a burden for new entrants to the credit rating market. Moreover, small credit rating </w:t>
      </w:r>
      <w:r w:rsidRPr="00A24313">
        <w:lastRenderedPageBreak/>
        <w:t xml:space="preserve">agencies are expected to engender significantly less supervisory costs than larger ones. It would be therefore proportionate to fully exempt small credit rating agencies from paying the annual supervisory fee where the credit rating agency </w:t>
      </w:r>
      <w:r>
        <w:t>(…)</w:t>
      </w:r>
      <w:r w:rsidRPr="00A24313">
        <w:t xml:space="preserve"> do not exceed a certain threshold of turnover.</w:t>
      </w:r>
      <w:r>
        <w:t xml:space="preserve"> </w:t>
      </w:r>
    </w:p>
    <w:p w14:paraId="52F16B18" w14:textId="77777777" w:rsidR="00554B51" w:rsidRDefault="00554B51" w:rsidP="00554B51">
      <w:r>
        <w:t>As cited by ESMA in the Consultation Paper, Recital 8 of the current Delegated Regulations states: “</w:t>
      </w:r>
      <w:r w:rsidRPr="00A24313">
        <w:t xml:space="preserve">In view of possible future developments, it is appropriate for the thresholds for exempting credit rating agencies from paying annual supervisory (…) to be reviewed and updated as </w:t>
      </w:r>
      <w:proofErr w:type="gramStart"/>
      <w:r w:rsidRPr="00A24313">
        <w:t>necessary.“</w:t>
      </w:r>
      <w:proofErr w:type="gramEnd"/>
    </w:p>
    <w:p w14:paraId="12A65C5A" w14:textId="77777777" w:rsidR="00554B51" w:rsidRDefault="00554B51" w:rsidP="00554B51">
      <w:pPr>
        <w:rPr>
          <w:color w:val="FF0000"/>
        </w:rPr>
      </w:pPr>
      <w:r>
        <w:rPr>
          <w:noProof/>
          <w:color w:val="FF0000"/>
        </w:rPr>
        <w:drawing>
          <wp:inline distT="0" distB="0" distL="0" distR="0" wp14:anchorId="3CF21CFF" wp14:editId="2F4F2553">
            <wp:extent cx="5760720" cy="34550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4">
                      <a:extLst>
                        <a:ext uri="{28A0092B-C50C-407E-A947-70E740481C1C}">
                          <a14:useLocalDpi xmlns:a14="http://schemas.microsoft.com/office/drawing/2010/main" val="0"/>
                        </a:ext>
                      </a:extLst>
                    </a:blip>
                    <a:stretch>
                      <a:fillRect/>
                    </a:stretch>
                  </pic:blipFill>
                  <pic:spPr>
                    <a:xfrm>
                      <a:off x="0" y="0"/>
                      <a:ext cx="5760720" cy="3455035"/>
                    </a:xfrm>
                    <a:prstGeom prst="rect">
                      <a:avLst/>
                    </a:prstGeom>
                  </pic:spPr>
                </pic:pic>
              </a:graphicData>
            </a:graphic>
          </wp:inline>
        </w:drawing>
      </w:r>
    </w:p>
    <w:p w14:paraId="13319A00" w14:textId="77777777" w:rsidR="00554B51" w:rsidRDefault="00554B51" w:rsidP="00554B51">
      <w:r>
        <w:t>While the term “future development” is more than vague, we believe that this can be measured against the objectives of the CRA III regulation, which entered into force shortly after the Delegated Regulation. While the number of registered CRAs has reached 30, the Dominant 3 Agencies continue to control over 90% of the market. As the EU rating market structure has not materially changed, we do not see the immediate need to trigger this clause.</w:t>
      </w:r>
    </w:p>
    <w:p w14:paraId="70EDB967" w14:textId="77777777" w:rsidR="00554B51" w:rsidRDefault="00554B51" w:rsidP="00554B51">
      <w:r>
        <w:t xml:space="preserve">In 2012, the threshold for exempting CRAs from Supervisory fees was set at EUR 10 million. ESMA now proposes to lower this threshold to EUR 1 million. Based on the annual transparency reports for 2018, we assume that 11 CRAs would become subject to supervisory fees. These 11 CRAs would pay together EUR 220.000 of supervisory fees – representing only 2,1% of ESMAs CRA Supervisory Budget for 2021. Such a contribution does therefore not significantly change ESMAs </w:t>
      </w:r>
      <w:proofErr w:type="gramStart"/>
      <w:r>
        <w:t>revenues, but</w:t>
      </w:r>
      <w:proofErr w:type="gramEnd"/>
      <w:r>
        <w:t xml:space="preserve"> impacts heavily on new and small players. We therefore reject ESMAs proposal to lower the threshold.</w:t>
      </w:r>
    </w:p>
    <w:p w14:paraId="6AEEA897" w14:textId="77777777" w:rsidR="00554B51" w:rsidRDefault="00554B51" w:rsidP="00554B51">
      <w:r>
        <w:lastRenderedPageBreak/>
        <w:t>In fact, assuming an average annual inflation of 1,3% since 2011, the threshold of EUR 10 million set in 2011 should be raised to EUR 11,3 million by 2021 to reflect overall macro-economic developments. We therefore propose that the threshold should be updated if not annually at least every 5 years.</w:t>
      </w:r>
    </w:p>
    <w:p w14:paraId="60C69294" w14:textId="77777777" w:rsidR="00554B51" w:rsidRPr="007A653B" w:rsidRDefault="00554B51" w:rsidP="00554B51">
      <w:r>
        <w:t xml:space="preserve">Finally, as mentioned in our introductory comment, we propose that the threshold should be excluded from the supervisory fees calculation </w:t>
      </w:r>
      <w:proofErr w:type="gramStart"/>
      <w:r>
        <w:t>in order to</w:t>
      </w:r>
      <w:proofErr w:type="gramEnd"/>
      <w:r>
        <w:t xml:space="preserve"> reduce cliff effects when crossing the threshold. </w:t>
      </w:r>
    </w:p>
    <w:p w14:paraId="79046495" w14:textId="59740918"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Q5</w:t>
      </w:r>
      <w:r w:rsidRPr="00C85C8B">
        <w:t>&gt;</w:t>
      </w:r>
    </w:p>
    <w:p w14:paraId="5611CDA2" w14:textId="77777777" w:rsidR="00767093" w:rsidRPr="00A35AD2" w:rsidRDefault="00767093" w:rsidP="00AC523D">
      <w:pPr>
        <w:spacing w:afterLines="120" w:after="288"/>
        <w:rPr>
          <w:rFonts w:ascii="Arial" w:eastAsia="Times New Roman" w:hAnsi="Arial" w:cs="Times New Roman"/>
          <w:b/>
        </w:rPr>
      </w:pPr>
    </w:p>
    <w:p w14:paraId="22A52F8D" w14:textId="4BCF7836"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Q</w:t>
      </w:r>
      <w:r>
        <w:rPr>
          <w:rFonts w:ascii="Arial" w:eastAsia="Times New Roman" w:hAnsi="Arial" w:cs="Times New Roman"/>
          <w:b/>
        </w:rPr>
        <w:t>6</w:t>
      </w:r>
      <w:r w:rsidRPr="00A35AD2">
        <w:rPr>
          <w:rFonts w:ascii="Arial" w:eastAsia="Times New Roman" w:hAnsi="Arial" w:cs="Times New Roman"/>
          <w:b/>
        </w:rPr>
        <w:t>: Do you agree with the proposed changes to annual supervisory fees charged to CRAs? If not, please explain why not.</w:t>
      </w:r>
    </w:p>
    <w:p w14:paraId="02766D4C" w14:textId="465630A4"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Q6</w:t>
      </w:r>
      <w:r w:rsidRPr="00C85C8B">
        <w:t>&gt;</w:t>
      </w:r>
    </w:p>
    <w:p w14:paraId="550A77D1" w14:textId="77777777" w:rsidR="00554B51" w:rsidRDefault="00554B51" w:rsidP="00554B51">
      <w:r>
        <w:t xml:space="preserve">As mentioned in our response to Question 5, we reject the proposal to introduce a flat supervisory fee for CRAs with a total turnover between EUR 1 and EUR 10 </w:t>
      </w:r>
      <w:proofErr w:type="spellStart"/>
      <w:r>
        <w:t>mln</w:t>
      </w:r>
      <w:proofErr w:type="spellEnd"/>
      <w:r>
        <w:t xml:space="preserve">. </w:t>
      </w:r>
    </w:p>
    <w:p w14:paraId="0DA378C0" w14:textId="77777777" w:rsidR="00554B51" w:rsidRDefault="00554B51" w:rsidP="00554B51">
      <w:r>
        <w:t>With respect to the annual endorsement fee, given the role of endorsed ratings in the EU, we see some merit in introducing such a revenue category for ESMA. Given the final withdrawal of the UK from the EU, the share of endorsed ratings is likely to raise from 71% to approx. 90%.</w:t>
      </w:r>
    </w:p>
    <w:p w14:paraId="535C1FD6" w14:textId="77777777" w:rsidR="00554B51" w:rsidRPr="003E125E" w:rsidRDefault="00554B51" w:rsidP="00554B51">
      <w:r>
        <w:t>The endorsement fee as proposed by ESMA would generate total fees of approx. EUR 250.000 and thereby contribute to 2,2% to ESMA CRAs Supervisory budget. This share is not representative of the role played by endorsed ratings issued by the Dominant 3 Agencies</w:t>
      </w:r>
      <w:r w:rsidRPr="003E125E">
        <w:t xml:space="preserve">. </w:t>
      </w:r>
      <w:proofErr w:type="gramStart"/>
      <w:r w:rsidRPr="003E125E">
        <w:t>In order to</w:t>
      </w:r>
      <w:proofErr w:type="gramEnd"/>
      <w:r w:rsidRPr="003E125E">
        <w:t xml:space="preserve"> better reflect these endorsed ratings, we propose that the applicable turnover for CRAs above EUR 10 </w:t>
      </w:r>
      <w:proofErr w:type="spellStart"/>
      <w:r w:rsidRPr="003E125E">
        <w:t>mln</w:t>
      </w:r>
      <w:proofErr w:type="spellEnd"/>
      <w:r w:rsidRPr="003E125E">
        <w:t xml:space="preserve"> is multiplied by a factor. The factor could be set in a range of 2 to 5:</w:t>
      </w:r>
    </w:p>
    <w:p w14:paraId="103E3687" w14:textId="77777777" w:rsidR="00554B51" w:rsidRPr="003E125E" w:rsidRDefault="00554B51" w:rsidP="00554B51">
      <w:pPr>
        <w:pStyle w:val="Listenabsatz"/>
        <w:numPr>
          <w:ilvl w:val="0"/>
          <w:numId w:val="56"/>
        </w:numPr>
        <w:tabs>
          <w:tab w:val="clear" w:pos="0"/>
          <w:tab w:val="clear" w:pos="142"/>
        </w:tabs>
        <w:autoSpaceDE/>
        <w:autoSpaceDN/>
        <w:adjustRightInd/>
        <w:spacing w:after="160" w:line="259" w:lineRule="auto"/>
        <w:contextualSpacing/>
        <w:jc w:val="left"/>
        <w:rPr>
          <w:lang w:val="en-GB"/>
        </w:rPr>
      </w:pPr>
      <w:r w:rsidRPr="003E125E">
        <w:rPr>
          <w:lang w:val="en-GB"/>
        </w:rPr>
        <w:t xml:space="preserve">A factor of 2 would reflect approximately the withdrawal of the UK from the </w:t>
      </w:r>
      <w:proofErr w:type="gramStart"/>
      <w:r w:rsidRPr="003E125E">
        <w:rPr>
          <w:lang w:val="en-GB"/>
        </w:rPr>
        <w:t>EU</w:t>
      </w:r>
      <w:proofErr w:type="gramEnd"/>
    </w:p>
    <w:p w14:paraId="3DBE8E18" w14:textId="77777777" w:rsidR="00554B51" w:rsidRPr="003E125E" w:rsidRDefault="00554B51" w:rsidP="00554B51">
      <w:pPr>
        <w:pStyle w:val="Listenabsatz"/>
        <w:numPr>
          <w:ilvl w:val="0"/>
          <w:numId w:val="56"/>
        </w:numPr>
        <w:tabs>
          <w:tab w:val="clear" w:pos="0"/>
          <w:tab w:val="clear" w:pos="142"/>
        </w:tabs>
        <w:autoSpaceDE/>
        <w:autoSpaceDN/>
        <w:adjustRightInd/>
        <w:spacing w:after="160" w:line="259" w:lineRule="auto"/>
        <w:contextualSpacing/>
        <w:jc w:val="left"/>
        <w:rPr>
          <w:lang w:val="en-GB"/>
        </w:rPr>
      </w:pPr>
      <w:r w:rsidRPr="003E125E">
        <w:rPr>
          <w:lang w:val="en-GB"/>
        </w:rPr>
        <w:t>A factor of 5 reflects the EU 27 share in the Dominant 3 Agencies global operations.</w:t>
      </w:r>
    </w:p>
    <w:p w14:paraId="525DF946" w14:textId="77777777" w:rsidR="00554B51" w:rsidRPr="003E125E" w:rsidRDefault="00554B51" w:rsidP="00554B51">
      <w:r w:rsidRPr="003E125E">
        <w:t xml:space="preserve">In view of ESMAs mandate to contribute to investors protection and that the Dominant 3 Agencies are of systemic importance to the financial system, introducing such a factor would mirror ESMA supervisory focus. </w:t>
      </w:r>
    </w:p>
    <w:p w14:paraId="7A30C200" w14:textId="77777777" w:rsidR="00554B51" w:rsidRDefault="00554B51" w:rsidP="00554B51">
      <w:r w:rsidRPr="003E125E">
        <w:t xml:space="preserve">As an alternative approach, we propose that endorsement fees should cover 50% of ESMA CRA Supervisory budget. CRAs having less than EUR 10 </w:t>
      </w:r>
      <w:proofErr w:type="spellStart"/>
      <w:r w:rsidRPr="003E125E">
        <w:t>mln</w:t>
      </w:r>
      <w:proofErr w:type="spellEnd"/>
      <w:r w:rsidRPr="003E125E">
        <w:t xml:space="preserve"> turnover would be subject to a flat fee as proposed by ESMA, the remaining amount to be paid by other CRAs endorsing ratings (shared along the respective applicable turnover).</w:t>
      </w:r>
    </w:p>
    <w:p w14:paraId="34B5246E" w14:textId="2FE85017" w:rsidR="002E2C8E" w:rsidRPr="00C85C8B" w:rsidRDefault="002E2C8E" w:rsidP="002E2C8E">
      <w:r w:rsidRPr="00C85C8B">
        <w:lastRenderedPageBreak/>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Q6</w:t>
      </w:r>
      <w:r w:rsidRPr="00C85C8B">
        <w:t>&gt;</w:t>
      </w:r>
    </w:p>
    <w:p w14:paraId="71438E53" w14:textId="77777777" w:rsidR="00767093" w:rsidRPr="00A35AD2" w:rsidRDefault="00767093" w:rsidP="00AC523D">
      <w:pPr>
        <w:spacing w:afterLines="120" w:after="288"/>
        <w:rPr>
          <w:rFonts w:ascii="Arial" w:eastAsia="Times New Roman" w:hAnsi="Arial" w:cs="Times New Roman"/>
          <w:b/>
        </w:rPr>
      </w:pPr>
    </w:p>
    <w:p w14:paraId="361DFFFA" w14:textId="77777777" w:rsidR="00AC523D" w:rsidRPr="00AC523D" w:rsidRDefault="00AC523D" w:rsidP="00AC523D">
      <w:pPr>
        <w:keepNext/>
        <w:keepLines/>
        <w:numPr>
          <w:ilvl w:val="0"/>
          <w:numId w:val="2"/>
        </w:numPr>
        <w:spacing w:before="320"/>
        <w:ind w:left="567" w:hanging="567"/>
        <w:outlineLvl w:val="0"/>
        <w:rPr>
          <w:rFonts w:ascii="Arial" w:eastAsia="Times New Roman" w:hAnsi="Arial" w:cs="Times New Roman"/>
          <w:b/>
          <w:sz w:val="32"/>
          <w:szCs w:val="32"/>
        </w:rPr>
      </w:pPr>
      <w:r w:rsidRPr="00AC523D">
        <w:rPr>
          <w:rFonts w:ascii="Arial" w:eastAsia="Times New Roman" w:hAnsi="Arial" w:cs="Times New Roman"/>
          <w:b/>
          <w:sz w:val="32"/>
          <w:szCs w:val="32"/>
        </w:rPr>
        <w:t>Applicable turnover</w:t>
      </w:r>
    </w:p>
    <w:p w14:paraId="37F1E5CC" w14:textId="61638F1C"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Q</w:t>
      </w:r>
      <w:r>
        <w:rPr>
          <w:rFonts w:ascii="Arial" w:eastAsia="Times New Roman" w:hAnsi="Arial" w:cs="Times New Roman"/>
          <w:b/>
        </w:rPr>
        <w:t>7</w:t>
      </w:r>
      <w:r w:rsidRPr="00A35AD2">
        <w:rPr>
          <w:rFonts w:ascii="Arial" w:eastAsia="Times New Roman" w:hAnsi="Arial" w:cs="Times New Roman"/>
          <w:b/>
        </w:rPr>
        <w:t>: Do you agree with the proposed changes to the calculation of CRAs’ applicable turnover? If not, please explain why not.</w:t>
      </w:r>
    </w:p>
    <w:p w14:paraId="489B2921" w14:textId="2B121A40"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Q7</w:t>
      </w:r>
      <w:r w:rsidRPr="00C85C8B">
        <w:t>&gt;</w:t>
      </w:r>
    </w:p>
    <w:p w14:paraId="7994FF13" w14:textId="77777777" w:rsidR="00554B51" w:rsidRDefault="00554B51" w:rsidP="00554B51">
      <w:r>
        <w:t xml:space="preserve">ESMA proposes to change the basis for the calculation of supervisory </w:t>
      </w:r>
      <w:proofErr w:type="gramStart"/>
      <w:r>
        <w:t>fee’s</w:t>
      </w:r>
      <w:proofErr w:type="gramEnd"/>
      <w:r>
        <w:t xml:space="preserve"> from credit rating activities and ancillary services to total revenues</w:t>
      </w:r>
    </w:p>
    <w:p w14:paraId="640A7AE7" w14:textId="77777777" w:rsidR="00554B51" w:rsidRDefault="00554B51" w:rsidP="00554B51">
      <w:r>
        <w:t>Based on the transparency reports for 2018, we estimate that the change to total revenues would increase the basis of calculation of supervisory fees by around 7%. At the same time, we note that the Dominant Agencies report on average about 3% of non-rating revenues only. In fact, these agencies generate high rating related revenues (</w:t>
      </w:r>
      <w:proofErr w:type="spellStart"/>
      <w:proofErr w:type="gramStart"/>
      <w:r>
        <w:t>eg</w:t>
      </w:r>
      <w:proofErr w:type="spellEnd"/>
      <w:proofErr w:type="gramEnd"/>
      <w:r>
        <w:t xml:space="preserve"> for the subscription to their rating data feeds) outside of the ESMA supervised entities. European CRAs, on the other hand, may report larger shares of non-rating activity as they </w:t>
      </w:r>
      <w:proofErr w:type="gramStart"/>
      <w:r>
        <w:t>can’t</w:t>
      </w:r>
      <w:proofErr w:type="gramEnd"/>
      <w:r>
        <w:t xml:space="preserve"> shift away revenues into other geographies or legal entities. Taking total turnover would therefore primarily impact on European Agencies. </w:t>
      </w:r>
    </w:p>
    <w:p w14:paraId="0119EBA1" w14:textId="77777777" w:rsidR="00554B51" w:rsidRDefault="00554B51" w:rsidP="00554B51">
      <w:r>
        <w:t>On the other hand, we agree with ESMA that the terms “credit rating activity”, “ancillary services” and “non-rating activities” are poorly defined in the CRA Regulation and that CRAs may potentially classify specific revenues in different categories. We therefore share ESMAs frustration regarding “individual requests for deductions from total revenues as these assessments require specialist resources and are not sustainable as ESMA assumes new supervisory mandates”</w:t>
      </w:r>
      <w:r>
        <w:rPr>
          <w:rStyle w:val="Funotenzeichen"/>
        </w:rPr>
        <w:footnoteReference w:id="8"/>
      </w:r>
      <w:r>
        <w:t>.</w:t>
      </w:r>
    </w:p>
    <w:p w14:paraId="5A712EB1" w14:textId="77777777" w:rsidR="00554B51" w:rsidRDefault="00554B51" w:rsidP="00554B51">
      <w:proofErr w:type="gramStart"/>
      <w:r>
        <w:t>In order to</w:t>
      </w:r>
      <w:proofErr w:type="gramEnd"/>
      <w:r>
        <w:t xml:space="preserve"> streamline the calculation of supervisory fees and to reduce the burden on CRAs, we would agree on using “total turnover” if the following items are also implemented:</w:t>
      </w:r>
    </w:p>
    <w:p w14:paraId="431926C6" w14:textId="77777777" w:rsidR="00554B51" w:rsidRPr="00C359D0" w:rsidRDefault="00554B51" w:rsidP="00554B51">
      <w:pPr>
        <w:pStyle w:val="Listenabsatz"/>
        <w:numPr>
          <w:ilvl w:val="0"/>
          <w:numId w:val="57"/>
        </w:numPr>
        <w:tabs>
          <w:tab w:val="clear" w:pos="0"/>
          <w:tab w:val="clear" w:pos="142"/>
        </w:tabs>
        <w:autoSpaceDE/>
        <w:autoSpaceDN/>
        <w:adjustRightInd/>
        <w:spacing w:after="160" w:line="259" w:lineRule="auto"/>
        <w:contextualSpacing/>
        <w:jc w:val="left"/>
        <w:rPr>
          <w:lang w:val="en-GB"/>
        </w:rPr>
      </w:pPr>
      <w:r w:rsidRPr="00C359D0">
        <w:rPr>
          <w:lang w:val="en-GB"/>
        </w:rPr>
        <w:t xml:space="preserve">As mentioned already in our introductory comment, ESMA should not require audited accounts from the supervised entities, CRAs should be able to submit annual accounts finalized according to the tax laws of the concerned Member State. </w:t>
      </w:r>
    </w:p>
    <w:p w14:paraId="36F16381" w14:textId="77777777" w:rsidR="00554B51" w:rsidRPr="00C359D0" w:rsidRDefault="00554B51" w:rsidP="00554B51">
      <w:pPr>
        <w:pStyle w:val="Listenabsatz"/>
        <w:numPr>
          <w:ilvl w:val="0"/>
          <w:numId w:val="57"/>
        </w:numPr>
        <w:tabs>
          <w:tab w:val="clear" w:pos="0"/>
          <w:tab w:val="clear" w:pos="142"/>
        </w:tabs>
        <w:autoSpaceDE/>
        <w:autoSpaceDN/>
        <w:adjustRightInd/>
        <w:spacing w:after="160" w:line="259" w:lineRule="auto"/>
        <w:contextualSpacing/>
        <w:jc w:val="left"/>
        <w:rPr>
          <w:lang w:val="en-GB"/>
        </w:rPr>
      </w:pPr>
      <w:r w:rsidRPr="00C359D0">
        <w:rPr>
          <w:lang w:val="en-GB"/>
        </w:rPr>
        <w:t xml:space="preserve">As total turnover </w:t>
      </w:r>
      <w:r>
        <w:rPr>
          <w:lang w:val="en-GB"/>
        </w:rPr>
        <w:t xml:space="preserve">shall be </w:t>
      </w:r>
      <w:r w:rsidRPr="00C359D0">
        <w:rPr>
          <w:lang w:val="en-GB"/>
        </w:rPr>
        <w:t>used, CRAs should not be mandate</w:t>
      </w:r>
      <w:r>
        <w:rPr>
          <w:lang w:val="en-GB"/>
        </w:rPr>
        <w:t>d</w:t>
      </w:r>
      <w:r w:rsidRPr="00C359D0">
        <w:rPr>
          <w:lang w:val="en-GB"/>
        </w:rPr>
        <w:t xml:space="preserve"> to provide revenue breakdown</w:t>
      </w:r>
      <w:r>
        <w:rPr>
          <w:lang w:val="en-GB"/>
        </w:rPr>
        <w:t>s.</w:t>
      </w:r>
    </w:p>
    <w:p w14:paraId="65832314" w14:textId="77777777" w:rsidR="00554B51" w:rsidRPr="00C359D0" w:rsidRDefault="00554B51" w:rsidP="00554B51">
      <w:pPr>
        <w:pStyle w:val="Listenabsatz"/>
        <w:numPr>
          <w:ilvl w:val="0"/>
          <w:numId w:val="57"/>
        </w:numPr>
        <w:tabs>
          <w:tab w:val="clear" w:pos="0"/>
          <w:tab w:val="clear" w:pos="142"/>
        </w:tabs>
        <w:autoSpaceDE/>
        <w:autoSpaceDN/>
        <w:adjustRightInd/>
        <w:spacing w:after="160" w:line="259" w:lineRule="auto"/>
        <w:contextualSpacing/>
        <w:jc w:val="left"/>
        <w:rPr>
          <w:lang w:val="en-GB"/>
        </w:rPr>
      </w:pPr>
      <w:r w:rsidRPr="00C359D0">
        <w:rPr>
          <w:lang w:val="en-GB"/>
        </w:rPr>
        <w:t xml:space="preserve">The threshold of EUR 10 </w:t>
      </w:r>
      <w:proofErr w:type="spellStart"/>
      <w:r w:rsidRPr="00C359D0">
        <w:rPr>
          <w:lang w:val="en-GB"/>
        </w:rPr>
        <w:t>mln</w:t>
      </w:r>
      <w:proofErr w:type="spellEnd"/>
      <w:r w:rsidRPr="00C359D0">
        <w:rPr>
          <w:lang w:val="en-GB"/>
        </w:rPr>
        <w:t xml:space="preserve"> for exempting small CRAs to pay supervisory fees is being deducted from the applicable turnover. The removal of this hard threshold </w:t>
      </w:r>
      <w:proofErr w:type="gramStart"/>
      <w:r w:rsidRPr="00C359D0">
        <w:rPr>
          <w:lang w:val="en-GB"/>
        </w:rPr>
        <w:t>reduce</w:t>
      </w:r>
      <w:proofErr w:type="gramEnd"/>
      <w:r w:rsidRPr="00C359D0">
        <w:rPr>
          <w:lang w:val="en-GB"/>
        </w:rPr>
        <w:t xml:space="preserve"> cliff effects of crossing the threshold and correspond to a proportionate approach. </w:t>
      </w:r>
    </w:p>
    <w:p w14:paraId="72E5A096" w14:textId="77777777" w:rsidR="00554B51" w:rsidRDefault="00554B51" w:rsidP="00554B51">
      <w:r>
        <w:lastRenderedPageBreak/>
        <w:t xml:space="preserve"> </w:t>
      </w:r>
    </w:p>
    <w:p w14:paraId="6E4E9107" w14:textId="77777777" w:rsidR="00554B51" w:rsidRPr="007D447B" w:rsidRDefault="00554B51" w:rsidP="00554B51">
      <w:pPr>
        <w:rPr>
          <w:color w:val="FF0000"/>
        </w:rPr>
      </w:pPr>
      <w:r w:rsidRPr="00C80794">
        <w:t>We agree with ESMAs proposal to use the financial accounts of year n-2 (to be delivered by September of year n-1) for the purpose of calculating supervisory fees of year n.</w:t>
      </w:r>
      <w:r>
        <w:rPr>
          <w:color w:val="FF0000"/>
        </w:rPr>
        <w:t xml:space="preserve"> </w:t>
      </w:r>
    </w:p>
    <w:p w14:paraId="39ACD466" w14:textId="57BCA530"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Q7</w:t>
      </w:r>
      <w:r w:rsidRPr="00C85C8B">
        <w:t>&gt;</w:t>
      </w:r>
    </w:p>
    <w:p w14:paraId="43760F45" w14:textId="77777777" w:rsidR="00767093" w:rsidRPr="00A35AD2" w:rsidRDefault="00767093" w:rsidP="00AC523D">
      <w:pPr>
        <w:spacing w:afterLines="120" w:after="288"/>
        <w:rPr>
          <w:rFonts w:ascii="Arial" w:eastAsia="Times New Roman" w:hAnsi="Arial" w:cs="Times New Roman"/>
          <w:b/>
        </w:rPr>
      </w:pPr>
    </w:p>
    <w:p w14:paraId="5609A3FE" w14:textId="77777777" w:rsidR="00AC523D" w:rsidRPr="00AC523D" w:rsidRDefault="00AC523D" w:rsidP="00AC523D">
      <w:pPr>
        <w:keepNext/>
        <w:keepLines/>
        <w:numPr>
          <w:ilvl w:val="0"/>
          <w:numId w:val="2"/>
        </w:numPr>
        <w:spacing w:before="320"/>
        <w:ind w:left="567" w:hanging="567"/>
        <w:outlineLvl w:val="0"/>
        <w:rPr>
          <w:rFonts w:ascii="Arial" w:eastAsia="Times New Roman" w:hAnsi="Arial" w:cs="Times New Roman"/>
          <w:b/>
          <w:sz w:val="32"/>
          <w:szCs w:val="32"/>
        </w:rPr>
      </w:pPr>
      <w:r w:rsidRPr="00AC523D">
        <w:rPr>
          <w:rFonts w:ascii="Arial" w:eastAsia="Times New Roman" w:hAnsi="Arial" w:cs="Times New Roman"/>
          <w:b/>
          <w:sz w:val="32"/>
          <w:szCs w:val="32"/>
        </w:rPr>
        <w:t>Certification fees</w:t>
      </w:r>
    </w:p>
    <w:p w14:paraId="4AE51BCB" w14:textId="18D047F1"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Q</w:t>
      </w:r>
      <w:r>
        <w:rPr>
          <w:rFonts w:ascii="Arial" w:eastAsia="Times New Roman" w:hAnsi="Arial" w:cs="Times New Roman"/>
          <w:b/>
        </w:rPr>
        <w:t>8</w:t>
      </w:r>
      <w:r w:rsidRPr="00A35AD2">
        <w:rPr>
          <w:rFonts w:ascii="Arial" w:eastAsia="Times New Roman" w:hAnsi="Arial" w:cs="Times New Roman"/>
          <w:b/>
        </w:rPr>
        <w:t xml:space="preserve">: Do you agree with the proposal to revise the approach to the reimbursement of supervisory fees for certified CRAs? If not, please explain why not. </w:t>
      </w:r>
    </w:p>
    <w:p w14:paraId="64265BAC" w14:textId="7E3B845E"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Q8</w:t>
      </w:r>
      <w:r w:rsidRPr="00C85C8B">
        <w:t>&gt;</w:t>
      </w:r>
    </w:p>
    <w:p w14:paraId="2E97CE6C" w14:textId="77777777" w:rsidR="002E2C8E" w:rsidRPr="00C85C8B" w:rsidRDefault="002E2C8E" w:rsidP="002E2C8E">
      <w:pPr>
        <w:rPr>
          <w:rFonts w:ascii="Arial" w:hAnsi="Arial" w:cs="Arial"/>
        </w:rPr>
      </w:pPr>
      <w:permStart w:id="529297028" w:edGrp="everyone"/>
      <w:r w:rsidRPr="00C85C8B">
        <w:rPr>
          <w:rFonts w:ascii="Arial" w:hAnsi="Arial" w:cs="Arial"/>
        </w:rPr>
        <w:t>TYPE YOUR TEXT HERE</w:t>
      </w:r>
    </w:p>
    <w:permEnd w:id="529297028"/>
    <w:p w14:paraId="10D6BF28" w14:textId="7FBAAF2A"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Q8</w:t>
      </w:r>
      <w:r w:rsidRPr="00C85C8B">
        <w:t>&gt;</w:t>
      </w:r>
    </w:p>
    <w:p w14:paraId="0964A82B" w14:textId="77777777" w:rsidR="00767093" w:rsidRPr="00A35AD2" w:rsidRDefault="00767093" w:rsidP="00AC523D">
      <w:pPr>
        <w:spacing w:afterLines="120" w:after="288"/>
        <w:rPr>
          <w:rFonts w:ascii="Arial" w:eastAsia="Times New Roman" w:hAnsi="Arial" w:cs="Times New Roman"/>
          <w:b/>
        </w:rPr>
      </w:pPr>
    </w:p>
    <w:p w14:paraId="52681063" w14:textId="531DA9CF" w:rsidR="00AC523D"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Q</w:t>
      </w:r>
      <w:r>
        <w:rPr>
          <w:rFonts w:ascii="Arial" w:eastAsia="Times New Roman" w:hAnsi="Arial" w:cs="Times New Roman"/>
          <w:b/>
        </w:rPr>
        <w:t>9</w:t>
      </w:r>
      <w:r w:rsidRPr="00A35AD2">
        <w:rPr>
          <w:rFonts w:ascii="Arial" w:eastAsia="Times New Roman" w:hAnsi="Arial" w:cs="Times New Roman"/>
          <w:b/>
        </w:rPr>
        <w:t xml:space="preserve">: Do you agree with the proposal to exempt certified CRAs from the payment of initial fees? If not, please explain why not. </w:t>
      </w:r>
    </w:p>
    <w:p w14:paraId="29A709E8" w14:textId="714F5FEC"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Q9</w:t>
      </w:r>
      <w:r w:rsidRPr="00C85C8B">
        <w:t>&gt;</w:t>
      </w:r>
    </w:p>
    <w:p w14:paraId="0833D616" w14:textId="77777777" w:rsidR="002E2C8E" w:rsidRPr="00C85C8B" w:rsidRDefault="002E2C8E" w:rsidP="002E2C8E">
      <w:pPr>
        <w:rPr>
          <w:rFonts w:ascii="Arial" w:hAnsi="Arial" w:cs="Arial"/>
        </w:rPr>
      </w:pPr>
      <w:permStart w:id="1767392556" w:edGrp="everyone"/>
      <w:r w:rsidRPr="00C85C8B">
        <w:rPr>
          <w:rFonts w:ascii="Arial" w:hAnsi="Arial" w:cs="Arial"/>
        </w:rPr>
        <w:t>TYPE YOUR TEXT HERE</w:t>
      </w:r>
    </w:p>
    <w:permEnd w:id="1767392556"/>
    <w:p w14:paraId="47A8C470" w14:textId="18C08310"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Q9</w:t>
      </w:r>
      <w:r w:rsidRPr="00C85C8B">
        <w:t>&gt;</w:t>
      </w:r>
    </w:p>
    <w:p w14:paraId="340841DE" w14:textId="77777777" w:rsidR="00767093" w:rsidRPr="00A35AD2" w:rsidRDefault="00767093" w:rsidP="00AC523D">
      <w:pPr>
        <w:spacing w:afterLines="120" w:after="288"/>
        <w:rPr>
          <w:rFonts w:ascii="Arial" w:eastAsia="Times New Roman" w:hAnsi="Arial" w:cs="Times New Roman"/>
          <w:b/>
        </w:rPr>
      </w:pPr>
    </w:p>
    <w:p w14:paraId="7D499767" w14:textId="77777777" w:rsidR="00AC523D" w:rsidRPr="00783EF5" w:rsidRDefault="00AC523D" w:rsidP="00AC523D">
      <w:pPr>
        <w:spacing w:afterLines="120" w:after="288"/>
        <w:rPr>
          <w:rFonts w:ascii="Arial" w:eastAsia="Times New Roman" w:hAnsi="Arial" w:cs="Times New Roman"/>
          <w:b/>
        </w:rPr>
      </w:pPr>
      <w:r w:rsidRPr="00A35AD2">
        <w:rPr>
          <w:rFonts w:ascii="Arial" w:eastAsia="Times New Roman" w:hAnsi="Arial" w:cs="Times New Roman"/>
          <w:b/>
        </w:rPr>
        <w:t>Q</w:t>
      </w:r>
      <w:r>
        <w:rPr>
          <w:rFonts w:ascii="Arial" w:eastAsia="Times New Roman" w:hAnsi="Arial" w:cs="Times New Roman"/>
          <w:b/>
        </w:rPr>
        <w:t>10</w:t>
      </w:r>
      <w:r w:rsidRPr="00A35AD2">
        <w:rPr>
          <w:rFonts w:ascii="Arial" w:eastAsia="Times New Roman" w:hAnsi="Arial" w:cs="Times New Roman"/>
          <w:b/>
        </w:rPr>
        <w:t>:  Do you agree with the proposal to require all certified CRAs to pay an annual certification fee of €6,000? If not, please explain why not.</w:t>
      </w:r>
    </w:p>
    <w:p w14:paraId="65DE7465" w14:textId="3CB0F034"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Q10</w:t>
      </w:r>
      <w:r w:rsidRPr="00C85C8B">
        <w:t>&gt;</w:t>
      </w:r>
    </w:p>
    <w:p w14:paraId="22243523" w14:textId="77777777" w:rsidR="002E2C8E" w:rsidRPr="00C85C8B" w:rsidRDefault="002E2C8E" w:rsidP="002E2C8E">
      <w:pPr>
        <w:rPr>
          <w:rFonts w:ascii="Arial" w:hAnsi="Arial" w:cs="Arial"/>
        </w:rPr>
      </w:pPr>
      <w:permStart w:id="750547115" w:edGrp="everyone"/>
      <w:r w:rsidRPr="00C85C8B">
        <w:rPr>
          <w:rFonts w:ascii="Arial" w:hAnsi="Arial" w:cs="Arial"/>
        </w:rPr>
        <w:t>TYPE YOUR TEXT HERE</w:t>
      </w:r>
    </w:p>
    <w:permEnd w:id="750547115"/>
    <w:p w14:paraId="62174F83" w14:textId="57546658" w:rsidR="002E2C8E" w:rsidRPr="00C85C8B"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Q10</w:t>
      </w:r>
      <w:r w:rsidRPr="00C85C8B">
        <w:t>&gt;</w:t>
      </w:r>
    </w:p>
    <w:p w14:paraId="64A37D86" w14:textId="7DB280FD" w:rsidR="002E2C8E" w:rsidRPr="00AC523D" w:rsidRDefault="002E2C8E" w:rsidP="002E2C8E">
      <w:pPr>
        <w:keepNext/>
        <w:keepLines/>
        <w:numPr>
          <w:ilvl w:val="0"/>
          <w:numId w:val="2"/>
        </w:numPr>
        <w:spacing w:before="320"/>
        <w:ind w:left="567" w:hanging="567"/>
        <w:outlineLvl w:val="0"/>
        <w:rPr>
          <w:rFonts w:ascii="Arial" w:eastAsia="Times New Roman" w:hAnsi="Arial" w:cs="Times New Roman"/>
          <w:b/>
          <w:sz w:val="32"/>
          <w:szCs w:val="32"/>
        </w:rPr>
      </w:pPr>
      <w:r>
        <w:rPr>
          <w:rFonts w:ascii="Arial" w:eastAsia="Times New Roman" w:hAnsi="Arial" w:cs="Times New Roman"/>
          <w:b/>
          <w:sz w:val="32"/>
          <w:szCs w:val="32"/>
        </w:rPr>
        <w:lastRenderedPageBreak/>
        <w:t>Final comments</w:t>
      </w:r>
    </w:p>
    <w:p w14:paraId="5EC1158D" w14:textId="3A16B894" w:rsidR="002E2C8E" w:rsidRDefault="002E2C8E" w:rsidP="002E2C8E">
      <w:pPr>
        <w:rPr>
          <w:rFonts w:ascii="Arial" w:eastAsia="Times New Roman" w:hAnsi="Arial" w:cs="Times New Roman"/>
          <w:b/>
        </w:rPr>
      </w:pPr>
      <w:r w:rsidRPr="00AC523D">
        <w:rPr>
          <w:rFonts w:ascii="Arial" w:eastAsia="Times New Roman" w:hAnsi="Arial" w:cs="Times New Roman"/>
          <w:b/>
        </w:rPr>
        <w:t xml:space="preserve">Please </w:t>
      </w:r>
      <w:r>
        <w:rPr>
          <w:rFonts w:ascii="Arial" w:eastAsia="Times New Roman" w:hAnsi="Arial" w:cs="Times New Roman"/>
          <w:b/>
        </w:rPr>
        <w:t xml:space="preserve">use this space to provide any other relevant </w:t>
      </w:r>
      <w:r w:rsidR="00810E4F">
        <w:rPr>
          <w:rFonts w:ascii="Arial" w:eastAsia="Times New Roman" w:hAnsi="Arial" w:cs="Times New Roman"/>
          <w:b/>
        </w:rPr>
        <w:t>information you wish to bring to ESMA’s attention not covered by your responses to the previous questions</w:t>
      </w:r>
      <w:r>
        <w:rPr>
          <w:rFonts w:ascii="Arial" w:eastAsia="Times New Roman" w:hAnsi="Arial" w:cs="Times New Roman"/>
          <w:b/>
        </w:rPr>
        <w:t>:</w:t>
      </w:r>
    </w:p>
    <w:p w14:paraId="3064B77D" w14:textId="47A5F982" w:rsidR="002E2C8E" w:rsidRPr="002E2C8E" w:rsidRDefault="002E2C8E" w:rsidP="002E2C8E">
      <w:r w:rsidRPr="00C85C8B">
        <w:t>&lt;ESMA_</w:t>
      </w:r>
      <w:r w:rsidRPr="00AC523D">
        <w:rPr>
          <w:rFonts w:eastAsia="Times New Roman"/>
        </w:rPr>
        <w:t xml:space="preserve"> </w:t>
      </w:r>
      <w:r w:rsidRPr="00934C4B">
        <w:rPr>
          <w:rFonts w:eastAsia="Times New Roman"/>
        </w:rPr>
        <w:t>QUESTION_</w:t>
      </w:r>
      <w:r>
        <w:t>CRAFees</w:t>
      </w:r>
      <w:r w:rsidRPr="00934C4B">
        <w:rPr>
          <w:rFonts w:eastAsia="Times New Roman"/>
        </w:rPr>
        <w:t>_</w:t>
      </w:r>
      <w:r>
        <w:rPr>
          <w:rFonts w:eastAsia="Times New Roman"/>
        </w:rPr>
        <w:t>Q</w:t>
      </w:r>
      <w:r w:rsidR="00810E4F">
        <w:rPr>
          <w:rFonts w:eastAsia="Times New Roman"/>
        </w:rPr>
        <w:t>f</w:t>
      </w:r>
      <w:r w:rsidRPr="00C85C8B">
        <w:t>&gt;</w:t>
      </w:r>
    </w:p>
    <w:p w14:paraId="35C731A1" w14:textId="77777777" w:rsidR="009B0709" w:rsidRDefault="009B0709" w:rsidP="009B0709">
      <w:r>
        <w:rPr>
          <w:noProof/>
        </w:rPr>
        <w:drawing>
          <wp:inline distT="0" distB="0" distL="0" distR="0" wp14:anchorId="707A95FF" wp14:editId="29D94F13">
            <wp:extent cx="5760720" cy="36093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609340"/>
                    </a:xfrm>
                    <a:prstGeom prst="rect">
                      <a:avLst/>
                    </a:prstGeom>
                  </pic:spPr>
                </pic:pic>
              </a:graphicData>
            </a:graphic>
          </wp:inline>
        </w:drawing>
      </w:r>
    </w:p>
    <w:p w14:paraId="35C7CAB3" w14:textId="77777777" w:rsidR="009B0709" w:rsidRDefault="009B0709" w:rsidP="009B0709">
      <w:r>
        <w:t>The graph above summarizes the impact of ESMAs proposal.</w:t>
      </w:r>
    </w:p>
    <w:p w14:paraId="4CB80D5E" w14:textId="77777777" w:rsidR="009B0709" w:rsidRPr="00DF799E"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sidRPr="00DF799E">
        <w:rPr>
          <w:lang w:val="en-GB"/>
        </w:rPr>
        <w:t>The column on the left represents the current fee structure before the UK Withdrawal. The second column shows the post Brexit effect: as revenues of the Dominant Agencies and International Agencies has shifted outside of the EU, European CRAs are likely to see their contributions doubling.</w:t>
      </w:r>
    </w:p>
    <w:p w14:paraId="4BE5AEE8" w14:textId="77777777" w:rsidR="009B0709" w:rsidRPr="00DF799E"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sidRPr="00DF799E">
        <w:rPr>
          <w:lang w:val="en-GB"/>
        </w:rPr>
        <w:t>The third column includes the introduction of the flat annual supervisory fee on small agencies. Not surprisingly, the contributions of European CRAs raise while the share of the Dominant 3 decreases.</w:t>
      </w:r>
    </w:p>
    <w:p w14:paraId="4573D95E" w14:textId="77777777" w:rsidR="009B0709" w:rsidRPr="00DF799E"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sidRPr="00DF799E">
        <w:rPr>
          <w:lang w:val="en-GB"/>
        </w:rPr>
        <w:t>The fourth column outlines the effect of the proposed endorsement fee. As International CRAs will be subject to this fee, their share increase.</w:t>
      </w:r>
    </w:p>
    <w:p w14:paraId="0866B1E2" w14:textId="77777777" w:rsidR="009B0709" w:rsidRPr="00DF799E"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sidRPr="00DF799E">
        <w:rPr>
          <w:lang w:val="en-GB"/>
        </w:rPr>
        <w:t xml:space="preserve">The last column marks the effect of changing the basis of calculation of supervisory fees to total turnover.  </w:t>
      </w:r>
    </w:p>
    <w:p w14:paraId="66C2F08F" w14:textId="77777777" w:rsidR="009B0709" w:rsidRDefault="009B0709" w:rsidP="009B0709">
      <w:r>
        <w:lastRenderedPageBreak/>
        <w:t xml:space="preserve">Compared to the current situation, when taking all ESMA proposals together, European Agencies would see their contributions nearly multiplied by 5 while the Dominant Agencies receive (unduly!) a discount! </w:t>
      </w:r>
    </w:p>
    <w:p w14:paraId="5F938666" w14:textId="77777777" w:rsidR="009B0709" w:rsidRDefault="009B0709" w:rsidP="009B0709">
      <w:r>
        <w:t>Directly connected to ESMA supervisory activities are potential supervisory actions, including the issuing of sanctions and public notices. We highlight that the current sanctioning regime under the CRA Regulation is unfair and disproportionate:</w:t>
      </w:r>
    </w:p>
    <w:p w14:paraId="3997D8D6" w14:textId="77777777" w:rsidR="009B0709" w:rsidRDefault="009B0709" w:rsidP="009B0709">
      <w:pPr>
        <w:jc w:val="center"/>
      </w:pPr>
      <w:r w:rsidRPr="00DF799E">
        <w:rPr>
          <w:noProof/>
          <w:color w:val="FF0000"/>
        </w:rPr>
        <w:drawing>
          <wp:inline distT="0" distB="0" distL="0" distR="0" wp14:anchorId="10BB5410" wp14:editId="7D949A36">
            <wp:extent cx="4557493" cy="289967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6" cstate="print"/>
                    <a:srcRect/>
                    <a:stretch>
                      <a:fillRect/>
                    </a:stretch>
                  </pic:blipFill>
                  <pic:spPr bwMode="auto">
                    <a:xfrm>
                      <a:off x="0" y="0"/>
                      <a:ext cx="4561795" cy="2902412"/>
                    </a:xfrm>
                    <a:prstGeom prst="rect">
                      <a:avLst/>
                    </a:prstGeom>
                    <a:noFill/>
                    <a:ln w="9525">
                      <a:noFill/>
                      <a:miter lim="800000"/>
                      <a:headEnd/>
                      <a:tailEnd/>
                    </a:ln>
                  </pic:spPr>
                </pic:pic>
              </a:graphicData>
            </a:graphic>
          </wp:inline>
        </w:drawing>
      </w:r>
    </w:p>
    <w:p w14:paraId="11666528" w14:textId="77777777" w:rsidR="009B0709" w:rsidRDefault="009B0709" w:rsidP="009B0709">
      <w:r>
        <w:t xml:space="preserve">For the same infringement, measured against revenues, a small agency would receive a far higher fine than a Dominant Agency. </w:t>
      </w:r>
      <w:proofErr w:type="gramStart"/>
      <w:r>
        <w:t>As long as</w:t>
      </w:r>
      <w:proofErr w:type="gramEnd"/>
      <w:r>
        <w:t xml:space="preserve"> the sanctioning regime is not modified to “make it </w:t>
      </w:r>
      <w:r w:rsidRPr="00954973">
        <w:t>a more effective, proportionate and dissuasive sanctioning regime”</w:t>
      </w:r>
      <w:r w:rsidRPr="00954973">
        <w:rPr>
          <w:rStyle w:val="Funotenzeichen"/>
        </w:rPr>
        <w:footnoteReference w:id="9"/>
      </w:r>
      <w:r>
        <w:t xml:space="preserve">, we believe that a material change in the calculation of supervisory fees to the disadvantage of small European agencies is not an appropriate. </w:t>
      </w:r>
    </w:p>
    <w:p w14:paraId="20437A16" w14:textId="77777777" w:rsidR="009B0709" w:rsidRDefault="009B0709" w:rsidP="009B0709">
      <w:r>
        <w:t>In summary, we believe that the following approach is the most appropriate:</w:t>
      </w:r>
    </w:p>
    <w:p w14:paraId="57AF6D91" w14:textId="77777777" w:rsidR="009B0709"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Pr>
          <w:lang w:val="en-GB"/>
        </w:rPr>
        <w:t xml:space="preserve">Annual accounts provided to ESMA should follow Member States tax law </w:t>
      </w:r>
      <w:proofErr w:type="gramStart"/>
      <w:r>
        <w:rPr>
          <w:lang w:val="en-GB"/>
        </w:rPr>
        <w:t>requirements</w:t>
      </w:r>
      <w:proofErr w:type="gramEnd"/>
    </w:p>
    <w:p w14:paraId="000B29C6" w14:textId="77777777" w:rsidR="009B0709"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Pr>
          <w:lang w:val="en-GB"/>
        </w:rPr>
        <w:t xml:space="preserve">Introduce commensurate endorsement fees designed to cover 50% of ESMA CRA Supervisory Budget </w:t>
      </w:r>
    </w:p>
    <w:p w14:paraId="474E3917" w14:textId="77777777" w:rsidR="009B0709"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Pr>
          <w:lang w:val="en-GB"/>
        </w:rPr>
        <w:t xml:space="preserve">keep the current threshold of EUR 10 </w:t>
      </w:r>
      <w:proofErr w:type="spellStart"/>
      <w:r>
        <w:rPr>
          <w:lang w:val="en-GB"/>
        </w:rPr>
        <w:t>mln</w:t>
      </w:r>
      <w:proofErr w:type="spellEnd"/>
      <w:r>
        <w:rPr>
          <w:lang w:val="en-GB"/>
        </w:rPr>
        <w:t xml:space="preserve"> for exempting small CRAs from paying supervisory </w:t>
      </w:r>
      <w:proofErr w:type="gramStart"/>
      <w:r>
        <w:rPr>
          <w:lang w:val="en-GB"/>
        </w:rPr>
        <w:t>fees;</w:t>
      </w:r>
      <w:proofErr w:type="gramEnd"/>
    </w:p>
    <w:p w14:paraId="1EF10EFC" w14:textId="77777777" w:rsidR="009B0709"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Pr>
          <w:lang w:val="en-GB"/>
        </w:rPr>
        <w:t xml:space="preserve">Define the threshold based on total </w:t>
      </w:r>
      <w:proofErr w:type="gramStart"/>
      <w:r>
        <w:rPr>
          <w:lang w:val="en-GB"/>
        </w:rPr>
        <w:t>turnover</w:t>
      </w:r>
      <w:proofErr w:type="gramEnd"/>
    </w:p>
    <w:p w14:paraId="20D8A2AE" w14:textId="77777777" w:rsidR="009B0709" w:rsidRPr="00155A1E"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Pr>
          <w:lang w:val="en-GB"/>
        </w:rPr>
        <w:lastRenderedPageBreak/>
        <w:t>Exclude the threshold from the applicable turnover</w:t>
      </w:r>
      <w:r w:rsidRPr="00155A1E">
        <w:rPr>
          <w:lang w:val="en-GB"/>
        </w:rPr>
        <w:t>.</w:t>
      </w:r>
    </w:p>
    <w:p w14:paraId="31E5AB7A" w14:textId="77777777" w:rsidR="009B0709" w:rsidRPr="00825237" w:rsidRDefault="009B0709" w:rsidP="009B0709">
      <w:r>
        <w:t>The graph below summarizes our proposal:</w:t>
      </w:r>
    </w:p>
    <w:p w14:paraId="52F03EFC" w14:textId="77777777" w:rsidR="009B0709" w:rsidRDefault="009B0709" w:rsidP="009B0709">
      <w:r>
        <w:rPr>
          <w:noProof/>
        </w:rPr>
        <w:drawing>
          <wp:inline distT="0" distB="0" distL="0" distR="0" wp14:anchorId="48ED16DB" wp14:editId="4A92B888">
            <wp:extent cx="5017273" cy="3199949"/>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44" cy="3214472"/>
                    </a:xfrm>
                    <a:prstGeom prst="rect">
                      <a:avLst/>
                    </a:prstGeom>
                  </pic:spPr>
                </pic:pic>
              </a:graphicData>
            </a:graphic>
          </wp:inline>
        </w:drawing>
      </w:r>
    </w:p>
    <w:p w14:paraId="65AD3751" w14:textId="77777777" w:rsidR="009B0709" w:rsidRDefault="009B0709" w:rsidP="009B0709">
      <w:r>
        <w:t>Our proposal has the following benefits:</w:t>
      </w:r>
    </w:p>
    <w:p w14:paraId="412FFC3C" w14:textId="77777777" w:rsidR="009B0709"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Pr>
          <w:lang w:val="en-GB"/>
        </w:rPr>
        <w:t>To ESMA: by setting as reference point of “total turnover” across the Delegated Regulation, the information collection exercise and the calculation of supervisory fees is substantially streamlined.</w:t>
      </w:r>
    </w:p>
    <w:p w14:paraId="68EC7385" w14:textId="77777777" w:rsidR="009B0709" w:rsidRDefault="009B0709" w:rsidP="009B0709">
      <w:pPr>
        <w:pStyle w:val="Listenabsatz"/>
        <w:numPr>
          <w:ilvl w:val="0"/>
          <w:numId w:val="55"/>
        </w:numPr>
        <w:tabs>
          <w:tab w:val="clear" w:pos="0"/>
          <w:tab w:val="clear" w:pos="142"/>
        </w:tabs>
        <w:autoSpaceDE/>
        <w:autoSpaceDN/>
        <w:adjustRightInd/>
        <w:spacing w:after="160" w:line="259" w:lineRule="auto"/>
        <w:contextualSpacing/>
        <w:jc w:val="left"/>
        <w:rPr>
          <w:lang w:val="en-GB"/>
        </w:rPr>
      </w:pPr>
      <w:r>
        <w:rPr>
          <w:lang w:val="en-GB"/>
        </w:rPr>
        <w:t>To CRAs: through the removal of the hard threshold, CRAs can gradually grow and are not suddenly subject to high supervisory fees kicking in.</w:t>
      </w:r>
    </w:p>
    <w:p w14:paraId="52189A78" w14:textId="77777777" w:rsidR="009B0709" w:rsidRDefault="009B0709" w:rsidP="009B0709"/>
    <w:p w14:paraId="14EACFAE" w14:textId="77777777" w:rsidR="009B0709" w:rsidRPr="00D930AA" w:rsidRDefault="009B0709" w:rsidP="009B0709">
      <w:r>
        <w:t xml:space="preserve">We thank you for the opportunity to provide our comments and remain at your full disposal for any clarifications or additional information. We trust that our above proposal mirrors the structure of the European rating market and the need for more competition as well as the unprecedented event of a Member State leaving the European Union. </w:t>
      </w:r>
    </w:p>
    <w:p w14:paraId="0F2DF0C6" w14:textId="77777777" w:rsidR="009B0709" w:rsidRDefault="009B0709" w:rsidP="009B0709"/>
    <w:p w14:paraId="04A6496C" w14:textId="55C52680" w:rsidR="002E2C8E" w:rsidRPr="00C85C8B" w:rsidRDefault="002E2C8E" w:rsidP="002E2C8E">
      <w:r w:rsidRPr="00C85C8B">
        <w:t>&lt;ESMA_</w:t>
      </w:r>
      <w:r w:rsidRPr="00AC523D">
        <w:rPr>
          <w:rFonts w:eastAsia="Times New Roman"/>
        </w:rPr>
        <w:t xml:space="preserve"> </w:t>
      </w:r>
      <w:proofErr w:type="spellStart"/>
      <w:r w:rsidRPr="00934C4B">
        <w:rPr>
          <w:rFonts w:eastAsia="Times New Roman"/>
        </w:rPr>
        <w:t>QUESTION_</w:t>
      </w:r>
      <w:r>
        <w:t>CRAFees</w:t>
      </w:r>
      <w:r w:rsidRPr="00934C4B">
        <w:rPr>
          <w:rFonts w:eastAsia="Times New Roman"/>
        </w:rPr>
        <w:t>_</w:t>
      </w:r>
      <w:r>
        <w:rPr>
          <w:rFonts w:eastAsia="Times New Roman"/>
        </w:rPr>
        <w:t>Q</w:t>
      </w:r>
      <w:r w:rsidR="00810E4F">
        <w:rPr>
          <w:rFonts w:eastAsia="Times New Roman"/>
        </w:rPr>
        <w:t>f</w:t>
      </w:r>
      <w:proofErr w:type="spellEnd"/>
      <w:r w:rsidRPr="00C85C8B">
        <w:t>&gt;</w:t>
      </w:r>
    </w:p>
    <w:p w14:paraId="6F13684D" w14:textId="2ABFF004" w:rsidR="002E2C8E" w:rsidRDefault="002E2C8E" w:rsidP="002E2C8E">
      <w:pPr>
        <w:spacing w:afterLines="120" w:after="288"/>
        <w:rPr>
          <w:rFonts w:ascii="Arial" w:eastAsia="Times New Roman" w:hAnsi="Arial" w:cs="Times New Roman"/>
          <w:b/>
        </w:rPr>
      </w:pPr>
    </w:p>
    <w:p w14:paraId="36BC3D8D" w14:textId="77777777" w:rsidR="00FB6505" w:rsidRDefault="00FB6505" w:rsidP="00FB6505">
      <w:pPr>
        <w:spacing w:after="120" w:line="264" w:lineRule="auto"/>
        <w:jc w:val="left"/>
      </w:pPr>
    </w:p>
    <w:sectPr w:rsidR="00FB6505" w:rsidSect="00346AB7">
      <w:headerReference w:type="default" r:id="rId28"/>
      <w:footerReference w:type="default" r:id="rId29"/>
      <w:pgSz w:w="11906" w:h="16838"/>
      <w:pgMar w:top="1417" w:right="1417" w:bottom="56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F07BA" w14:textId="77777777" w:rsidR="00327C30" w:rsidRDefault="00327C30" w:rsidP="00FB6505">
      <w:pPr>
        <w:spacing w:after="0" w:line="240" w:lineRule="auto"/>
      </w:pPr>
      <w:r>
        <w:separator/>
      </w:r>
    </w:p>
  </w:endnote>
  <w:endnote w:type="continuationSeparator" w:id="0">
    <w:p w14:paraId="3DECD3DE" w14:textId="77777777" w:rsidR="00327C30" w:rsidRDefault="00327C30" w:rsidP="00FB6505">
      <w:pPr>
        <w:spacing w:after="0" w:line="240" w:lineRule="auto"/>
      </w:pPr>
      <w:r>
        <w:continuationSeparator/>
      </w:r>
    </w:p>
  </w:endnote>
  <w:endnote w:type="continuationNotice" w:id="1">
    <w:p w14:paraId="34865B2E" w14:textId="77777777" w:rsidR="00327C30" w:rsidRDefault="00327C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A1249" w14:textId="6849076E" w:rsidR="004E06B7" w:rsidRPr="00F11A6F" w:rsidRDefault="004E06B7">
    <w:pPr>
      <w:pStyle w:val="Fuzeile"/>
      <w:rPr>
        <w:rFonts w:ascii="Arial" w:hAnsi="Arial" w:cs="Arial"/>
      </w:rPr>
    </w:pPr>
    <w:r w:rsidRPr="00F11A6F">
      <w:rPr>
        <w:rFonts w:ascii="Arial" w:hAnsi="Arial" w:cs="Arial"/>
        <w:color w:val="FFFFFF" w:themeColor="background1"/>
      </w:rPr>
      <w:ptab w:relativeTo="margin" w:alignment="center" w:leader="none"/>
    </w:r>
    <w:r w:rsidRPr="00F11A6F">
      <w:rPr>
        <w:rFonts w:ascii="Arial" w:hAnsi="Arial" w:cs="Arial"/>
        <w:color w:val="FFFFFF" w:themeColor="background1"/>
      </w:rPr>
      <w:ptab w:relativeTo="margin" w:alignment="right" w:leader="none"/>
    </w:r>
    <w:r w:rsidR="002E2C8E">
      <w:rPr>
        <w:rFonts w:ascii="Arial" w:hAnsi="Arial" w:cs="Arial"/>
        <w:color w:val="FFFFFF" w:themeColor="background1"/>
      </w:rPr>
      <w:t>29</w:t>
    </w:r>
    <w:r w:rsidRPr="00F11A6F">
      <w:rPr>
        <w:rFonts w:ascii="Arial" w:hAnsi="Arial" w:cs="Arial"/>
        <w:color w:val="FFFFFF" w:themeColor="background1"/>
      </w:rPr>
      <w:t xml:space="preserve"> </w:t>
    </w:r>
    <w:r>
      <w:rPr>
        <w:rFonts w:ascii="Arial" w:hAnsi="Arial" w:cs="Arial"/>
        <w:color w:val="FFFFFF" w:themeColor="background1"/>
      </w:rPr>
      <w:t>January</w:t>
    </w:r>
    <w:r w:rsidRPr="00F11A6F">
      <w:rPr>
        <w:rFonts w:ascii="Arial" w:hAnsi="Arial" w:cs="Arial"/>
        <w:color w:val="FFFFFF" w:themeColor="background1"/>
      </w:rPr>
      <w:t xml:space="preserve"> 202</w:t>
    </w:r>
    <w:r>
      <w:rPr>
        <w:rFonts w:ascii="Arial" w:hAnsi="Arial" w:cs="Arial"/>
        <w:color w:val="FFFFFF" w:themeColor="background1"/>
      </w:rPr>
      <w:t>1</w:t>
    </w:r>
    <w:r w:rsidRPr="00F11A6F">
      <w:rPr>
        <w:rFonts w:ascii="Arial" w:hAnsi="Arial" w:cs="Arial"/>
        <w:color w:val="FFFFFF" w:themeColor="background1"/>
      </w:rPr>
      <w:t xml:space="preserve"> | ESMA 80-</w:t>
    </w:r>
    <w:r w:rsidR="002E2C8E">
      <w:rPr>
        <w:rFonts w:ascii="Arial" w:hAnsi="Arial" w:cs="Arial"/>
        <w:color w:val="FFFFFF" w:themeColor="background1"/>
      </w:rPr>
      <w:t>196-5030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483652"/>
      <w:docPartObj>
        <w:docPartGallery w:val="Page Numbers (Bottom of Page)"/>
        <w:docPartUnique/>
      </w:docPartObj>
    </w:sdtPr>
    <w:sdtEndPr>
      <w:rPr>
        <w:noProof/>
      </w:rPr>
    </w:sdtEndPr>
    <w:sdtContent>
      <w:p w14:paraId="71128ECA" w14:textId="5BDAF165" w:rsidR="004E06B7" w:rsidRPr="0048000F" w:rsidRDefault="004E06B7" w:rsidP="00930295">
        <w:pPr>
          <w:pStyle w:val="Fuzeile"/>
          <w:jc w:val="left"/>
          <w:rPr>
            <w:rFonts w:ascii="Arial" w:hAnsi="Arial" w:cs="Arial"/>
            <w:color w:val="3E3F90"/>
            <w:sz w:val="16"/>
            <w:szCs w:val="16"/>
            <w:lang w:val="es-ES_tradnl"/>
          </w:rPr>
        </w:pPr>
      </w:p>
      <w:p w14:paraId="6FFCDC8E" w14:textId="77777777" w:rsidR="004E06B7" w:rsidRDefault="004E06B7" w:rsidP="00930295">
        <w:pPr>
          <w:pStyle w:val="Fuzeile"/>
          <w:spacing w:after="0"/>
          <w:jc w:val="right"/>
          <w:rPr>
            <w:noProof/>
          </w:rPr>
        </w:pPr>
        <w:r w:rsidRPr="00B73281">
          <w:rPr>
            <w:lang w:val="fr-BE"/>
          </w:rP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4024557"/>
      <w:docPartObj>
        <w:docPartGallery w:val="Page Numbers (Bottom of Page)"/>
        <w:docPartUnique/>
      </w:docPartObj>
    </w:sdtPr>
    <w:sdtEndPr>
      <w:rPr>
        <w:noProof/>
      </w:rPr>
    </w:sdtEndPr>
    <w:sdtContent>
      <w:p w14:paraId="68466592" w14:textId="77777777" w:rsidR="004E06B7" w:rsidRDefault="004E06B7" w:rsidP="00930295">
        <w:pPr>
          <w:pStyle w:val="Fuzeile"/>
          <w:jc w:val="right"/>
        </w:pPr>
        <w:r>
          <w:fldChar w:fldCharType="begin"/>
        </w:r>
        <w:r>
          <w:instrText xml:space="preserve"> PAGE   \* MERGEFORMAT </w:instrText>
        </w:r>
        <w:r>
          <w:fldChar w:fldCharType="separate"/>
        </w:r>
        <w:r>
          <w:rPr>
            <w:noProof/>
          </w:rPr>
          <w:t>31</w:t>
        </w:r>
        <w:r>
          <w:rPr>
            <w:noProof/>
          </w:rPr>
          <w:fldChar w:fldCharType="end"/>
        </w:r>
      </w:p>
    </w:sdtContent>
  </w:sdt>
  <w:p w14:paraId="6FB36E7F" w14:textId="77777777" w:rsidR="004E06B7" w:rsidRDefault="004E06B7"/>
  <w:p w14:paraId="51A303E2" w14:textId="77777777" w:rsidR="004E06B7" w:rsidRDefault="004E06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3A304" w14:textId="77777777" w:rsidR="00327C30" w:rsidRDefault="00327C30" w:rsidP="00FB6505">
      <w:pPr>
        <w:spacing w:after="0" w:line="240" w:lineRule="auto"/>
      </w:pPr>
      <w:r>
        <w:separator/>
      </w:r>
    </w:p>
  </w:footnote>
  <w:footnote w:type="continuationSeparator" w:id="0">
    <w:p w14:paraId="0304AD85" w14:textId="77777777" w:rsidR="00327C30" w:rsidRDefault="00327C30" w:rsidP="00FB6505">
      <w:pPr>
        <w:spacing w:after="0" w:line="240" w:lineRule="auto"/>
      </w:pPr>
      <w:r>
        <w:continuationSeparator/>
      </w:r>
    </w:p>
  </w:footnote>
  <w:footnote w:type="continuationNotice" w:id="1">
    <w:p w14:paraId="32C0D5E3" w14:textId="77777777" w:rsidR="00327C30" w:rsidRDefault="00327C30">
      <w:pPr>
        <w:spacing w:after="0" w:line="240" w:lineRule="auto"/>
      </w:pPr>
    </w:p>
  </w:footnote>
  <w:footnote w:id="2">
    <w:p w14:paraId="25CA8335" w14:textId="77777777" w:rsidR="00554B51" w:rsidRPr="00954973" w:rsidRDefault="00554B51" w:rsidP="00554B51">
      <w:pPr>
        <w:pStyle w:val="Funotentext"/>
      </w:pPr>
      <w:r>
        <w:rPr>
          <w:rStyle w:val="Funotenzeichen"/>
        </w:rPr>
        <w:footnoteRef/>
      </w:r>
      <w:r w:rsidRPr="00954973">
        <w:t xml:space="preserve"> </w:t>
      </w:r>
      <w:r>
        <w:t xml:space="preserve">Available at: </w:t>
      </w:r>
      <w:hyperlink r:id="rId1" w:history="1">
        <w:r w:rsidRPr="0023371E">
          <w:rPr>
            <w:rStyle w:val="Hyperlink"/>
          </w:rPr>
          <w:t>https://www.esma.europa.eu/sites/default/files/library/esma80_196_5019_consultation_paper_fees_charged_to_cras_by_esma.pdf</w:t>
        </w:r>
      </w:hyperlink>
    </w:p>
  </w:footnote>
  <w:footnote w:id="3">
    <w:p w14:paraId="6518616B" w14:textId="77777777" w:rsidR="00554B51" w:rsidRPr="00954973" w:rsidRDefault="00554B51" w:rsidP="00554B51">
      <w:pPr>
        <w:pStyle w:val="Funotentext"/>
      </w:pPr>
      <w:r>
        <w:rPr>
          <w:rStyle w:val="Funotenzeichen"/>
        </w:rPr>
        <w:footnoteRef/>
      </w:r>
      <w:r w:rsidRPr="00954973">
        <w:t xml:space="preserve"> </w:t>
      </w:r>
      <w:r>
        <w:t xml:space="preserve">Available at: </w:t>
      </w:r>
      <w:hyperlink r:id="rId2" w:history="1">
        <w:r w:rsidRPr="000F42C3">
          <w:rPr>
            <w:rStyle w:val="Hyperlink"/>
          </w:rPr>
          <w:t>EUR-Lex - 32012R0272 - EN - EUR-Lex (europa.eu)</w:t>
        </w:r>
      </w:hyperlink>
    </w:p>
  </w:footnote>
  <w:footnote w:id="4">
    <w:p w14:paraId="735E258D" w14:textId="77777777" w:rsidR="00554B51" w:rsidRPr="00E53C08" w:rsidRDefault="00554B51" w:rsidP="00554B51">
      <w:pPr>
        <w:pStyle w:val="Funotentext"/>
      </w:pPr>
      <w:r>
        <w:rPr>
          <w:rStyle w:val="Funotenzeichen"/>
        </w:rPr>
        <w:footnoteRef/>
      </w:r>
      <w:r w:rsidRPr="00E53C08">
        <w:t xml:space="preserve"> </w:t>
      </w:r>
      <w:r>
        <w:t xml:space="preserve">See page 54 of ESMAs Workplan for 2021, available at </w:t>
      </w:r>
      <w:hyperlink r:id="rId3" w:history="1">
        <w:r w:rsidRPr="0059453E">
          <w:rPr>
            <w:rStyle w:val="Hyperlink"/>
          </w:rPr>
          <w:t>https://www.esma.europa.eu/sites/default/files/library/esma20-95-1273_2021_annual_work_programme.pdf</w:t>
        </w:r>
      </w:hyperlink>
    </w:p>
  </w:footnote>
  <w:footnote w:id="5">
    <w:p w14:paraId="7DD390B3" w14:textId="77777777" w:rsidR="00554B51" w:rsidRPr="00E53C08" w:rsidRDefault="00554B51" w:rsidP="00554B51">
      <w:pPr>
        <w:pStyle w:val="Funotentext"/>
      </w:pPr>
      <w:r>
        <w:rPr>
          <w:rStyle w:val="Funotenzeichen"/>
        </w:rPr>
        <w:footnoteRef/>
      </w:r>
      <w:r w:rsidRPr="00E53C08">
        <w:t xml:space="preserve"> </w:t>
      </w:r>
      <w:r>
        <w:t xml:space="preserve">Given S&amp;Ps evolving corporate structure in Europe, S&amp;P </w:t>
      </w:r>
      <w:proofErr w:type="gramStart"/>
      <w:r>
        <w:t>didn’t</w:t>
      </w:r>
      <w:proofErr w:type="gramEnd"/>
      <w:r>
        <w:t xml:space="preserve"> disclose separately the revenues generated in the UK.</w:t>
      </w:r>
    </w:p>
  </w:footnote>
  <w:footnote w:id="6">
    <w:p w14:paraId="442E22CD" w14:textId="77777777" w:rsidR="00554B51" w:rsidRDefault="00554B51" w:rsidP="00554B51">
      <w:pPr>
        <w:pStyle w:val="Funotentext"/>
      </w:pPr>
      <w:r>
        <w:rPr>
          <w:rStyle w:val="Funotenzeichen"/>
        </w:rPr>
        <w:footnoteRef/>
      </w:r>
      <w:r w:rsidRPr="00C56674">
        <w:t xml:space="preserve"> For more information on the E</w:t>
      </w:r>
      <w:r>
        <w:t xml:space="preserve">CB Banking Supervision supervisory fees: </w:t>
      </w:r>
      <w:hyperlink r:id="rId4" w:history="1">
        <w:r w:rsidRPr="00CE1C41">
          <w:rPr>
            <w:rStyle w:val="Hyperlink"/>
          </w:rPr>
          <w:t>https://www.bankingsupervision.europa.eu/organisation/fees/total/html/index.en.html</w:t>
        </w:r>
      </w:hyperlink>
    </w:p>
    <w:p w14:paraId="38F9F5E7" w14:textId="77777777" w:rsidR="00554B51" w:rsidRPr="00C56674" w:rsidRDefault="00554B51" w:rsidP="00554B51">
      <w:pPr>
        <w:pStyle w:val="Funotentext"/>
      </w:pPr>
    </w:p>
  </w:footnote>
  <w:footnote w:id="7">
    <w:p w14:paraId="0A57ADF5" w14:textId="77777777" w:rsidR="00554B51" w:rsidRPr="000F65BA" w:rsidRDefault="00554B51" w:rsidP="00554B51">
      <w:pPr>
        <w:pStyle w:val="Funotentext"/>
      </w:pPr>
      <w:r>
        <w:rPr>
          <w:rStyle w:val="Funotenzeichen"/>
        </w:rPr>
        <w:footnoteRef/>
      </w:r>
      <w:r w:rsidRPr="000F65BA">
        <w:t xml:space="preserve"> </w:t>
      </w:r>
      <w:r>
        <w:t>Quote §18 page 5: “</w:t>
      </w:r>
      <w:r w:rsidRPr="000F65BA">
        <w:t>ESMA recognises that there is a need to balance the risks of fees to competition against the need for CRAs to contribute proportionately to the cost of their supervision. ESMA continues to consider a minimum fee is appropriate given all CRAs, no matter their size, will require ESMA to expend supervisory resources. ESMA is mindful of the ability of smaller CRAs to bear a higher fee than 5.000 euros, on the other hand, a lower fee could force large CRAs to subsidise the fees of smaller CRAs; consequently, ESMA suggests the minimum fee to be set at 5.000 euros</w:t>
      </w:r>
      <w:r>
        <w:t>”</w:t>
      </w:r>
      <w:r w:rsidRPr="000F65BA">
        <w:t xml:space="preserve">. </w:t>
      </w:r>
      <w:r>
        <w:t xml:space="preserve">Available at: </w:t>
      </w:r>
      <w:hyperlink r:id="rId5" w:history="1">
        <w:r w:rsidRPr="0059453E">
          <w:rPr>
            <w:rStyle w:val="Hyperlink"/>
          </w:rPr>
          <w:t>https://www.esma.europa.eu/sites/default/files/library/2015/11/2011_144.pdf</w:t>
        </w:r>
      </w:hyperlink>
    </w:p>
  </w:footnote>
  <w:footnote w:id="8">
    <w:p w14:paraId="571EA12B" w14:textId="77777777" w:rsidR="00554B51" w:rsidRPr="006145D0" w:rsidRDefault="00554B51" w:rsidP="00554B51">
      <w:pPr>
        <w:pStyle w:val="Funotentext"/>
      </w:pPr>
      <w:r>
        <w:rPr>
          <w:rStyle w:val="Funotenzeichen"/>
        </w:rPr>
        <w:footnoteRef/>
      </w:r>
      <w:r w:rsidRPr="006145D0">
        <w:t xml:space="preserve"> </w:t>
      </w:r>
      <w:r>
        <w:t>See § 59 page 19 of ESMAs Consultation Paper</w:t>
      </w:r>
    </w:p>
  </w:footnote>
  <w:footnote w:id="9">
    <w:p w14:paraId="79BE2599" w14:textId="77777777" w:rsidR="009B0709" w:rsidRPr="00954973" w:rsidRDefault="009B0709" w:rsidP="009B0709">
      <w:pPr>
        <w:pStyle w:val="Funotentext"/>
      </w:pPr>
      <w:r>
        <w:rPr>
          <w:rStyle w:val="Funotenzeichen"/>
        </w:rPr>
        <w:footnoteRef/>
      </w:r>
      <w:r w:rsidRPr="00954973">
        <w:t xml:space="preserve"> See letter of ESMA Chair </w:t>
      </w:r>
      <w:proofErr w:type="spellStart"/>
      <w:r w:rsidRPr="00954973">
        <w:t>M</w:t>
      </w:r>
      <w:r>
        <w:t>aijoor</w:t>
      </w:r>
      <w:proofErr w:type="spellEnd"/>
      <w:r>
        <w:t xml:space="preserve"> to EC DG FISMA Director General </w:t>
      </w:r>
      <w:proofErr w:type="spellStart"/>
      <w:r>
        <w:t>Guersent</w:t>
      </w:r>
      <w:proofErr w:type="spellEnd"/>
      <w:r>
        <w:t xml:space="preserve"> dated 27</w:t>
      </w:r>
      <w:r>
        <w:rPr>
          <w:vertAlign w:val="superscript"/>
        </w:rPr>
        <w:t xml:space="preserve"> </w:t>
      </w:r>
      <w:r>
        <w:t xml:space="preserve">January 2017, page 3, available at: </w:t>
      </w:r>
      <w:hyperlink r:id="rId6" w:history="1">
        <w:r w:rsidRPr="0059453E">
          <w:rPr>
            <w:rStyle w:val="Hyperlink"/>
          </w:rPr>
          <w:t>https://www.esma.europa.eu/sites/default/files/library/esma70-708036281-19_letter_to_com_-_emir_review_and_sanctioning_powers.pdf</w:t>
        </w:r>
      </w:hyperlink>
      <w: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F7D12" w14:textId="77777777" w:rsidR="004E06B7" w:rsidRDefault="004E06B7">
    <w:pPr>
      <w:pStyle w:val="Kopfzeile"/>
    </w:pPr>
    <w:r>
      <w:rPr>
        <w:noProof/>
        <w:lang w:eastAsia="en-GB"/>
      </w:rPr>
      <w:drawing>
        <wp:anchor distT="0" distB="0" distL="114300" distR="114300" simplePos="0" relativeHeight="251658243" behindDoc="1" locked="0" layoutInCell="1" allowOverlap="1" wp14:anchorId="718AF345" wp14:editId="7AA3859D">
          <wp:simplePos x="0" y="0"/>
          <wp:positionH relativeFrom="page">
            <wp:posOffset>-280989</wp:posOffset>
          </wp:positionH>
          <wp:positionV relativeFrom="page">
            <wp:posOffset>3890963</wp:posOffset>
          </wp:positionV>
          <wp:extent cx="7829551" cy="6800850"/>
          <wp:effectExtent l="0" t="0" r="0" b="0"/>
          <wp:wrapNone/>
          <wp:docPr id="47" name="Picture 47"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0195" cy="680140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0" locked="0" layoutInCell="1" allowOverlap="1" wp14:anchorId="6E49D96F" wp14:editId="22276BD7">
          <wp:simplePos x="0" y="0"/>
          <wp:positionH relativeFrom="page">
            <wp:posOffset>366395</wp:posOffset>
          </wp:positionH>
          <wp:positionV relativeFrom="page">
            <wp:posOffset>372745</wp:posOffset>
          </wp:positionV>
          <wp:extent cx="2209800" cy="904875"/>
          <wp:effectExtent l="0" t="0" r="0" b="9525"/>
          <wp:wrapNone/>
          <wp:docPr id="48" name="Picture 4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79B6B" w14:textId="77777777" w:rsidR="004E06B7" w:rsidRDefault="004E06B7" w:rsidP="00930295">
    <w:pPr>
      <w:pStyle w:val="Kopfzeile"/>
      <w:spacing w:after="0"/>
      <w:ind w:left="708"/>
      <w:jc w:val="right"/>
      <w:rPr>
        <w:b/>
        <w:color w:val="FF0000"/>
      </w:rPr>
    </w:pPr>
  </w:p>
  <w:tbl>
    <w:tblPr>
      <w:tblpPr w:leftFromText="8505" w:bottomFromText="1134" w:vertAnchor="page" w:horzAnchor="margin" w:tblpXSpec="right" w:tblpY="1501"/>
      <w:tblOverlap w:val="never"/>
      <w:tblW w:w="0" w:type="auto"/>
      <w:tblLayout w:type="fixed"/>
      <w:tblCellMar>
        <w:left w:w="0" w:type="dxa"/>
        <w:right w:w="0" w:type="dxa"/>
      </w:tblCellMar>
      <w:tblLook w:val="01E0" w:firstRow="1" w:lastRow="1" w:firstColumn="1" w:lastColumn="1" w:noHBand="0" w:noVBand="0"/>
    </w:tblPr>
    <w:tblGrid>
      <w:gridCol w:w="2377"/>
    </w:tblGrid>
    <w:tr w:rsidR="004E06B7" w:rsidRPr="005B6B12" w14:paraId="38BDF3FF" w14:textId="77777777" w:rsidTr="00930295">
      <w:trPr>
        <w:trHeight w:hRule="exact" w:val="589"/>
      </w:trPr>
      <w:tc>
        <w:tcPr>
          <w:tcW w:w="2377" w:type="dxa"/>
        </w:tcPr>
        <w:p w14:paraId="36B21F0E" w14:textId="1045B004" w:rsidR="004E06B7" w:rsidRPr="002E2C8E" w:rsidRDefault="002E2C8E" w:rsidP="00930295">
          <w:pPr>
            <w:pStyle w:val="02Date"/>
            <w:spacing w:after="0"/>
            <w:rPr>
              <w:rFonts w:ascii="Arial" w:hAnsi="Arial" w:cs="Arial"/>
            </w:rPr>
          </w:pPr>
          <w:r w:rsidRPr="002E2C8E">
            <w:rPr>
              <w:rFonts w:ascii="Arial" w:hAnsi="Arial" w:cs="Arial"/>
            </w:rPr>
            <w:t xml:space="preserve">29 </w:t>
          </w:r>
          <w:r w:rsidR="004E06B7" w:rsidRPr="002E2C8E">
            <w:rPr>
              <w:rFonts w:ascii="Arial" w:hAnsi="Arial" w:cs="Arial"/>
            </w:rPr>
            <w:t>January 2021</w:t>
          </w:r>
        </w:p>
        <w:p w14:paraId="6A5E24FD" w14:textId="4F08DF00" w:rsidR="004E06B7" w:rsidRPr="00A35AD2" w:rsidRDefault="004E06B7" w:rsidP="00930295">
          <w:pPr>
            <w:pStyle w:val="02Date"/>
            <w:spacing w:after="0"/>
            <w:rPr>
              <w:rFonts w:ascii="Arial" w:hAnsi="Arial" w:cs="Arial"/>
            </w:rPr>
          </w:pPr>
          <w:r w:rsidRPr="002E2C8E">
            <w:rPr>
              <w:rFonts w:ascii="Arial" w:hAnsi="Arial" w:cs="Arial"/>
            </w:rPr>
            <w:t>ESMA 80-</w:t>
          </w:r>
          <w:r w:rsidR="002E2C8E" w:rsidRPr="002E2C8E">
            <w:rPr>
              <w:rFonts w:ascii="Arial" w:hAnsi="Arial" w:cs="Arial"/>
            </w:rPr>
            <w:t>196-5030</w:t>
          </w:r>
        </w:p>
      </w:tc>
    </w:tr>
  </w:tbl>
  <w:p w14:paraId="6A4661AA" w14:textId="33F69D85" w:rsidR="004E06B7" w:rsidRDefault="004E06B7">
    <w:pPr>
      <w:pStyle w:val="Kopfzeile"/>
    </w:pPr>
    <w:r>
      <w:rPr>
        <w:noProof/>
        <w:lang w:eastAsia="en-GB"/>
      </w:rPr>
      <w:drawing>
        <wp:anchor distT="0" distB="0" distL="114300" distR="114300" simplePos="0" relativeHeight="251666944" behindDoc="0" locked="0" layoutInCell="1" allowOverlap="1" wp14:anchorId="5D60DBF7" wp14:editId="67E369CC">
          <wp:simplePos x="0" y="0"/>
          <wp:positionH relativeFrom="page">
            <wp:posOffset>899795</wp:posOffset>
          </wp:positionH>
          <wp:positionV relativeFrom="page">
            <wp:posOffset>448945</wp:posOffset>
          </wp:positionV>
          <wp:extent cx="2209800" cy="904875"/>
          <wp:effectExtent l="0" t="0" r="0" b="9525"/>
          <wp:wrapNone/>
          <wp:docPr id="7" name="Picture 7"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144D" w14:textId="77777777" w:rsidR="004E06B7" w:rsidRDefault="004E06B7">
    <w:pPr>
      <w:pStyle w:val="Kopfzeile"/>
    </w:pPr>
  </w:p>
  <w:p w14:paraId="412FA809" w14:textId="77777777" w:rsidR="004E06B7" w:rsidRDefault="004E06B7">
    <w:pPr>
      <w:pStyle w:val="Kopfzeile"/>
    </w:pPr>
  </w:p>
  <w:p w14:paraId="5C4E47D8" w14:textId="77777777" w:rsidR="004E06B7" w:rsidRDefault="004E06B7">
    <w:pPr>
      <w:pStyle w:val="Kopfzeile"/>
    </w:pPr>
    <w:r>
      <w:rPr>
        <w:noProof/>
        <w:lang w:eastAsia="en-GB"/>
      </w:rPr>
      <w:drawing>
        <wp:anchor distT="0" distB="0" distL="114300" distR="114300" simplePos="0" relativeHeight="251658242" behindDoc="0" locked="0" layoutInCell="1" allowOverlap="1" wp14:anchorId="1A5E9380" wp14:editId="394D478E">
          <wp:simplePos x="0" y="0"/>
          <wp:positionH relativeFrom="page">
            <wp:posOffset>366395</wp:posOffset>
          </wp:positionH>
          <wp:positionV relativeFrom="page">
            <wp:posOffset>372745</wp:posOffset>
          </wp:positionV>
          <wp:extent cx="2209800" cy="904875"/>
          <wp:effectExtent l="0" t="0" r="0" b="9525"/>
          <wp:wrapNone/>
          <wp:docPr id="8" name="Picture 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F274F" w14:textId="77777777" w:rsidR="004E06B7" w:rsidRDefault="004E06B7" w:rsidP="00EC4C2A">
    <w:pPr>
      <w:pStyle w:val="Kopfzeile"/>
      <w:jc w:val="center"/>
      <w:rPr>
        <w:b/>
        <w:color w:val="FF0000"/>
        <w:sz w:val="20"/>
      </w:rPr>
    </w:pPr>
  </w:p>
  <w:p w14:paraId="5003E61A" w14:textId="77777777" w:rsidR="004E06B7" w:rsidRPr="00D73444" w:rsidRDefault="004E06B7" w:rsidP="00930295">
    <w:pPr>
      <w:pStyle w:val="Kopfzeile"/>
      <w:jc w:val="right"/>
      <w:rPr>
        <w:b/>
        <w:color w:val="FF0000"/>
        <w:sz w:val="20"/>
      </w:rPr>
    </w:pPr>
    <w:r w:rsidRPr="00D73444">
      <w:rPr>
        <w:rFonts w:ascii="Arial" w:hAnsi="Arial" w:cs="Arial"/>
        <w:noProof/>
        <w:sz w:val="20"/>
        <w:lang w:eastAsia="en-GB"/>
      </w:rPr>
      <mc:AlternateContent>
        <mc:Choice Requires="wps">
          <w:drawing>
            <wp:anchor distT="0" distB="0" distL="114300" distR="114300" simplePos="0" relativeHeight="251658241" behindDoc="0" locked="0" layoutInCell="1" allowOverlap="1" wp14:anchorId="1ADAF5F7" wp14:editId="5D1AC431">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AA84C" id="Line 16"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" strokecolor="#283583" strokeweight="1pt">
              <w10:wrap anchorx="page" anchory="page"/>
            </v:line>
          </w:pict>
        </mc:Fallback>
      </mc:AlternateContent>
    </w:r>
  </w:p>
  <w:p w14:paraId="409F5C92" w14:textId="77777777" w:rsidR="004E06B7" w:rsidRPr="00B50534" w:rsidRDefault="004E06B7" w:rsidP="00930295">
    <w:pPr>
      <w:pStyle w:val="Kopfzeile"/>
      <w:jc w:val="right"/>
      <w:rPr>
        <w:b/>
        <w:color w:val="FF0000"/>
      </w:rPr>
    </w:pPr>
    <w:r w:rsidRPr="00D73444">
      <w:rPr>
        <w:b/>
        <w:noProof/>
        <w:color w:val="FF0000"/>
        <w:sz w:val="20"/>
        <w:lang w:eastAsia="en-GB"/>
      </w:rPr>
      <w:drawing>
        <wp:anchor distT="0" distB="0" distL="114300" distR="114300" simplePos="0" relativeHeight="251658240" behindDoc="0" locked="0" layoutInCell="1" allowOverlap="1" wp14:anchorId="66E5863B" wp14:editId="0E5B7DFF">
          <wp:simplePos x="0" y="0"/>
          <wp:positionH relativeFrom="page">
            <wp:posOffset>899795</wp:posOffset>
          </wp:positionH>
          <wp:positionV relativeFrom="page">
            <wp:posOffset>448945</wp:posOffset>
          </wp:positionV>
          <wp:extent cx="561975" cy="561975"/>
          <wp:effectExtent l="0" t="0" r="9525" b="9525"/>
          <wp:wrapNone/>
          <wp:docPr id="6" name="Picture 6"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14:paraId="258A81E3" w14:textId="77777777" w:rsidR="004E06B7" w:rsidRDefault="004E06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A01CB892"/>
    <w:lvl w:ilvl="0">
      <w:numFmt w:val="bullet"/>
      <w:lvlText w:val=""/>
      <w:lvlJc w:val="left"/>
      <w:pPr>
        <w:ind w:left="826" w:hanging="360"/>
      </w:pPr>
      <w:rPr>
        <w:rFonts w:ascii="Symbol" w:hAnsi="Symbol" w:cs="Symbol"/>
        <w:b w:val="0"/>
        <w:bCs w:val="0"/>
        <w:sz w:val="24"/>
        <w:szCs w:val="24"/>
      </w:rPr>
    </w:lvl>
    <w:lvl w:ilvl="1">
      <w:numFmt w:val="bullet"/>
      <w:lvlText w:val="•"/>
      <w:lvlJc w:val="left"/>
      <w:pPr>
        <w:ind w:left="1704" w:hanging="360"/>
      </w:pPr>
    </w:lvl>
    <w:lvl w:ilvl="2">
      <w:numFmt w:val="bullet"/>
      <w:lvlText w:val="•"/>
      <w:lvlJc w:val="left"/>
      <w:pPr>
        <w:ind w:left="2531" w:hanging="360"/>
      </w:pPr>
    </w:lvl>
    <w:lvl w:ilvl="3">
      <w:numFmt w:val="bullet"/>
      <w:lvlText w:val="•"/>
      <w:lvlJc w:val="left"/>
      <w:pPr>
        <w:ind w:left="3358" w:hanging="360"/>
      </w:pPr>
    </w:lvl>
    <w:lvl w:ilvl="4">
      <w:numFmt w:val="bullet"/>
      <w:lvlText w:val="•"/>
      <w:lvlJc w:val="left"/>
      <w:pPr>
        <w:ind w:left="4185" w:hanging="360"/>
      </w:pPr>
    </w:lvl>
    <w:lvl w:ilvl="5">
      <w:numFmt w:val="bullet"/>
      <w:lvlText w:val="•"/>
      <w:lvlJc w:val="left"/>
      <w:pPr>
        <w:ind w:left="5012" w:hanging="360"/>
      </w:pPr>
    </w:lvl>
    <w:lvl w:ilvl="6">
      <w:numFmt w:val="bullet"/>
      <w:lvlText w:val="•"/>
      <w:lvlJc w:val="left"/>
      <w:pPr>
        <w:ind w:left="5838" w:hanging="360"/>
      </w:pPr>
    </w:lvl>
    <w:lvl w:ilvl="7">
      <w:numFmt w:val="bullet"/>
      <w:lvlText w:val="•"/>
      <w:lvlJc w:val="left"/>
      <w:pPr>
        <w:ind w:left="6665" w:hanging="360"/>
      </w:pPr>
    </w:lvl>
    <w:lvl w:ilvl="8">
      <w:numFmt w:val="bullet"/>
      <w:lvlText w:val="•"/>
      <w:lvlJc w:val="left"/>
      <w:pPr>
        <w:ind w:left="7492" w:hanging="360"/>
      </w:pPr>
    </w:lvl>
  </w:abstractNum>
  <w:abstractNum w:abstractNumId="1" w15:restartNumberingAfterBreak="0">
    <w:nsid w:val="0213493C"/>
    <w:multiLevelType w:val="hybridMultilevel"/>
    <w:tmpl w:val="3DDC9BEC"/>
    <w:lvl w:ilvl="0" w:tplc="C69E51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37A3E"/>
    <w:multiLevelType w:val="hybridMultilevel"/>
    <w:tmpl w:val="C35E8802"/>
    <w:lvl w:ilvl="0" w:tplc="7FECE9D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8751F"/>
    <w:multiLevelType w:val="hybridMultilevel"/>
    <w:tmpl w:val="5442F84A"/>
    <w:lvl w:ilvl="0" w:tplc="C598F78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5C372A"/>
    <w:multiLevelType w:val="hybridMultilevel"/>
    <w:tmpl w:val="07848E94"/>
    <w:lvl w:ilvl="0" w:tplc="0562E23E">
      <w:start w:val="1"/>
      <w:numFmt w:val="lowerLetter"/>
      <w:pStyle w:val="Listsub-para"/>
      <w:lvlText w:val="%1."/>
      <w:lvlJc w:val="left"/>
      <w:pPr>
        <w:ind w:left="927" w:hanging="360"/>
      </w:pPr>
      <w:rPr>
        <w:rFonts w:hint="default"/>
        <w:b w:val="0"/>
      </w:rPr>
    </w:lvl>
    <w:lvl w:ilvl="1" w:tplc="0809001B">
      <w:start w:val="1"/>
      <w:numFmt w:val="lowerRoman"/>
      <w:pStyle w:val="Listsub-para"/>
      <w:lvlText w:val="%2."/>
      <w:lvlJc w:val="righ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0E197F6F"/>
    <w:multiLevelType w:val="hybridMultilevel"/>
    <w:tmpl w:val="4BB037B6"/>
    <w:lvl w:ilvl="0" w:tplc="2EF61F14">
      <w:start w:val="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DF44F0"/>
    <w:multiLevelType w:val="hybridMultilevel"/>
    <w:tmpl w:val="77D215D4"/>
    <w:lvl w:ilvl="0" w:tplc="E11203A4">
      <w:start w:val="1"/>
      <w:numFmt w:val="bullet"/>
      <w:lvlText w:val=""/>
      <w:lvlJc w:val="left"/>
      <w:pPr>
        <w:ind w:left="1068"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9A6113"/>
    <w:multiLevelType w:val="hybridMultilevel"/>
    <w:tmpl w:val="28687D9C"/>
    <w:lvl w:ilvl="0" w:tplc="60DA0F0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4A540F"/>
    <w:multiLevelType w:val="hybridMultilevel"/>
    <w:tmpl w:val="FC387A8E"/>
    <w:lvl w:ilvl="0" w:tplc="7FAECA72">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C78B8"/>
    <w:multiLevelType w:val="multilevel"/>
    <w:tmpl w:val="2ED4F4D0"/>
    <w:name w:val="Point"/>
    <w:lvl w:ilvl="0">
      <w:start w:val="1"/>
      <w:numFmt w:val="decimal"/>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0" w15:restartNumberingAfterBreak="0">
    <w:nsid w:val="20BE50A0"/>
    <w:multiLevelType w:val="hybridMultilevel"/>
    <w:tmpl w:val="BB3CA18A"/>
    <w:lvl w:ilvl="0" w:tplc="A384B0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5E2B9A"/>
    <w:multiLevelType w:val="hybridMultilevel"/>
    <w:tmpl w:val="22A80968"/>
    <w:lvl w:ilvl="0" w:tplc="B240B9F4">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8A3D94"/>
    <w:multiLevelType w:val="multilevel"/>
    <w:tmpl w:val="D3FCF7C6"/>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9C7DB2"/>
    <w:multiLevelType w:val="hybridMultilevel"/>
    <w:tmpl w:val="09DEC852"/>
    <w:lvl w:ilvl="0" w:tplc="677694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1315E3"/>
    <w:multiLevelType w:val="multilevel"/>
    <w:tmpl w:val="2ED4F4D0"/>
    <w:lvl w:ilvl="0">
      <w:start w:val="1"/>
      <w:numFmt w:val="decimal"/>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6" w15:restartNumberingAfterBreak="0">
    <w:nsid w:val="263C730B"/>
    <w:multiLevelType w:val="hybridMultilevel"/>
    <w:tmpl w:val="65A857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8806DE5"/>
    <w:multiLevelType w:val="multilevel"/>
    <w:tmpl w:val="7F2AD2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A6567A"/>
    <w:multiLevelType w:val="hybridMultilevel"/>
    <w:tmpl w:val="BB5E9C0C"/>
    <w:lvl w:ilvl="0" w:tplc="E23E1D7E">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2B9E089E"/>
    <w:multiLevelType w:val="hybridMultilevel"/>
    <w:tmpl w:val="87960D64"/>
    <w:lvl w:ilvl="0" w:tplc="4F30587E">
      <w:start w:val="1"/>
      <w:numFmt w:val="lowerLetter"/>
      <w:pStyle w:val="berschrift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D181D69"/>
    <w:multiLevelType w:val="hybridMultilevel"/>
    <w:tmpl w:val="0A189E10"/>
    <w:lvl w:ilvl="0" w:tplc="52DE78C0">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1" w15:restartNumberingAfterBreak="0">
    <w:nsid w:val="2E510C19"/>
    <w:multiLevelType w:val="hybridMultilevel"/>
    <w:tmpl w:val="41105B62"/>
    <w:lvl w:ilvl="0" w:tplc="0809000F">
      <w:start w:val="1"/>
      <w:numFmt w:val="decimal"/>
      <w:lvlText w:val="%1."/>
      <w:lvlJc w:val="left"/>
      <w:pPr>
        <w:ind w:left="1518" w:hanging="360"/>
      </w:pPr>
    </w:lvl>
    <w:lvl w:ilvl="1" w:tplc="08090019" w:tentative="1">
      <w:start w:val="1"/>
      <w:numFmt w:val="lowerLetter"/>
      <w:lvlText w:val="%2."/>
      <w:lvlJc w:val="left"/>
      <w:pPr>
        <w:ind w:left="2238" w:hanging="360"/>
      </w:pPr>
    </w:lvl>
    <w:lvl w:ilvl="2" w:tplc="0809001B" w:tentative="1">
      <w:start w:val="1"/>
      <w:numFmt w:val="lowerRoman"/>
      <w:lvlText w:val="%3."/>
      <w:lvlJc w:val="right"/>
      <w:pPr>
        <w:ind w:left="2958" w:hanging="180"/>
      </w:pPr>
    </w:lvl>
    <w:lvl w:ilvl="3" w:tplc="0809000F" w:tentative="1">
      <w:start w:val="1"/>
      <w:numFmt w:val="decimal"/>
      <w:lvlText w:val="%4."/>
      <w:lvlJc w:val="left"/>
      <w:pPr>
        <w:ind w:left="3678" w:hanging="360"/>
      </w:pPr>
    </w:lvl>
    <w:lvl w:ilvl="4" w:tplc="08090019" w:tentative="1">
      <w:start w:val="1"/>
      <w:numFmt w:val="lowerLetter"/>
      <w:lvlText w:val="%5."/>
      <w:lvlJc w:val="left"/>
      <w:pPr>
        <w:ind w:left="4398" w:hanging="360"/>
      </w:pPr>
    </w:lvl>
    <w:lvl w:ilvl="5" w:tplc="0809001B" w:tentative="1">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22" w15:restartNumberingAfterBreak="0">
    <w:nsid w:val="2F7D0105"/>
    <w:multiLevelType w:val="hybridMultilevel"/>
    <w:tmpl w:val="B46636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48B7838"/>
    <w:multiLevelType w:val="hybridMultilevel"/>
    <w:tmpl w:val="41105B62"/>
    <w:lvl w:ilvl="0" w:tplc="0809000F">
      <w:start w:val="1"/>
      <w:numFmt w:val="decimal"/>
      <w:lvlText w:val="%1."/>
      <w:lvlJc w:val="left"/>
      <w:pPr>
        <w:ind w:left="1518" w:hanging="360"/>
      </w:pPr>
    </w:lvl>
    <w:lvl w:ilvl="1" w:tplc="08090019" w:tentative="1">
      <w:start w:val="1"/>
      <w:numFmt w:val="lowerLetter"/>
      <w:lvlText w:val="%2."/>
      <w:lvlJc w:val="left"/>
      <w:pPr>
        <w:ind w:left="2238" w:hanging="360"/>
      </w:pPr>
    </w:lvl>
    <w:lvl w:ilvl="2" w:tplc="0809001B" w:tentative="1">
      <w:start w:val="1"/>
      <w:numFmt w:val="lowerRoman"/>
      <w:lvlText w:val="%3."/>
      <w:lvlJc w:val="right"/>
      <w:pPr>
        <w:ind w:left="2958" w:hanging="180"/>
      </w:pPr>
    </w:lvl>
    <w:lvl w:ilvl="3" w:tplc="0809000F" w:tentative="1">
      <w:start w:val="1"/>
      <w:numFmt w:val="decimal"/>
      <w:lvlText w:val="%4."/>
      <w:lvlJc w:val="left"/>
      <w:pPr>
        <w:ind w:left="3678" w:hanging="360"/>
      </w:pPr>
    </w:lvl>
    <w:lvl w:ilvl="4" w:tplc="08090019" w:tentative="1">
      <w:start w:val="1"/>
      <w:numFmt w:val="lowerLetter"/>
      <w:lvlText w:val="%5."/>
      <w:lvlJc w:val="left"/>
      <w:pPr>
        <w:ind w:left="4398" w:hanging="360"/>
      </w:pPr>
    </w:lvl>
    <w:lvl w:ilvl="5" w:tplc="0809001B" w:tentative="1">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25" w15:restartNumberingAfterBreak="0">
    <w:nsid w:val="38E1432A"/>
    <w:multiLevelType w:val="hybridMultilevel"/>
    <w:tmpl w:val="B98CA248"/>
    <w:lvl w:ilvl="0" w:tplc="3F843B34">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A94E00"/>
    <w:multiLevelType w:val="hybridMultilevel"/>
    <w:tmpl w:val="41F81948"/>
    <w:lvl w:ilvl="0" w:tplc="E11203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43641B52"/>
    <w:multiLevelType w:val="hybridMultilevel"/>
    <w:tmpl w:val="9D9012AC"/>
    <w:lvl w:ilvl="0" w:tplc="B68A4746">
      <w:start w:val="1"/>
      <w:numFmt w:val="bullet"/>
      <w:lvlText w:val="•"/>
      <w:lvlJc w:val="left"/>
      <w:pPr>
        <w:ind w:left="1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605C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107F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DA4B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6C5B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12C8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DE56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9AD3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80A4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66609A9"/>
    <w:multiLevelType w:val="hybridMultilevel"/>
    <w:tmpl w:val="A2BED89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9" w15:restartNumberingAfterBreak="0">
    <w:nsid w:val="46BB3B38"/>
    <w:multiLevelType w:val="hybridMultilevel"/>
    <w:tmpl w:val="3BF6D316"/>
    <w:lvl w:ilvl="0" w:tplc="C69E51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7862A9"/>
    <w:multiLevelType w:val="hybridMultilevel"/>
    <w:tmpl w:val="1E8AE2E6"/>
    <w:lvl w:ilvl="0" w:tplc="3B1637FA">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1" w15:restartNumberingAfterBreak="0">
    <w:nsid w:val="4B071B3C"/>
    <w:multiLevelType w:val="hybridMultilevel"/>
    <w:tmpl w:val="E4E6D6E0"/>
    <w:lvl w:ilvl="0" w:tplc="77DA46D2">
      <w:start w:val="1"/>
      <w:numFmt w:val="bullet"/>
      <w:lvlText w:val=""/>
      <w:lvlJc w:val="left"/>
      <w:pPr>
        <w:ind w:left="1080" w:hanging="360"/>
      </w:pPr>
      <w:rPr>
        <w:rFonts w:ascii="Symbol" w:hAnsi="Symbol" w:hint="default"/>
      </w:rPr>
    </w:lvl>
    <w:lvl w:ilvl="1" w:tplc="DF24EFD6">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CC568A0"/>
    <w:multiLevelType w:val="hybridMultilevel"/>
    <w:tmpl w:val="00703640"/>
    <w:lvl w:ilvl="0" w:tplc="51B2731A">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4309DD"/>
    <w:multiLevelType w:val="hybridMultilevel"/>
    <w:tmpl w:val="48FAF5AE"/>
    <w:lvl w:ilvl="0" w:tplc="95126FE0">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C20ABC"/>
    <w:multiLevelType w:val="hybridMultilevel"/>
    <w:tmpl w:val="E2DA6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A55D78"/>
    <w:multiLevelType w:val="multilevel"/>
    <w:tmpl w:val="2ED4F4D0"/>
    <w:lvl w:ilvl="0">
      <w:start w:val="1"/>
      <w:numFmt w:val="decimal"/>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6" w15:restartNumberingAfterBreak="0">
    <w:nsid w:val="539A0A77"/>
    <w:multiLevelType w:val="hybridMultilevel"/>
    <w:tmpl w:val="202829BE"/>
    <w:lvl w:ilvl="0" w:tplc="B55283D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C602428"/>
    <w:multiLevelType w:val="hybridMultilevel"/>
    <w:tmpl w:val="EB303FEC"/>
    <w:lvl w:ilvl="0" w:tplc="3F843B34">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B10134"/>
    <w:multiLevelType w:val="multilevel"/>
    <w:tmpl w:val="DA1AD88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E760FF"/>
    <w:multiLevelType w:val="hybridMultilevel"/>
    <w:tmpl w:val="A4189CCA"/>
    <w:lvl w:ilvl="0" w:tplc="D996CD26">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FA5A6D"/>
    <w:multiLevelType w:val="hybridMultilevel"/>
    <w:tmpl w:val="66380332"/>
    <w:lvl w:ilvl="0" w:tplc="FE2A3EBE">
      <w:start w:val="1"/>
      <w:numFmt w:val="decimal"/>
      <w:lvlText w:val="%1."/>
      <w:lvlJc w:val="left"/>
      <w:pPr>
        <w:ind w:left="360" w:hanging="360"/>
      </w:pPr>
      <w:rPr>
        <w:rFonts w:hint="default"/>
      </w:rPr>
    </w:lvl>
    <w:lvl w:ilvl="1" w:tplc="08130019">
      <w:start w:val="1"/>
      <w:numFmt w:val="lowerLetter"/>
      <w:lvlText w:val="%2."/>
      <w:lvlJc w:val="left"/>
      <w:pPr>
        <w:ind w:left="938" w:hanging="360"/>
      </w:pPr>
    </w:lvl>
    <w:lvl w:ilvl="2" w:tplc="0813001B">
      <w:start w:val="1"/>
      <w:numFmt w:val="lowerRoman"/>
      <w:lvlText w:val="%3."/>
      <w:lvlJc w:val="right"/>
      <w:pPr>
        <w:ind w:left="1658" w:hanging="180"/>
      </w:pPr>
    </w:lvl>
    <w:lvl w:ilvl="3" w:tplc="0813000F" w:tentative="1">
      <w:start w:val="1"/>
      <w:numFmt w:val="decimal"/>
      <w:lvlText w:val="%4."/>
      <w:lvlJc w:val="left"/>
      <w:pPr>
        <w:ind w:left="2378" w:hanging="360"/>
      </w:pPr>
    </w:lvl>
    <w:lvl w:ilvl="4" w:tplc="08130019" w:tentative="1">
      <w:start w:val="1"/>
      <w:numFmt w:val="lowerLetter"/>
      <w:lvlText w:val="%5."/>
      <w:lvlJc w:val="left"/>
      <w:pPr>
        <w:ind w:left="3098" w:hanging="360"/>
      </w:pPr>
    </w:lvl>
    <w:lvl w:ilvl="5" w:tplc="0813001B" w:tentative="1">
      <w:start w:val="1"/>
      <w:numFmt w:val="lowerRoman"/>
      <w:lvlText w:val="%6."/>
      <w:lvlJc w:val="right"/>
      <w:pPr>
        <w:ind w:left="3818" w:hanging="180"/>
      </w:pPr>
    </w:lvl>
    <w:lvl w:ilvl="6" w:tplc="0813000F" w:tentative="1">
      <w:start w:val="1"/>
      <w:numFmt w:val="decimal"/>
      <w:lvlText w:val="%7."/>
      <w:lvlJc w:val="left"/>
      <w:pPr>
        <w:ind w:left="4538" w:hanging="360"/>
      </w:pPr>
    </w:lvl>
    <w:lvl w:ilvl="7" w:tplc="08130019" w:tentative="1">
      <w:start w:val="1"/>
      <w:numFmt w:val="lowerLetter"/>
      <w:lvlText w:val="%8."/>
      <w:lvlJc w:val="left"/>
      <w:pPr>
        <w:ind w:left="5258" w:hanging="360"/>
      </w:pPr>
    </w:lvl>
    <w:lvl w:ilvl="8" w:tplc="0813001B" w:tentative="1">
      <w:start w:val="1"/>
      <w:numFmt w:val="lowerRoman"/>
      <w:lvlText w:val="%9."/>
      <w:lvlJc w:val="right"/>
      <w:pPr>
        <w:ind w:left="5978" w:hanging="180"/>
      </w:pPr>
    </w:lvl>
  </w:abstractNum>
  <w:abstractNum w:abstractNumId="41" w15:restartNumberingAfterBreak="0">
    <w:nsid w:val="667B3E77"/>
    <w:multiLevelType w:val="hybridMultilevel"/>
    <w:tmpl w:val="1AF0C1E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2" w15:restartNumberingAfterBreak="0">
    <w:nsid w:val="695B102C"/>
    <w:multiLevelType w:val="multilevel"/>
    <w:tmpl w:val="1F86AC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BA737D9"/>
    <w:multiLevelType w:val="hybridMultilevel"/>
    <w:tmpl w:val="43104ED8"/>
    <w:lvl w:ilvl="0" w:tplc="26E20418">
      <w:start w:val="1"/>
      <w:numFmt w:val="decimal"/>
      <w:lvlText w:val="%1."/>
      <w:lvlJc w:val="left"/>
      <w:pPr>
        <w:ind w:left="720" w:hanging="360"/>
      </w:pPr>
    </w:lvl>
    <w:lvl w:ilvl="1" w:tplc="515A543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AD1101"/>
    <w:multiLevelType w:val="multilevel"/>
    <w:tmpl w:val="073A8BF4"/>
    <w:lvl w:ilvl="0">
      <w:start w:val="1"/>
      <w:numFmt w:val="decimal"/>
      <w:pStyle w:val="berschrift1"/>
      <w:lvlText w:val="%1"/>
      <w:lvlJc w:val="left"/>
      <w:pPr>
        <w:ind w:left="1567"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5" w15:restartNumberingAfterBreak="0">
    <w:nsid w:val="74510727"/>
    <w:multiLevelType w:val="hybridMultilevel"/>
    <w:tmpl w:val="41105B62"/>
    <w:lvl w:ilvl="0" w:tplc="0809000F">
      <w:start w:val="1"/>
      <w:numFmt w:val="decimal"/>
      <w:lvlText w:val="%1."/>
      <w:lvlJc w:val="left"/>
      <w:pPr>
        <w:ind w:left="1518" w:hanging="360"/>
      </w:pPr>
    </w:lvl>
    <w:lvl w:ilvl="1" w:tplc="08090019" w:tentative="1">
      <w:start w:val="1"/>
      <w:numFmt w:val="lowerLetter"/>
      <w:lvlText w:val="%2."/>
      <w:lvlJc w:val="left"/>
      <w:pPr>
        <w:ind w:left="2238" w:hanging="360"/>
      </w:pPr>
    </w:lvl>
    <w:lvl w:ilvl="2" w:tplc="0809001B" w:tentative="1">
      <w:start w:val="1"/>
      <w:numFmt w:val="lowerRoman"/>
      <w:lvlText w:val="%3."/>
      <w:lvlJc w:val="right"/>
      <w:pPr>
        <w:ind w:left="2958" w:hanging="180"/>
      </w:pPr>
    </w:lvl>
    <w:lvl w:ilvl="3" w:tplc="0809000F" w:tentative="1">
      <w:start w:val="1"/>
      <w:numFmt w:val="decimal"/>
      <w:lvlText w:val="%4."/>
      <w:lvlJc w:val="left"/>
      <w:pPr>
        <w:ind w:left="3678" w:hanging="360"/>
      </w:pPr>
    </w:lvl>
    <w:lvl w:ilvl="4" w:tplc="08090019" w:tentative="1">
      <w:start w:val="1"/>
      <w:numFmt w:val="lowerLetter"/>
      <w:lvlText w:val="%5."/>
      <w:lvlJc w:val="left"/>
      <w:pPr>
        <w:ind w:left="4398" w:hanging="360"/>
      </w:pPr>
    </w:lvl>
    <w:lvl w:ilvl="5" w:tplc="0809001B" w:tentative="1">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46" w15:restartNumberingAfterBreak="0">
    <w:nsid w:val="75B44684"/>
    <w:multiLevelType w:val="hybridMultilevel"/>
    <w:tmpl w:val="410E3826"/>
    <w:lvl w:ilvl="0" w:tplc="8CB0D478">
      <w:start w:val="1"/>
      <w:numFmt w:val="decimal"/>
      <w:lvlText w:val="%1."/>
      <w:lvlJc w:val="left"/>
      <w:pPr>
        <w:ind w:left="1428" w:hanging="360"/>
      </w:pPr>
      <w:rPr>
        <w:rFonts w:hint="default"/>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47" w15:restartNumberingAfterBreak="0">
    <w:nsid w:val="7CB623C4"/>
    <w:multiLevelType w:val="hybridMultilevel"/>
    <w:tmpl w:val="87462238"/>
    <w:lvl w:ilvl="0" w:tplc="B240B9F4">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44"/>
  </w:num>
  <w:num w:numId="3">
    <w:abstractNumId w:val="19"/>
  </w:num>
  <w:num w:numId="4">
    <w:abstractNumId w:val="5"/>
  </w:num>
  <w:num w:numId="5">
    <w:abstractNumId w:val="4"/>
  </w:num>
  <w:num w:numId="6">
    <w:abstractNumId w:val="4"/>
    <w:lvlOverride w:ilvl="0">
      <w:startOverride w:val="1"/>
    </w:lvlOverride>
  </w:num>
  <w:num w:numId="7">
    <w:abstractNumId w:val="45"/>
  </w:num>
  <w:num w:numId="8">
    <w:abstractNumId w:val="21"/>
  </w:num>
  <w:num w:numId="9">
    <w:abstractNumId w:val="33"/>
  </w:num>
  <w:num w:numId="10">
    <w:abstractNumId w:val="33"/>
    <w:lvlOverride w:ilvl="0">
      <w:startOverride w:val="1"/>
    </w:lvlOverride>
  </w:num>
  <w:num w:numId="11">
    <w:abstractNumId w:val="2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35"/>
  </w:num>
  <w:num w:numId="17">
    <w:abstractNumId w:val="7"/>
  </w:num>
  <w:num w:numId="18">
    <w:abstractNumId w:val="25"/>
  </w:num>
  <w:num w:numId="19">
    <w:abstractNumId w:val="2"/>
  </w:num>
  <w:num w:numId="20">
    <w:abstractNumId w:val="8"/>
  </w:num>
  <w:num w:numId="21">
    <w:abstractNumId w:val="25"/>
    <w:lvlOverride w:ilvl="0">
      <w:startOverride w:val="1"/>
    </w:lvlOverride>
  </w:num>
  <w:num w:numId="22">
    <w:abstractNumId w:val="16"/>
  </w:num>
  <w:num w:numId="23">
    <w:abstractNumId w:val="37"/>
  </w:num>
  <w:num w:numId="24">
    <w:abstractNumId w:val="11"/>
  </w:num>
  <w:num w:numId="25">
    <w:abstractNumId w:val="11"/>
  </w:num>
  <w:num w:numId="26">
    <w:abstractNumId w:val="22"/>
  </w:num>
  <w:num w:numId="27">
    <w:abstractNumId w:val="42"/>
  </w:num>
  <w:num w:numId="28">
    <w:abstractNumId w:val="40"/>
  </w:num>
  <w:num w:numId="29">
    <w:abstractNumId w:val="10"/>
  </w:num>
  <w:num w:numId="30">
    <w:abstractNumId w:val="10"/>
    <w:lvlOverride w:ilvl="0">
      <w:startOverride w:val="1"/>
    </w:lvlOverride>
  </w:num>
  <w:num w:numId="31">
    <w:abstractNumId w:val="38"/>
  </w:num>
  <w:num w:numId="32">
    <w:abstractNumId w:val="46"/>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41"/>
  </w:num>
  <w:num w:numId="39">
    <w:abstractNumId w:val="43"/>
  </w:num>
  <w:num w:numId="40">
    <w:abstractNumId w:val="30"/>
  </w:num>
  <w:num w:numId="41">
    <w:abstractNumId w:val="6"/>
  </w:num>
  <w:num w:numId="42">
    <w:abstractNumId w:val="26"/>
  </w:num>
  <w:num w:numId="43">
    <w:abstractNumId w:val="3"/>
  </w:num>
  <w:num w:numId="44">
    <w:abstractNumId w:val="34"/>
  </w:num>
  <w:num w:numId="45">
    <w:abstractNumId w:val="13"/>
  </w:num>
  <w:num w:numId="46">
    <w:abstractNumId w:val="0"/>
  </w:num>
  <w:num w:numId="47">
    <w:abstractNumId w:val="27"/>
  </w:num>
  <w:num w:numId="48">
    <w:abstractNumId w:val="39"/>
  </w:num>
  <w:num w:numId="49">
    <w:abstractNumId w:val="18"/>
  </w:num>
  <w:num w:numId="50">
    <w:abstractNumId w:val="31"/>
  </w:num>
  <w:num w:numId="51">
    <w:abstractNumId w:val="36"/>
  </w:num>
  <w:num w:numId="52">
    <w:abstractNumId w:val="47"/>
  </w:num>
  <w:num w:numId="53">
    <w:abstractNumId w:val="20"/>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1"/>
  </w:num>
  <w:num w:numId="57">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FB6505"/>
    <w:rsid w:val="00001BE3"/>
    <w:rsid w:val="00003295"/>
    <w:rsid w:val="00004BBA"/>
    <w:rsid w:val="000065B4"/>
    <w:rsid w:val="00025DBB"/>
    <w:rsid w:val="00036D4C"/>
    <w:rsid w:val="00042CE9"/>
    <w:rsid w:val="0005723B"/>
    <w:rsid w:val="00066D34"/>
    <w:rsid w:val="00075F54"/>
    <w:rsid w:val="000970E3"/>
    <w:rsid w:val="000A14D1"/>
    <w:rsid w:val="000A3AAF"/>
    <w:rsid w:val="000B2050"/>
    <w:rsid w:val="000C5786"/>
    <w:rsid w:val="000D3FA4"/>
    <w:rsid w:val="000D4709"/>
    <w:rsid w:val="000D693C"/>
    <w:rsid w:val="000E010B"/>
    <w:rsid w:val="000E0328"/>
    <w:rsid w:val="000E1D1A"/>
    <w:rsid w:val="000E4207"/>
    <w:rsid w:val="000E4451"/>
    <w:rsid w:val="000F2250"/>
    <w:rsid w:val="0011065E"/>
    <w:rsid w:val="00110B7A"/>
    <w:rsid w:val="0011184C"/>
    <w:rsid w:val="00115434"/>
    <w:rsid w:val="00120A4D"/>
    <w:rsid w:val="00121B05"/>
    <w:rsid w:val="00123B90"/>
    <w:rsid w:val="00126EDF"/>
    <w:rsid w:val="00144FFF"/>
    <w:rsid w:val="00150733"/>
    <w:rsid w:val="00154E73"/>
    <w:rsid w:val="00156E58"/>
    <w:rsid w:val="00166F86"/>
    <w:rsid w:val="0016728C"/>
    <w:rsid w:val="001706BE"/>
    <w:rsid w:val="0017156C"/>
    <w:rsid w:val="001735F1"/>
    <w:rsid w:val="001829F3"/>
    <w:rsid w:val="001830C1"/>
    <w:rsid w:val="00183EBC"/>
    <w:rsid w:val="0018523D"/>
    <w:rsid w:val="00190D92"/>
    <w:rsid w:val="00192EB5"/>
    <w:rsid w:val="00194CE4"/>
    <w:rsid w:val="00195D45"/>
    <w:rsid w:val="001A1D49"/>
    <w:rsid w:val="001A4BB1"/>
    <w:rsid w:val="001A580E"/>
    <w:rsid w:val="001B1F95"/>
    <w:rsid w:val="001C4294"/>
    <w:rsid w:val="001C51AC"/>
    <w:rsid w:val="001D3061"/>
    <w:rsid w:val="001D6710"/>
    <w:rsid w:val="001E27F7"/>
    <w:rsid w:val="001E64AA"/>
    <w:rsid w:val="001E681B"/>
    <w:rsid w:val="001E71D9"/>
    <w:rsid w:val="001F2425"/>
    <w:rsid w:val="001F3BBE"/>
    <w:rsid w:val="001F4A1D"/>
    <w:rsid w:val="0020185D"/>
    <w:rsid w:val="00210149"/>
    <w:rsid w:val="0022617C"/>
    <w:rsid w:val="002267DE"/>
    <w:rsid w:val="002300E0"/>
    <w:rsid w:val="00231831"/>
    <w:rsid w:val="00235A7E"/>
    <w:rsid w:val="002422F2"/>
    <w:rsid w:val="002459CC"/>
    <w:rsid w:val="002546C8"/>
    <w:rsid w:val="0025762E"/>
    <w:rsid w:val="002777AB"/>
    <w:rsid w:val="00283E85"/>
    <w:rsid w:val="00293BE7"/>
    <w:rsid w:val="002A5086"/>
    <w:rsid w:val="002B04DB"/>
    <w:rsid w:val="002C6146"/>
    <w:rsid w:val="002C7CB8"/>
    <w:rsid w:val="002E2C8E"/>
    <w:rsid w:val="002E618B"/>
    <w:rsid w:val="002F49CE"/>
    <w:rsid w:val="002F4AF3"/>
    <w:rsid w:val="003015AB"/>
    <w:rsid w:val="00326108"/>
    <w:rsid w:val="00327C30"/>
    <w:rsid w:val="00332D83"/>
    <w:rsid w:val="003330EE"/>
    <w:rsid w:val="003349E4"/>
    <w:rsid w:val="00346214"/>
    <w:rsid w:val="00346AB7"/>
    <w:rsid w:val="00361CF9"/>
    <w:rsid w:val="00363150"/>
    <w:rsid w:val="003665D9"/>
    <w:rsid w:val="003746B4"/>
    <w:rsid w:val="003A1AFE"/>
    <w:rsid w:val="003A57EF"/>
    <w:rsid w:val="003B04CD"/>
    <w:rsid w:val="003B682B"/>
    <w:rsid w:val="003B7F21"/>
    <w:rsid w:val="003C17F3"/>
    <w:rsid w:val="003C60A7"/>
    <w:rsid w:val="003D7353"/>
    <w:rsid w:val="003E145E"/>
    <w:rsid w:val="003E37BF"/>
    <w:rsid w:val="003F0233"/>
    <w:rsid w:val="00401251"/>
    <w:rsid w:val="00410E91"/>
    <w:rsid w:val="00420C6D"/>
    <w:rsid w:val="00421F1F"/>
    <w:rsid w:val="00430E94"/>
    <w:rsid w:val="00441027"/>
    <w:rsid w:val="00441B21"/>
    <w:rsid w:val="00454315"/>
    <w:rsid w:val="00454F8B"/>
    <w:rsid w:val="00454FEE"/>
    <w:rsid w:val="00456B58"/>
    <w:rsid w:val="00462AB3"/>
    <w:rsid w:val="004675DE"/>
    <w:rsid w:val="00470A96"/>
    <w:rsid w:val="00470CEE"/>
    <w:rsid w:val="00471813"/>
    <w:rsid w:val="00476407"/>
    <w:rsid w:val="00483943"/>
    <w:rsid w:val="00484EA4"/>
    <w:rsid w:val="004920BD"/>
    <w:rsid w:val="00495818"/>
    <w:rsid w:val="004A2A50"/>
    <w:rsid w:val="004A63A5"/>
    <w:rsid w:val="004B1689"/>
    <w:rsid w:val="004B6407"/>
    <w:rsid w:val="004B6D91"/>
    <w:rsid w:val="004C3B80"/>
    <w:rsid w:val="004C3CE3"/>
    <w:rsid w:val="004D194C"/>
    <w:rsid w:val="004D1CAB"/>
    <w:rsid w:val="004D7BD9"/>
    <w:rsid w:val="004E06B7"/>
    <w:rsid w:val="004E36C3"/>
    <w:rsid w:val="004E6026"/>
    <w:rsid w:val="004E70BA"/>
    <w:rsid w:val="004F3A03"/>
    <w:rsid w:val="005210A9"/>
    <w:rsid w:val="005216EC"/>
    <w:rsid w:val="005324F8"/>
    <w:rsid w:val="00532C2A"/>
    <w:rsid w:val="005411C5"/>
    <w:rsid w:val="00542AB1"/>
    <w:rsid w:val="0054387A"/>
    <w:rsid w:val="00543D17"/>
    <w:rsid w:val="00554B51"/>
    <w:rsid w:val="005558C0"/>
    <w:rsid w:val="00561EBF"/>
    <w:rsid w:val="00563910"/>
    <w:rsid w:val="0057034B"/>
    <w:rsid w:val="00573D09"/>
    <w:rsid w:val="005846CA"/>
    <w:rsid w:val="00587AB2"/>
    <w:rsid w:val="00591BB0"/>
    <w:rsid w:val="005A009A"/>
    <w:rsid w:val="005A56D8"/>
    <w:rsid w:val="005A593B"/>
    <w:rsid w:val="005B701E"/>
    <w:rsid w:val="005C1743"/>
    <w:rsid w:val="005C5904"/>
    <w:rsid w:val="005C7D17"/>
    <w:rsid w:val="005D2581"/>
    <w:rsid w:val="005D5FF7"/>
    <w:rsid w:val="005E2878"/>
    <w:rsid w:val="005F2E38"/>
    <w:rsid w:val="00604A3B"/>
    <w:rsid w:val="00614C63"/>
    <w:rsid w:val="006151BE"/>
    <w:rsid w:val="00620287"/>
    <w:rsid w:val="006205FB"/>
    <w:rsid w:val="0062373B"/>
    <w:rsid w:val="00630018"/>
    <w:rsid w:val="00635899"/>
    <w:rsid w:val="00665A7F"/>
    <w:rsid w:val="00666FF0"/>
    <w:rsid w:val="00667F4D"/>
    <w:rsid w:val="00692BCE"/>
    <w:rsid w:val="006946EE"/>
    <w:rsid w:val="006A0C58"/>
    <w:rsid w:val="006A32AB"/>
    <w:rsid w:val="006A412C"/>
    <w:rsid w:val="006B475E"/>
    <w:rsid w:val="006B5C79"/>
    <w:rsid w:val="006D2025"/>
    <w:rsid w:val="006D38B5"/>
    <w:rsid w:val="006D6682"/>
    <w:rsid w:val="006E192B"/>
    <w:rsid w:val="006E1AF3"/>
    <w:rsid w:val="006F0E28"/>
    <w:rsid w:val="006F3230"/>
    <w:rsid w:val="006F3DD1"/>
    <w:rsid w:val="006F4329"/>
    <w:rsid w:val="007044D1"/>
    <w:rsid w:val="00704757"/>
    <w:rsid w:val="00704D49"/>
    <w:rsid w:val="00705298"/>
    <w:rsid w:val="00716BBF"/>
    <w:rsid w:val="007209A2"/>
    <w:rsid w:val="00726CAD"/>
    <w:rsid w:val="00740D9C"/>
    <w:rsid w:val="0074100C"/>
    <w:rsid w:val="0074207B"/>
    <w:rsid w:val="0075143B"/>
    <w:rsid w:val="00751693"/>
    <w:rsid w:val="00755513"/>
    <w:rsid w:val="0075776A"/>
    <w:rsid w:val="0076017C"/>
    <w:rsid w:val="00761FB4"/>
    <w:rsid w:val="007667D6"/>
    <w:rsid w:val="00767093"/>
    <w:rsid w:val="00772A76"/>
    <w:rsid w:val="00775563"/>
    <w:rsid w:val="007824B4"/>
    <w:rsid w:val="00783EF5"/>
    <w:rsid w:val="00797BA4"/>
    <w:rsid w:val="007A0096"/>
    <w:rsid w:val="007A4CC4"/>
    <w:rsid w:val="007B0B2F"/>
    <w:rsid w:val="007B52B2"/>
    <w:rsid w:val="007C2833"/>
    <w:rsid w:val="007C4C70"/>
    <w:rsid w:val="007C531C"/>
    <w:rsid w:val="007C53F9"/>
    <w:rsid w:val="007D6A05"/>
    <w:rsid w:val="007E2753"/>
    <w:rsid w:val="007E3B7E"/>
    <w:rsid w:val="007E6A1F"/>
    <w:rsid w:val="007F07A5"/>
    <w:rsid w:val="007F1D6C"/>
    <w:rsid w:val="007F216B"/>
    <w:rsid w:val="007F2EA1"/>
    <w:rsid w:val="00801314"/>
    <w:rsid w:val="0081014A"/>
    <w:rsid w:val="00810E4F"/>
    <w:rsid w:val="00811699"/>
    <w:rsid w:val="008311B5"/>
    <w:rsid w:val="00845B5F"/>
    <w:rsid w:val="0088024B"/>
    <w:rsid w:val="00883628"/>
    <w:rsid w:val="00886DA1"/>
    <w:rsid w:val="008951D0"/>
    <w:rsid w:val="008A2E26"/>
    <w:rsid w:val="008B22FF"/>
    <w:rsid w:val="008B43E4"/>
    <w:rsid w:val="008C086C"/>
    <w:rsid w:val="008C5C4D"/>
    <w:rsid w:val="008C6246"/>
    <w:rsid w:val="008D1295"/>
    <w:rsid w:val="008D434A"/>
    <w:rsid w:val="008D6E3F"/>
    <w:rsid w:val="008E0C1E"/>
    <w:rsid w:val="008E3223"/>
    <w:rsid w:val="008E4C68"/>
    <w:rsid w:val="008F084E"/>
    <w:rsid w:val="0090043D"/>
    <w:rsid w:val="00903AC2"/>
    <w:rsid w:val="00910E85"/>
    <w:rsid w:val="00912EBA"/>
    <w:rsid w:val="00913E51"/>
    <w:rsid w:val="00930295"/>
    <w:rsid w:val="00934C4B"/>
    <w:rsid w:val="009358B0"/>
    <w:rsid w:val="009462B2"/>
    <w:rsid w:val="00947B07"/>
    <w:rsid w:val="00950454"/>
    <w:rsid w:val="0095760F"/>
    <w:rsid w:val="0096583A"/>
    <w:rsid w:val="009673E5"/>
    <w:rsid w:val="00970DFE"/>
    <w:rsid w:val="009713CA"/>
    <w:rsid w:val="00973E6E"/>
    <w:rsid w:val="00975382"/>
    <w:rsid w:val="00981998"/>
    <w:rsid w:val="00984EC9"/>
    <w:rsid w:val="00986173"/>
    <w:rsid w:val="00986283"/>
    <w:rsid w:val="00992498"/>
    <w:rsid w:val="00992AB1"/>
    <w:rsid w:val="0099366E"/>
    <w:rsid w:val="0099494A"/>
    <w:rsid w:val="0099593C"/>
    <w:rsid w:val="009A6B52"/>
    <w:rsid w:val="009B0709"/>
    <w:rsid w:val="009B2E42"/>
    <w:rsid w:val="009B5256"/>
    <w:rsid w:val="009C1DB8"/>
    <w:rsid w:val="009D54FD"/>
    <w:rsid w:val="009E2478"/>
    <w:rsid w:val="009E3A18"/>
    <w:rsid w:val="009F16AE"/>
    <w:rsid w:val="009F4F8A"/>
    <w:rsid w:val="009F7386"/>
    <w:rsid w:val="00A0079B"/>
    <w:rsid w:val="00A012CB"/>
    <w:rsid w:val="00A03A4E"/>
    <w:rsid w:val="00A176CD"/>
    <w:rsid w:val="00A21519"/>
    <w:rsid w:val="00A335A3"/>
    <w:rsid w:val="00A35AD2"/>
    <w:rsid w:val="00A46BE4"/>
    <w:rsid w:val="00A54202"/>
    <w:rsid w:val="00A60FE9"/>
    <w:rsid w:val="00A70E0A"/>
    <w:rsid w:val="00A733C0"/>
    <w:rsid w:val="00A73A8B"/>
    <w:rsid w:val="00A778C8"/>
    <w:rsid w:val="00A819F4"/>
    <w:rsid w:val="00A866B7"/>
    <w:rsid w:val="00A9206E"/>
    <w:rsid w:val="00AA231B"/>
    <w:rsid w:val="00AA50B0"/>
    <w:rsid w:val="00AB12E1"/>
    <w:rsid w:val="00AC4D67"/>
    <w:rsid w:val="00AC523D"/>
    <w:rsid w:val="00AC6468"/>
    <w:rsid w:val="00AD320A"/>
    <w:rsid w:val="00AD5D1A"/>
    <w:rsid w:val="00AD7FD1"/>
    <w:rsid w:val="00AE0AD7"/>
    <w:rsid w:val="00AE2B7A"/>
    <w:rsid w:val="00AF042C"/>
    <w:rsid w:val="00AF0D76"/>
    <w:rsid w:val="00AF56D1"/>
    <w:rsid w:val="00B055AC"/>
    <w:rsid w:val="00B06AE3"/>
    <w:rsid w:val="00B243E4"/>
    <w:rsid w:val="00B262FC"/>
    <w:rsid w:val="00B275CB"/>
    <w:rsid w:val="00B30400"/>
    <w:rsid w:val="00B31717"/>
    <w:rsid w:val="00B349BE"/>
    <w:rsid w:val="00B358A4"/>
    <w:rsid w:val="00B36D7E"/>
    <w:rsid w:val="00B42F21"/>
    <w:rsid w:val="00B53E47"/>
    <w:rsid w:val="00B554C5"/>
    <w:rsid w:val="00B62292"/>
    <w:rsid w:val="00B63C62"/>
    <w:rsid w:val="00B674DF"/>
    <w:rsid w:val="00B708DD"/>
    <w:rsid w:val="00B73FED"/>
    <w:rsid w:val="00B7519D"/>
    <w:rsid w:val="00B76047"/>
    <w:rsid w:val="00B77273"/>
    <w:rsid w:val="00B818A2"/>
    <w:rsid w:val="00B928CE"/>
    <w:rsid w:val="00BA31D6"/>
    <w:rsid w:val="00BA61A9"/>
    <w:rsid w:val="00BB5AB5"/>
    <w:rsid w:val="00BC1AFF"/>
    <w:rsid w:val="00BD2A85"/>
    <w:rsid w:val="00BE374C"/>
    <w:rsid w:val="00BE3F3E"/>
    <w:rsid w:val="00BE57B1"/>
    <w:rsid w:val="00BE6C62"/>
    <w:rsid w:val="00BF5F84"/>
    <w:rsid w:val="00BF6401"/>
    <w:rsid w:val="00BF64DD"/>
    <w:rsid w:val="00BF747F"/>
    <w:rsid w:val="00C00482"/>
    <w:rsid w:val="00C047AE"/>
    <w:rsid w:val="00C20C26"/>
    <w:rsid w:val="00C278CD"/>
    <w:rsid w:val="00C404F1"/>
    <w:rsid w:val="00C4534F"/>
    <w:rsid w:val="00C45F72"/>
    <w:rsid w:val="00C47F20"/>
    <w:rsid w:val="00C50032"/>
    <w:rsid w:val="00C52083"/>
    <w:rsid w:val="00C536CC"/>
    <w:rsid w:val="00C57DB2"/>
    <w:rsid w:val="00C61103"/>
    <w:rsid w:val="00C66048"/>
    <w:rsid w:val="00C664A4"/>
    <w:rsid w:val="00C719EF"/>
    <w:rsid w:val="00C72D91"/>
    <w:rsid w:val="00C7442C"/>
    <w:rsid w:val="00C74614"/>
    <w:rsid w:val="00C74985"/>
    <w:rsid w:val="00C77A47"/>
    <w:rsid w:val="00C817CA"/>
    <w:rsid w:val="00C8498D"/>
    <w:rsid w:val="00CA2F25"/>
    <w:rsid w:val="00CA68FA"/>
    <w:rsid w:val="00CA6D4F"/>
    <w:rsid w:val="00CA6D98"/>
    <w:rsid w:val="00CB30DC"/>
    <w:rsid w:val="00CD1B7F"/>
    <w:rsid w:val="00CE351D"/>
    <w:rsid w:val="00CE3C23"/>
    <w:rsid w:val="00CE3F88"/>
    <w:rsid w:val="00CE498D"/>
    <w:rsid w:val="00CE6D9D"/>
    <w:rsid w:val="00CF405A"/>
    <w:rsid w:val="00CF55E0"/>
    <w:rsid w:val="00D047B8"/>
    <w:rsid w:val="00D11763"/>
    <w:rsid w:val="00D13416"/>
    <w:rsid w:val="00D148A5"/>
    <w:rsid w:val="00D278EC"/>
    <w:rsid w:val="00D326F3"/>
    <w:rsid w:val="00D32937"/>
    <w:rsid w:val="00D3620F"/>
    <w:rsid w:val="00D41CDF"/>
    <w:rsid w:val="00D41E93"/>
    <w:rsid w:val="00D439E8"/>
    <w:rsid w:val="00D4734A"/>
    <w:rsid w:val="00D61801"/>
    <w:rsid w:val="00D7089C"/>
    <w:rsid w:val="00D7423D"/>
    <w:rsid w:val="00D82F28"/>
    <w:rsid w:val="00D84104"/>
    <w:rsid w:val="00D858F3"/>
    <w:rsid w:val="00D94112"/>
    <w:rsid w:val="00D97FCF"/>
    <w:rsid w:val="00DA11F0"/>
    <w:rsid w:val="00DA1608"/>
    <w:rsid w:val="00DA1C57"/>
    <w:rsid w:val="00DA3343"/>
    <w:rsid w:val="00DA544D"/>
    <w:rsid w:val="00DB7230"/>
    <w:rsid w:val="00DB7BD6"/>
    <w:rsid w:val="00DC44CA"/>
    <w:rsid w:val="00DD2766"/>
    <w:rsid w:val="00DE5D53"/>
    <w:rsid w:val="00DE6784"/>
    <w:rsid w:val="00DE738B"/>
    <w:rsid w:val="00DF27EA"/>
    <w:rsid w:val="00E03591"/>
    <w:rsid w:val="00E0718D"/>
    <w:rsid w:val="00E14E2F"/>
    <w:rsid w:val="00E1527A"/>
    <w:rsid w:val="00E25225"/>
    <w:rsid w:val="00E34EB0"/>
    <w:rsid w:val="00E4011C"/>
    <w:rsid w:val="00E413EF"/>
    <w:rsid w:val="00E50B0A"/>
    <w:rsid w:val="00E6249A"/>
    <w:rsid w:val="00E71585"/>
    <w:rsid w:val="00E717DD"/>
    <w:rsid w:val="00E8039A"/>
    <w:rsid w:val="00E819A2"/>
    <w:rsid w:val="00E82AD5"/>
    <w:rsid w:val="00E91DBC"/>
    <w:rsid w:val="00E92662"/>
    <w:rsid w:val="00E96441"/>
    <w:rsid w:val="00E96623"/>
    <w:rsid w:val="00EC4C2A"/>
    <w:rsid w:val="00ED7688"/>
    <w:rsid w:val="00EF5A70"/>
    <w:rsid w:val="00F00272"/>
    <w:rsid w:val="00F11A6F"/>
    <w:rsid w:val="00F122EB"/>
    <w:rsid w:val="00F427D7"/>
    <w:rsid w:val="00F46922"/>
    <w:rsid w:val="00F51952"/>
    <w:rsid w:val="00F52AA7"/>
    <w:rsid w:val="00F638C5"/>
    <w:rsid w:val="00F65652"/>
    <w:rsid w:val="00F6686A"/>
    <w:rsid w:val="00F71440"/>
    <w:rsid w:val="00F8142C"/>
    <w:rsid w:val="00F82C5E"/>
    <w:rsid w:val="00F86B76"/>
    <w:rsid w:val="00FA276C"/>
    <w:rsid w:val="00FA5427"/>
    <w:rsid w:val="00FB2C12"/>
    <w:rsid w:val="00FB4F21"/>
    <w:rsid w:val="00FB6505"/>
    <w:rsid w:val="00FB6511"/>
    <w:rsid w:val="00FC1A6C"/>
    <w:rsid w:val="00FC2029"/>
    <w:rsid w:val="00FC4966"/>
    <w:rsid w:val="00FD6674"/>
    <w:rsid w:val="00FD7280"/>
    <w:rsid w:val="00FE0370"/>
    <w:rsid w:val="00FE048C"/>
    <w:rsid w:val="00FF70E1"/>
    <w:rsid w:val="00FF7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A104B"/>
  <w15:chartTrackingRefBased/>
  <w15:docId w15:val="{1FE47D7E-0AFA-4E53-98DB-A1ED3685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6505"/>
    <w:pPr>
      <w:spacing w:after="250" w:line="276" w:lineRule="auto"/>
      <w:jc w:val="both"/>
    </w:pPr>
    <w:rPr>
      <w:rFonts w:eastAsiaTheme="minorEastAsia"/>
      <w:szCs w:val="20"/>
    </w:rPr>
  </w:style>
  <w:style w:type="paragraph" w:styleId="berschrift1">
    <w:name w:val="heading 1"/>
    <w:basedOn w:val="Standard"/>
    <w:next w:val="Standard"/>
    <w:link w:val="berschrift1Zchn"/>
    <w:uiPriority w:val="9"/>
    <w:qFormat/>
    <w:rsid w:val="00FB6505"/>
    <w:pPr>
      <w:keepNext/>
      <w:keepLines/>
      <w:numPr>
        <w:numId w:val="2"/>
      </w:numPr>
      <w:spacing w:before="32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B6505"/>
    <w:pPr>
      <w:keepNext/>
      <w:keepLines/>
      <w:numPr>
        <w:ilvl w:val="1"/>
        <w:numId w:val="2"/>
      </w:numPr>
      <w:spacing w:before="320"/>
      <w:outlineLvl w:val="1"/>
    </w:pPr>
    <w:rPr>
      <w:rFonts w:asciiTheme="majorHAnsi" w:eastAsiaTheme="majorEastAsia" w:hAnsiTheme="majorHAnsi" w:cstheme="majorBidi"/>
      <w:b/>
      <w:sz w:val="28"/>
      <w:szCs w:val="28"/>
    </w:rPr>
  </w:style>
  <w:style w:type="paragraph" w:styleId="berschrift3">
    <w:name w:val="heading 3"/>
    <w:basedOn w:val="Standard"/>
    <w:next w:val="Standard"/>
    <w:link w:val="berschrift3Zchn"/>
    <w:uiPriority w:val="9"/>
    <w:unhideWhenUsed/>
    <w:qFormat/>
    <w:rsid w:val="00FB6505"/>
    <w:pPr>
      <w:keepNext/>
      <w:keepLines/>
      <w:numPr>
        <w:ilvl w:val="2"/>
        <w:numId w:val="2"/>
      </w:numPr>
      <w:spacing w:before="32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unhideWhenUsed/>
    <w:qFormat/>
    <w:rsid w:val="00FB6505"/>
    <w:pPr>
      <w:keepNext/>
      <w:keepLines/>
      <w:numPr>
        <w:ilvl w:val="3"/>
        <w:numId w:val="2"/>
      </w:numPr>
      <w:spacing w:before="320"/>
      <w:outlineLvl w:val="3"/>
    </w:pPr>
    <w:rPr>
      <w:rFonts w:asciiTheme="majorHAnsi" w:eastAsiaTheme="majorEastAsia" w:hAnsiTheme="majorHAnsi" w:cstheme="majorBidi"/>
      <w:szCs w:val="22"/>
    </w:rPr>
  </w:style>
  <w:style w:type="paragraph" w:styleId="berschrift5">
    <w:name w:val="heading 5"/>
    <w:basedOn w:val="Standard"/>
    <w:next w:val="Standard"/>
    <w:link w:val="berschrift5Zchn"/>
    <w:uiPriority w:val="9"/>
    <w:unhideWhenUsed/>
    <w:qFormat/>
    <w:rsid w:val="00FB6505"/>
    <w:pPr>
      <w:keepNext/>
      <w:keepLines/>
      <w:numPr>
        <w:numId w:val="3"/>
      </w:numPr>
      <w:spacing w:before="40" w:after="0"/>
      <w:outlineLvl w:val="4"/>
    </w:pPr>
    <w:rPr>
      <w:rFonts w:asciiTheme="majorHAnsi" w:eastAsiaTheme="majorEastAsia" w:hAnsiTheme="majorHAnsi" w:cstheme="majorBidi"/>
      <w:szCs w:val="22"/>
    </w:rPr>
  </w:style>
  <w:style w:type="paragraph" w:styleId="berschrift6">
    <w:name w:val="heading 6"/>
    <w:basedOn w:val="Standard"/>
    <w:next w:val="Standard"/>
    <w:link w:val="berschrift6Zchn"/>
    <w:uiPriority w:val="99"/>
    <w:unhideWhenUsed/>
    <w:qFormat/>
    <w:rsid w:val="00FB6505"/>
    <w:pPr>
      <w:keepNext/>
      <w:keepLines/>
      <w:numPr>
        <w:ilvl w:val="5"/>
        <w:numId w:val="2"/>
      </w:numPr>
      <w:spacing w:before="40" w:after="0"/>
      <w:outlineLvl w:val="5"/>
    </w:pPr>
    <w:rPr>
      <w:rFonts w:asciiTheme="majorHAnsi" w:eastAsiaTheme="majorEastAsia" w:hAnsiTheme="majorHAnsi" w:cstheme="majorBidi"/>
      <w:i/>
      <w:iCs/>
      <w:color w:val="44546A" w:themeColor="text2"/>
      <w:sz w:val="21"/>
      <w:szCs w:val="21"/>
    </w:rPr>
  </w:style>
  <w:style w:type="paragraph" w:styleId="berschrift7">
    <w:name w:val="heading 7"/>
    <w:basedOn w:val="Standard"/>
    <w:next w:val="Standard"/>
    <w:link w:val="berschrift7Zchn"/>
    <w:uiPriority w:val="99"/>
    <w:unhideWhenUsed/>
    <w:qFormat/>
    <w:rsid w:val="00FB6505"/>
    <w:pPr>
      <w:keepNext/>
      <w:keepLines/>
      <w:numPr>
        <w:ilvl w:val="6"/>
        <w:numId w:val="2"/>
      </w:numPr>
      <w:spacing w:before="40" w:after="0"/>
      <w:outlineLvl w:val="6"/>
    </w:pPr>
    <w:rPr>
      <w:rFonts w:asciiTheme="majorHAnsi" w:eastAsiaTheme="majorEastAsia" w:hAnsiTheme="majorHAnsi" w:cstheme="majorBidi"/>
      <w:i/>
      <w:iCs/>
      <w:color w:val="1F3864" w:themeColor="accent1" w:themeShade="80"/>
      <w:sz w:val="21"/>
      <w:szCs w:val="21"/>
    </w:rPr>
  </w:style>
  <w:style w:type="paragraph" w:styleId="berschrift8">
    <w:name w:val="heading 8"/>
    <w:basedOn w:val="Standard"/>
    <w:next w:val="Standard"/>
    <w:link w:val="berschrift8Zchn"/>
    <w:uiPriority w:val="99"/>
    <w:unhideWhenUsed/>
    <w:qFormat/>
    <w:rsid w:val="00FB6505"/>
    <w:pPr>
      <w:keepNext/>
      <w:keepLines/>
      <w:numPr>
        <w:ilvl w:val="7"/>
        <w:numId w:val="2"/>
      </w:numPr>
      <w:spacing w:before="40" w:after="0"/>
      <w:outlineLvl w:val="7"/>
    </w:pPr>
    <w:rPr>
      <w:rFonts w:asciiTheme="majorHAnsi" w:eastAsiaTheme="majorEastAsia" w:hAnsiTheme="majorHAnsi" w:cstheme="majorBidi"/>
      <w:b/>
      <w:bCs/>
      <w:color w:val="44546A" w:themeColor="text2"/>
    </w:rPr>
  </w:style>
  <w:style w:type="paragraph" w:styleId="berschrift9">
    <w:name w:val="heading 9"/>
    <w:basedOn w:val="Standard"/>
    <w:next w:val="Standard"/>
    <w:link w:val="berschrift9Zchn"/>
    <w:uiPriority w:val="99"/>
    <w:unhideWhenUsed/>
    <w:qFormat/>
    <w:rsid w:val="00FB6505"/>
    <w:pPr>
      <w:keepNext/>
      <w:keepLines/>
      <w:numPr>
        <w:ilvl w:val="8"/>
        <w:numId w:val="2"/>
      </w:numPr>
      <w:spacing w:before="40" w:after="0"/>
      <w:outlineLvl w:val="8"/>
    </w:pPr>
    <w:rPr>
      <w:rFonts w:asciiTheme="majorHAnsi" w:eastAsiaTheme="majorEastAsia" w:hAnsiTheme="majorHAnsi" w:cstheme="majorBidi"/>
      <w:b/>
      <w:bCs/>
      <w:i/>
      <w:iCs/>
      <w:color w:val="44546A"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505"/>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FB6505"/>
    <w:rPr>
      <w:rFonts w:asciiTheme="majorHAnsi" w:eastAsiaTheme="majorEastAsia" w:hAnsiTheme="majorHAnsi" w:cstheme="majorBidi"/>
      <w:b/>
      <w:sz w:val="28"/>
      <w:szCs w:val="28"/>
    </w:rPr>
  </w:style>
  <w:style w:type="character" w:customStyle="1" w:styleId="berschrift3Zchn">
    <w:name w:val="Überschrift 3 Zchn"/>
    <w:basedOn w:val="Absatz-Standardschriftart"/>
    <w:link w:val="berschrift3"/>
    <w:uiPriority w:val="9"/>
    <w:rsid w:val="00FB6505"/>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FB6505"/>
    <w:rPr>
      <w:rFonts w:asciiTheme="majorHAnsi" w:eastAsiaTheme="majorEastAsia" w:hAnsiTheme="majorHAnsi" w:cstheme="majorBidi"/>
    </w:rPr>
  </w:style>
  <w:style w:type="character" w:customStyle="1" w:styleId="berschrift5Zchn">
    <w:name w:val="Überschrift 5 Zchn"/>
    <w:basedOn w:val="Absatz-Standardschriftart"/>
    <w:link w:val="berschrift5"/>
    <w:uiPriority w:val="9"/>
    <w:rsid w:val="00FB6505"/>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9"/>
    <w:rsid w:val="00FB6505"/>
    <w:rPr>
      <w:rFonts w:asciiTheme="majorHAnsi" w:eastAsiaTheme="majorEastAsia" w:hAnsiTheme="majorHAnsi" w:cstheme="majorBidi"/>
      <w:i/>
      <w:iCs/>
      <w:color w:val="44546A" w:themeColor="text2"/>
      <w:sz w:val="21"/>
      <w:szCs w:val="21"/>
    </w:rPr>
  </w:style>
  <w:style w:type="character" w:customStyle="1" w:styleId="berschrift7Zchn">
    <w:name w:val="Überschrift 7 Zchn"/>
    <w:basedOn w:val="Absatz-Standardschriftart"/>
    <w:link w:val="berschrift7"/>
    <w:uiPriority w:val="99"/>
    <w:rsid w:val="00FB6505"/>
    <w:rPr>
      <w:rFonts w:asciiTheme="majorHAnsi" w:eastAsiaTheme="majorEastAsia" w:hAnsiTheme="majorHAnsi" w:cstheme="majorBidi"/>
      <w:i/>
      <w:iCs/>
      <w:color w:val="1F3864" w:themeColor="accent1" w:themeShade="80"/>
      <w:sz w:val="21"/>
      <w:szCs w:val="21"/>
    </w:rPr>
  </w:style>
  <w:style w:type="character" w:customStyle="1" w:styleId="berschrift8Zchn">
    <w:name w:val="Überschrift 8 Zchn"/>
    <w:basedOn w:val="Absatz-Standardschriftart"/>
    <w:link w:val="berschrift8"/>
    <w:uiPriority w:val="99"/>
    <w:rsid w:val="00FB6505"/>
    <w:rPr>
      <w:rFonts w:asciiTheme="majorHAnsi" w:eastAsiaTheme="majorEastAsia" w:hAnsiTheme="majorHAnsi" w:cstheme="majorBidi"/>
      <w:b/>
      <w:bCs/>
      <w:color w:val="44546A" w:themeColor="text2"/>
      <w:szCs w:val="20"/>
    </w:rPr>
  </w:style>
  <w:style w:type="character" w:customStyle="1" w:styleId="berschrift9Zchn">
    <w:name w:val="Überschrift 9 Zchn"/>
    <w:basedOn w:val="Absatz-Standardschriftart"/>
    <w:link w:val="berschrift9"/>
    <w:uiPriority w:val="99"/>
    <w:rsid w:val="00FB6505"/>
    <w:rPr>
      <w:rFonts w:asciiTheme="majorHAnsi" w:eastAsiaTheme="majorEastAsia" w:hAnsiTheme="majorHAnsi" w:cstheme="majorBidi"/>
      <w:b/>
      <w:bCs/>
      <w:i/>
      <w:iCs/>
      <w:color w:val="44546A" w:themeColor="text2"/>
      <w:szCs w:val="20"/>
    </w:rPr>
  </w:style>
  <w:style w:type="paragraph" w:styleId="KeinLeerraum">
    <w:name w:val="No Spacing"/>
    <w:link w:val="KeinLeerraumZchn"/>
    <w:uiPriority w:val="1"/>
    <w:qFormat/>
    <w:rsid w:val="00FB6505"/>
    <w:pPr>
      <w:spacing w:after="0" w:line="240" w:lineRule="auto"/>
    </w:pPr>
    <w:rPr>
      <w:rFonts w:eastAsiaTheme="minorEastAsia"/>
      <w:sz w:val="20"/>
      <w:szCs w:val="20"/>
    </w:rPr>
  </w:style>
  <w:style w:type="paragraph" w:customStyle="1" w:styleId="Subtitle1">
    <w:name w:val="Subtitle1"/>
    <w:basedOn w:val="Standard"/>
    <w:link w:val="Subtitle1Char"/>
    <w:autoRedefine/>
    <w:rsid w:val="00FB6505"/>
    <w:pPr>
      <w:tabs>
        <w:tab w:val="left" w:pos="414"/>
      </w:tabs>
    </w:pPr>
    <w:rPr>
      <w:b/>
    </w:rPr>
  </w:style>
  <w:style w:type="character" w:customStyle="1" w:styleId="Subtitle1Char">
    <w:name w:val="Subtitle1 Char"/>
    <w:basedOn w:val="Absatz-Standardschriftart"/>
    <w:link w:val="Subtitle1"/>
    <w:rsid w:val="00FB6505"/>
    <w:rPr>
      <w:rFonts w:eastAsiaTheme="minorEastAsia"/>
      <w:b/>
      <w:szCs w:val="20"/>
    </w:rPr>
  </w:style>
  <w:style w:type="paragraph" w:customStyle="1" w:styleId="Title1">
    <w:name w:val="Title 1"/>
    <w:basedOn w:val="Listenabsatz"/>
    <w:link w:val="Title1Char"/>
    <w:autoRedefine/>
    <w:rsid w:val="00FB6505"/>
    <w:pPr>
      <w:framePr w:wrap="around" w:hAnchor="text"/>
    </w:pPr>
    <w:rPr>
      <w:rFonts w:asciiTheme="majorHAnsi" w:hAnsiTheme="majorHAnsi"/>
      <w:b/>
      <w:sz w:val="28"/>
    </w:rPr>
  </w:style>
  <w:style w:type="character" w:customStyle="1" w:styleId="Title1Char">
    <w:name w:val="Title 1 Char"/>
    <w:basedOn w:val="Absatz-Standardschriftart"/>
    <w:link w:val="Title1"/>
    <w:rsid w:val="00FB6505"/>
    <w:rPr>
      <w:rFonts w:asciiTheme="majorHAnsi" w:eastAsiaTheme="minorEastAsia" w:hAnsiTheme="majorHAnsi"/>
      <w:b/>
      <w:sz w:val="28"/>
      <w:szCs w:val="20"/>
    </w:rPr>
  </w:style>
  <w:style w:type="paragraph" w:styleId="Listenabsatz">
    <w:name w:val="List Paragraph"/>
    <w:aliases w:val="Paragraphe EI,Paragraphe de liste1,EC,Paragraphe de liste,Normal Nivel 1,List Paragraph Main,List first level,List Paragraph_Sections"/>
    <w:basedOn w:val="Standard"/>
    <w:link w:val="ListenabsatzZchn"/>
    <w:autoRedefine/>
    <w:uiPriority w:val="34"/>
    <w:qFormat/>
    <w:rsid w:val="00934C4B"/>
    <w:pPr>
      <w:tabs>
        <w:tab w:val="left" w:pos="0"/>
        <w:tab w:val="left" w:pos="142"/>
      </w:tabs>
      <w:autoSpaceDE w:val="0"/>
      <w:autoSpaceDN w:val="0"/>
      <w:adjustRightInd w:val="0"/>
      <w:ind w:left="720" w:hanging="720"/>
    </w:pPr>
    <w:rPr>
      <w:rFonts w:ascii="Arial" w:eastAsia="Times New Roman" w:hAnsi="Arial" w:cs="Arial"/>
      <w:sz w:val="20"/>
      <w:lang w:val="nl-BE"/>
    </w:rPr>
  </w:style>
  <w:style w:type="paragraph" w:customStyle="1" w:styleId="Title3">
    <w:name w:val="Title 3"/>
    <w:basedOn w:val="Listenabsatz"/>
    <w:link w:val="Title3Char"/>
    <w:autoRedefine/>
    <w:rsid w:val="00FB6505"/>
    <w:pPr>
      <w:framePr w:wrap="around" w:hAnchor="text"/>
      <w:numPr>
        <w:ilvl w:val="3"/>
        <w:numId w:val="1"/>
      </w:numPr>
    </w:pPr>
  </w:style>
  <w:style w:type="character" w:customStyle="1" w:styleId="Title3Char">
    <w:name w:val="Title 3 Char"/>
    <w:basedOn w:val="Absatz-Standardschriftart"/>
    <w:link w:val="Title3"/>
    <w:rsid w:val="00FB6505"/>
    <w:rPr>
      <w:rFonts w:eastAsiaTheme="minorEastAsia"/>
      <w:szCs w:val="20"/>
    </w:rPr>
  </w:style>
  <w:style w:type="paragraph" w:customStyle="1" w:styleId="Title2">
    <w:name w:val="Title 2"/>
    <w:basedOn w:val="Title1"/>
    <w:link w:val="Title2Char"/>
    <w:autoRedefine/>
    <w:rsid w:val="00FB6505"/>
    <w:pPr>
      <w:framePr w:wrap="around"/>
      <w:spacing w:after="0"/>
    </w:pPr>
  </w:style>
  <w:style w:type="character" w:customStyle="1" w:styleId="Title2Char">
    <w:name w:val="Title 2 Char"/>
    <w:basedOn w:val="Title1Char"/>
    <w:link w:val="Title2"/>
    <w:rsid w:val="00FB6505"/>
    <w:rPr>
      <w:rFonts w:asciiTheme="majorHAnsi" w:eastAsiaTheme="minorEastAsia" w:hAnsiTheme="majorHAnsi"/>
      <w:b/>
      <w:sz w:val="28"/>
      <w:szCs w:val="20"/>
    </w:rPr>
  </w:style>
  <w:style w:type="paragraph" w:customStyle="1" w:styleId="Title4">
    <w:name w:val="Title 4"/>
    <w:basedOn w:val="Title3"/>
    <w:link w:val="Title4Char"/>
    <w:autoRedefine/>
    <w:rsid w:val="00FB6505"/>
    <w:pPr>
      <w:framePr w:wrap="around"/>
      <w:numPr>
        <w:ilvl w:val="0"/>
        <w:numId w:val="0"/>
      </w:numPr>
      <w:spacing w:before="120"/>
      <w:ind w:left="646" w:hanging="646"/>
    </w:pPr>
    <w:rPr>
      <w:lang w:val="fr-BE"/>
    </w:rPr>
  </w:style>
  <w:style w:type="character" w:customStyle="1" w:styleId="Title4Char">
    <w:name w:val="Title 4 Char"/>
    <w:basedOn w:val="Title3Char"/>
    <w:link w:val="Title4"/>
    <w:rsid w:val="00FB6505"/>
    <w:rPr>
      <w:rFonts w:eastAsia="Times New Roman"/>
      <w:szCs w:val="20"/>
      <w:lang w:val="fr-BE"/>
    </w:rPr>
  </w:style>
  <w:style w:type="paragraph" w:customStyle="1" w:styleId="DocumentTitle">
    <w:name w:val="Document Title"/>
    <w:basedOn w:val="Standard"/>
    <w:link w:val="DocumentTitleChar"/>
    <w:autoRedefine/>
    <w:rsid w:val="00FB650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Absatz-Standardschriftart"/>
    <w:link w:val="DocumentTitle"/>
    <w:rsid w:val="00FB6505"/>
    <w:rPr>
      <w:rFonts w:asciiTheme="majorHAnsi" w:eastAsiaTheme="minorEastAsia" w:hAnsiTheme="majorHAnsi"/>
      <w:b/>
      <w:color w:val="2D4190"/>
      <w:sz w:val="48"/>
      <w:szCs w:val="20"/>
    </w:rPr>
  </w:style>
  <w:style w:type="paragraph" w:customStyle="1" w:styleId="DocumentSubtitle">
    <w:name w:val="Document Subtitle"/>
    <w:basedOn w:val="Standard"/>
    <w:link w:val="DocumentSubtitleChar"/>
    <w:autoRedefine/>
    <w:rsid w:val="00FB650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Absatz-Standardschriftart"/>
    <w:link w:val="DocumentSubtitle"/>
    <w:rsid w:val="00FB6505"/>
    <w:rPr>
      <w:rFonts w:asciiTheme="majorHAnsi" w:eastAsiaTheme="minorEastAsia" w:hAnsiTheme="majorHAnsi"/>
      <w:color w:val="000000"/>
      <w:sz w:val="28"/>
      <w:szCs w:val="20"/>
    </w:rPr>
  </w:style>
  <w:style w:type="paragraph" w:customStyle="1" w:styleId="Introductiontitle">
    <w:name w:val="Introduction title"/>
    <w:basedOn w:val="Standard"/>
    <w:link w:val="IntroductiontitleChar"/>
    <w:autoRedefine/>
    <w:rsid w:val="00FB650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Absatz-Standardschriftart"/>
    <w:link w:val="Introductiontitle"/>
    <w:rsid w:val="00FB6505"/>
    <w:rPr>
      <w:rFonts w:asciiTheme="majorHAnsi" w:eastAsia="Times New Roman" w:hAnsiTheme="majorHAnsi" w:cs="Times New Roman"/>
      <w:b/>
      <w:sz w:val="28"/>
      <w:szCs w:val="24"/>
      <w:lang w:eastAsia="de-DE"/>
    </w:rPr>
  </w:style>
  <w:style w:type="paragraph" w:customStyle="1" w:styleId="Introductionsubtitle">
    <w:name w:val="Introduction subtitle"/>
    <w:basedOn w:val="Standard"/>
    <w:link w:val="IntroductionsubtitleChar"/>
    <w:autoRedefine/>
    <w:rsid w:val="00FB650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Absatz-Standardschriftart"/>
    <w:link w:val="Introductionsubtitle"/>
    <w:rsid w:val="00FB6505"/>
    <w:rPr>
      <w:rFonts w:asciiTheme="majorHAnsi" w:eastAsia="Times New Roman" w:hAnsiTheme="majorHAnsi" w:cs="Times New Roman"/>
      <w:b/>
      <w:szCs w:val="24"/>
      <w:lang w:eastAsia="de-DE"/>
    </w:rPr>
  </w:style>
  <w:style w:type="paragraph" w:customStyle="1" w:styleId="Introductionheading">
    <w:name w:val="Introduction heading"/>
    <w:basedOn w:val="Standard"/>
    <w:link w:val="IntroductionheadingChar"/>
    <w:autoRedefine/>
    <w:rsid w:val="00FB6505"/>
    <w:pPr>
      <w:spacing w:line="300" w:lineRule="exact"/>
    </w:pPr>
    <w:rPr>
      <w:rFonts w:eastAsia="Times New Roman" w:cs="Times New Roman"/>
      <w:b/>
      <w:sz w:val="28"/>
      <w:szCs w:val="24"/>
      <w:lang w:eastAsia="de-DE"/>
    </w:rPr>
  </w:style>
  <w:style w:type="character" w:customStyle="1" w:styleId="IntroductionheadingChar">
    <w:name w:val="Introduction heading Char"/>
    <w:basedOn w:val="Absatz-Standardschriftart"/>
    <w:link w:val="Introductionheading"/>
    <w:rsid w:val="00FB6505"/>
    <w:rPr>
      <w:rFonts w:eastAsia="Times New Roman" w:cs="Times New Roman"/>
      <w:b/>
      <w:sz w:val="28"/>
      <w:szCs w:val="24"/>
      <w:lang w:eastAsia="de-DE"/>
    </w:rPr>
  </w:style>
  <w:style w:type="paragraph" w:styleId="Textkrper">
    <w:name w:val="Body Text"/>
    <w:basedOn w:val="Standard"/>
    <w:link w:val="TextkrperZchn"/>
    <w:uiPriority w:val="1"/>
    <w:unhideWhenUsed/>
    <w:qFormat/>
    <w:rsid w:val="00FB6505"/>
  </w:style>
  <w:style w:type="character" w:customStyle="1" w:styleId="TextkrperZchn">
    <w:name w:val="Textkörper Zchn"/>
    <w:basedOn w:val="Absatz-Standardschriftart"/>
    <w:link w:val="Textkrper"/>
    <w:uiPriority w:val="99"/>
    <w:semiHidden/>
    <w:rsid w:val="00FB6505"/>
    <w:rPr>
      <w:rFonts w:eastAsiaTheme="minorEastAsia"/>
      <w:szCs w:val="20"/>
    </w:rPr>
  </w:style>
  <w:style w:type="paragraph" w:styleId="Textkrper-Erstzeileneinzug">
    <w:name w:val="Body Text First Indent"/>
    <w:basedOn w:val="Textkrper"/>
    <w:link w:val="Textkrper-ErstzeileneinzugZchn"/>
    <w:uiPriority w:val="99"/>
    <w:semiHidden/>
    <w:unhideWhenUsed/>
    <w:rsid w:val="00FB6505"/>
    <w:pPr>
      <w:spacing w:after="0"/>
      <w:ind w:firstLine="360"/>
    </w:pPr>
  </w:style>
  <w:style w:type="character" w:customStyle="1" w:styleId="Textkrper-ErstzeileneinzugZchn">
    <w:name w:val="Textkörper-Erstzeileneinzug Zchn"/>
    <w:basedOn w:val="TextkrperZchn"/>
    <w:link w:val="Textkrper-Erstzeileneinzug"/>
    <w:uiPriority w:val="99"/>
    <w:semiHidden/>
    <w:rsid w:val="00FB6505"/>
    <w:rPr>
      <w:rFonts w:eastAsiaTheme="minorEastAsia"/>
      <w:szCs w:val="20"/>
    </w:rPr>
  </w:style>
  <w:style w:type="paragraph" w:styleId="Titel">
    <w:name w:val="Title"/>
    <w:basedOn w:val="Standard"/>
    <w:next w:val="Standard"/>
    <w:link w:val="TitelZchn"/>
    <w:uiPriority w:val="10"/>
    <w:qFormat/>
    <w:rsid w:val="00FB6505"/>
    <w:pPr>
      <w:spacing w:after="0" w:line="240" w:lineRule="auto"/>
      <w:contextualSpacing/>
    </w:pPr>
    <w:rPr>
      <w:rFonts w:asciiTheme="majorHAnsi" w:eastAsiaTheme="majorEastAsia" w:hAnsiTheme="majorHAnsi" w:cstheme="majorBidi"/>
      <w:b/>
      <w:color w:val="2E74B5" w:themeColor="accent5" w:themeShade="BF"/>
      <w:spacing w:val="-10"/>
      <w:sz w:val="56"/>
      <w:szCs w:val="56"/>
    </w:rPr>
  </w:style>
  <w:style w:type="character" w:customStyle="1" w:styleId="TitelZchn">
    <w:name w:val="Titel Zchn"/>
    <w:basedOn w:val="Absatz-Standardschriftart"/>
    <w:link w:val="Titel"/>
    <w:uiPriority w:val="10"/>
    <w:rsid w:val="00FB6505"/>
    <w:rPr>
      <w:rFonts w:asciiTheme="majorHAnsi" w:eastAsiaTheme="majorEastAsia" w:hAnsiTheme="majorHAnsi" w:cstheme="majorBidi"/>
      <w:b/>
      <w:color w:val="2E74B5" w:themeColor="accent5" w:themeShade="BF"/>
      <w:spacing w:val="-10"/>
      <w:sz w:val="56"/>
      <w:szCs w:val="56"/>
    </w:rPr>
  </w:style>
  <w:style w:type="paragraph" w:styleId="Untertitel">
    <w:name w:val="Subtitle"/>
    <w:basedOn w:val="Standard"/>
    <w:next w:val="Standard"/>
    <w:link w:val="UntertitelZchn"/>
    <w:uiPriority w:val="11"/>
    <w:qFormat/>
    <w:rsid w:val="00FB6505"/>
    <w:pPr>
      <w:numPr>
        <w:ilvl w:val="1"/>
      </w:numPr>
      <w:spacing w:line="240" w:lineRule="auto"/>
    </w:pPr>
    <w:rPr>
      <w:rFonts w:asciiTheme="majorHAnsi" w:eastAsiaTheme="majorEastAsia" w:hAnsiTheme="majorHAnsi" w:cstheme="majorBidi"/>
      <w:b/>
      <w:sz w:val="28"/>
      <w:szCs w:val="24"/>
    </w:rPr>
  </w:style>
  <w:style w:type="character" w:customStyle="1" w:styleId="UntertitelZchn">
    <w:name w:val="Untertitel Zchn"/>
    <w:basedOn w:val="Absatz-Standardschriftart"/>
    <w:link w:val="Untertitel"/>
    <w:uiPriority w:val="11"/>
    <w:rsid w:val="00FB6505"/>
    <w:rPr>
      <w:rFonts w:asciiTheme="majorHAnsi" w:eastAsiaTheme="majorEastAsia" w:hAnsiTheme="majorHAnsi" w:cstheme="majorBidi"/>
      <w:b/>
      <w:sz w:val="28"/>
      <w:szCs w:val="24"/>
    </w:rPr>
  </w:style>
  <w:style w:type="paragraph" w:styleId="Beschriftung">
    <w:name w:val="caption"/>
    <w:basedOn w:val="Standard"/>
    <w:next w:val="Standard"/>
    <w:uiPriority w:val="35"/>
    <w:semiHidden/>
    <w:unhideWhenUsed/>
    <w:qFormat/>
    <w:rsid w:val="00FB6505"/>
    <w:pPr>
      <w:spacing w:line="240" w:lineRule="auto"/>
    </w:pPr>
    <w:rPr>
      <w:b/>
      <w:bCs/>
      <w:smallCaps/>
      <w:color w:val="595959" w:themeColor="text1" w:themeTint="A6"/>
      <w:spacing w:val="6"/>
    </w:rPr>
  </w:style>
  <w:style w:type="character" w:styleId="Fett">
    <w:name w:val="Strong"/>
    <w:basedOn w:val="Absatz-Standardschriftart"/>
    <w:uiPriority w:val="22"/>
    <w:qFormat/>
    <w:rsid w:val="00FB6505"/>
    <w:rPr>
      <w:b/>
      <w:bCs/>
    </w:rPr>
  </w:style>
  <w:style w:type="character" w:styleId="Hervorhebung">
    <w:name w:val="Emphasis"/>
    <w:basedOn w:val="Absatz-Standardschriftart"/>
    <w:uiPriority w:val="20"/>
    <w:qFormat/>
    <w:rsid w:val="00FB6505"/>
    <w:rPr>
      <w:i/>
      <w:iCs/>
    </w:rPr>
  </w:style>
  <w:style w:type="paragraph" w:styleId="Zitat">
    <w:name w:val="Quote"/>
    <w:basedOn w:val="Standard"/>
    <w:next w:val="Standard"/>
    <w:link w:val="ZitatZchn"/>
    <w:uiPriority w:val="29"/>
    <w:qFormat/>
    <w:rsid w:val="00FB6505"/>
    <w:pPr>
      <w:spacing w:before="160"/>
      <w:ind w:left="720" w:right="720"/>
    </w:pPr>
    <w:rPr>
      <w:i/>
      <w:iCs/>
      <w:color w:val="404040" w:themeColor="text1" w:themeTint="BF"/>
    </w:rPr>
  </w:style>
  <w:style w:type="character" w:customStyle="1" w:styleId="ZitatZchn">
    <w:name w:val="Zitat Zchn"/>
    <w:basedOn w:val="Absatz-Standardschriftart"/>
    <w:link w:val="Zitat"/>
    <w:uiPriority w:val="29"/>
    <w:rsid w:val="00FB6505"/>
    <w:rPr>
      <w:rFonts w:eastAsiaTheme="minorEastAsia"/>
      <w:i/>
      <w:iCs/>
      <w:color w:val="404040" w:themeColor="text1" w:themeTint="BF"/>
      <w:szCs w:val="20"/>
    </w:rPr>
  </w:style>
  <w:style w:type="paragraph" w:styleId="IntensivesZitat">
    <w:name w:val="Intense Quote"/>
    <w:basedOn w:val="Standard"/>
    <w:next w:val="Standard"/>
    <w:link w:val="IntensivesZitatZchn"/>
    <w:uiPriority w:val="30"/>
    <w:qFormat/>
    <w:rsid w:val="00FB650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ivesZitatZchn">
    <w:name w:val="Intensives Zitat Zchn"/>
    <w:basedOn w:val="Absatz-Standardschriftart"/>
    <w:link w:val="IntensivesZitat"/>
    <w:uiPriority w:val="30"/>
    <w:rsid w:val="00FB6505"/>
    <w:rPr>
      <w:rFonts w:asciiTheme="majorHAnsi" w:eastAsiaTheme="majorEastAsia" w:hAnsiTheme="majorHAnsi" w:cstheme="majorBidi"/>
      <w:color w:val="4472C4" w:themeColor="accent1"/>
      <w:sz w:val="28"/>
      <w:szCs w:val="28"/>
    </w:rPr>
  </w:style>
  <w:style w:type="character" w:styleId="SchwacheHervorhebung">
    <w:name w:val="Subtle Emphasis"/>
    <w:basedOn w:val="Absatz-Standardschriftart"/>
    <w:uiPriority w:val="19"/>
    <w:qFormat/>
    <w:rsid w:val="00FB6505"/>
    <w:rPr>
      <w:i/>
      <w:iCs/>
      <w:color w:val="404040" w:themeColor="text1" w:themeTint="BF"/>
    </w:rPr>
  </w:style>
  <w:style w:type="character" w:styleId="IntensiveHervorhebung">
    <w:name w:val="Intense Emphasis"/>
    <w:basedOn w:val="Absatz-Standardschriftart"/>
    <w:uiPriority w:val="21"/>
    <w:qFormat/>
    <w:rsid w:val="00FB6505"/>
    <w:rPr>
      <w:b/>
      <w:bCs/>
      <w:i/>
      <w:iCs/>
    </w:rPr>
  </w:style>
  <w:style w:type="character" w:styleId="SchwacherVerweis">
    <w:name w:val="Subtle Reference"/>
    <w:basedOn w:val="Absatz-Standardschriftart"/>
    <w:uiPriority w:val="31"/>
    <w:qFormat/>
    <w:rsid w:val="00FB6505"/>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FB6505"/>
    <w:rPr>
      <w:b/>
      <w:bCs/>
      <w:smallCaps/>
      <w:spacing w:val="5"/>
      <w:u w:val="single"/>
    </w:rPr>
  </w:style>
  <w:style w:type="character" w:styleId="Buchtitel">
    <w:name w:val="Book Title"/>
    <w:basedOn w:val="Absatz-Standardschriftart"/>
    <w:uiPriority w:val="33"/>
    <w:qFormat/>
    <w:rsid w:val="00FB6505"/>
    <w:rPr>
      <w:b/>
      <w:bCs/>
      <w:smallCaps/>
    </w:rPr>
  </w:style>
  <w:style w:type="paragraph" w:styleId="Inhaltsverzeichnisberschrift">
    <w:name w:val="TOC Heading"/>
    <w:basedOn w:val="berschrift1"/>
    <w:next w:val="Standard"/>
    <w:uiPriority w:val="39"/>
    <w:unhideWhenUsed/>
    <w:qFormat/>
    <w:rsid w:val="00FB6505"/>
    <w:pPr>
      <w:outlineLvl w:val="9"/>
    </w:pPr>
  </w:style>
  <w:style w:type="character" w:customStyle="1" w:styleId="KeinLeerraumZchn">
    <w:name w:val="Kein Leerraum Zchn"/>
    <w:basedOn w:val="Absatz-Standardschriftart"/>
    <w:link w:val="KeinLeerraum"/>
    <w:uiPriority w:val="1"/>
    <w:rsid w:val="00FB6505"/>
    <w:rPr>
      <w:rFonts w:eastAsiaTheme="minorEastAsia"/>
      <w:sz w:val="20"/>
      <w:szCs w:val="20"/>
    </w:rPr>
  </w:style>
  <w:style w:type="paragraph" w:styleId="Kopfzeile">
    <w:name w:val="header"/>
    <w:basedOn w:val="Standard"/>
    <w:link w:val="KopfzeileZchn"/>
    <w:unhideWhenUsed/>
    <w:rsid w:val="00FB650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B6505"/>
    <w:rPr>
      <w:rFonts w:eastAsiaTheme="minorEastAsia"/>
      <w:szCs w:val="20"/>
    </w:rPr>
  </w:style>
  <w:style w:type="paragraph" w:styleId="Fuzeile">
    <w:name w:val="footer"/>
    <w:basedOn w:val="Standard"/>
    <w:link w:val="FuzeileZchn"/>
    <w:uiPriority w:val="99"/>
    <w:unhideWhenUsed/>
    <w:rsid w:val="00FB650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B6505"/>
    <w:rPr>
      <w:rFonts w:eastAsiaTheme="minorEastAsia"/>
      <w:szCs w:val="20"/>
    </w:rPr>
  </w:style>
  <w:style w:type="paragraph" w:customStyle="1" w:styleId="00aPagenumber">
    <w:name w:val="00a_Page number"/>
    <w:basedOn w:val="Standard"/>
    <w:rsid w:val="00FB6505"/>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Standard"/>
    <w:rsid w:val="00FB6505"/>
    <w:pPr>
      <w:spacing w:line="220" w:lineRule="exact"/>
    </w:pPr>
    <w:rPr>
      <w:rFonts w:ascii="Georgia" w:eastAsia="Times New Roman" w:hAnsi="Georgia" w:cs="Times New Roman"/>
      <w:sz w:val="17"/>
      <w:szCs w:val="24"/>
      <w:lang w:eastAsia="de-DE"/>
    </w:rPr>
  </w:style>
  <w:style w:type="paragraph" w:styleId="Verzeichnis1">
    <w:name w:val="toc 1"/>
    <w:basedOn w:val="Standard"/>
    <w:next w:val="Standard"/>
    <w:autoRedefine/>
    <w:uiPriority w:val="39"/>
    <w:unhideWhenUsed/>
    <w:rsid w:val="00FB6505"/>
    <w:pPr>
      <w:tabs>
        <w:tab w:val="left" w:pos="440"/>
        <w:tab w:val="right" w:leader="dot" w:pos="9062"/>
      </w:tabs>
      <w:spacing w:after="100"/>
    </w:pPr>
  </w:style>
  <w:style w:type="paragraph" w:styleId="Verzeichnis2">
    <w:name w:val="toc 2"/>
    <w:basedOn w:val="Standard"/>
    <w:next w:val="Standard"/>
    <w:autoRedefine/>
    <w:uiPriority w:val="39"/>
    <w:unhideWhenUsed/>
    <w:rsid w:val="00FB6505"/>
    <w:pPr>
      <w:tabs>
        <w:tab w:val="left" w:pos="880"/>
        <w:tab w:val="right" w:leader="dot" w:pos="9062"/>
      </w:tabs>
      <w:spacing w:after="100"/>
      <w:ind w:left="220"/>
    </w:pPr>
  </w:style>
  <w:style w:type="paragraph" w:styleId="Verzeichnis3">
    <w:name w:val="toc 3"/>
    <w:basedOn w:val="Standard"/>
    <w:next w:val="Standard"/>
    <w:autoRedefine/>
    <w:uiPriority w:val="39"/>
    <w:unhideWhenUsed/>
    <w:rsid w:val="00FB6505"/>
    <w:pPr>
      <w:spacing w:after="100"/>
      <w:ind w:left="440"/>
    </w:pPr>
  </w:style>
  <w:style w:type="character" w:styleId="Hyperlink">
    <w:name w:val="Hyperlink"/>
    <w:basedOn w:val="Absatz-Standardschriftart"/>
    <w:uiPriority w:val="99"/>
    <w:unhideWhenUsed/>
    <w:rsid w:val="00FB6505"/>
    <w:rPr>
      <w:color w:val="0563C1" w:themeColor="hyperlink"/>
      <w:u w:val="single"/>
    </w:rPr>
  </w:style>
  <w:style w:type="paragraph" w:customStyle="1" w:styleId="Questionstyle">
    <w:name w:val="Question style"/>
    <w:basedOn w:val="Standard"/>
    <w:next w:val="Standard"/>
    <w:link w:val="QuestionstyleChar"/>
    <w:autoRedefine/>
    <w:qFormat/>
    <w:rsid w:val="00FB6505"/>
    <w:pPr>
      <w:spacing w:afterLines="120" w:after="288"/>
      <w:ind w:left="708"/>
    </w:pPr>
    <w:rPr>
      <w:b/>
    </w:rPr>
  </w:style>
  <w:style w:type="character" w:customStyle="1" w:styleId="QuestionstyleChar">
    <w:name w:val="Question style Char"/>
    <w:basedOn w:val="Absatz-Standardschriftart"/>
    <w:link w:val="Questionstyle"/>
    <w:rsid w:val="00FB6505"/>
    <w:rPr>
      <w:rFonts w:eastAsiaTheme="minorEastAsia"/>
      <w:b/>
      <w:szCs w:val="20"/>
    </w:rPr>
  </w:style>
  <w:style w:type="paragraph" w:customStyle="1" w:styleId="Listing2">
    <w:name w:val="Listing2"/>
    <w:basedOn w:val="Standard"/>
    <w:link w:val="Listing2Char"/>
    <w:autoRedefine/>
    <w:rsid w:val="00FB6505"/>
  </w:style>
  <w:style w:type="character" w:customStyle="1" w:styleId="Listing2Char">
    <w:name w:val="Listing2 Char"/>
    <w:basedOn w:val="Absatz-Standardschriftart"/>
    <w:link w:val="Listing2"/>
    <w:rsid w:val="00FB6505"/>
    <w:rPr>
      <w:rFonts w:eastAsiaTheme="minorEastAsia"/>
      <w:szCs w:val="20"/>
    </w:rPr>
  </w:style>
  <w:style w:type="table" w:styleId="Tabellenraster">
    <w:name w:val="Table Grid"/>
    <w:basedOn w:val="NormaleTabelle"/>
    <w:uiPriority w:val="39"/>
    <w:rsid w:val="00FB6505"/>
    <w:pPr>
      <w:spacing w:after="0" w:line="240" w:lineRule="auto"/>
    </w:pPr>
    <w:rPr>
      <w:rFonts w:eastAsiaTheme="minorEastAsia"/>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FB6505"/>
    <w:pPr>
      <w:spacing w:after="0" w:line="240" w:lineRule="auto"/>
    </w:pPr>
  </w:style>
  <w:style w:type="character" w:customStyle="1" w:styleId="EndnotentextZchn">
    <w:name w:val="Endnotentext Zchn"/>
    <w:basedOn w:val="Absatz-Standardschriftart"/>
    <w:link w:val="Endnotentext"/>
    <w:uiPriority w:val="99"/>
    <w:semiHidden/>
    <w:rsid w:val="00FB6505"/>
    <w:rPr>
      <w:rFonts w:eastAsiaTheme="minorEastAsia"/>
      <w:szCs w:val="20"/>
    </w:rPr>
  </w:style>
  <w:style w:type="character" w:styleId="Endnotenzeichen">
    <w:name w:val="endnote reference"/>
    <w:basedOn w:val="Absatz-Standardschriftart"/>
    <w:uiPriority w:val="99"/>
    <w:semiHidden/>
    <w:unhideWhenUsed/>
    <w:rsid w:val="00FB6505"/>
    <w:rPr>
      <w:vertAlign w:val="superscript"/>
    </w:rPr>
  </w:style>
  <w:style w:type="paragraph" w:styleId="Funotentext">
    <w:name w:val="footnote text"/>
    <w:aliases w:val="Char3, Char3,Footnote text,Testo nota a piè di pagina_Rientro,stile 1,Footnote1,Footnote2,Footnote3,Footnote4,Footnote5,Footnote6,Footnote7,Footnote8,Footnote9,Footnote10,Footnote11,Footnote21,Footnote31,Footnote41,Footnote51,Fußnotentextf"/>
    <w:basedOn w:val="Standard"/>
    <w:link w:val="FunotentextZchn"/>
    <w:autoRedefine/>
    <w:uiPriority w:val="99"/>
    <w:unhideWhenUsed/>
    <w:qFormat/>
    <w:rsid w:val="000A3AAF"/>
    <w:pPr>
      <w:spacing w:after="0" w:line="240" w:lineRule="auto"/>
    </w:pPr>
    <w:rPr>
      <w:rFonts w:ascii="Arial" w:hAnsi="Arial" w:cs="Arial"/>
      <w:sz w:val="16"/>
    </w:rPr>
  </w:style>
  <w:style w:type="character" w:customStyle="1" w:styleId="FunotentextZchn">
    <w:name w:val="Fußnotentext Zchn"/>
    <w:aliases w:val="Char3 Zchn, Char3 Zchn,Footnote text Zchn,Testo nota a piè di pagina_Rientro Zchn,stile 1 Zchn,Footnote1 Zchn,Footnote2 Zchn,Footnote3 Zchn,Footnote4 Zchn,Footnote5 Zchn,Footnote6 Zchn,Footnote7 Zchn,Footnote8 Zchn,Footnote9 Zchn"/>
    <w:basedOn w:val="Absatz-Standardschriftart"/>
    <w:link w:val="Funotentext"/>
    <w:uiPriority w:val="99"/>
    <w:rsid w:val="000A3AAF"/>
    <w:rPr>
      <w:rFonts w:ascii="Arial" w:eastAsiaTheme="minorEastAsia" w:hAnsi="Arial" w:cs="Arial"/>
      <w:sz w:val="16"/>
      <w:szCs w:val="20"/>
    </w:rPr>
  </w:style>
  <w:style w:type="character" w:styleId="Funotenzeichen">
    <w:name w:val="footnote reference"/>
    <w:aliases w:val="16 Point,Superscript 6 Point,Footnote Reference Number,Footnote Reference_LVL6,Footnote Reference_LVL61,Footnote Reference_LVL62,Footnote Reference_LVL63,Footnote Reference_LVL64,SUPERS,Footnote reference number,Footnote symbol,number"/>
    <w:basedOn w:val="Absatz-Standardschriftart"/>
    <w:uiPriority w:val="99"/>
    <w:unhideWhenUsed/>
    <w:qFormat/>
    <w:rsid w:val="00FB6505"/>
    <w:rPr>
      <w:rFonts w:asciiTheme="majorHAnsi" w:hAnsiTheme="majorHAnsi"/>
      <w:sz w:val="16"/>
      <w:vertAlign w:val="superscript"/>
    </w:rPr>
  </w:style>
  <w:style w:type="paragraph" w:customStyle="1" w:styleId="Footnote">
    <w:name w:val="Footnote"/>
    <w:basedOn w:val="Funotentext"/>
    <w:link w:val="FootnoteChar"/>
    <w:rsid w:val="00FB6505"/>
    <w:rPr>
      <w:lang w:val="nl-BE"/>
    </w:rPr>
  </w:style>
  <w:style w:type="character" w:customStyle="1" w:styleId="FootnoteChar">
    <w:name w:val="Footnote Char"/>
    <w:basedOn w:val="FunotentextZchn"/>
    <w:link w:val="Footnote"/>
    <w:rsid w:val="00FB6505"/>
    <w:rPr>
      <w:rFonts w:ascii="Arial" w:eastAsiaTheme="minorEastAsia" w:hAnsi="Arial" w:cs="Arial"/>
      <w:sz w:val="16"/>
      <w:szCs w:val="20"/>
      <w:lang w:val="nl-BE"/>
    </w:rPr>
  </w:style>
  <w:style w:type="table" w:customStyle="1" w:styleId="GridTable4-Accent11">
    <w:name w:val="Grid Table 4 - Accent 11"/>
    <w:basedOn w:val="NormaleTabelle"/>
    <w:uiPriority w:val="49"/>
    <w:rsid w:val="00FB6505"/>
    <w:pPr>
      <w:spacing w:after="0" w:line="240" w:lineRule="auto"/>
    </w:pPr>
    <w:rPr>
      <w:rFonts w:eastAsiaTheme="minorEastAsia"/>
      <w:sz w:val="20"/>
      <w:szCs w:val="20"/>
      <w:lang w:val="nl-B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rechblasentext">
    <w:name w:val="Balloon Text"/>
    <w:basedOn w:val="Standard"/>
    <w:link w:val="SprechblasentextZchn"/>
    <w:uiPriority w:val="99"/>
    <w:semiHidden/>
    <w:unhideWhenUsed/>
    <w:rsid w:val="00FB650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505"/>
    <w:rPr>
      <w:rFonts w:ascii="Tahoma" w:eastAsiaTheme="minorEastAsia" w:hAnsi="Tahoma" w:cs="Tahoma"/>
      <w:sz w:val="16"/>
      <w:szCs w:val="16"/>
    </w:rPr>
  </w:style>
  <w:style w:type="character" w:customStyle="1" w:styleId="ListenabsatzZchn">
    <w:name w:val="Listenabsatz Zchn"/>
    <w:aliases w:val="Paragraphe EI Zchn,Paragraphe de liste1 Zchn,EC Zchn,Paragraphe de liste Zchn,Normal Nivel 1 Zchn,List Paragraph Main Zchn,List first level Zchn,List Paragraph_Sections Zchn"/>
    <w:link w:val="Listenabsatz"/>
    <w:uiPriority w:val="34"/>
    <w:locked/>
    <w:rsid w:val="00934C4B"/>
    <w:rPr>
      <w:rFonts w:ascii="Arial" w:eastAsia="Times New Roman" w:hAnsi="Arial" w:cs="Arial"/>
      <w:sz w:val="20"/>
      <w:szCs w:val="20"/>
      <w:lang w:val="nl-BE"/>
    </w:rPr>
  </w:style>
  <w:style w:type="character" w:styleId="Kommentarzeichen">
    <w:name w:val="annotation reference"/>
    <w:basedOn w:val="Absatz-Standardschriftart"/>
    <w:uiPriority w:val="99"/>
    <w:semiHidden/>
    <w:unhideWhenUsed/>
    <w:rsid w:val="00FB6505"/>
    <w:rPr>
      <w:sz w:val="16"/>
      <w:szCs w:val="16"/>
    </w:rPr>
  </w:style>
  <w:style w:type="paragraph" w:styleId="Kommentartext">
    <w:name w:val="annotation text"/>
    <w:basedOn w:val="Standard"/>
    <w:link w:val="KommentartextZchn"/>
    <w:uiPriority w:val="99"/>
    <w:unhideWhenUsed/>
    <w:rsid w:val="00FB6505"/>
    <w:pPr>
      <w:spacing w:line="240" w:lineRule="auto"/>
    </w:pPr>
    <w:rPr>
      <w:sz w:val="20"/>
    </w:rPr>
  </w:style>
  <w:style w:type="character" w:customStyle="1" w:styleId="KommentartextZchn">
    <w:name w:val="Kommentartext Zchn"/>
    <w:basedOn w:val="Absatz-Standardschriftart"/>
    <w:link w:val="Kommentartext"/>
    <w:uiPriority w:val="99"/>
    <w:rsid w:val="00FB6505"/>
    <w:rPr>
      <w:rFonts w:eastAsiaTheme="minorEastAsia"/>
      <w:sz w:val="20"/>
      <w:szCs w:val="20"/>
    </w:rPr>
  </w:style>
  <w:style w:type="paragraph" w:styleId="Kommentarthema">
    <w:name w:val="annotation subject"/>
    <w:basedOn w:val="Kommentartext"/>
    <w:next w:val="Kommentartext"/>
    <w:link w:val="KommentarthemaZchn"/>
    <w:uiPriority w:val="99"/>
    <w:semiHidden/>
    <w:unhideWhenUsed/>
    <w:rsid w:val="00FB6505"/>
    <w:rPr>
      <w:b/>
      <w:bCs/>
    </w:rPr>
  </w:style>
  <w:style w:type="character" w:customStyle="1" w:styleId="KommentarthemaZchn">
    <w:name w:val="Kommentarthema Zchn"/>
    <w:basedOn w:val="KommentartextZchn"/>
    <w:link w:val="Kommentarthema"/>
    <w:uiPriority w:val="99"/>
    <w:semiHidden/>
    <w:rsid w:val="00FB6505"/>
    <w:rPr>
      <w:rFonts w:eastAsiaTheme="minorEastAsia"/>
      <w:b/>
      <w:bCs/>
      <w:sz w:val="20"/>
      <w:szCs w:val="20"/>
    </w:rPr>
  </w:style>
  <w:style w:type="paragraph" w:customStyle="1" w:styleId="CM1">
    <w:name w:val="CM1"/>
    <w:basedOn w:val="Standard"/>
    <w:next w:val="Standard"/>
    <w:uiPriority w:val="99"/>
    <w:rsid w:val="00FB6505"/>
    <w:pPr>
      <w:autoSpaceDE w:val="0"/>
      <w:autoSpaceDN w:val="0"/>
      <w:adjustRightInd w:val="0"/>
      <w:spacing w:after="0" w:line="240" w:lineRule="auto"/>
      <w:jc w:val="left"/>
    </w:pPr>
    <w:rPr>
      <w:rFonts w:ascii="EUAlbertina" w:hAnsi="EUAlbertina"/>
      <w:sz w:val="24"/>
      <w:szCs w:val="24"/>
    </w:rPr>
  </w:style>
  <w:style w:type="character" w:customStyle="1" w:styleId="UnresolvedMention1">
    <w:name w:val="Unresolved Mention1"/>
    <w:basedOn w:val="Absatz-Standardschriftart"/>
    <w:uiPriority w:val="99"/>
    <w:semiHidden/>
    <w:unhideWhenUsed/>
    <w:rsid w:val="00FB6505"/>
    <w:rPr>
      <w:color w:val="605E5C"/>
      <w:shd w:val="clear" w:color="auto" w:fill="E1DFDD"/>
    </w:rPr>
  </w:style>
  <w:style w:type="paragraph" w:customStyle="1" w:styleId="CM3">
    <w:name w:val="CM3"/>
    <w:basedOn w:val="Standard"/>
    <w:next w:val="Standard"/>
    <w:uiPriority w:val="99"/>
    <w:rsid w:val="00FB6505"/>
    <w:pPr>
      <w:autoSpaceDE w:val="0"/>
      <w:autoSpaceDN w:val="0"/>
      <w:adjustRightInd w:val="0"/>
      <w:spacing w:after="0" w:line="240" w:lineRule="auto"/>
      <w:jc w:val="left"/>
    </w:pPr>
    <w:rPr>
      <w:rFonts w:ascii="EUAlbertina" w:hAnsi="EUAlbertina"/>
      <w:sz w:val="24"/>
      <w:szCs w:val="24"/>
    </w:rPr>
  </w:style>
  <w:style w:type="paragraph" w:customStyle="1" w:styleId="Default">
    <w:name w:val="Default"/>
    <w:rsid w:val="00FB6505"/>
    <w:pPr>
      <w:autoSpaceDE w:val="0"/>
      <w:autoSpaceDN w:val="0"/>
      <w:adjustRightInd w:val="0"/>
      <w:spacing w:after="0" w:line="240" w:lineRule="auto"/>
    </w:pPr>
    <w:rPr>
      <w:rFonts w:ascii="Georgia" w:eastAsiaTheme="minorEastAsia" w:hAnsi="Georgia" w:cs="Georgia"/>
      <w:color w:val="000000"/>
      <w:sz w:val="24"/>
      <w:szCs w:val="24"/>
    </w:rPr>
  </w:style>
  <w:style w:type="character" w:styleId="BesuchterLink">
    <w:name w:val="FollowedHyperlink"/>
    <w:basedOn w:val="Absatz-Standardschriftart"/>
    <w:uiPriority w:val="99"/>
    <w:semiHidden/>
    <w:unhideWhenUsed/>
    <w:rsid w:val="00FB6505"/>
    <w:rPr>
      <w:color w:val="954F72" w:themeColor="followedHyperlink"/>
      <w:u w:val="single"/>
    </w:rPr>
  </w:style>
  <w:style w:type="character" w:customStyle="1" w:styleId="UnresolvedMention2">
    <w:name w:val="Unresolved Mention2"/>
    <w:basedOn w:val="Absatz-Standardschriftart"/>
    <w:uiPriority w:val="99"/>
    <w:semiHidden/>
    <w:unhideWhenUsed/>
    <w:rsid w:val="00FB6505"/>
    <w:rPr>
      <w:color w:val="605E5C"/>
      <w:shd w:val="clear" w:color="auto" w:fill="E1DFDD"/>
    </w:rPr>
  </w:style>
  <w:style w:type="paragraph" w:styleId="berarbeitung">
    <w:name w:val="Revision"/>
    <w:hidden/>
    <w:uiPriority w:val="99"/>
    <w:semiHidden/>
    <w:rsid w:val="00FB6505"/>
    <w:pPr>
      <w:spacing w:after="0" w:line="240" w:lineRule="auto"/>
    </w:pPr>
    <w:rPr>
      <w:rFonts w:eastAsiaTheme="minorEastAsia"/>
      <w:szCs w:val="20"/>
    </w:rPr>
  </w:style>
  <w:style w:type="character" w:customStyle="1" w:styleId="UnresolvedMention3">
    <w:name w:val="Unresolved Mention3"/>
    <w:basedOn w:val="Absatz-Standardschriftart"/>
    <w:uiPriority w:val="99"/>
    <w:semiHidden/>
    <w:unhideWhenUsed/>
    <w:rsid w:val="00FB6505"/>
    <w:rPr>
      <w:color w:val="605E5C"/>
      <w:shd w:val="clear" w:color="auto" w:fill="E1DFDD"/>
    </w:rPr>
  </w:style>
  <w:style w:type="character" w:customStyle="1" w:styleId="Marker">
    <w:name w:val="Marker"/>
    <w:rsid w:val="00FB6505"/>
    <w:rPr>
      <w:color w:val="0000FF"/>
      <w:shd w:val="clear" w:color="auto" w:fill="auto"/>
    </w:rPr>
  </w:style>
  <w:style w:type="character" w:customStyle="1" w:styleId="Marker2">
    <w:name w:val="Marker2"/>
    <w:rsid w:val="00FB6505"/>
    <w:rPr>
      <w:color w:val="FF0000"/>
      <w:shd w:val="clear" w:color="auto" w:fill="auto"/>
    </w:rPr>
  </w:style>
  <w:style w:type="paragraph" w:customStyle="1" w:styleId="Datedadoption">
    <w:name w:val="Date d'adoption"/>
    <w:basedOn w:val="Standard"/>
    <w:next w:val="Titreobjet"/>
    <w:rsid w:val="00FB6505"/>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Standard"/>
    <w:next w:val="Standard"/>
    <w:rsid w:val="00FB6505"/>
    <w:pPr>
      <w:spacing w:before="360" w:after="360" w:line="240" w:lineRule="auto"/>
      <w:jc w:val="center"/>
    </w:pPr>
    <w:rPr>
      <w:rFonts w:ascii="Times New Roman" w:eastAsia="Times New Roman" w:hAnsi="Times New Roman" w:cs="Times New Roman"/>
      <w:b/>
      <w:sz w:val="24"/>
      <w:szCs w:val="24"/>
    </w:rPr>
  </w:style>
  <w:style w:type="paragraph" w:customStyle="1" w:styleId="Typedudocument">
    <w:name w:val="Type du document"/>
    <w:basedOn w:val="Standard"/>
    <w:next w:val="Titreobjet"/>
    <w:rsid w:val="00FB6505"/>
    <w:pPr>
      <w:spacing w:before="360" w:after="0" w:line="240" w:lineRule="auto"/>
      <w:jc w:val="center"/>
    </w:pPr>
    <w:rPr>
      <w:rFonts w:ascii="Times New Roman" w:eastAsia="Times New Roman" w:hAnsi="Times New Roman" w:cs="Times New Roman"/>
      <w:b/>
      <w:sz w:val="24"/>
      <w:szCs w:val="24"/>
    </w:rPr>
  </w:style>
  <w:style w:type="paragraph" w:customStyle="1" w:styleId="Institutionquiagit">
    <w:name w:val="Institution qui agit"/>
    <w:basedOn w:val="Standard"/>
    <w:next w:val="Standard"/>
    <w:rsid w:val="00FB6505"/>
    <w:pPr>
      <w:keepNext/>
      <w:spacing w:before="600" w:after="120" w:line="240" w:lineRule="auto"/>
    </w:pPr>
    <w:rPr>
      <w:rFonts w:ascii="Times New Roman" w:eastAsia="Times New Roman" w:hAnsi="Times New Roman" w:cs="Times New Roman"/>
      <w:sz w:val="24"/>
      <w:szCs w:val="24"/>
    </w:rPr>
  </w:style>
  <w:style w:type="paragraph" w:customStyle="1" w:styleId="Institutionquisigne">
    <w:name w:val="Institution qui signe"/>
    <w:basedOn w:val="Standard"/>
    <w:next w:val="Personnequisigne"/>
    <w:link w:val="InstitutionquisigneChar"/>
    <w:rsid w:val="00FB6505"/>
    <w:pPr>
      <w:keepNext/>
      <w:tabs>
        <w:tab w:val="left" w:pos="4252"/>
      </w:tabs>
      <w:spacing w:before="720" w:after="0" w:line="240" w:lineRule="auto"/>
    </w:pPr>
    <w:rPr>
      <w:rFonts w:ascii="Times New Roman" w:eastAsia="Times New Roman" w:hAnsi="Times New Roman" w:cs="Times New Roman"/>
      <w:i/>
      <w:noProof/>
      <w:color w:val="000000"/>
      <w:sz w:val="24"/>
      <w:szCs w:val="24"/>
    </w:rPr>
  </w:style>
  <w:style w:type="paragraph" w:customStyle="1" w:styleId="Personnequisigne">
    <w:name w:val="Personne qui signe"/>
    <w:basedOn w:val="Standard"/>
    <w:next w:val="Institutionquisigne"/>
    <w:rsid w:val="00FB6505"/>
    <w:pPr>
      <w:tabs>
        <w:tab w:val="left" w:pos="4252"/>
      </w:tabs>
      <w:spacing w:after="0" w:line="240" w:lineRule="auto"/>
      <w:jc w:val="left"/>
    </w:pPr>
    <w:rPr>
      <w:rFonts w:ascii="Times New Roman" w:eastAsia="Times New Roman" w:hAnsi="Times New Roman" w:cs="Times New Roman"/>
      <w:i/>
      <w:noProof/>
      <w:color w:val="000000"/>
      <w:sz w:val="24"/>
      <w:szCs w:val="24"/>
    </w:rPr>
  </w:style>
  <w:style w:type="character" w:customStyle="1" w:styleId="InstitutionquisigneChar">
    <w:name w:val="Institution qui signe Char"/>
    <w:basedOn w:val="Absatz-Standardschriftart"/>
    <w:link w:val="Institutionquisigne"/>
    <w:rsid w:val="00FB6505"/>
    <w:rPr>
      <w:rFonts w:ascii="Times New Roman" w:eastAsia="Times New Roman" w:hAnsi="Times New Roman" w:cs="Times New Roman"/>
      <w:i/>
      <w:noProof/>
      <w:color w:val="000000"/>
      <w:sz w:val="24"/>
      <w:szCs w:val="24"/>
    </w:rPr>
  </w:style>
  <w:style w:type="paragraph" w:customStyle="1" w:styleId="Considrant">
    <w:name w:val="Considérant"/>
    <w:basedOn w:val="Standard"/>
    <w:rsid w:val="00FB6505"/>
    <w:pPr>
      <w:spacing w:before="120" w:after="120" w:line="240" w:lineRule="auto"/>
    </w:pPr>
    <w:rPr>
      <w:rFonts w:ascii="Times New Roman" w:eastAsia="Times New Roman" w:hAnsi="Times New Roman" w:cs="Times New Roman"/>
      <w:sz w:val="24"/>
      <w:szCs w:val="24"/>
    </w:rPr>
  </w:style>
  <w:style w:type="paragraph" w:customStyle="1" w:styleId="Formuledadoption">
    <w:name w:val="Formule d'adoption"/>
    <w:basedOn w:val="Standard"/>
    <w:next w:val="Standard"/>
    <w:rsid w:val="00FB6505"/>
    <w:pPr>
      <w:keepNext/>
      <w:spacing w:before="250" w:after="120" w:line="240" w:lineRule="auto"/>
    </w:pPr>
    <w:rPr>
      <w:rFonts w:ascii="Times New Roman" w:eastAsia="Times New Roman" w:hAnsi="Times New Roman" w:cs="Times New Roman"/>
      <w:sz w:val="24"/>
      <w:szCs w:val="24"/>
    </w:rPr>
  </w:style>
  <w:style w:type="paragraph" w:customStyle="1" w:styleId="NumPar1">
    <w:name w:val="NumPar 1"/>
    <w:basedOn w:val="Standard"/>
    <w:next w:val="Standard"/>
    <w:rsid w:val="00FB6505"/>
    <w:pPr>
      <w:tabs>
        <w:tab w:val="num" w:pos="850"/>
      </w:tabs>
      <w:spacing w:before="120" w:after="120" w:line="240" w:lineRule="auto"/>
      <w:ind w:left="850" w:hanging="850"/>
    </w:pPr>
    <w:rPr>
      <w:rFonts w:ascii="Times New Roman" w:eastAsiaTheme="minorHAnsi" w:hAnsi="Times New Roman" w:cs="Times New Roman"/>
      <w:sz w:val="24"/>
      <w:szCs w:val="22"/>
    </w:rPr>
  </w:style>
  <w:style w:type="character" w:customStyle="1" w:styleId="Marker1">
    <w:name w:val="Marker1"/>
    <w:basedOn w:val="Absatz-Standardschriftart"/>
    <w:rsid w:val="00FB6505"/>
    <w:rPr>
      <w:color w:val="008000"/>
      <w:shd w:val="clear" w:color="auto" w:fill="auto"/>
    </w:rPr>
  </w:style>
  <w:style w:type="paragraph" w:customStyle="1" w:styleId="Applicationdirecte">
    <w:name w:val="Application directe"/>
    <w:basedOn w:val="Standard"/>
    <w:next w:val="Fait"/>
    <w:rsid w:val="00FB6505"/>
    <w:pPr>
      <w:spacing w:before="480" w:after="120" w:line="240" w:lineRule="auto"/>
    </w:pPr>
    <w:rPr>
      <w:rFonts w:ascii="Times New Roman" w:eastAsiaTheme="minorHAnsi" w:hAnsi="Times New Roman" w:cs="Times New Roman"/>
      <w:sz w:val="24"/>
      <w:szCs w:val="22"/>
    </w:rPr>
  </w:style>
  <w:style w:type="paragraph" w:customStyle="1" w:styleId="Fait">
    <w:name w:val="Fait à"/>
    <w:basedOn w:val="Standard"/>
    <w:next w:val="Institutionquisigne"/>
    <w:rsid w:val="00FB6505"/>
    <w:pPr>
      <w:keepNext/>
      <w:spacing w:before="120" w:after="0" w:line="240" w:lineRule="auto"/>
    </w:pPr>
    <w:rPr>
      <w:rFonts w:ascii="Times New Roman" w:eastAsiaTheme="minorHAnsi" w:hAnsi="Times New Roman" w:cs="Times New Roman"/>
      <w:sz w:val="24"/>
      <w:szCs w:val="22"/>
    </w:rPr>
  </w:style>
  <w:style w:type="paragraph" w:customStyle="1" w:styleId="Titrearticle">
    <w:name w:val="Titre article"/>
    <w:basedOn w:val="Standard"/>
    <w:next w:val="Standard"/>
    <w:rsid w:val="00FB6505"/>
    <w:pPr>
      <w:keepNext/>
      <w:spacing w:before="360" w:after="120" w:line="240" w:lineRule="auto"/>
      <w:jc w:val="center"/>
    </w:pPr>
    <w:rPr>
      <w:rFonts w:ascii="Times New Roman" w:eastAsiaTheme="minorHAnsi" w:hAnsi="Times New Roman" w:cs="Times New Roman"/>
      <w:i/>
      <w:sz w:val="24"/>
      <w:szCs w:val="22"/>
    </w:rPr>
  </w:style>
  <w:style w:type="paragraph" w:customStyle="1" w:styleId="IntrtEEE">
    <w:name w:val="Intérêt EEE"/>
    <w:basedOn w:val="Standard"/>
    <w:next w:val="Standard"/>
    <w:rsid w:val="00FB6505"/>
    <w:pPr>
      <w:spacing w:before="360" w:after="240" w:line="240" w:lineRule="auto"/>
      <w:jc w:val="center"/>
    </w:pPr>
    <w:rPr>
      <w:rFonts w:ascii="Times New Roman" w:eastAsiaTheme="minorHAnsi" w:hAnsi="Times New Roman" w:cs="Times New Roman"/>
      <w:sz w:val="24"/>
      <w:szCs w:val="22"/>
    </w:rPr>
  </w:style>
  <w:style w:type="paragraph" w:customStyle="1" w:styleId="Point1letter">
    <w:name w:val="Point 1 (letter)"/>
    <w:basedOn w:val="Standard"/>
    <w:rsid w:val="00FB6505"/>
    <w:pPr>
      <w:tabs>
        <w:tab w:val="num" w:pos="1417"/>
      </w:tabs>
      <w:spacing w:before="120" w:after="120" w:line="240" w:lineRule="auto"/>
      <w:ind w:left="1417" w:hanging="567"/>
    </w:pPr>
    <w:rPr>
      <w:rFonts w:ascii="Times New Roman" w:eastAsiaTheme="minorHAnsi" w:hAnsi="Times New Roman" w:cs="Times New Roman"/>
      <w:sz w:val="24"/>
      <w:szCs w:val="22"/>
    </w:rPr>
  </w:style>
  <w:style w:type="paragraph" w:customStyle="1" w:styleId="Normal1">
    <w:name w:val="Normal1"/>
    <w:basedOn w:val="Standard"/>
    <w:rsid w:val="00FB650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Normal2">
    <w:name w:val="Normal2"/>
    <w:basedOn w:val="Standard"/>
    <w:rsid w:val="00FB650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TableParagraph">
    <w:name w:val="Table Paragraph"/>
    <w:basedOn w:val="Standard"/>
    <w:uiPriority w:val="1"/>
    <w:qFormat/>
    <w:rsid w:val="00FB6505"/>
    <w:pPr>
      <w:widowControl w:val="0"/>
      <w:autoSpaceDE w:val="0"/>
      <w:autoSpaceDN w:val="0"/>
      <w:spacing w:before="51" w:after="0" w:line="240" w:lineRule="auto"/>
      <w:ind w:left="109"/>
      <w:jc w:val="left"/>
    </w:pPr>
    <w:rPr>
      <w:rFonts w:ascii="Times New Roman" w:eastAsia="Times New Roman" w:hAnsi="Times New Roman" w:cs="Times New Roman"/>
      <w:szCs w:val="22"/>
      <w:lang w:val="en-US"/>
    </w:rPr>
  </w:style>
  <w:style w:type="character" w:styleId="NichtaufgelsteErwhnung">
    <w:name w:val="Unresolved Mention"/>
    <w:basedOn w:val="Absatz-Standardschriftart"/>
    <w:uiPriority w:val="99"/>
    <w:semiHidden/>
    <w:unhideWhenUsed/>
    <w:rsid w:val="00FB6505"/>
    <w:rPr>
      <w:color w:val="605E5C"/>
      <w:shd w:val="clear" w:color="auto" w:fill="E1DFDD"/>
    </w:rPr>
  </w:style>
  <w:style w:type="paragraph" w:customStyle="1" w:styleId="Listsub-para">
    <w:name w:val="List sub-para"/>
    <w:basedOn w:val="Listenabsatz"/>
    <w:link w:val="Listsub-paraChar"/>
    <w:qFormat/>
    <w:rsid w:val="00FB6505"/>
    <w:pPr>
      <w:framePr w:wrap="around" w:hAnchor="text"/>
      <w:numPr>
        <w:numId w:val="5"/>
      </w:numPr>
    </w:pPr>
  </w:style>
  <w:style w:type="character" w:customStyle="1" w:styleId="Listsub-paraChar">
    <w:name w:val="List sub-para Char"/>
    <w:basedOn w:val="ListenabsatzZchn"/>
    <w:link w:val="Listsub-para"/>
    <w:rsid w:val="00FB6505"/>
    <w:rPr>
      <w:rFonts w:ascii="Arial" w:eastAsiaTheme="minorEastAsia" w:hAnsi="Arial" w:cs="Arial"/>
      <w:sz w:val="20"/>
      <w:szCs w:val="20"/>
      <w:lang w:val="nl-BE"/>
    </w:rPr>
  </w:style>
  <w:style w:type="paragraph" w:styleId="StandardWeb">
    <w:name w:val="Normal (Web)"/>
    <w:basedOn w:val="Standard"/>
    <w:uiPriority w:val="99"/>
    <w:unhideWhenUsed/>
    <w:rsid w:val="00FB650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NumPar2">
    <w:name w:val="NumPar 2"/>
    <w:basedOn w:val="Standard"/>
    <w:next w:val="Standard"/>
    <w:rsid w:val="00FB6505"/>
    <w:pPr>
      <w:tabs>
        <w:tab w:val="num" w:pos="850"/>
      </w:tabs>
      <w:spacing w:before="120" w:after="120" w:line="240" w:lineRule="auto"/>
      <w:ind w:left="850" w:hanging="850"/>
    </w:pPr>
    <w:rPr>
      <w:rFonts w:ascii="Times New Roman" w:eastAsiaTheme="minorHAnsi" w:hAnsi="Times New Roman" w:cs="Times New Roman"/>
      <w:sz w:val="24"/>
      <w:szCs w:val="22"/>
    </w:rPr>
  </w:style>
  <w:style w:type="paragraph" w:customStyle="1" w:styleId="NumPar3">
    <w:name w:val="NumPar 3"/>
    <w:basedOn w:val="Standard"/>
    <w:next w:val="Standard"/>
    <w:rsid w:val="00FB6505"/>
    <w:pPr>
      <w:tabs>
        <w:tab w:val="num" w:pos="850"/>
      </w:tabs>
      <w:spacing w:before="120" w:after="120" w:line="240" w:lineRule="auto"/>
      <w:ind w:left="850" w:hanging="850"/>
    </w:pPr>
    <w:rPr>
      <w:rFonts w:ascii="Times New Roman" w:eastAsiaTheme="minorHAnsi" w:hAnsi="Times New Roman" w:cs="Times New Roman"/>
      <w:sz w:val="24"/>
      <w:szCs w:val="22"/>
    </w:rPr>
  </w:style>
  <w:style w:type="paragraph" w:customStyle="1" w:styleId="NumPar4">
    <w:name w:val="NumPar 4"/>
    <w:basedOn w:val="Standard"/>
    <w:next w:val="Standard"/>
    <w:rsid w:val="00FB6505"/>
    <w:pPr>
      <w:tabs>
        <w:tab w:val="num" w:pos="850"/>
      </w:tabs>
      <w:spacing w:before="120" w:after="120" w:line="240" w:lineRule="auto"/>
      <w:ind w:left="850" w:hanging="850"/>
    </w:pPr>
    <w:rPr>
      <w:rFonts w:ascii="Times New Roman" w:eastAsiaTheme="minorHAnsi" w:hAnsi="Times New Roman" w:cs="Times New Roman"/>
      <w:sz w:val="24"/>
      <w:szCs w:val="22"/>
    </w:rPr>
  </w:style>
  <w:style w:type="paragraph" w:customStyle="1" w:styleId="Point0number">
    <w:name w:val="Point 0 (number)"/>
    <w:basedOn w:val="Standard"/>
    <w:rsid w:val="00FB6505"/>
    <w:pPr>
      <w:tabs>
        <w:tab w:val="num" w:pos="850"/>
      </w:tabs>
      <w:spacing w:before="120" w:after="120" w:line="240" w:lineRule="auto"/>
      <w:ind w:left="850" w:hanging="850"/>
    </w:pPr>
    <w:rPr>
      <w:rFonts w:ascii="Times New Roman" w:eastAsiaTheme="minorHAnsi" w:hAnsi="Times New Roman" w:cs="Times New Roman"/>
      <w:sz w:val="24"/>
      <w:szCs w:val="22"/>
    </w:rPr>
  </w:style>
  <w:style w:type="paragraph" w:customStyle="1" w:styleId="Point1number">
    <w:name w:val="Point 1 (number)"/>
    <w:basedOn w:val="Standard"/>
    <w:rsid w:val="00FB6505"/>
    <w:pPr>
      <w:tabs>
        <w:tab w:val="num" w:pos="1417"/>
      </w:tabs>
      <w:spacing w:before="120" w:after="120" w:line="240" w:lineRule="auto"/>
      <w:ind w:left="1417" w:hanging="567"/>
    </w:pPr>
    <w:rPr>
      <w:rFonts w:ascii="Times New Roman" w:eastAsiaTheme="minorHAnsi" w:hAnsi="Times New Roman" w:cs="Times New Roman"/>
      <w:sz w:val="24"/>
      <w:szCs w:val="22"/>
    </w:rPr>
  </w:style>
  <w:style w:type="paragraph" w:customStyle="1" w:styleId="Point2number">
    <w:name w:val="Point 2 (number)"/>
    <w:basedOn w:val="Standard"/>
    <w:rsid w:val="00FB6505"/>
    <w:pPr>
      <w:tabs>
        <w:tab w:val="num" w:pos="1984"/>
      </w:tabs>
      <w:spacing w:before="120" w:after="120" w:line="240" w:lineRule="auto"/>
      <w:ind w:left="1984" w:hanging="567"/>
    </w:pPr>
    <w:rPr>
      <w:rFonts w:ascii="Times New Roman" w:eastAsiaTheme="minorHAnsi" w:hAnsi="Times New Roman" w:cs="Times New Roman"/>
      <w:sz w:val="24"/>
      <w:szCs w:val="22"/>
    </w:rPr>
  </w:style>
  <w:style w:type="paragraph" w:customStyle="1" w:styleId="Point3number">
    <w:name w:val="Point 3 (number)"/>
    <w:basedOn w:val="Standard"/>
    <w:rsid w:val="00FB6505"/>
    <w:pPr>
      <w:tabs>
        <w:tab w:val="num" w:pos="2551"/>
      </w:tabs>
      <w:spacing w:before="120" w:after="120" w:line="240" w:lineRule="auto"/>
      <w:ind w:left="2551" w:hanging="567"/>
    </w:pPr>
    <w:rPr>
      <w:rFonts w:ascii="Times New Roman" w:eastAsiaTheme="minorHAnsi" w:hAnsi="Times New Roman" w:cs="Times New Roman"/>
      <w:sz w:val="24"/>
      <w:szCs w:val="22"/>
    </w:rPr>
  </w:style>
  <w:style w:type="paragraph" w:customStyle="1" w:styleId="Point0letter">
    <w:name w:val="Point 0 (letter)"/>
    <w:basedOn w:val="Standard"/>
    <w:rsid w:val="00FB6505"/>
    <w:pPr>
      <w:tabs>
        <w:tab w:val="num" w:pos="850"/>
      </w:tabs>
      <w:spacing w:before="120" w:after="120" w:line="240" w:lineRule="auto"/>
      <w:ind w:left="850" w:hanging="850"/>
    </w:pPr>
    <w:rPr>
      <w:rFonts w:ascii="Times New Roman" w:eastAsiaTheme="minorHAnsi" w:hAnsi="Times New Roman" w:cs="Times New Roman"/>
      <w:sz w:val="24"/>
      <w:szCs w:val="22"/>
    </w:rPr>
  </w:style>
  <w:style w:type="paragraph" w:customStyle="1" w:styleId="Point2letter">
    <w:name w:val="Point 2 (letter)"/>
    <w:basedOn w:val="Standard"/>
    <w:rsid w:val="00FB6505"/>
    <w:pPr>
      <w:tabs>
        <w:tab w:val="num" w:pos="1984"/>
      </w:tabs>
      <w:spacing w:before="120" w:after="120" w:line="240" w:lineRule="auto"/>
      <w:ind w:left="1984" w:hanging="567"/>
    </w:pPr>
    <w:rPr>
      <w:rFonts w:ascii="Times New Roman" w:eastAsiaTheme="minorHAnsi" w:hAnsi="Times New Roman" w:cs="Times New Roman"/>
      <w:sz w:val="24"/>
      <w:szCs w:val="22"/>
    </w:rPr>
  </w:style>
  <w:style w:type="paragraph" w:customStyle="1" w:styleId="Point3letter">
    <w:name w:val="Point 3 (letter)"/>
    <w:basedOn w:val="Standard"/>
    <w:rsid w:val="00FB6505"/>
    <w:pPr>
      <w:tabs>
        <w:tab w:val="num" w:pos="2551"/>
      </w:tabs>
      <w:spacing w:before="120" w:after="120" w:line="240" w:lineRule="auto"/>
      <w:ind w:left="2551" w:hanging="567"/>
    </w:pPr>
    <w:rPr>
      <w:rFonts w:ascii="Times New Roman" w:eastAsiaTheme="minorHAnsi" w:hAnsi="Times New Roman" w:cs="Times New Roman"/>
      <w:sz w:val="24"/>
      <w:szCs w:val="22"/>
    </w:rPr>
  </w:style>
  <w:style w:type="paragraph" w:customStyle="1" w:styleId="Point4letter">
    <w:name w:val="Point 4 (letter)"/>
    <w:basedOn w:val="Standard"/>
    <w:rsid w:val="00FB6505"/>
    <w:pPr>
      <w:tabs>
        <w:tab w:val="num" w:pos="3118"/>
      </w:tabs>
      <w:spacing w:before="120" w:after="120" w:line="240" w:lineRule="auto"/>
      <w:ind w:left="3118" w:hanging="567"/>
    </w:pPr>
    <w:rPr>
      <w:rFonts w:ascii="Times New Roman" w:eastAsiaTheme="minorHAnsi" w:hAnsi="Times New Roman" w:cs="Times New Roman"/>
      <w:sz w:val="24"/>
      <w:szCs w:val="22"/>
    </w:rPr>
  </w:style>
  <w:style w:type="table" w:customStyle="1" w:styleId="TableGrid1">
    <w:name w:val="Table Grid1"/>
    <w:basedOn w:val="NormaleTabelle"/>
    <w:next w:val="Tabellenraster"/>
    <w:uiPriority w:val="39"/>
    <w:rsid w:val="00FB6505"/>
    <w:pPr>
      <w:spacing w:after="0" w:line="240" w:lineRule="auto"/>
    </w:pPr>
    <w:rPr>
      <w:rFonts w:eastAsiaTheme="minorEastAsia"/>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FB6505"/>
    <w:pPr>
      <w:spacing w:after="0" w:line="240" w:lineRule="auto"/>
    </w:pPr>
    <w:rPr>
      <w:rFonts w:eastAsiaTheme="minorEastAsia"/>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2546C8"/>
    <w:pPr>
      <w:spacing w:after="0" w:line="240" w:lineRule="auto"/>
    </w:pPr>
    <w:rPr>
      <w:rFonts w:eastAsiaTheme="minorEastAsia"/>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KeineListe"/>
    <w:uiPriority w:val="99"/>
    <w:semiHidden/>
    <w:unhideWhenUsed/>
    <w:rsid w:val="00A35AD2"/>
  </w:style>
  <w:style w:type="table" w:customStyle="1" w:styleId="TableGrid4">
    <w:name w:val="Table Grid4"/>
    <w:basedOn w:val="NormaleTabelle"/>
    <w:next w:val="Tabellenraster"/>
    <w:uiPriority w:val="39"/>
    <w:rsid w:val="00A35AD2"/>
    <w:pPr>
      <w:spacing w:after="0" w:line="240" w:lineRule="auto"/>
    </w:pPr>
    <w:rPr>
      <w:rFonts w:eastAsia="Times New Roman"/>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NormaleTabelle"/>
    <w:uiPriority w:val="49"/>
    <w:rsid w:val="00A35AD2"/>
    <w:pPr>
      <w:spacing w:after="0" w:line="240" w:lineRule="auto"/>
    </w:pPr>
    <w:rPr>
      <w:rFonts w:eastAsia="Times New Roman"/>
      <w:sz w:val="20"/>
      <w:szCs w:val="20"/>
      <w:lang w:val="nl-B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
    <w:name w:val="Table Grid11"/>
    <w:basedOn w:val="NormaleTabelle"/>
    <w:next w:val="Tabellenraster"/>
    <w:uiPriority w:val="39"/>
    <w:rsid w:val="00A35AD2"/>
    <w:pPr>
      <w:spacing w:after="0" w:line="240" w:lineRule="auto"/>
    </w:pPr>
    <w:rPr>
      <w:rFonts w:eastAsia="Times New Roman"/>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eTabelle"/>
    <w:next w:val="Tabellenraster"/>
    <w:uiPriority w:val="39"/>
    <w:rsid w:val="00A35AD2"/>
    <w:pPr>
      <w:spacing w:after="0" w:line="240" w:lineRule="auto"/>
    </w:pPr>
    <w:rPr>
      <w:rFonts w:eastAsia="Times New Roman"/>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aleTabelle"/>
    <w:next w:val="Tabellenraster"/>
    <w:uiPriority w:val="39"/>
    <w:rsid w:val="00A35AD2"/>
    <w:pPr>
      <w:spacing w:after="0" w:line="240" w:lineRule="auto"/>
    </w:pPr>
    <w:rPr>
      <w:rFonts w:eastAsia="Times New Roman"/>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Standard"/>
    <w:link w:val="footnotedescriptionChar"/>
    <w:hidden/>
    <w:rsid w:val="00C7442C"/>
    <w:pPr>
      <w:spacing w:after="91" w:line="280" w:lineRule="auto"/>
      <w:ind w:left="1086" w:hanging="179"/>
      <w:jc w:val="both"/>
    </w:pPr>
    <w:rPr>
      <w:rFonts w:ascii="Times New Roman" w:eastAsia="Times New Roman" w:hAnsi="Times New Roman" w:cs="Times New Roman"/>
      <w:color w:val="000000"/>
      <w:sz w:val="16"/>
      <w:lang w:eastAsia="en-GB"/>
    </w:rPr>
  </w:style>
  <w:style w:type="character" w:customStyle="1" w:styleId="footnotedescriptionChar">
    <w:name w:val="footnote description Char"/>
    <w:link w:val="footnotedescription"/>
    <w:rsid w:val="00C7442C"/>
    <w:rPr>
      <w:rFonts w:ascii="Times New Roman" w:eastAsia="Times New Roman" w:hAnsi="Times New Roman" w:cs="Times New Roman"/>
      <w:color w:val="000000"/>
      <w:sz w:val="16"/>
      <w:lang w:eastAsia="en-GB"/>
    </w:rPr>
  </w:style>
  <w:style w:type="character" w:customStyle="1" w:styleId="footnotemark">
    <w:name w:val="footnote mark"/>
    <w:hidden/>
    <w:rsid w:val="00C7442C"/>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242772">
      <w:bodyDiv w:val="1"/>
      <w:marLeft w:val="0"/>
      <w:marRight w:val="0"/>
      <w:marTop w:val="0"/>
      <w:marBottom w:val="0"/>
      <w:divBdr>
        <w:top w:val="none" w:sz="0" w:space="0" w:color="auto"/>
        <w:left w:val="none" w:sz="0" w:space="0" w:color="auto"/>
        <w:bottom w:val="none" w:sz="0" w:space="0" w:color="auto"/>
        <w:right w:val="none" w:sz="0" w:space="0" w:color="auto"/>
      </w:divBdr>
    </w:div>
    <w:div w:id="1352876238">
      <w:bodyDiv w:val="1"/>
      <w:marLeft w:val="0"/>
      <w:marRight w:val="0"/>
      <w:marTop w:val="0"/>
      <w:marBottom w:val="0"/>
      <w:divBdr>
        <w:top w:val="none" w:sz="0" w:space="0" w:color="auto"/>
        <w:left w:val="none" w:sz="0" w:space="0" w:color="auto"/>
        <w:bottom w:val="none" w:sz="0" w:space="0" w:color="auto"/>
        <w:right w:val="none" w:sz="0" w:space="0" w:color="auto"/>
      </w:divBdr>
    </w:div>
    <w:div w:id="200543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legal-notic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sma.europa.e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sma.europa.eu/sites/default/files/library/esma20-95-1273_2021_annual_work_programme.pdf" TargetMode="External"/><Relationship Id="rId2" Type="http://schemas.openxmlformats.org/officeDocument/2006/relationships/hyperlink" Target="https://eur-lex.europa.eu/eli/reg_del/2012/272/oj" TargetMode="External"/><Relationship Id="rId1" Type="http://schemas.openxmlformats.org/officeDocument/2006/relationships/hyperlink" Target="https://www.esma.europa.eu/sites/default/files/library/esma80_196_5019_consultation_paper_fees_charged_to_cras_by_esma.pdf" TargetMode="External"/><Relationship Id="rId6" Type="http://schemas.openxmlformats.org/officeDocument/2006/relationships/hyperlink" Target="https://www.esma.europa.eu/sites/default/files/library/esma70-708036281-19_letter_to_com_-_emir_review_and_sanctioning_powers.pdf" TargetMode="External"/><Relationship Id="rId5" Type="http://schemas.openxmlformats.org/officeDocument/2006/relationships/hyperlink" Target="https://www.esma.europa.eu/sites/default/files/library/2015/11/2011_144.pdf" TargetMode="External"/><Relationship Id="rId4" Type="http://schemas.openxmlformats.org/officeDocument/2006/relationships/hyperlink" Target="https://www.bankingsupervision.europa.eu/organisation/fees/total/html/index.en.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b8b5864a6dc4f2ea5aeb44d6d375f74 xmlns="324bc871-2248-4257-ae09-e65953178003">
      <Terms xmlns="http://schemas.microsoft.com/office/infopath/2007/PartnerControls">
        <TermInfo xmlns="http://schemas.microsoft.com/office/infopath/2007/PartnerControls">
          <TermName xmlns="http://schemas.microsoft.com/office/infopath/2007/PartnerControls">Supervisory Fees CRAs</TermName>
          <TermId xmlns="http://schemas.microsoft.com/office/infopath/2007/PartnerControls">fa606f54-38c0-45de-87af-f2ba02f8d382</TermId>
        </TermInfo>
      </Terms>
    </ab8b5864a6dc4f2ea5aeb44d6d375f74>
    <dd0664d3f47447a8943f346211d0253e xmlns="324bc871-2248-4257-ae09-e65953178003">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dd0664d3f47447a8943f346211d0253e>
    <hb56520e44e642c88c7a09896d1bc2ee xmlns="324bc871-2248-4257-ae09-e65953178003">
      <Terms xmlns="http://schemas.microsoft.com/office/infopath/2007/PartnerControls"/>
    </hb56520e44e642c88c7a09896d1bc2ee>
    <f289fbc384b1484ea5f6ff6b522b513c xmlns="324bc871-2248-4257-ae09-e65953178003">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78753201-1e9e-4a21-a088-6ff602b5c999</TermId>
        </TermInfo>
      </Terms>
    </f289fbc384b1484ea5f6ff6b522b513c>
    <Year xmlns="324bc871-2248-4257-ae09-e65953178003">2020</Year>
    <i3322e601ac8421cbd1b686355963f37 xmlns="324bc871-2248-4257-ae09-e65953178003">
      <Terms xmlns="http://schemas.microsoft.com/office/infopath/2007/PartnerControls">
        <TermInfo xmlns="http://schemas.microsoft.com/office/infopath/2007/PartnerControls">
          <TermName xmlns="http://schemas.microsoft.com/office/infopath/2007/PartnerControls">Credit Ratings Agency Unit</TermName>
          <TermId xmlns="http://schemas.microsoft.com/office/infopath/2007/PartnerControls">5fd162d8-0a0d-457e-8f1c-004ef74c6cad</TermId>
        </TermInfo>
      </Terms>
    </i3322e601ac8421cbd1b686355963f37>
    <_dlc_DocId xmlns="324bc871-2248-4257-ae09-e65953178003">ESMA80-196-5034</_dlc_DocId>
    <MeetingDate xmlns="324bc871-2248-4257-ae09-e65953178003" xsi:nil="true"/>
    <TaxCatchAll xmlns="324bc871-2248-4257-ae09-e65953178003">
      <Value>4</Value>
      <Value>410</Value>
      <Value>232</Value>
      <Value>280</Value>
    </TaxCatchAll>
    <_dlc_DocIdUrl xmlns="324bc871-2248-4257-ae09-e65953178003">
      <Url>https://sherpa.esma.europa.eu/sites/SUP/MNS/_layouts/15/DocIdRedir.aspx?ID=ESMA80-196-5034</Url>
      <Description>ESMA80-196-5034</Description>
    </_dlc_DocIdUr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Projects Document" ma:contentTypeID="0x0101004E48D37C6739884A97C722900DD5A4E4010F00A150993C1D73B7408310D946713E31CE" ma:contentTypeVersion="11" ma:contentTypeDescription="" ma:contentTypeScope="" ma:versionID="0cc236fd6596418c849bfa8ea5c7bb8a">
  <xsd:schema xmlns:xsd="http://www.w3.org/2001/XMLSchema" xmlns:xs="http://www.w3.org/2001/XMLSchema" xmlns:p="http://schemas.microsoft.com/office/2006/metadata/properties" xmlns:ns2="324bc871-2248-4257-ae09-e65953178003" xmlns:ns3="http://schemas.microsoft.com/sharepoint/v4" targetNamespace="http://schemas.microsoft.com/office/2006/metadata/properties" ma:root="true" ma:fieldsID="fcd055e78e5ce03934a12df90da731ef" ns2:_="" ns3:_="">
    <xsd:import namespace="324bc871-2248-4257-ae09-e65953178003"/>
    <xsd:import namespace="http://schemas.microsoft.com/sharepoint/v4"/>
    <xsd:element name="properties">
      <xsd:complexType>
        <xsd:sequence>
          <xsd:element name="documentManagement">
            <xsd:complexType>
              <xsd:all>
                <xsd:element ref="ns2:Year"/>
                <xsd:element ref="ns2:MeetingDate" minOccurs="0"/>
                <xsd:element ref="ns2:_dlc_DocIdUrl" minOccurs="0"/>
                <xsd:element ref="ns2:_dlc_DocIdPersistId" minOccurs="0"/>
                <xsd:element ref="ns2:f289fbc384b1484ea5f6ff6b522b513c" minOccurs="0"/>
                <xsd:element ref="ns2:TaxCatchAll" minOccurs="0"/>
                <xsd:element ref="ns2:TaxCatchAllLabel" minOccurs="0"/>
                <xsd:element ref="ns2:dd0664d3f47447a8943f346211d0253e" minOccurs="0"/>
                <xsd:element ref="ns2:hb56520e44e642c88c7a09896d1bc2ee" minOccurs="0"/>
                <xsd:element ref="ns2:ab8b5864a6dc4f2ea5aeb44d6d375f74" minOccurs="0"/>
                <xsd:element ref="ns2:i3322e601ac8421cbd1b686355963f37" minOccurs="0"/>
                <xsd:element ref="ns2:_dlc_Doc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bc871-2248-4257-ae09-e65953178003" elementFormDefault="qualified">
    <xsd:import namespace="http://schemas.microsoft.com/office/2006/documentManagement/types"/>
    <xsd:import namespace="http://schemas.microsoft.com/office/infopath/2007/PartnerControls"/>
    <xsd:element name="Year" ma:index="5" ma:displayName="Year" ma:description="" ma:internalName="Year">
      <xsd:simpleType>
        <xsd:restriction base="dms:Text">
          <xsd:maxLength value="4"/>
        </xsd:restriction>
      </xsd:simpleType>
    </xsd:element>
    <xsd:element name="MeetingDate" ma:index="7" nillable="true" ma:displayName="Meeting Date" ma:description="" ma:format="DateOnly" ma:internalName="MeetingDate" ma:readOnly="false">
      <xsd:simpleType>
        <xsd:restriction base="dms:DateTime"/>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f289fbc384b1484ea5f6ff6b522b513c" ma:index="10" ma:taxonomy="true" ma:internalName="f289fbc384b1484ea5f6ff6b522b513c" ma:taxonomyFieldName="DocumentType" ma:displayName="Document Type" ma:readOnly="false" ma:default="1;#Report / Note;Note|b9e1c92e-303a-4555-86f0-5c711c65937e" ma:fieldId="{f289fbc3-84b1-484e-a5f6-ff6b522b513c}"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928629e9-0e1d-4188-aa32-10e376097bde}" ma:internalName="TaxCatchAll" ma:showField="CatchAllData" ma:web="324bc871-2248-4257-ae09-e6595317800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28629e9-0e1d-4188-aa32-10e376097bde}" ma:internalName="TaxCatchAllLabel" ma:readOnly="true" ma:showField="CatchAllDataLabel" ma:web="324bc871-2248-4257-ae09-e65953178003">
      <xsd:complexType>
        <xsd:complexContent>
          <xsd:extension base="dms:MultiChoiceLookup">
            <xsd:sequence>
              <xsd:element name="Value" type="dms:Lookup" maxOccurs="unbounded" minOccurs="0" nillable="true"/>
            </xsd:sequence>
          </xsd:extension>
        </xsd:complexContent>
      </xsd:complexType>
    </xsd:element>
    <xsd:element name="dd0664d3f47447a8943f346211d0253e" ma:index="14" ma:taxonomy="true" ma:internalName="dd0664d3f47447a8943f346211d0253e" ma:taxonomyFieldName="ConfidentialityLevel" ma:displayName="Confidentiality Level" ma:readOnly="false" ma:default="232;#Restricted|187aa7e6-627f-4951-b138-6ff841dc883d" ma:fieldId="{dd0664d3-f474-47a8-943f-346211d0253e}"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hb56520e44e642c88c7a09896d1bc2ee" ma:index="17" nillable="true" ma:taxonomy="true" ma:internalName="hb56520e44e642c88c7a09896d1bc2ee" ma:taxonomyFieldName="EsmaAudience" ma:displayName="Audience" ma:readOnly="false" ma:default="" ma:fieldId="{1b56520e-44e6-42c8-8c7a-09896d1bc2ee}"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ab8b5864a6dc4f2ea5aeb44d6d375f74" ma:index="21" ma:taxonomy="true" ma:internalName="ab8b5864a6dc4f2ea5aeb44d6d375f74" ma:taxonomyFieldName="Topic" ma:displayName="Topic" ma:readOnly="false" ma:default="" ma:fieldId="{ab8b5864-a6dc-4f2e-a5ae-b44d6d375f74}" ma:sspId="0ac1876e-32bf-4158-94e7-cdbcd053a335" ma:termSetId="32a8adfa-de86-499d-a6c1-2caf07079bc6" ma:anchorId="00000000-0000-0000-0000-000000000000" ma:open="false" ma:isKeyword="false">
      <xsd:complexType>
        <xsd:sequence>
          <xsd:element ref="pc:Terms" minOccurs="0" maxOccurs="1"/>
        </xsd:sequence>
      </xsd:complexType>
    </xsd:element>
    <xsd:element name="i3322e601ac8421cbd1b686355963f37" ma:index="23" ma:taxonomy="true" ma:internalName="i3322e601ac8421cbd1b686355963f37" ma:taxonomyFieldName="TeamName" ma:displayName="Team Name" ma:readOnly="false" ma:default="4;#Monitoring and Strategy|5fd162d8-0a0d-457e-8f1c-004ef74c6cad" ma:fieldId="{23322e60-1ac8-421c-bd1b-686355963f37}"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C34047-508F-48F2-8885-19BA2055A3B4}">
  <ds:schemaRefs>
    <ds:schemaRef ds:uri="http://schemas.microsoft.com/office/2006/metadata/properties"/>
    <ds:schemaRef ds:uri="http://schemas.microsoft.com/office/infopath/2007/PartnerControls"/>
    <ds:schemaRef ds:uri="324bc871-2248-4257-ae09-e65953178003"/>
    <ds:schemaRef ds:uri="http://schemas.microsoft.com/sharepoint/v4"/>
  </ds:schemaRefs>
</ds:datastoreItem>
</file>

<file path=customXml/itemProps2.xml><?xml version="1.0" encoding="utf-8"?>
<ds:datastoreItem xmlns:ds="http://schemas.openxmlformats.org/officeDocument/2006/customXml" ds:itemID="{8A49732F-6E78-4AFB-9B89-D1018B6A509B}">
  <ds:schemaRefs>
    <ds:schemaRef ds:uri="http://schemas.microsoft.com/sharepoint/v3/contenttype/forms"/>
  </ds:schemaRefs>
</ds:datastoreItem>
</file>

<file path=customXml/itemProps3.xml><?xml version="1.0" encoding="utf-8"?>
<ds:datastoreItem xmlns:ds="http://schemas.openxmlformats.org/officeDocument/2006/customXml" ds:itemID="{29FE4365-E352-4A09-B8FB-3AE2F4650DF4}">
  <ds:schemaRefs>
    <ds:schemaRef ds:uri="http://schemas.microsoft.com/sharepoint/events"/>
  </ds:schemaRefs>
</ds:datastoreItem>
</file>

<file path=customXml/itemProps4.xml><?xml version="1.0" encoding="utf-8"?>
<ds:datastoreItem xmlns:ds="http://schemas.openxmlformats.org/officeDocument/2006/customXml" ds:itemID="{EE937666-18FC-4AF9-9FD5-E6CE8BE09299}">
  <ds:schemaRefs>
    <ds:schemaRef ds:uri="http://schemas.openxmlformats.org/officeDocument/2006/bibliography"/>
  </ds:schemaRefs>
</ds:datastoreItem>
</file>

<file path=customXml/itemProps5.xml><?xml version="1.0" encoding="utf-8"?>
<ds:datastoreItem xmlns:ds="http://schemas.openxmlformats.org/officeDocument/2006/customXml" ds:itemID="{BBF3B5D8-702C-4CA6-B0CF-CB05080E1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bc871-2248-4257-ae09-e6595317800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3001</Words>
  <Characters>17110</Characters>
  <Application>Microsoft Office Word</Application>
  <DocSecurity>0</DocSecurity>
  <Lines>142</Lines>
  <Paragraphs>40</Paragraphs>
  <ScaleCrop>false</ScaleCrop>
  <HeadingPairs>
    <vt:vector size="6" baseType="variant">
      <vt:variant>
        <vt:lpstr>Titel</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General information about respondent</vt:lpstr>
      <vt:lpstr>Introductory comments</vt:lpstr>
      <vt:lpstr>Changes to general budgetary approach</vt:lpstr>
      <vt:lpstr>Registration fees</vt:lpstr>
      <vt:lpstr>Annual supervisory fees </vt:lpstr>
      <vt:lpstr>Applicable turnover</vt:lpstr>
      <vt:lpstr>Certification fees</vt:lpstr>
      <vt:lpstr>Final comments</vt:lpstr>
    </vt:vector>
  </TitlesOfParts>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Riley</dc:creator>
  <cp:keywords/>
  <dc:description/>
  <cp:lastModifiedBy>Thomas Missong</cp:lastModifiedBy>
  <cp:revision>2</cp:revision>
  <dcterms:created xsi:type="dcterms:W3CDTF">2021-03-15T13:44:00Z</dcterms:created>
  <dcterms:modified xsi:type="dcterms:W3CDTF">2021-03-15T13:44:00Z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Topic">
    <vt:lpwstr>410;#Supervisory Fees CRAs|fa606f54-38c0-45de-87af-f2ba02f8d382</vt:lpwstr>
  </property>
  <property fmtid="{D5CDD505-2E9C-101B-9397-08002B2CF9AE}" pid="4" name="TeamName">
    <vt:lpwstr>4;#Credit Ratings Agency Unit|5fd162d8-0a0d-457e-8f1c-004ef74c6cad</vt:lpwstr>
  </property>
  <property fmtid="{D5CDD505-2E9C-101B-9397-08002B2CF9AE}" pid="5" name="ContentTypeId">
    <vt:lpwstr>0x0101004E48D37C6739884A97C722900DD5A4E4010F00A150993C1D73B7408310D946713E31CE</vt:lpwstr>
  </property>
  <property fmtid="{D5CDD505-2E9C-101B-9397-08002B2CF9AE}" pid="6" name="ConfidentialityLevel">
    <vt:lpwstr>232;#Restricted|187aa7e6-627f-4951-b138-6ff841dc883d</vt:lpwstr>
  </property>
  <property fmtid="{D5CDD505-2E9C-101B-9397-08002B2CF9AE}" pid="7" name="_dlc_DocIdItemGuid">
    <vt:lpwstr>077623e6-9982-423f-903a-73e7a3b574cd</vt:lpwstr>
  </property>
  <property fmtid="{D5CDD505-2E9C-101B-9397-08002B2CF9AE}" pid="8" name="DocumentType">
    <vt:lpwstr>280;#Report|78753201-1e9e-4a21-a088-6ff602b5c999</vt:lpwstr>
  </property>
</Properties>
</file>