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60F1D">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E60F1D">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59190F74" w:rsidR="00C85C8B" w:rsidRPr="00C85C8B" w:rsidRDefault="009322EE" w:rsidP="009322EE">
                <w:pPr>
                  <w:rPr>
                    <w:rFonts w:ascii="Arial" w:hAnsi="Arial" w:cs="Arial"/>
                    <w:color w:val="808080"/>
                    <w:sz w:val="20"/>
                    <w:lang w:eastAsia="de-DE"/>
                  </w:rPr>
                </w:pPr>
                <w:r>
                  <w:t>Nasdaq</w:t>
                </w:r>
              </w:p>
            </w:tc>
          </w:sdtContent>
        </w:sdt>
      </w:tr>
      <w:tr w:rsidR="00C85C8B" w:rsidRPr="00C85C8B" w14:paraId="216F3E57" w14:textId="77777777" w:rsidTr="00E60F1D">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82115B5" w:rsidR="00C85C8B" w:rsidRPr="00C85C8B" w:rsidRDefault="00585776"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322EE">
                  <w:rPr>
                    <w:rFonts w:ascii="Arial" w:hAnsi="Arial" w:cs="Arial"/>
                    <w:sz w:val="20"/>
                    <w:lang w:eastAsia="de-DE"/>
                  </w:rPr>
                  <w:t>Regulated markets/Exchanges/Trading Systems</w:t>
                </w:r>
              </w:sdtContent>
            </w:sdt>
          </w:p>
        </w:tc>
      </w:tr>
      <w:tr w:rsidR="00C85C8B" w:rsidRPr="00C85C8B" w14:paraId="0D216581" w14:textId="77777777" w:rsidTr="00E60F1D">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E60F1D">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1AC162B" w:rsidR="00C85C8B" w:rsidRPr="00C85C8B" w:rsidRDefault="009322EE"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10E02C8B" w14:textId="1C548B89" w:rsidR="00F43578" w:rsidRDefault="00DA200D" w:rsidP="00F43578">
      <w:permStart w:id="286478064" w:edGrp="everyone"/>
      <w:r>
        <w:t xml:space="preserve">While we generally agree with the framework, albeit with reservations and proposals in answers to subsequent questions, we are concerned and urge ESMA to consider the level playing field aspects </w:t>
      </w:r>
      <w:r w:rsidR="00747B02">
        <w:t xml:space="preserve">post Brexit. </w:t>
      </w:r>
      <w:r>
        <w:t>European trading venues now have a significant portion of trading volume originating from third countries, often by way of DMA provided by EU affiliate fir</w:t>
      </w:r>
      <w:r w:rsidR="00747B02">
        <w:t>ms of the third country firms. In this situation,</w:t>
      </w:r>
      <w:r>
        <w:t xml:space="preserve"> the framework will only apply to a portion of the market and hence potentially contribute to an unlevel playing field between EU investment firms and third country firms.</w:t>
      </w:r>
      <w:r w:rsidR="00747B02">
        <w:t xml:space="preserve"> Similarly, should there be any form of equivalence decision, we underline the importance of a framework for supervisory cooperation which can ensure full equivalence in the implementation and enforcement of the rules, thereby providing a level playing field.</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CE6CA77" w14:textId="3B797E9A" w:rsidR="00F43578" w:rsidRDefault="004561F4" w:rsidP="00F43578">
      <w:permStart w:id="1917137949" w:edGrp="everyone"/>
      <w:r>
        <w:t xml:space="preserve">There are </w:t>
      </w:r>
      <w:proofErr w:type="gramStart"/>
      <w:r>
        <w:t>a number of</w:t>
      </w:r>
      <w:proofErr w:type="gramEnd"/>
      <w:r>
        <w:t xml:space="preserve"> risks which are important to take into account</w:t>
      </w:r>
      <w:r w:rsidR="00456EF3">
        <w:t xml:space="preserve"> from a broad perspective</w:t>
      </w:r>
      <w:r>
        <w:t xml:space="preserve">, </w:t>
      </w:r>
      <w:r w:rsidR="00177DB2">
        <w:t xml:space="preserve">where microstructural aspects </w:t>
      </w:r>
      <w:r w:rsidR="008F40F1">
        <w:t>including those linked to</w:t>
      </w:r>
      <w:r>
        <w:t xml:space="preserve"> algorithmic trading, HFT and DEA</w:t>
      </w:r>
      <w:r w:rsidR="008F40F1">
        <w:t>, are part of the broader picture</w:t>
      </w:r>
      <w:r>
        <w:t xml:space="preserve">. One is that trading volumes in systematic </w:t>
      </w:r>
      <w:proofErr w:type="spellStart"/>
      <w:r>
        <w:t>internalisers</w:t>
      </w:r>
      <w:proofErr w:type="spellEnd"/>
      <w:r>
        <w:t xml:space="preserve"> have been rising. It needs to be ensured that these volumes only represent bilateral trading, as is the intention with the MiFID framework. Further, SIs should be reserved to cater for market participants who need to execute larger transactions. Smaller transactions should be executed on the more transparent venues, ensuring </w:t>
      </w:r>
      <w:r w:rsidR="00747B02">
        <w:t>equal treatment of all participants, and in the most transparent environment.</w:t>
      </w:r>
      <w:r>
        <w:t xml:space="preserve"> In our view, there is otherwise a risk that volumes that should normally contribute to price formation on multilateral and transparent venues is moved to a darker space.</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5B6D670C" w14:textId="0144A13B" w:rsidR="00F43578" w:rsidRDefault="00C465D2" w:rsidP="00F43578">
      <w:permStart w:id="1761220304" w:edGrp="everyone"/>
      <w:r>
        <w:t xml:space="preserve">In this context we note that the interaction between various types of execution needs to be considered also as regards algorithmic </w:t>
      </w:r>
      <w:proofErr w:type="spellStart"/>
      <w:r>
        <w:t>tradig</w:t>
      </w:r>
      <w:proofErr w:type="spellEnd"/>
      <w:r>
        <w:t>. Especially the interaction between activities on the multilateral venues and OTC, including on the SIs, should be part of the broader focus</w:t>
      </w:r>
      <w:r w:rsidR="009643FD">
        <w:t xml:space="preserve"> when analysing risks</w:t>
      </w:r>
      <w:r>
        <w:t xml:space="preserve">. As algorithms and HFT strategies can be </w:t>
      </w:r>
      <w:r w:rsidR="009643FD">
        <w:t>deployed by multiple</w:t>
      </w:r>
      <w:r>
        <w:t xml:space="preserve"> types of market participants, across the whole range of the market, any policy measures should </w:t>
      </w:r>
      <w:r w:rsidR="009643FD">
        <w:t xml:space="preserve">also </w:t>
      </w:r>
      <w:r>
        <w:t>apply to all, taking a functional rather than an institutional approach.</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lastRenderedPageBreak/>
        <w:t>&lt;ESMA_QUESTION_ALGO_4&gt;</w:t>
      </w:r>
    </w:p>
    <w:p w14:paraId="4A552F07" w14:textId="4D62BA1C" w:rsidR="00F43578" w:rsidRDefault="00910188" w:rsidP="00F43578">
      <w:permStart w:id="1759576576" w:edGrp="everyone"/>
      <w:r w:rsidRPr="00910188">
        <w:t>It is natural that the DEA provider as well as any HFT is within the MiFID II algorithmic trading framework as they both need MiFID II investment firm lic</w:t>
      </w:r>
      <w:r w:rsidR="00747B02">
        <w:t>ense. On the contra</w:t>
      </w:r>
      <w:r w:rsidRPr="00910188">
        <w:t>ry the DEA clients (e</w:t>
      </w:r>
      <w:r w:rsidR="00747B02">
        <w:t>specially in the proposed land</w:t>
      </w:r>
      <w:r w:rsidRPr="00910188">
        <w:t xml:space="preserve">scape, where Tier 1 clients do not need to be MiFID </w:t>
      </w:r>
      <w:r w:rsidR="00E60F1D">
        <w:t>II investment firms) do</w:t>
      </w:r>
      <w:r w:rsidR="009218EB">
        <w:t xml:space="preserve"> no</w:t>
      </w:r>
      <w:r w:rsidR="00E60F1D">
        <w:t>t equally</w:t>
      </w:r>
      <w:r w:rsidRPr="00910188">
        <w:t xml:space="preserve"> naturally fall under the algorithmic trading framework. Therefore it might be more reasonable to place the requiremen</w:t>
      </w:r>
      <w:r w:rsidR="00E60F1D">
        <w:t>ts relating to the DEA client with</w:t>
      </w:r>
      <w:r w:rsidRPr="00910188">
        <w:t xml:space="preserve"> the DEA </w:t>
      </w:r>
      <w:proofErr w:type="gramStart"/>
      <w:r w:rsidRPr="00910188">
        <w:t>provider.</w:t>
      </w:r>
      <w:permEnd w:id="1759576576"/>
      <w:r w:rsidR="00F43578">
        <w:t>&lt;</w:t>
      </w:r>
      <w:proofErr w:type="gramEnd"/>
      <w:r w:rsidR="00F43578">
        <w: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02789F52" w14:textId="3E8CC6A7" w:rsidR="005717DA" w:rsidRPr="005717DA" w:rsidRDefault="005717DA" w:rsidP="005717DA">
      <w:permStart w:id="471091368" w:edGrp="everyone"/>
      <w:r w:rsidRPr="005717DA">
        <w:t>The static thresholds of 4 and 2 messages per second for principal activity in liquid instruments does not state to only include algorithmic orders. That was clarified in a Q&amp;A. For clarity</w:t>
      </w:r>
      <w:r w:rsidR="00E60F1D">
        <w:t>, this</w:t>
      </w:r>
      <w:r w:rsidRPr="005717DA">
        <w:t xml:space="preserve"> should ideally be part of the calculation definition of the static thresholds.</w:t>
      </w:r>
    </w:p>
    <w:p w14:paraId="34FCC7B2" w14:textId="6884C0F0" w:rsidR="00F43578" w:rsidRDefault="005717DA" w:rsidP="00F43578">
      <w:r w:rsidRPr="005717DA">
        <w:t xml:space="preserve">The static thresholds are acceptable to us as a </w:t>
      </w:r>
      <w:proofErr w:type="gramStart"/>
      <w:r w:rsidRPr="005717DA">
        <w:t>definition</w:t>
      </w:r>
      <w:proofErr w:type="gramEnd"/>
      <w:r w:rsidRPr="005717DA">
        <w:t xml:space="preserve"> but they fail to distinguish between different types of algorithmic activity, e.g. between market maker and arbitrage strategies where the first may be passive liquidity provision and the latter may be liquidity taking. Additionally, execution algorithms such as VWAP strategies, if traded in principal capacity, becomes included in HFT scope when seen in isolation would rarely </w:t>
      </w:r>
      <w:proofErr w:type="gramStart"/>
      <w:r w:rsidRPr="005717DA">
        <w:t>be seen as</w:t>
      </w:r>
      <w:proofErr w:type="gramEnd"/>
      <w:r w:rsidRPr="005717DA">
        <w:t xml:space="preserve"> HFT. An alternative approach could be to determine HFT classification per algorithm id and possibly make considerations to liquidity providing </w:t>
      </w:r>
      <w:proofErr w:type="gramStart"/>
      <w:r w:rsidRPr="005717DA">
        <w:t>algorithms.</w:t>
      </w:r>
      <w:permEnd w:id="471091368"/>
      <w:r w:rsidR="00F43578">
        <w:t>&lt;</w:t>
      </w:r>
      <w:proofErr w:type="gramEnd"/>
      <w:r w:rsidR="00F43578">
        <w: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1D463512" w14:textId="77777777" w:rsidR="0066132C" w:rsidRPr="0066132C" w:rsidRDefault="0066132C" w:rsidP="0066132C">
      <w:permStart w:id="139352066" w:edGrp="everyone"/>
      <w:r w:rsidRPr="0066132C">
        <w:t>To our understanding it is relatively frequent, partly as intra firm arrangements. Brexit is believed to have extended the use of DEA sub delegation further. With that said, we have no insight into DEA sub delegation arrangements of trading participants other than provisions in the trading rules. We permit sub delegation of Sponsored Access on our trading venues and the requirements are stipulated in our rules, but we have no knowledge of actual sub delegation arrangements.</w:t>
      </w:r>
    </w:p>
    <w:p w14:paraId="1D095872" w14:textId="71312EB3" w:rsidR="00F43578" w:rsidRDefault="00344CCB" w:rsidP="00F43578">
      <w:r w:rsidRPr="00344CCB">
        <w:t xml:space="preserve">DEA provision to third country firms is currently subject to different national </w:t>
      </w:r>
      <w:r w:rsidR="00E60F1D">
        <w:t>approaches</w:t>
      </w:r>
      <w:r w:rsidRPr="00344CCB">
        <w:t xml:space="preserve"> among the EU </w:t>
      </w:r>
      <w:r w:rsidR="00E60F1D">
        <w:t xml:space="preserve">member </w:t>
      </w:r>
      <w:r w:rsidRPr="00344CCB">
        <w:t xml:space="preserve">states. We would prefer to have a harmonized framework for DEA provision to third country firms across EU to create a level playing field and predictability for third country </w:t>
      </w:r>
      <w:proofErr w:type="gramStart"/>
      <w:r w:rsidRPr="00344CCB">
        <w:t>firms</w:t>
      </w:r>
      <w:r w:rsidR="0066132C" w:rsidRPr="0066132C">
        <w:t>.</w:t>
      </w:r>
      <w:permEnd w:id="139352066"/>
      <w:r w:rsidR="00F43578">
        <w:t>&lt;</w:t>
      </w:r>
      <w:proofErr w:type="gramEnd"/>
      <w:r w:rsidR="00F43578">
        <w: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62798D25" w14:textId="77777777" w:rsidR="008A5B75" w:rsidRDefault="00E60F1D" w:rsidP="00F43578">
      <w:permStart w:id="1646090751" w:edGrp="everyone"/>
      <w:r>
        <w:t xml:space="preserve">Although an exchange may not be the primary target of this question, we still note that we question the </w:t>
      </w:r>
      <w:r w:rsidR="005643DE" w:rsidRPr="005643DE">
        <w:t xml:space="preserve">reasoning behind § 47 around “… technically be in possession of the trading </w:t>
      </w:r>
      <w:r w:rsidR="005643DE" w:rsidRPr="005643DE">
        <w:lastRenderedPageBreak/>
        <w:t>code …”. The DEA client is never in possession of the trading code of the DEA provider, it is either appended by the DEA provider in the case of DMA or by the trading venue for Sponsored Access.</w:t>
      </w:r>
    </w:p>
    <w:permEnd w:id="1646090751"/>
    <w:p w14:paraId="4C72CE72" w14:textId="6E7D92E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47B20959" w14:textId="77777777" w:rsidR="00E60F1D" w:rsidRDefault="00184144" w:rsidP="00F43578">
      <w:permStart w:id="1735736236" w:edGrp="everyone"/>
      <w:r>
        <w:t>Yes</w:t>
      </w:r>
      <w:r w:rsidR="00D11A5A">
        <w:t>,</w:t>
      </w:r>
      <w:r w:rsidR="00D11A5A" w:rsidRPr="00D11A5A">
        <w:t xml:space="preserve"> for clients categorized as retail clients under MiFID II, the due diligence procedure shall ensure that statutory investor protection and know-your-client requirements are met, that the service provided is suitable for the client and that the client is reasonably informed of the terms of the services and the applicable rules and restrictions with regards to it.</w:t>
      </w:r>
      <w:r>
        <w:t xml:space="preserve"> </w:t>
      </w:r>
    </w:p>
    <w:p w14:paraId="5AD0F98B" w14:textId="77777777" w:rsidR="00E60F1D" w:rsidRDefault="00E60F1D" w:rsidP="00F43578"/>
    <w:p w14:paraId="12020540" w14:textId="66E3964F" w:rsidR="00CD02B2" w:rsidRDefault="00CD02B2" w:rsidP="00F43578">
      <w:r w:rsidRPr="00CD02B2">
        <w:t xml:space="preserve">We agree that online brokerage clients should not be in scope for the DEA definition. We would further argue that only Sponsored Access clients can exercise full discretion of order entry and have equivalent direct access to trading venue systems as participants of Trading Venues. We would </w:t>
      </w:r>
      <w:r w:rsidR="00E60F1D">
        <w:t>hence</w:t>
      </w:r>
      <w:r w:rsidRPr="00CD02B2">
        <w:t xml:space="preserve"> argue for ESMA </w:t>
      </w:r>
      <w:r w:rsidR="00E60F1D">
        <w:t>to consider removing DMA, i.e. w</w:t>
      </w:r>
      <w:r w:rsidRPr="00CD02B2">
        <w:t xml:space="preserve">here a </w:t>
      </w:r>
      <w:proofErr w:type="gramStart"/>
      <w:r w:rsidRPr="00CD02B2">
        <w:t>client access</w:t>
      </w:r>
      <w:r w:rsidR="00E60F1D">
        <w:t>es</w:t>
      </w:r>
      <w:r w:rsidRPr="00CD02B2">
        <w:t xml:space="preserve"> trading venues</w:t>
      </w:r>
      <w:proofErr w:type="gramEnd"/>
      <w:r w:rsidRPr="00CD02B2">
        <w:t xml:space="preserve"> through a DMA provider’s infrastructure and systems, from the definition and scope of DEA. This would have the additional benefit that the definition would be crystal clear, i.e. DEA would mean connecting directly to the trading system of a trading venue.</w:t>
      </w:r>
    </w:p>
    <w:p w14:paraId="440A4AB6" w14:textId="0A08BE3A" w:rsidR="00E60F1D" w:rsidRDefault="00E60F1D" w:rsidP="00F43578"/>
    <w:p w14:paraId="1488375B" w14:textId="77777777" w:rsidR="00E60F1D" w:rsidRDefault="00E60F1D" w:rsidP="00E60F1D">
      <w:r>
        <w:t xml:space="preserve">In the markets operated by Nasdaq in the Nordics, we observe a </w:t>
      </w:r>
      <w:proofErr w:type="spellStart"/>
      <w:r>
        <w:t>relatvely</w:t>
      </w:r>
      <w:proofErr w:type="spellEnd"/>
      <w:r>
        <w:t xml:space="preserve"> large proportion of retail volumes, </w:t>
      </w:r>
      <w:proofErr w:type="gramStart"/>
      <w:r>
        <w:t>in particular on</w:t>
      </w:r>
      <w:proofErr w:type="gramEnd"/>
      <w:r>
        <w:t xml:space="preserve"> the growth markets. This is proof of a relatively </w:t>
      </w:r>
      <w:proofErr w:type="gramStart"/>
      <w:r>
        <w:t>well developed</w:t>
      </w:r>
      <w:proofErr w:type="gramEnd"/>
      <w:r>
        <w:t xml:space="preserve"> equity culture, which contributes significantly to a </w:t>
      </w:r>
      <w:proofErr w:type="spellStart"/>
      <w:r>
        <w:t>well functioning</w:t>
      </w:r>
      <w:proofErr w:type="spellEnd"/>
      <w:r>
        <w:t xml:space="preserve"> capital market where companies can access capital and grow. We welcome ESMA's and NCAs' continues attention to the need to </w:t>
      </w:r>
      <w:proofErr w:type="spellStart"/>
      <w:r>
        <w:t>faciliate</w:t>
      </w:r>
      <w:proofErr w:type="spellEnd"/>
      <w:r>
        <w:t xml:space="preserve"> further retail investor participation in capital markets.</w:t>
      </w:r>
    </w:p>
    <w:p w14:paraId="0C765AD1" w14:textId="77777777" w:rsidR="00E60F1D" w:rsidRDefault="00E60F1D" w:rsidP="00F43578"/>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5EDB2DA4" w14:textId="42576B5E" w:rsidR="00F43578" w:rsidRDefault="003C040A" w:rsidP="00F43578">
      <w:permStart w:id="714028646" w:edGrp="everyone"/>
      <w:proofErr w:type="gramStart"/>
      <w:r>
        <w:t>Yes</w:t>
      </w:r>
      <w:proofErr w:type="gramEnd"/>
      <w:r>
        <w:t xml:space="preserve"> we agree SIs should be under certain obligations related to algorithmic tradin</w:t>
      </w:r>
      <w:r w:rsidR="003F1B6F">
        <w:t>g</w:t>
      </w:r>
      <w:r>
        <w:t xml:space="preserve">, and we agree with the selected areas as proposed by ESMA. </w:t>
      </w:r>
      <w:r w:rsidR="00B6148F">
        <w:t>Definitions should apply to trading venues and S</w:t>
      </w:r>
      <w:r w:rsidR="007E3400">
        <w:t>I</w:t>
      </w:r>
      <w:r w:rsidR="00B6148F">
        <w:t>s</w:t>
      </w:r>
      <w:r w:rsidR="00F72974">
        <w:t xml:space="preserve"> irrespectively</w:t>
      </w:r>
      <w:r w:rsidR="000168D2">
        <w:t>. There is also a case to apply the same rules to firms engaging in algo</w:t>
      </w:r>
      <w:r w:rsidR="0098795D">
        <w:t>rithmic trading OTC, in order to provide a level playing field</w:t>
      </w:r>
      <w:r w:rsidR="00F72974">
        <w:t xml:space="preserve">. </w:t>
      </w:r>
      <w:r>
        <w:t>We also take this opportunity to underline the importance of enforcement of existing rules.</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49926942" w14:textId="7AE6CD2D" w:rsidR="00F43578" w:rsidRDefault="003C040A" w:rsidP="00F43578">
      <w:permStart w:id="1286567615" w:edGrp="everyone"/>
      <w:r>
        <w:t xml:space="preserve">We appreciate ESMA's efforts to </w:t>
      </w:r>
      <w:proofErr w:type="spellStart"/>
      <w:r>
        <w:t>adress</w:t>
      </w:r>
      <w:proofErr w:type="spellEnd"/>
      <w:r>
        <w:t xml:space="preserve"> third country issues and to ensure a level playing field. These are crucial tasks </w:t>
      </w:r>
      <w:proofErr w:type="gramStart"/>
      <w:r>
        <w:t>in order for</w:t>
      </w:r>
      <w:proofErr w:type="gramEnd"/>
      <w:r>
        <w:t xml:space="preserve"> the EU capital markets to develop and serve customers as efficiently as possible. The intention to amend existing rules in a direction which </w:t>
      </w:r>
      <w:r>
        <w:lastRenderedPageBreak/>
        <w:t>facilitates supervision and enforcement is also supported. Rules which cann</w:t>
      </w:r>
      <w:r w:rsidR="009643FD">
        <w:t>ot be enforced are of very limited</w:t>
      </w:r>
      <w:r>
        <w:t xml:space="preserve"> use and can even be damaging.</w:t>
      </w:r>
    </w:p>
    <w:p w14:paraId="0818B371" w14:textId="650690AD" w:rsidR="009643FD" w:rsidRDefault="009643FD" w:rsidP="00F43578"/>
    <w:p w14:paraId="1F912860" w14:textId="77777777" w:rsidR="009643FD" w:rsidRDefault="009643FD" w:rsidP="00F43578">
      <w:r>
        <w:t>In terms of ensuring a third country level playing field, we support the proposal to remove the obligation for DEA clients to be authorised as investment firms. We believe that the requirement of the establishment of a branch and authorisation in the country of the trading venue for DEA Tier 1 clients dealing on own account, can have a negative impact on the trading and hence on the liquidity of national products.</w:t>
      </w:r>
    </w:p>
    <w:p w14:paraId="2AEB79A8" w14:textId="77777777" w:rsidR="00340002" w:rsidRDefault="00340002" w:rsidP="00F43578"/>
    <w:p w14:paraId="3B6CEEB0" w14:textId="07A0275E" w:rsidR="00340002" w:rsidRPr="00340002" w:rsidRDefault="00340002" w:rsidP="00340002">
      <w:r w:rsidRPr="00340002">
        <w:t>In the consultati</w:t>
      </w:r>
      <w:r w:rsidR="00E60F1D">
        <w:t>on document there is a proposal</w:t>
      </w:r>
      <w:r w:rsidRPr="00340002">
        <w:t xml:space="preserve"> to amend the definition of DEA in Article 4(1)(39) to include DEA sub-delegation, the referred article poin</w:t>
      </w:r>
      <w:r w:rsidR="00E60F1D">
        <w:t>t is assumed to mean 4(1)(41). The q</w:t>
      </w:r>
      <w:r w:rsidRPr="00340002">
        <w:t xml:space="preserve">uestion may be asked whether only Tier 2 clients should be considered DEA users for the purposes of MiFID II obligations relating to </w:t>
      </w:r>
      <w:proofErr w:type="gramStart"/>
      <w:r w:rsidRPr="00340002">
        <w:t>DEA</w:t>
      </w:r>
      <w:r w:rsidR="00E60F1D">
        <w:t>,</w:t>
      </w:r>
      <w:r w:rsidRPr="00340002">
        <w:t xml:space="preserve"> or</w:t>
      </w:r>
      <w:proofErr w:type="gramEnd"/>
      <w:r w:rsidRPr="00340002">
        <w:t xml:space="preserve"> should also further </w:t>
      </w:r>
      <w:proofErr w:type="spellStart"/>
      <w:r w:rsidRPr="00340002">
        <w:t>subdelegation</w:t>
      </w:r>
      <w:proofErr w:type="spellEnd"/>
      <w:r w:rsidRPr="00340002">
        <w:t xml:space="preserve"> be taken into account. The obligations in relation to the DEA should be on the DEA provider. Where the DEA provider allows </w:t>
      </w:r>
      <w:proofErr w:type="spellStart"/>
      <w:r w:rsidRPr="00340002">
        <w:t>subdelegation</w:t>
      </w:r>
      <w:proofErr w:type="spellEnd"/>
      <w:r w:rsidRPr="00340002">
        <w:t xml:space="preserve"> of the DEA, they should assure the appropriate due-diligence and control framework is also applied to any </w:t>
      </w:r>
      <w:proofErr w:type="spellStart"/>
      <w:r w:rsidRPr="00340002">
        <w:t>subdelegation</w:t>
      </w:r>
      <w:proofErr w:type="spellEnd"/>
      <w:r w:rsidRPr="00340002">
        <w:t>.</w:t>
      </w:r>
    </w:p>
    <w:p w14:paraId="5D0D9759" w14:textId="77777777" w:rsidR="00340002" w:rsidRPr="00340002" w:rsidRDefault="00340002" w:rsidP="00340002"/>
    <w:p w14:paraId="6D74211F" w14:textId="6C16EDEA" w:rsidR="00340002" w:rsidRPr="00340002" w:rsidRDefault="00E60F1D" w:rsidP="00340002">
      <w:r>
        <w:t>A p</w:t>
      </w:r>
      <w:r w:rsidR="00340002" w:rsidRPr="00340002">
        <w:t>roposal is also, in order to further ensure harmonised implementation across the EU, to require that DEA providers shall be authorised as investment</w:t>
      </w:r>
      <w:r>
        <w:t xml:space="preserve"> firms or credit institutions. The p</w:t>
      </w:r>
      <w:r w:rsidR="00340002" w:rsidRPr="00340002">
        <w:t>roposal to spell out in Article 1 of MiFID II and not only be indirectly provided for through an obligation on trading venues under Article 48 of MiFID II</w:t>
      </w:r>
      <w:r>
        <w:t>,</w:t>
      </w:r>
      <w:r w:rsidR="00340002" w:rsidRPr="00340002">
        <w:t xml:space="preserve"> can be supported </w:t>
      </w:r>
      <w:r>
        <w:t xml:space="preserve">by Nasdaq </w:t>
      </w:r>
      <w:r w:rsidR="00340002" w:rsidRPr="00340002">
        <w:t>and can f</w:t>
      </w:r>
      <w:r>
        <w:t>or its</w:t>
      </w:r>
      <w:r w:rsidR="00340002" w:rsidRPr="00340002">
        <w:t xml:space="preserve"> part further ensure harmonised implementation across the EU.</w:t>
      </w:r>
    </w:p>
    <w:p w14:paraId="1B27A2C4" w14:textId="77777777" w:rsidR="00340002" w:rsidRPr="00340002" w:rsidRDefault="00340002" w:rsidP="00340002"/>
    <w:p w14:paraId="78A0AFF9" w14:textId="1EB9F9FE" w:rsidR="00340002" w:rsidRDefault="00340002" w:rsidP="00340002">
      <w:r w:rsidRPr="00340002">
        <w:t xml:space="preserve">ESMA suggests addressing the remaining unlevel playing field between EU and </w:t>
      </w:r>
      <w:proofErr w:type="gramStart"/>
      <w:r w:rsidRPr="00340002">
        <w:t>third-country</w:t>
      </w:r>
      <w:proofErr w:type="gramEnd"/>
      <w:r w:rsidRPr="00340002">
        <w:t xml:space="preserve"> HFT firms by introducing a requirement for third-country firms to be authorised as an investment firm when they qualify as an HFT firm on an EU trading venue. In situations where </w:t>
      </w:r>
      <w:r w:rsidR="00696909">
        <w:t xml:space="preserve">a </w:t>
      </w:r>
      <w:r w:rsidRPr="00340002">
        <w:t xml:space="preserve">DEA provider considers providing DEA for HFT it should be </w:t>
      </w:r>
      <w:r w:rsidR="00696909">
        <w:t xml:space="preserve">the </w:t>
      </w:r>
      <w:r w:rsidRPr="00340002">
        <w:t>DEA providers</w:t>
      </w:r>
      <w:r w:rsidR="00696909">
        <w:t>'</w:t>
      </w:r>
      <w:r w:rsidRPr="00340002">
        <w:t xml:space="preserve"> responsibility to ensure that such requirement is complied with</w:t>
      </w:r>
      <w:r w:rsidR="00696909">
        <w:t>, as they manage</w:t>
      </w:r>
      <w:r w:rsidRPr="00340002">
        <w:t xml:space="preserve"> that client relationship directly.</w:t>
      </w:r>
    </w:p>
    <w:p w14:paraId="0459C585" w14:textId="77777777" w:rsidR="004060D8" w:rsidRDefault="004060D8" w:rsidP="004060D8"/>
    <w:p w14:paraId="02FB2BE7" w14:textId="3CB0F8C2" w:rsidR="004060D8" w:rsidRDefault="004060D8" w:rsidP="004060D8">
      <w:r w:rsidRPr="004060D8">
        <w:t>We fully support excluding DEA clients only trading on own account that do not qualify as HFT from requirement to be registered as an investment firm.</w:t>
      </w:r>
    </w:p>
    <w:p w14:paraId="6C441001" w14:textId="77777777" w:rsidR="00696909" w:rsidRDefault="00696909" w:rsidP="004060D8"/>
    <w:p w14:paraId="4997BE45" w14:textId="10DE37F5" w:rsidR="004060D8" w:rsidRDefault="00CF1F58" w:rsidP="00340002">
      <w:r>
        <w:t xml:space="preserve">With regards to § 70, can third country firms that provide HFT </w:t>
      </w:r>
      <w:r w:rsidR="00C61A1A">
        <w:t xml:space="preserve">be authorized as investment firms? </w:t>
      </w:r>
      <w:r w:rsidR="00EB1489">
        <w:t xml:space="preserve">Does it </w:t>
      </w:r>
      <w:r w:rsidR="001D07B8">
        <w:t xml:space="preserve">require an EU branch? </w:t>
      </w:r>
      <w:r w:rsidR="00F8568F">
        <w:t>Does it essentially prohibit HFT trading from third countries?</w:t>
      </w:r>
    </w:p>
    <w:permEnd w:id="1286567615"/>
    <w:p w14:paraId="10DCD448" w14:textId="432835B1"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77777777" w:rsidR="00F43578" w:rsidRDefault="00F43578" w:rsidP="00F43578">
      <w:permStart w:id="1274354294" w:edGrp="everyone"/>
      <w:r>
        <w:t>TYPE YOUR TEXT HERE</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1B7174C7" w14:textId="77777777" w:rsidR="00F43578" w:rsidRDefault="00F43578" w:rsidP="00F43578">
      <w:permStart w:id="1308445152" w:edGrp="everyone"/>
      <w:r>
        <w:t>TYPE YOUR TEXT HERE</w:t>
      </w:r>
    </w:p>
    <w:permEnd w:id="1308445152"/>
    <w:p w14:paraId="6A99B1C9" w14:textId="77777777" w:rsidR="00F43578" w:rsidRDefault="00F43578" w:rsidP="00F43578">
      <w:r>
        <w:lastRenderedPageBreak/>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77777777" w:rsidR="00F43578" w:rsidRDefault="00F43578" w:rsidP="00F43578">
      <w:permStart w:id="1436643470" w:edGrp="everyone"/>
      <w:r>
        <w:t>TYPE YOUR TEXT HERE</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41D629B5" w14:textId="77777777" w:rsidR="00F43578" w:rsidRDefault="00F43578" w:rsidP="00F43578">
      <w:permStart w:id="892417975" w:edGrp="everyone"/>
      <w:r>
        <w:t>TYPE YOUR TEXT HERE</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4E735CAC" w14:textId="77777777" w:rsidR="00F43578" w:rsidRDefault="00F43578" w:rsidP="00F43578">
      <w:permStart w:id="1585009624" w:edGrp="everyone"/>
      <w:r>
        <w:t>TYPE YOUR TEXT HERE</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4BAD5589" w14:textId="77777777" w:rsidR="00F43578" w:rsidRDefault="00F43578" w:rsidP="00F43578">
      <w:permStart w:id="1815021170" w:edGrp="everyone"/>
      <w:r>
        <w:t>TYPE YOUR TEXT HERE</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9447F88" w14:textId="77777777" w:rsidR="00F43578" w:rsidRDefault="00F43578" w:rsidP="00F43578">
      <w:permStart w:id="80092231" w:edGrp="everyone"/>
      <w:r>
        <w:t>TYPE YOUR TEXT HERE</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9BB4FD9" w14:textId="77777777" w:rsidR="00F43578" w:rsidRDefault="00F43578" w:rsidP="00F43578">
      <w:permStart w:id="935476495" w:edGrp="everyone"/>
      <w:r>
        <w:t>TYPE YOUR TEXT HERE</w:t>
      </w:r>
    </w:p>
    <w:permEnd w:id="935476495"/>
    <w:p w14:paraId="31F310B3" w14:textId="77777777" w:rsidR="00F43578" w:rsidRDefault="00F43578" w:rsidP="00F43578">
      <w:r>
        <w:lastRenderedPageBreak/>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09370067" w14:textId="77777777" w:rsidR="00F43578" w:rsidRDefault="00F43578" w:rsidP="00F43578">
      <w:permStart w:id="91701692" w:edGrp="everyone"/>
      <w:r>
        <w:t>TYPE YOUR TEXT HERE</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29ECF663" w14:textId="77777777" w:rsidR="00F43578" w:rsidRDefault="00F43578" w:rsidP="00F43578">
      <w:permStart w:id="830364215" w:edGrp="everyone"/>
      <w:r>
        <w:t>TYPE YOUR TEXT HERE</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227422DA" w14:textId="77777777" w:rsidR="00F43578" w:rsidRDefault="00F43578" w:rsidP="00F43578">
      <w:permStart w:id="1799384931" w:edGrp="everyone"/>
      <w:r>
        <w:t>TYPE YOUR TEXT HERE</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77777777" w:rsidR="00F43578" w:rsidRDefault="00F43578" w:rsidP="00F43578">
      <w:permStart w:id="818891985" w:edGrp="everyone"/>
      <w:r>
        <w:t>TYPE YOUR TEXT HERE</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4343B3B" w14:textId="645D6D66" w:rsidR="00F43578" w:rsidRDefault="007B6862" w:rsidP="00F43578">
      <w:permStart w:id="400963781" w:edGrp="everyone"/>
      <w:proofErr w:type="gramStart"/>
      <w:r w:rsidRPr="007B6862">
        <w:t>Yes</w:t>
      </w:r>
      <w:proofErr w:type="gramEnd"/>
      <w:r w:rsidRPr="007B6862">
        <w:t xml:space="preserve"> we agree that harmonization and clear structure could be beneficial and foster the </w:t>
      </w:r>
      <w:proofErr w:type="spellStart"/>
      <w:r w:rsidRPr="007B6862">
        <w:t>concergence</w:t>
      </w:r>
      <w:proofErr w:type="spellEnd"/>
      <w:r w:rsidRPr="007B6862">
        <w:t xml:space="preserve"> </w:t>
      </w:r>
      <w:proofErr w:type="spellStart"/>
      <w:r w:rsidRPr="007B6862">
        <w:t>amonst</w:t>
      </w:r>
      <w:proofErr w:type="spellEnd"/>
      <w:r w:rsidRPr="007B6862">
        <w:t xml:space="preserve"> jurisdictions. </w:t>
      </w:r>
      <w:r w:rsidR="00696909">
        <w:t xml:space="preserve">We however also take the </w:t>
      </w:r>
      <w:proofErr w:type="spellStart"/>
      <w:r w:rsidR="00696909">
        <w:t>opportynity</w:t>
      </w:r>
      <w:proofErr w:type="spellEnd"/>
      <w:r w:rsidR="00696909">
        <w:t xml:space="preserve"> to mention that trading venues have made significant efforts to create and improve the current processes, so we propose sufficient phase-in periods and we also encourage any further development to be as simple as possible for all involved participants to manage, not least in terms of format.</w:t>
      </w:r>
      <w:r w:rsidRPr="007B6862">
        <w:t xml:space="preserve"> </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1D550298" w14:textId="77777777" w:rsidR="007B6862" w:rsidRPr="007B6862" w:rsidRDefault="007B6862" w:rsidP="007B6862">
      <w:permStart w:id="1148655378" w:edGrp="everyone"/>
      <w:r w:rsidRPr="007B6862">
        <w:t xml:space="preserve">As the annual assessment is, as also recognised by the consultation paper, somewhat burdensome, a bi-annual assessment seems appropriate. </w:t>
      </w:r>
    </w:p>
    <w:p w14:paraId="615143AE" w14:textId="77777777" w:rsidR="007B6862" w:rsidRPr="007B6862" w:rsidRDefault="007B6862" w:rsidP="007B6862"/>
    <w:p w14:paraId="059E487A" w14:textId="77777777" w:rsidR="007B6862" w:rsidRPr="007B6862" w:rsidRDefault="007B6862" w:rsidP="007B6862">
      <w:r w:rsidRPr="007B6862">
        <w:t>The NCAs should retain the possibility to request the self-assessment to be performed more frequently only in limited cases, such as for such parts where the trading venue has either encountered compliance issues or in case trading venue introduces material changes to the existing framework and therefore a more frequent assessment would be deemed necessary and justified.</w:t>
      </w:r>
    </w:p>
    <w:p w14:paraId="244F10C4" w14:textId="77777777" w:rsidR="007B6862" w:rsidRPr="007B6862" w:rsidRDefault="007B6862" w:rsidP="007B6862"/>
    <w:p w14:paraId="0842FBA2" w14:textId="34351AE0" w:rsidR="007B6862" w:rsidRPr="007B6862" w:rsidRDefault="007B6862" w:rsidP="007B6862">
      <w:r w:rsidRPr="007B6862">
        <w:t xml:space="preserve">Requirements for the trading venue to keep a record of the self-assessment for at least five years has </w:t>
      </w:r>
      <w:proofErr w:type="gramStart"/>
      <w:r w:rsidRPr="007B6862">
        <w:t>been considered to be</w:t>
      </w:r>
      <w:proofErr w:type="gramEnd"/>
      <w:r w:rsidRPr="007B6862">
        <w:t xml:space="preserve"> adequate and NCAs have had and will going forward </w:t>
      </w:r>
      <w:r w:rsidR="00696909">
        <w:t xml:space="preserve">maintain </w:t>
      </w:r>
      <w:r w:rsidRPr="007B6862">
        <w:t>the possibility to request the self-assessmen</w:t>
      </w:r>
      <w:r w:rsidR="00696909">
        <w:t xml:space="preserve">t. </w:t>
      </w:r>
      <w:proofErr w:type="gramStart"/>
      <w:r w:rsidR="00696909">
        <w:t>Therefore</w:t>
      </w:r>
      <w:proofErr w:type="gramEnd"/>
      <w:r w:rsidR="00696909">
        <w:t xml:space="preserve"> we see only limited</w:t>
      </w:r>
      <w:r w:rsidRPr="007B6862">
        <w:t xml:space="preserve"> value in adding the administrative burden for the trading venues by adding requirement to submit the self-assessment. If something should be submitted to the NCAs it should be limited to the information on the possible findings such as deviations and remarks relating to the self-assessment.</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17F9FCD" w14:textId="70462FAD" w:rsidR="00F43578" w:rsidRDefault="00523B88" w:rsidP="00F43578">
      <w:permStart w:id="1410487780" w:edGrp="everyone"/>
      <w:r>
        <w:t>We welcome ESMA's attention to avoiding overlapping requirements and to achieve a simplified and clearer regulatory framework in this regard.</w:t>
      </w:r>
      <w:r w:rsidR="00221086">
        <w:t xml:space="preserve"> </w:t>
      </w:r>
    </w:p>
    <w:p w14:paraId="08D568E2" w14:textId="77777777" w:rsidR="007831C0" w:rsidRDefault="007831C0" w:rsidP="00F43578"/>
    <w:p w14:paraId="707F12B3" w14:textId="77777777" w:rsidR="0070332A" w:rsidRDefault="007831C0" w:rsidP="00F43578">
      <w:r w:rsidRPr="007831C0">
        <w:t xml:space="preserve">Yes, we do think that there are overlapping requirements in RTS 6 and 7, in some cases for benefit </w:t>
      </w:r>
      <w:r w:rsidR="00C5228C">
        <w:t>while</w:t>
      </w:r>
      <w:r w:rsidRPr="007831C0">
        <w:t xml:space="preserve"> in some cases unnecessary</w:t>
      </w:r>
      <w:r w:rsidR="000C3F7D">
        <w:t xml:space="preserve"> and</w:t>
      </w:r>
      <w:r w:rsidRPr="007831C0">
        <w:t xml:space="preserve"> not fulfilling of purpose. We believe that </w:t>
      </w:r>
      <w:r w:rsidR="00C5228C">
        <w:t xml:space="preserve">the </w:t>
      </w:r>
      <w:r w:rsidRPr="007831C0">
        <w:t>trading venue’s primary tools and ability to curb or prevent disorderly trading is through use of appropriate price collars and mechanisms to manage volatility</w:t>
      </w:r>
      <w:r w:rsidR="00696909">
        <w:t>,</w:t>
      </w:r>
      <w:r w:rsidRPr="007831C0">
        <w:t xml:space="preserve"> whereas the ability to test and certify soundness of algorithms should reside with the investment firms that deploy the algorithms. Trading venues cannot with any efficiency validate or certify the behaviour of trading algorithms deployed b</w:t>
      </w:r>
      <w:r w:rsidR="00696909">
        <w:t>y its trading participants.</w:t>
      </w:r>
    </w:p>
    <w:p w14:paraId="4EC2CEED" w14:textId="77777777" w:rsidR="0070332A" w:rsidRDefault="0070332A" w:rsidP="00F43578"/>
    <w:p w14:paraId="00493854" w14:textId="07B22D53" w:rsidR="007831C0" w:rsidRPr="006044CE" w:rsidRDefault="00696909" w:rsidP="00F43578">
      <w:pPr>
        <w:rPr>
          <w:lang w:val="en-US" w:eastAsia="sv-SE"/>
        </w:rPr>
      </w:pPr>
      <w:r>
        <w:t>A</w:t>
      </w:r>
      <w:r w:rsidR="007831C0" w:rsidRPr="007831C0">
        <w:t xml:space="preserve">s such we think that the scope of conformance tests in </w:t>
      </w:r>
      <w:r w:rsidR="006044CE" w:rsidRPr="006044CE">
        <w:rPr>
          <w:lang w:val="en-US" w:eastAsia="sv-SE"/>
        </w:rPr>
        <w:t xml:space="preserve">RTS 7 article 9 and </w:t>
      </w:r>
      <w:proofErr w:type="gramStart"/>
      <w:r w:rsidR="006044CE" w:rsidRPr="006044CE">
        <w:rPr>
          <w:lang w:val="en-US" w:eastAsia="sv-SE"/>
        </w:rPr>
        <w:t>in particular 9</w:t>
      </w:r>
      <w:proofErr w:type="gramEnd"/>
      <w:r w:rsidR="006044CE" w:rsidRPr="006044CE">
        <w:rPr>
          <w:lang w:val="en-US" w:eastAsia="sv-SE"/>
        </w:rPr>
        <w:t xml:space="preserve"> (1.b</w:t>
      </w:r>
      <w:r w:rsidR="007831C0" w:rsidRPr="007831C0">
        <w:t>)</w:t>
      </w:r>
      <w:r>
        <w:t xml:space="preserve"> </w:t>
      </w:r>
      <w:r w:rsidR="007831C0" w:rsidRPr="007831C0">
        <w:t>should be limited to “trading systems”, and hence remove “algorithms” and “trading strategies”. We fully support the purpose of conformance testing</w:t>
      </w:r>
      <w:r>
        <w:t>,</w:t>
      </w:r>
      <w:r w:rsidR="007831C0" w:rsidRPr="007831C0">
        <w:t xml:space="preserve"> but </w:t>
      </w:r>
      <w:r>
        <w:t>only where it fills a purpose</w:t>
      </w:r>
      <w:r w:rsidR="007831C0" w:rsidRPr="007831C0">
        <w:t xml:space="preserve"> to test the interaction of an application that interfaces the trading system of a trading venue to validate that it meets the format requirements and rules of engagements of the trading venue and its rules. All algorithms and trading strategies </w:t>
      </w:r>
      <w:r>
        <w:t xml:space="preserve">are </w:t>
      </w:r>
      <w:r w:rsidR="007831C0" w:rsidRPr="007831C0">
        <w:t>by default deployed through such applications and are consequently covered in existing conformance test protocols.</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B46AAD" w14:textId="53E6B6C7" w:rsidR="00F43578" w:rsidRDefault="009643FD" w:rsidP="00F43578">
      <w:permStart w:id="1397362070" w:edGrp="everyone"/>
      <w:r>
        <w:t>We believe that t</w:t>
      </w:r>
      <w:r w:rsidRPr="00FE1ED0">
        <w:t xml:space="preserve">he testing requirements for </w:t>
      </w:r>
      <w:r>
        <w:t>algorithms</w:t>
      </w:r>
      <w:r w:rsidRPr="00FE1ED0">
        <w:t xml:space="preserve"> that are most of the time deployed by participants on multiple trading venues</w:t>
      </w:r>
      <w:r>
        <w:t>,</w:t>
      </w:r>
      <w:r w:rsidRPr="00FE1ED0">
        <w:t xml:space="preserve"> will not</w:t>
      </w:r>
      <w:r>
        <w:t>,</w:t>
      </w:r>
      <w:r w:rsidRPr="00FE1ED0">
        <w:t xml:space="preserve"> by </w:t>
      </w:r>
      <w:r>
        <w:t>itself,</w:t>
      </w:r>
      <w:r w:rsidRPr="00FE1ED0">
        <w:t xml:space="preserve"> enable market</w:t>
      </w:r>
      <w:r>
        <w:t>s</w:t>
      </w:r>
      <w:r w:rsidRPr="00FE1ED0">
        <w:t xml:space="preserve"> to get a higher level of security. Pre-trade risk management at the level of participants</w:t>
      </w:r>
      <w:r>
        <w:t>,</w:t>
      </w:r>
      <w:r w:rsidRPr="00FE1ED0">
        <w:t xml:space="preserve"> and to some extent </w:t>
      </w:r>
      <w:r>
        <w:t xml:space="preserve">at the </w:t>
      </w:r>
      <w:r>
        <w:lastRenderedPageBreak/>
        <w:t xml:space="preserve">level of </w:t>
      </w:r>
      <w:r w:rsidRPr="00FE1ED0">
        <w:t>trading venues</w:t>
      </w:r>
      <w:r>
        <w:t>,</w:t>
      </w:r>
      <w:r w:rsidRPr="00FE1ED0">
        <w:t xml:space="preserve"> </w:t>
      </w:r>
      <w:r>
        <w:t>is</w:t>
      </w:r>
      <w:r w:rsidRPr="00FE1ED0">
        <w:t xml:space="preserve"> more efficient to prevent incidents</w:t>
      </w:r>
      <w:r>
        <w:t xml:space="preserve">, as this provides </w:t>
      </w:r>
      <w:r w:rsidRPr="00FE1ED0">
        <w:t xml:space="preserve">the </w:t>
      </w:r>
      <w:r>
        <w:t xml:space="preserve">more efficient </w:t>
      </w:r>
      <w:r w:rsidRPr="00FE1ED0">
        <w:t>tools to monitor and react in real-time to issues arising out of algo</w:t>
      </w:r>
      <w:r>
        <w:t>rithmic</w:t>
      </w:r>
      <w:r w:rsidRPr="00FE1ED0">
        <w:t xml:space="preserve"> trading.</w:t>
      </w:r>
    </w:p>
    <w:p w14:paraId="1445DE33" w14:textId="77777777" w:rsidR="00EA013E" w:rsidRDefault="00EA013E" w:rsidP="00F43578"/>
    <w:p w14:paraId="7F1C26E7" w14:textId="0BE10D89" w:rsidR="00EA013E" w:rsidRDefault="00EA013E" w:rsidP="00F43578">
      <w:r w:rsidRPr="00EA013E">
        <w:t>As stated in the answer to Q25, we think that the responsibility to verify and test algorithms before deployment should reside with the investment firms and that trading venues have little or no role in that verification beyond what it facilitates today. Nasdaq offers its members and ISVs a complete production replica test environment to test its applications and algorithms and conducts conformance testing of interfacing applications to ensure that it meets the syntax and semantics requirements of the trading venue. Beyond that, we do not believe that trading venues can play any material role pre-deployment of algorithms.</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0408CCBB" w14:textId="7FB3D19A" w:rsidR="00EA013E" w:rsidRPr="00EA013E" w:rsidRDefault="00EA013E" w:rsidP="00EA013E">
      <w:permStart w:id="136737856" w:edGrp="everyone"/>
      <w:r w:rsidRPr="00EA013E">
        <w:t xml:space="preserve">To our understanding, most firms engaged </w:t>
      </w:r>
      <w:r w:rsidR="00696909">
        <w:t>in algorithmic testing validate</w:t>
      </w:r>
      <w:r w:rsidRPr="00EA013E">
        <w:t xml:space="preserve"> </w:t>
      </w:r>
      <w:r w:rsidR="00696909">
        <w:t>and test</w:t>
      </w:r>
      <w:r w:rsidRPr="00EA013E">
        <w:t xml:space="preserve"> their algorithms in back testing environments outside of the trading venue’s test environments. With that said, as stated in the answer to Q26, Nasdaq offers full production replica test environments to facilitate algorithmic and any other type of testing by trading participants and ISVs.</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699CA36B" w:rsidR="00F43578" w:rsidRDefault="00523B88" w:rsidP="00F43578">
      <w:permStart w:id="524302610" w:edGrp="everyone"/>
      <w:r>
        <w:t>Yes. Even under the extreme pressure witnessed during the start of the Covid-19 pandemic around March 2020, the mechanism proved functional and allowed us as a trading venue to get through this period in a very satisfactory manner.</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028B25CF" w14:textId="77777777" w:rsidR="00702575" w:rsidRDefault="00C375EA" w:rsidP="00F43578">
      <w:permStart w:id="2087265348" w:edGrp="everyone"/>
      <w:proofErr w:type="gramStart"/>
      <w:r>
        <w:t>Yes</w:t>
      </w:r>
      <w:proofErr w:type="gramEnd"/>
      <w:r>
        <w:t xml:space="preserve"> we </w:t>
      </w:r>
      <w:proofErr w:type="spellStart"/>
      <w:r w:rsidRPr="00F20347">
        <w:t>gree</w:t>
      </w:r>
      <w:proofErr w:type="spellEnd"/>
      <w:r w:rsidRPr="00F20347">
        <w:t xml:space="preserve"> with ESMA. Regulatory requirements are </w:t>
      </w:r>
      <w:proofErr w:type="gramStart"/>
      <w:r w:rsidRPr="00F20347">
        <w:t>appropriate</w:t>
      </w:r>
      <w:proofErr w:type="gramEnd"/>
      <w:r w:rsidRPr="00F20347">
        <w:t xml:space="preserve"> and no changes are necessary.</w:t>
      </w:r>
    </w:p>
    <w:permEnd w:id="2087265348"/>
    <w:p w14:paraId="5CD2143E" w14:textId="3734E03C"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0A8D86F3" w14:textId="3C6DB440" w:rsidR="00F43578" w:rsidRDefault="00E12662" w:rsidP="00F43578">
      <w:permStart w:id="40969141" w:edGrp="everyone"/>
      <w:r>
        <w:t>Yes. We also believe that</w:t>
      </w:r>
      <w:r w:rsidR="009643FD" w:rsidRPr="009643FD">
        <w:t xml:space="preserve"> Article 48 of MiFID II and RTS 10</w:t>
      </w:r>
      <w:r>
        <w:t xml:space="preserve"> should</w:t>
      </w:r>
      <w:r w:rsidR="009643FD" w:rsidRPr="009643FD">
        <w:t xml:space="preserve"> apply to third-party service vendors and proprietary trading platforms</w:t>
      </w:r>
      <w:r>
        <w:t xml:space="preserve">. These platforms enable the operator, </w:t>
      </w:r>
      <w:r w:rsidR="009643FD" w:rsidRPr="009643FD">
        <w:t>which</w:t>
      </w:r>
      <w:r>
        <w:t xml:space="preserve"> </w:t>
      </w:r>
      <w:r w:rsidR="009643FD" w:rsidRPr="009643FD">
        <w:t xml:space="preserve">at the </w:t>
      </w:r>
      <w:r>
        <w:t>same time</w:t>
      </w:r>
      <w:r w:rsidR="009643FD" w:rsidRPr="009643FD">
        <w:t xml:space="preserve"> routes client </w:t>
      </w:r>
      <w:r>
        <w:t>orders and deals on own account,</w:t>
      </w:r>
      <w:r w:rsidR="009643FD" w:rsidRPr="009643FD">
        <w:t xml:space="preserve"> to benefit from advantageous </w:t>
      </w:r>
      <w:r w:rsidR="009643FD" w:rsidRPr="009643FD">
        <w:lastRenderedPageBreak/>
        <w:t>proximity to its server, without giving the same possibility to the other participants active on the platform.</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70AC1AE9" w:rsidR="00F43578" w:rsidRDefault="00E12662" w:rsidP="00F43578">
      <w:permStart w:id="1697211100" w:edGrp="everyone"/>
      <w:r>
        <w:t>They are sufficient.</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1E5EA191" w14:textId="6E40F738" w:rsidR="00C375EA" w:rsidRDefault="00C375EA" w:rsidP="00E12662">
      <w:permStart w:id="1506355568" w:edGrp="everyone"/>
      <w:r w:rsidRPr="00080302">
        <w:t xml:space="preserve">Nasdaq welcomes ESMAs efforts to ensure consistent level of protection across trading venues. However, we see many pitfalls in an approach where </w:t>
      </w:r>
      <w:r w:rsidR="007B45EB">
        <w:t xml:space="preserve">a </w:t>
      </w:r>
      <w:r w:rsidRPr="00080302">
        <w:t>one</w:t>
      </w:r>
      <w:r w:rsidR="007B45EB">
        <w:t>-</w:t>
      </w:r>
      <w:r w:rsidRPr="00080302">
        <w:t>size</w:t>
      </w:r>
      <w:r w:rsidR="007B45EB">
        <w:t>-</w:t>
      </w:r>
      <w:r w:rsidRPr="00080302">
        <w:t>fits</w:t>
      </w:r>
      <w:r w:rsidR="007B45EB">
        <w:t>-</w:t>
      </w:r>
      <w:r w:rsidRPr="00080302">
        <w:t xml:space="preserve">all regime is set for OTR per asset class. There is a huge a variety of different types and set-ups for instruments that fall within </w:t>
      </w:r>
      <w:r w:rsidR="003228FD">
        <w:t>the same</w:t>
      </w:r>
      <w:r w:rsidRPr="00080302">
        <w:t xml:space="preserve"> asset class. Each of these requires a trading venue specific consideration</w:t>
      </w:r>
      <w:r w:rsidR="003228FD">
        <w:t>, in order</w:t>
      </w:r>
      <w:r w:rsidRPr="00080302">
        <w:t xml:space="preserve"> to find appropriate maximum levels. </w:t>
      </w:r>
    </w:p>
    <w:p w14:paraId="2A6CE684" w14:textId="77777777" w:rsidR="00C375EA" w:rsidRDefault="00C375EA" w:rsidP="00E12662"/>
    <w:p w14:paraId="424BE498" w14:textId="779501A4" w:rsidR="00E12662" w:rsidRDefault="00E12662" w:rsidP="00E12662">
      <w:r>
        <w:t>The</w:t>
      </w:r>
      <w:r w:rsidRPr="00E12662">
        <w:t xml:space="preserve"> maximum allowed OTR should be based on an assessment related to trading venue and member’s system capacity, latency problems, excessive market data flows, etc.</w:t>
      </w:r>
      <w:r>
        <w:t>,</w:t>
      </w:r>
      <w:r w:rsidRPr="00E12662">
        <w:t xml:space="preserve"> to safeguard orderly and sound trading activity. </w:t>
      </w:r>
    </w:p>
    <w:p w14:paraId="47328B19" w14:textId="77777777" w:rsidR="00C375EA" w:rsidRPr="00E12662" w:rsidRDefault="00C375EA" w:rsidP="00E12662"/>
    <w:p w14:paraId="6F81CA8B" w14:textId="6405DAEB" w:rsidR="00F43578" w:rsidRDefault="00E12662" w:rsidP="00E12662">
      <w:r>
        <w:t>Each trading venue must be allowed to set the OTR per instrument based on its knowledge of the local market and trading data. This will ensure that the ratios are relevant and kept up to date. Also, this is because any methodology to calculate these ratios must take into consideration the specific type of instrument as well as other market specifics, such as the liquidity of the platform. We believe the ratio does not have to be the same, even for the same financial instruments, on all the platforms where the instrument is traded, considering that each market has its own characteristics.</w:t>
      </w:r>
    </w:p>
    <w:p w14:paraId="4FAC539E" w14:textId="036AE202" w:rsidR="00C375EA" w:rsidRDefault="00C375EA" w:rsidP="00E12662"/>
    <w:p w14:paraId="366D25F8" w14:textId="2CA741B1" w:rsidR="00C375EA" w:rsidRDefault="00C375EA" w:rsidP="00C375EA">
      <w:pPr>
        <w:pStyle w:val="CommentText"/>
      </w:pPr>
      <w:r>
        <w:t>A comment as regards the methodology for OTR calculation: It appears</w:t>
      </w:r>
      <w:r w:rsidRPr="00080302">
        <w:t xml:space="preserve"> that there are different interpretations</w:t>
      </w:r>
      <w:r>
        <w:t xml:space="preserve"> of </w:t>
      </w:r>
      <w:r w:rsidRPr="00080302">
        <w:t>CDR 2017/566 Annex (RTS 9) on how certain types of order modi</w:t>
      </w:r>
      <w:r>
        <w:t>fications are counted. F</w:t>
      </w:r>
      <w:r w:rsidRPr="00080302">
        <w:t xml:space="preserve">or cases when original order volume is </w:t>
      </w:r>
      <w:r>
        <w:t>reduced, it appears some venues treat this</w:t>
      </w:r>
      <w:r w:rsidRPr="00080302">
        <w:t xml:space="preserve"> as 1 </w:t>
      </w:r>
      <w:r>
        <w:t>order, and others treat it as two. Unt</w:t>
      </w:r>
      <w:r w:rsidRPr="00080302">
        <w:t xml:space="preserve">il </w:t>
      </w:r>
      <w:proofErr w:type="gramStart"/>
      <w:r w:rsidRPr="00080302">
        <w:t>these type of discrepancies</w:t>
      </w:r>
      <w:proofErr w:type="gramEnd"/>
      <w:r w:rsidRPr="00080302">
        <w:t xml:space="preserve"> are resolved, a common approach as proposed by ESMA, might lead to unlevel playing field</w:t>
      </w:r>
      <w:r>
        <w:t>.</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3FB9DD36" w14:textId="4335A409" w:rsidR="002A0142" w:rsidRDefault="002A0142" w:rsidP="002A0142">
      <w:permStart w:id="1441803238" w:edGrp="everyone"/>
      <w:r w:rsidRPr="00267B51">
        <w:t>In the context of varying levels of maximum thresholds set by various trading venues as the results collected by ESMA shows, it is difficult to draw any conclusions based on responses ESMA will receive.</w:t>
      </w:r>
    </w:p>
    <w:p w14:paraId="7BE2CA07" w14:textId="77777777" w:rsidR="002A0142" w:rsidRPr="00267B51" w:rsidRDefault="002A0142" w:rsidP="002A0142"/>
    <w:p w14:paraId="5151FB96" w14:textId="112B23FE" w:rsidR="00F43578" w:rsidRDefault="002A0142" w:rsidP="00F43578">
      <w:r w:rsidRPr="00267B51">
        <w:lastRenderedPageBreak/>
        <w:t xml:space="preserve">With reference to second part of ESMA’s question, we see some underlying issues in </w:t>
      </w:r>
      <w:r>
        <w:t xml:space="preserve">the </w:t>
      </w:r>
      <w:r w:rsidRPr="00267B51">
        <w:t xml:space="preserve">current OTR regime. Those relate to the counting methodology as pointed out in reply to Q32, as well as calculation of ratio in volume terms. We find </w:t>
      </w:r>
      <w:r>
        <w:t xml:space="preserve">that </w:t>
      </w:r>
      <w:r w:rsidRPr="00267B51">
        <w:t>volume of orders not to further load the trading system; tracking ratio on number terms would be sufficient.</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07EA450E" w14:textId="77777777" w:rsidR="002A0142" w:rsidRPr="00267B51" w:rsidRDefault="002A0142" w:rsidP="002A0142">
      <w:permStart w:id="2142314160" w:edGrp="everyone"/>
      <w:r w:rsidRPr="00267B51">
        <w:t>Nasdaq is of opinion that trading venues should continue to be able to assess and set appropriate actions based on their market and asset class specifics.</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5DBA498F" w14:textId="0FFD423E" w:rsidR="002E1522" w:rsidRDefault="00E12662" w:rsidP="00E12662">
      <w:permStart w:id="1081607916" w:edGrp="everyone"/>
      <w:r>
        <w:t xml:space="preserve">We support a more harmonised </w:t>
      </w:r>
      <w:proofErr w:type="spellStart"/>
      <w:r>
        <w:t>reportig</w:t>
      </w:r>
      <w:proofErr w:type="spellEnd"/>
      <w:r>
        <w:t xml:space="preserve"> process which should improve efficiency and swiftly </w:t>
      </w:r>
      <w:proofErr w:type="spellStart"/>
      <w:r>
        <w:t>adress</w:t>
      </w:r>
      <w:proofErr w:type="spellEnd"/>
      <w:r>
        <w:t xml:space="preserve"> incidents.</w:t>
      </w:r>
      <w:r w:rsidR="002E1522">
        <w:t xml:space="preserve"> This should be achievable via co</w:t>
      </w:r>
      <w:r w:rsidR="002A0142">
        <w:t>o</w:t>
      </w:r>
      <w:r w:rsidR="002E1522">
        <w:t xml:space="preserve">peration within the current structures of </w:t>
      </w:r>
      <w:proofErr w:type="gramStart"/>
      <w:r w:rsidR="002E1522">
        <w:t>ESMA, and</w:t>
      </w:r>
      <w:proofErr w:type="gramEnd"/>
      <w:r w:rsidR="002E1522">
        <w:t xml:space="preserve"> building on what has already been put in place and which indeed works satisfactorily in some respects, rather than adding a centralised structure. </w:t>
      </w:r>
    </w:p>
    <w:p w14:paraId="01E3009F" w14:textId="77777777" w:rsidR="002A0142" w:rsidRDefault="002A0142" w:rsidP="00E12662"/>
    <w:p w14:paraId="1637D12F" w14:textId="08B1ADAE" w:rsidR="00F43578" w:rsidRDefault="002E1522" w:rsidP="00E12662">
      <w:r>
        <w:t>The currently diverging approaches to</w:t>
      </w:r>
      <w:r w:rsidR="00E12662">
        <w:t xml:space="preserve"> incident reporti</w:t>
      </w:r>
      <w:r>
        <w:t>ng requirements are an</w:t>
      </w:r>
      <w:r w:rsidR="00E12662">
        <w:t xml:space="preserve"> unnecessary impediment to reaching the goal of keeping the sector resilient. </w:t>
      </w:r>
      <w:r>
        <w:t>An incident with cross-border aspects</w:t>
      </w:r>
      <w:r w:rsidR="00E12662">
        <w:t xml:space="preserve"> must be reported to different entities, via different formats, with different deadlines. This process is time-consuming and takes attention away from the critical situation at hand. </w:t>
      </w:r>
    </w:p>
    <w:p w14:paraId="727BCAFD" w14:textId="7D1E351D" w:rsidR="00E12662" w:rsidRPr="00E12662" w:rsidRDefault="00E12662" w:rsidP="00E12662">
      <w:r>
        <w:t>As a general comment</w:t>
      </w:r>
      <w:r w:rsidRPr="00E12662">
        <w:t xml:space="preserve"> in this context, we </w:t>
      </w:r>
      <w:r>
        <w:t xml:space="preserve">also </w:t>
      </w:r>
      <w:r w:rsidRPr="00E12662">
        <w:t xml:space="preserve">welcome the European Commission's recent proposal for a Regulation on Digital Operational Resilience for the Financial Sector (DORA). We </w:t>
      </w:r>
      <w:r>
        <w:t>hope this will lead to</w:t>
      </w:r>
      <w:r w:rsidRPr="00E12662">
        <w:t xml:space="preserve"> a higher level of coopera</w:t>
      </w:r>
      <w:r>
        <w:t>tion between Member States which will</w:t>
      </w:r>
      <w:r w:rsidRPr="00E12662">
        <w:t xml:space="preserve"> increase the efficiency and efficacy of the overall ecosystem resilience.</w:t>
      </w:r>
    </w:p>
    <w:p w14:paraId="3EF006A4" w14:textId="77777777" w:rsidR="00E12662" w:rsidRDefault="00E12662" w:rsidP="00E12662"/>
    <w:p w14:paraId="159C2E56" w14:textId="568D63E6" w:rsidR="007B5A6E" w:rsidRDefault="0001416B" w:rsidP="00E12662">
      <w:r>
        <w:t>W</w:t>
      </w:r>
      <w:r w:rsidR="002A0142">
        <w:t>hen it comes</w:t>
      </w:r>
      <w:r>
        <w:t xml:space="preserve"> to understanding potential merits of streamlined </w:t>
      </w:r>
      <w:r w:rsidR="00CC77AC">
        <w:t xml:space="preserve">procedures and guidelines with regards to trading venues' </w:t>
      </w:r>
      <w:r w:rsidR="002A0142">
        <w:t xml:space="preserve">notification of </w:t>
      </w:r>
      <w:proofErr w:type="spellStart"/>
      <w:r w:rsidR="002A0142">
        <w:t>distrubances</w:t>
      </w:r>
      <w:proofErr w:type="spellEnd"/>
      <w:r w:rsidR="002A0142">
        <w:t>, we underline that n</w:t>
      </w:r>
      <w:r w:rsidR="00047DB9">
        <w:t xml:space="preserve">otifying NCA's and market participants in connection with disturbances </w:t>
      </w:r>
      <w:r w:rsidR="008B1AB7">
        <w:t xml:space="preserve">is of the highest priority to us as a trading venue already today. Any proposed "template" or guidance must </w:t>
      </w:r>
      <w:r w:rsidR="00041DAB">
        <w:t>not create additional overhead or complexity</w:t>
      </w:r>
      <w:r w:rsidR="002A0142">
        <w:t>,</w:t>
      </w:r>
      <w:r w:rsidR="00041DAB">
        <w:t xml:space="preserve"> or it will risk </w:t>
      </w:r>
      <w:r w:rsidR="000B3F2F">
        <w:t>being counterproductive.</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2C3B79CD" w14:textId="2FE33835" w:rsidR="00F43578" w:rsidRDefault="007843C2" w:rsidP="00F43578">
      <w:permStart w:id="1046965136" w:edGrp="everyone"/>
      <w:r>
        <w:lastRenderedPageBreak/>
        <w:t xml:space="preserve">No. As a general comment however, we note that the observations described by ESMA confirms the importance of a robust price-forming process. </w:t>
      </w:r>
      <w:r w:rsidR="00EF2604">
        <w:t xml:space="preserve">Declines in trading following outages are linked to the importance of price formation. </w:t>
      </w:r>
      <w:r>
        <w:t>Policy measu</w:t>
      </w:r>
      <w:r w:rsidR="00C9671A">
        <w:t>res should aim at ensuring a pri</w:t>
      </w:r>
      <w:r>
        <w:t xml:space="preserve">ce formation process which is as efficient and reliable as possible. For this reason, measures should be taken to even further ensure that enough proportion of trading takes place at the transparent, </w:t>
      </w:r>
      <w:proofErr w:type="spellStart"/>
      <w:r>
        <w:t>surveilled</w:t>
      </w:r>
      <w:proofErr w:type="spellEnd"/>
      <w:r>
        <w:t xml:space="preserve"> and multilateral venues which offers fair and non-discriminatory access to all participants, i.e. </w:t>
      </w:r>
      <w:r w:rsidR="00C9671A">
        <w:t xml:space="preserve">on </w:t>
      </w:r>
      <w:r>
        <w:t>the regulated markets and the MTFs.</w:t>
      </w:r>
      <w:r w:rsidR="003A24E3">
        <w:t xml:space="preserve"> In this context, we would caution</w:t>
      </w:r>
      <w:r w:rsidR="00EB020E">
        <w:t xml:space="preserve"> against requiring algorithmic traders to use more than one reference data point</w:t>
      </w:r>
      <w:r w:rsidR="007F3ECB">
        <w:t>.</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35758ABF" w14:textId="356E5CC0" w:rsidR="00585776" w:rsidRDefault="00C9671A" w:rsidP="00F43578">
      <w:pPr>
        <w:rPr>
          <w:lang w:eastAsia="sv-SE"/>
        </w:rPr>
      </w:pPr>
      <w:permStart w:id="1180910868" w:edGrp="everyone"/>
      <w:r>
        <w:t xml:space="preserve">In </w:t>
      </w:r>
      <w:proofErr w:type="gramStart"/>
      <w:r>
        <w:t>general</w:t>
      </w:r>
      <w:proofErr w:type="gramEnd"/>
      <w:r>
        <w:t xml:space="preserve"> yes.</w:t>
      </w:r>
      <w:r w:rsidR="00513882">
        <w:t xml:space="preserve"> </w:t>
      </w:r>
      <w:r w:rsidR="00585776">
        <w:t>However, we note that the MiFID II t</w:t>
      </w:r>
      <w:r w:rsidR="00585776" w:rsidRPr="00585776">
        <w:rPr>
          <w:lang w:val="en-US" w:eastAsia="sv-SE"/>
        </w:rPr>
        <w:t xml:space="preserve">ick size model </w:t>
      </w:r>
      <w:r w:rsidR="00585776">
        <w:t xml:space="preserve">has </w:t>
      </w:r>
      <w:r w:rsidR="00585776" w:rsidRPr="00585776">
        <w:rPr>
          <w:lang w:val="en-US" w:eastAsia="sv-SE"/>
        </w:rPr>
        <w:t>not fully result</w:t>
      </w:r>
      <w:r w:rsidR="00585776">
        <w:t>ed</w:t>
      </w:r>
      <w:r w:rsidR="00585776" w:rsidRPr="00585776">
        <w:rPr>
          <w:lang w:val="en-US" w:eastAsia="sv-SE"/>
        </w:rPr>
        <w:t xml:space="preserve"> in the desired outcome for the Nordic order books, as the aim was to increase tick sizes</w:t>
      </w:r>
      <w:r w:rsidR="00585776">
        <w:t>, while</w:t>
      </w:r>
      <w:r w:rsidR="00585776" w:rsidRPr="00585776">
        <w:rPr>
          <w:lang w:val="en-US" w:eastAsia="sv-SE"/>
        </w:rPr>
        <w:t xml:space="preserve"> the net effect </w:t>
      </w:r>
      <w:r w:rsidR="00585776">
        <w:t xml:space="preserve">in fact has been </w:t>
      </w:r>
      <w:r w:rsidR="00585776" w:rsidRPr="00585776">
        <w:rPr>
          <w:lang w:val="en-US" w:eastAsia="sv-SE"/>
        </w:rPr>
        <w:t>lower ticks</w:t>
      </w:r>
      <w:r w:rsidR="00585776">
        <w:t xml:space="preserve">.  </w:t>
      </w:r>
    </w:p>
    <w:p w14:paraId="5844C65C" w14:textId="77777777" w:rsidR="00585776" w:rsidRDefault="00585776" w:rsidP="00F43578"/>
    <w:p w14:paraId="6DEE9E16" w14:textId="1E53283B" w:rsidR="00F43578" w:rsidRDefault="00585776" w:rsidP="00F43578">
      <w:r>
        <w:t>W</w:t>
      </w:r>
      <w:r w:rsidR="00513882">
        <w:t xml:space="preserve">e would </w:t>
      </w:r>
      <w:r>
        <w:t xml:space="preserve">also </w:t>
      </w:r>
      <w:r w:rsidR="00750C5A">
        <w:t xml:space="preserve">encourage further analysis </w:t>
      </w:r>
      <w:r>
        <w:t xml:space="preserve">across markets, </w:t>
      </w:r>
      <w:r w:rsidR="00750C5A">
        <w:t xml:space="preserve">by </w:t>
      </w:r>
      <w:r>
        <w:t xml:space="preserve">national </w:t>
      </w:r>
      <w:r w:rsidR="00750C5A">
        <w:t>supervisors in cooperation</w:t>
      </w:r>
      <w:r w:rsidR="007303FB">
        <w:t>, and we would welcome coordination by ESMA</w:t>
      </w:r>
      <w:r w:rsidR="00750C5A">
        <w:t>. We not</w:t>
      </w:r>
      <w:r>
        <w:t>e</w:t>
      </w:r>
      <w:r w:rsidR="00750C5A">
        <w:t xml:space="preserve"> that some studies are indeed done, but </w:t>
      </w:r>
      <w:r w:rsidR="002C101F">
        <w:t xml:space="preserve">comprehensive conclusions can only be drawn from analysing the whole market on a multinational basis. </w:t>
      </w:r>
    </w:p>
    <w:p w14:paraId="26CC7FE2" w14:textId="2ADF60F1" w:rsidR="00F77DB2" w:rsidRDefault="00F77DB2" w:rsidP="00F43578"/>
    <w:p w14:paraId="5696D152" w14:textId="62E04357" w:rsidR="00F77DB2" w:rsidRDefault="00F77DB2" w:rsidP="00F43578">
      <w:r>
        <w:t xml:space="preserve">We would also mention that there are benefits of allowing venues </w:t>
      </w:r>
      <w:r w:rsidR="00DC5FA6">
        <w:t xml:space="preserve">a certain flexibility in setting </w:t>
      </w:r>
      <w:r>
        <w:t>tick sizes especially for SME shares.</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26A4ADA3" w14:textId="471BF725" w:rsidR="001D34AD" w:rsidRPr="001D34AD" w:rsidRDefault="0091611B" w:rsidP="001D34AD">
      <w:permStart w:id="2294546" w:edGrp="everyone"/>
      <w:r>
        <w:t>As a general comment, we would welcome</w:t>
      </w:r>
      <w:r w:rsidR="001D34AD">
        <w:t xml:space="preserve"> more attention given to strengthened enforcement of the tick size regime overall, ensuring </w:t>
      </w:r>
      <w:r w:rsidR="00363AA2">
        <w:t>that it is fully implemented</w:t>
      </w:r>
      <w:r w:rsidR="001D34AD">
        <w:t xml:space="preserve">. </w:t>
      </w:r>
      <w:r w:rsidR="001D34AD" w:rsidRPr="001D34AD">
        <w:t xml:space="preserve">Especially now that SIs are also subject to the tick size regime, we propose that ESMA engages with trading venues and clarifies some points in the interpretation of the regulation at Level 3, </w:t>
      </w:r>
      <w:proofErr w:type="gramStart"/>
      <w:r w:rsidR="001D34AD" w:rsidRPr="001D34AD">
        <w:t>and also</w:t>
      </w:r>
      <w:proofErr w:type="gramEnd"/>
      <w:r w:rsidR="001D34AD" w:rsidRPr="001D34AD">
        <w:t xml:space="preserve"> that technical issues are solved as quickly as possible.</w:t>
      </w:r>
    </w:p>
    <w:p w14:paraId="52BB054A" w14:textId="77777777" w:rsidR="0091611B" w:rsidRDefault="0091611B" w:rsidP="00C9671A"/>
    <w:p w14:paraId="0F6794D5" w14:textId="324F0034" w:rsidR="002F5819" w:rsidRDefault="00C9671A" w:rsidP="00C9671A">
      <w:r w:rsidRPr="00C402FE">
        <w:t>RTS</w:t>
      </w:r>
      <w:r w:rsidR="002A0142">
        <w:t xml:space="preserve"> 11 </w:t>
      </w:r>
      <w:r>
        <w:t>could be applied in a more harmonised way. There seems to be</w:t>
      </w:r>
      <w:r w:rsidRPr="00C9671A">
        <w:t xml:space="preserve"> technical issues as well as </w:t>
      </w:r>
      <w:r>
        <w:t>differing interpretations</w:t>
      </w:r>
      <w:r w:rsidRPr="00C9671A">
        <w:t xml:space="preserve">. Due to the complexity of the regime, and the fact that it is based on the FITRS database which still contains errors, </w:t>
      </w:r>
      <w:r>
        <w:t xml:space="preserve">we spend significant resources </w:t>
      </w:r>
      <w:r w:rsidR="004759D1">
        <w:t>working with this regime</w:t>
      </w:r>
      <w:r w:rsidR="002A0142">
        <w:t>, and still discrepancies in tick sizes appear and lead to an unlevel playing field</w:t>
      </w:r>
      <w:r w:rsidR="004759D1">
        <w:t xml:space="preserve">. </w:t>
      </w:r>
      <w:r w:rsidR="00FB177C">
        <w:t xml:space="preserve">When there are clear errors, we routinely inform our NCA of how we solve it. Such situations cause unnecessary </w:t>
      </w:r>
      <w:r w:rsidR="001D555D">
        <w:t>work for the industry as well as the authorities</w:t>
      </w:r>
      <w:r w:rsidR="00D76898">
        <w:t xml:space="preserve"> as well as the overall functioning of the market</w:t>
      </w:r>
      <w:r w:rsidR="001D555D">
        <w:t>.</w:t>
      </w:r>
    </w:p>
    <w:p w14:paraId="74B5CF05" w14:textId="77777777" w:rsidR="00E234EB" w:rsidRDefault="00E234EB" w:rsidP="00C9671A"/>
    <w:p w14:paraId="28847F53" w14:textId="24672B39" w:rsidR="004759D1" w:rsidRPr="00C9671A" w:rsidRDefault="00AC4C0C" w:rsidP="00C9671A">
      <w:r>
        <w:t xml:space="preserve">A few </w:t>
      </w:r>
      <w:r w:rsidR="004759D1">
        <w:t xml:space="preserve">points to note: </w:t>
      </w:r>
    </w:p>
    <w:p w14:paraId="1327C491" w14:textId="5EB6C7DC" w:rsidR="00C9671A" w:rsidRPr="00C9671A" w:rsidRDefault="00C9671A" w:rsidP="00C9671A">
      <w:pPr>
        <w:pStyle w:val="ListParagraph"/>
      </w:pPr>
      <w:r w:rsidRPr="00C9671A">
        <w:t xml:space="preserve">The most relevant market in terms of liquidity (MRMTL) can only be a trading venue, as per Article 4 of RTS 1. We </w:t>
      </w:r>
      <w:r w:rsidR="004759D1">
        <w:t>are</w:t>
      </w:r>
      <w:r w:rsidRPr="00C9671A">
        <w:t xml:space="preserve"> however </w:t>
      </w:r>
      <w:r w:rsidR="004759D1">
        <w:t>aware</w:t>
      </w:r>
      <w:r w:rsidRPr="00C9671A">
        <w:t xml:space="preserve"> </w:t>
      </w:r>
      <w:r w:rsidR="004759D1">
        <w:t>that there are examples w</w:t>
      </w:r>
      <w:r w:rsidRPr="00C9671A">
        <w:t xml:space="preserve">here </w:t>
      </w:r>
      <w:r w:rsidRPr="00C9671A">
        <w:lastRenderedPageBreak/>
        <w:t xml:space="preserve">SIs have been selected as MRMTL by ESMA. </w:t>
      </w:r>
      <w:r w:rsidR="004759D1">
        <w:t>Further data checks seem necessary to avoid this.</w:t>
      </w:r>
      <w:r w:rsidR="00EB7C53">
        <w:t xml:space="preserve"> </w:t>
      </w:r>
    </w:p>
    <w:p w14:paraId="6C4A7401" w14:textId="6ED82E24" w:rsidR="00F43578" w:rsidRDefault="00C9671A" w:rsidP="00C9671A">
      <w:pPr>
        <w:pStyle w:val="ListParagraph"/>
      </w:pPr>
      <w:r w:rsidRPr="00C9671A">
        <w:t>The first day of trading entered by trading venues must be a correct date and checked by ESM</w:t>
      </w:r>
      <w:r w:rsidR="00C235A7">
        <w:t>A</w:t>
      </w:r>
      <w:r w:rsidR="004759D1">
        <w:t>, in order to avoid mistakes which have occurred</w:t>
      </w:r>
      <w:r w:rsidR="000B26C2">
        <w:t>. Missing ADNT estimate on IPO dates is an issue. In accordance with level 3 Q&amp;A, highest liquidity band should be used when EST is not available. E</w:t>
      </w:r>
      <w:r w:rsidR="000B26C2" w:rsidRPr="00EE5024">
        <w:t xml:space="preserve">specially </w:t>
      </w:r>
      <w:r w:rsidR="000B26C2">
        <w:t xml:space="preserve">in </w:t>
      </w:r>
      <w:r w:rsidR="000B26C2" w:rsidRPr="00EE5024">
        <w:t>smaller companies</w:t>
      </w:r>
      <w:r w:rsidR="000B26C2">
        <w:t xml:space="preserve">' IPOs, this </w:t>
      </w:r>
      <w:r w:rsidR="000B26C2" w:rsidRPr="00EE5024">
        <w:t xml:space="preserve">leads to unclear and strange quoting and orderbook composition </w:t>
      </w:r>
      <w:r w:rsidR="000B26C2">
        <w:t>until</w:t>
      </w:r>
      <w:r w:rsidR="000B26C2" w:rsidRPr="00EE5024">
        <w:t xml:space="preserve"> </w:t>
      </w:r>
      <w:r w:rsidR="000B26C2">
        <w:t>the ADNT estimate becomes available</w:t>
      </w:r>
      <w:r w:rsidR="004759D1">
        <w:t>.</w:t>
      </w:r>
      <w:r w:rsidR="00420303">
        <w:t xml:space="preserve"> </w:t>
      </w:r>
      <w:r w:rsidR="00AC6DDE">
        <w:t>Similarly,</w:t>
      </w:r>
      <w:r w:rsidR="00420303">
        <w:t xml:space="preserve"> </w:t>
      </w:r>
      <w:r w:rsidR="00ED19A3">
        <w:t>the r</w:t>
      </w:r>
      <w:r w:rsidR="00ED19A3" w:rsidRPr="00ED19A3">
        <w:t>esponsibility and administrative process around setting tick size in conjunction with IPOs and corporate event</w:t>
      </w:r>
      <w:r w:rsidR="00C235A7">
        <w:t>s</w:t>
      </w:r>
      <w:r w:rsidR="00AC6DDE">
        <w:t xml:space="preserve"> causes problems</w:t>
      </w:r>
      <w:r w:rsidR="00C235A7">
        <w:t>.</w:t>
      </w:r>
    </w:p>
    <w:p w14:paraId="39709C25" w14:textId="77777777" w:rsidR="0091611B" w:rsidRDefault="0091611B" w:rsidP="0091611B"/>
    <w:p w14:paraId="1013A89E" w14:textId="18463CDA" w:rsidR="002165D8" w:rsidRPr="002165D8" w:rsidRDefault="002165D8" w:rsidP="0091611B">
      <w:r w:rsidRPr="002165D8">
        <w:t xml:space="preserve">We would </w:t>
      </w:r>
      <w:r w:rsidR="0091611B">
        <w:t xml:space="preserve">also </w:t>
      </w:r>
      <w:r w:rsidRPr="002165D8">
        <w:t xml:space="preserve">take this opportunity to draw ESMA's attention to the fact that the Level 3 Guidelines in respect to frequent batch auctions, for example, are applied differently across EU jurisdictions. Some NCAs have forbidden midpoint order pegging as opposed to other jurisdictions where the Level 3 guidelines have not been applied. This distorts the market to the benefit of some players. We suggest moving the Level 3 measures to Level 2 to avoid competition distortions. </w:t>
      </w:r>
    </w:p>
    <w:p w14:paraId="3B5CC5BA" w14:textId="77777777" w:rsidR="002165D8" w:rsidRDefault="002165D8" w:rsidP="002165D8"/>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5951B568" w14:textId="7A5B6DD0" w:rsidR="00F43578" w:rsidRDefault="00D0158D" w:rsidP="00F43578">
      <w:permStart w:id="39611011" w:edGrp="everyone"/>
      <w:r>
        <w:t>Yes, agree.</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77777777" w:rsidR="00F43578" w:rsidRDefault="00F43578" w:rsidP="00F43578">
      <w:permStart w:id="1982406894" w:edGrp="everyone"/>
      <w:r>
        <w:t>TYPE YOUR TEXT HERE</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432C8E62" w:rsidR="00F43578" w:rsidRDefault="00D0158D" w:rsidP="00F43578">
      <w:permStart w:id="788939487" w:edGrp="everyone"/>
      <w:r>
        <w:t>Yes, agree.</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1D0EE929" w:rsidR="00F43578" w:rsidRDefault="00D0158D" w:rsidP="00F43578">
      <w:permStart w:id="201994906" w:edGrp="everyone"/>
      <w:r>
        <w:t>We see a case for ESMA to contribute to a more harmonised application of the regime across all jurisdictions.</w:t>
      </w:r>
      <w:r w:rsidR="006C4261">
        <w:t xml:space="preserve"> We have observed divergences relating to for instance securitised derivatives, comparable size and daily monitoring.</w:t>
      </w:r>
      <w:r w:rsidR="00D23904">
        <w:t xml:space="preserve"> Such divergences are disturbing the level </w:t>
      </w:r>
      <w:proofErr w:type="spellStart"/>
      <w:r w:rsidR="00D23904">
        <w:t>pleying</w:t>
      </w:r>
      <w:proofErr w:type="spellEnd"/>
      <w:r w:rsidR="00D23904">
        <w:t xml:space="preserve"> field.</w:t>
      </w:r>
    </w:p>
    <w:permEnd w:id="201994906"/>
    <w:p w14:paraId="72715912" w14:textId="77777777" w:rsidR="00F43578" w:rsidRDefault="00F43578" w:rsidP="00F43578">
      <w:r>
        <w:lastRenderedPageBreak/>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6F712A46" w14:textId="32BF8910" w:rsidR="00F43578" w:rsidRDefault="00D0158D" w:rsidP="00F43578">
      <w:permStart w:id="508756802" w:edGrp="everyone"/>
      <w:proofErr w:type="gramStart"/>
      <w:r>
        <w:t>Again</w:t>
      </w:r>
      <w:proofErr w:type="gramEnd"/>
      <w:r>
        <w:t xml:space="preserve"> we underline the case for ESMA to contribute to a more harmonised application of the already existing regime across all jurisdictions. </w:t>
      </w:r>
      <w:r w:rsidRPr="00DE6B8F">
        <w:t xml:space="preserve">The </w:t>
      </w:r>
      <w:proofErr w:type="gramStart"/>
      <w:r w:rsidRPr="00DE6B8F">
        <w:t>more new</w:t>
      </w:r>
      <w:proofErr w:type="gramEnd"/>
      <w:r w:rsidRPr="00DE6B8F">
        <w:t xml:space="preserve"> requirements are added while different regulatory interpretations exist, this will further widen the gap be</w:t>
      </w:r>
      <w:r>
        <w:t>tween different</w:t>
      </w:r>
      <w:r w:rsidRPr="00DE6B8F">
        <w:t xml:space="preserve"> practices. </w:t>
      </w:r>
      <w:r w:rsidRPr="00D0158D">
        <w:t xml:space="preserve">Until </w:t>
      </w:r>
      <w:proofErr w:type="gramStart"/>
      <w:r w:rsidRPr="00D0158D">
        <w:t>these type of discrepancies</w:t>
      </w:r>
      <w:proofErr w:type="gramEnd"/>
      <w:r w:rsidRPr="00D0158D">
        <w:t xml:space="preserve"> are resolved, </w:t>
      </w:r>
      <w:r w:rsidRPr="00DE6B8F">
        <w:t>new</w:t>
      </w:r>
      <w:r w:rsidRPr="00D0158D">
        <w:t xml:space="preserve"> </w:t>
      </w:r>
      <w:r w:rsidRPr="00DE6B8F">
        <w:t xml:space="preserve">requirements should not be added as this </w:t>
      </w:r>
      <w:r w:rsidRPr="00D0158D">
        <w:t>might lead to unlevel playing field</w:t>
      </w:r>
      <w:r w:rsidRPr="00DE6B8F">
        <w:t>.</w:t>
      </w:r>
      <w:r w:rsidRPr="00D0158D">
        <w:t xml:space="preserve"> </w:t>
      </w:r>
      <w:r w:rsidRPr="00DE6B8F">
        <w:t>Hence, we strongly disagree with the ESMA proposals.</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0DB58507" w14:textId="547EB716" w:rsidR="00D0158D" w:rsidRDefault="00D0158D" w:rsidP="00D0158D">
      <w:permStart w:id="1520175509" w:edGrp="everyone"/>
      <w:r w:rsidRPr="00DE6B8F">
        <w:t xml:space="preserve">We welcome ESMA’s efforts to strive for </w:t>
      </w:r>
      <w:r w:rsidRPr="00D0158D">
        <w:t>conv</w:t>
      </w:r>
      <w:r w:rsidRPr="00DE6B8F">
        <w:t xml:space="preserve">ergent application of the rules. We support addressing the practice where different interpretations of current rules </w:t>
      </w:r>
      <w:r>
        <w:t xml:space="preserve">do </w:t>
      </w:r>
      <w:r w:rsidRPr="00DE6B8F">
        <w:t xml:space="preserve">exist. However, there are elements in market making regulations where we see </w:t>
      </w:r>
      <w:r>
        <w:t xml:space="preserve">the benefits of </w:t>
      </w:r>
      <w:r w:rsidRPr="00DE6B8F">
        <w:t xml:space="preserve">flexibility for trading venue being able to set their own parameters, </w:t>
      </w:r>
      <w:proofErr w:type="spellStart"/>
      <w:r w:rsidRPr="00DE6B8F">
        <w:t>e.g</w:t>
      </w:r>
      <w:proofErr w:type="spellEnd"/>
      <w:r w:rsidRPr="00DE6B8F">
        <w:t xml:space="preserve"> spread and size. </w:t>
      </w:r>
    </w:p>
    <w:p w14:paraId="099B4FB8" w14:textId="77777777" w:rsidR="00D0158D" w:rsidRPr="00DE6B8F" w:rsidRDefault="00D0158D" w:rsidP="00D0158D"/>
    <w:p w14:paraId="07BD0722" w14:textId="5AD33EDF" w:rsidR="00D0158D" w:rsidRDefault="00D0158D" w:rsidP="00D0158D">
      <w:r w:rsidRPr="00DE6B8F">
        <w:t>Where ESMA should address existing discrepancies are areas like comparable size</w:t>
      </w:r>
      <w:r>
        <w:t>,</w:t>
      </w:r>
      <w:r w:rsidRPr="00DE6B8F">
        <w:t xml:space="preserve"> where </w:t>
      </w:r>
      <w:r>
        <w:t xml:space="preserve">different interpretations seem to be accepted by different NCAs. </w:t>
      </w:r>
    </w:p>
    <w:p w14:paraId="3190E900" w14:textId="77777777" w:rsidR="00D0158D" w:rsidRPr="00DE6B8F" w:rsidRDefault="00D0158D" w:rsidP="00D0158D"/>
    <w:p w14:paraId="79C74F8E" w14:textId="3A629CF1" w:rsidR="00D0158D" w:rsidRPr="00DE6B8F" w:rsidRDefault="00D0158D" w:rsidP="00D0158D">
      <w:r w:rsidRPr="00DE6B8F">
        <w:t>Concepts related to market conditions, i</w:t>
      </w:r>
      <w:r w:rsidR="00C7556A">
        <w:t>.</w:t>
      </w:r>
      <w:r w:rsidRPr="00DE6B8F">
        <w:t>e. stressed market conditions and exceptional circumstances, could benefit from addition of cla</w:t>
      </w:r>
      <w:r w:rsidR="00C7556A">
        <w:t>rity of</w:t>
      </w:r>
      <w:r w:rsidRPr="00DE6B8F">
        <w:t xml:space="preserve"> definitions</w:t>
      </w:r>
      <w:r w:rsidR="00C7556A">
        <w:t>,</w:t>
      </w:r>
      <w:r w:rsidRPr="00DE6B8F">
        <w:t xml:space="preserve"> to ensure consistent interpretation. We have received recurring feedback from market makers about </w:t>
      </w:r>
      <w:r w:rsidR="00C7556A">
        <w:t>trading</w:t>
      </w:r>
      <w:r w:rsidRPr="00DE6B8F">
        <w:t xml:space="preserve"> venues</w:t>
      </w:r>
      <w:r w:rsidR="00C7556A">
        <w:t xml:space="preserve"> in some jurisdictions</w:t>
      </w:r>
      <w:r w:rsidRPr="00DE6B8F">
        <w:t xml:space="preserve"> allowing market making exemptions outside of the exhaustive list of exceptional circumstances.</w:t>
      </w:r>
    </w:p>
    <w:p w14:paraId="0F1D32F6" w14:textId="4BA72954" w:rsidR="00F43578" w:rsidRDefault="004759D1" w:rsidP="00F43578">
      <w:r>
        <w:t xml:space="preserve"> </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11C5E9EC" w14:textId="77777777" w:rsidR="00F43578" w:rsidRDefault="00F43578" w:rsidP="00F43578">
      <w:permStart w:id="263281226" w:edGrp="everyone"/>
      <w:r>
        <w:t>TYPE YOUR TEXT HERE</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lastRenderedPageBreak/>
        <w:t>&lt;ESMA_QUESTION_ALGO_46&gt;</w:t>
      </w:r>
    </w:p>
    <w:p w14:paraId="0D8BBF84" w14:textId="77777777" w:rsidR="00F43578" w:rsidRDefault="00F43578" w:rsidP="00F43578">
      <w:permStart w:id="132985251" w:edGrp="everyone"/>
      <w:r>
        <w:t>TYPE YOUR TEXT HERE</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77777777" w:rsidR="00F43578" w:rsidRDefault="00F43578" w:rsidP="00F43578">
      <w:permStart w:id="1058354567" w:edGrp="everyone"/>
      <w:r>
        <w:t>TYPE YOUR TEXT HERE</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77777777" w:rsidR="00F43578" w:rsidRDefault="00F43578" w:rsidP="00F43578">
      <w:permStart w:id="304307406" w:edGrp="everyone"/>
      <w:r>
        <w:t>TYPE YOUR TEXT HERE</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77777777" w:rsidR="00F43578" w:rsidRDefault="00F43578" w:rsidP="00F43578">
      <w:permStart w:id="542050027" w:edGrp="everyone"/>
      <w:r>
        <w:t>TYPE YOUR TEXT HERE</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77777777" w:rsidR="00F43578" w:rsidRDefault="00F43578" w:rsidP="00F43578">
      <w:permStart w:id="930559500" w:edGrp="everyone"/>
      <w:r>
        <w:t>TYPE YOUR TEXT HERE</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37E7A424" w14:textId="77777777" w:rsidR="00622B9D" w:rsidRDefault="00622B9D" w:rsidP="00622B9D">
      <w:permStart w:id="1034885085" w:edGrp="everyone"/>
      <w:r>
        <w:t>A</w:t>
      </w:r>
      <w:r w:rsidRPr="00315C79">
        <w:t>symmetric speedbumps can, under certain circumstances, help level the playing field by protecting passive liquidity strategies against latency arbitrage. They might be suited for certain types of financial instruments for which pricing</w:t>
      </w:r>
      <w:r>
        <w:t xml:space="preserve"> is derived from an underlying.</w:t>
      </w:r>
    </w:p>
    <w:p w14:paraId="0C577193" w14:textId="682D07A6" w:rsidR="00622B9D" w:rsidRDefault="00622B9D" w:rsidP="00622B9D">
      <w:r w:rsidRPr="00315C79">
        <w:t>In contrast, the</w:t>
      </w:r>
      <w:r w:rsidRPr="00622B9D">
        <w:t xml:space="preserve"> information signals on which equity pricing is based</w:t>
      </w:r>
      <w:r>
        <w:t>,</w:t>
      </w:r>
      <w:r w:rsidRPr="00622B9D">
        <w:t xml:space="preserve"> are more difficult to define</w:t>
      </w:r>
      <w:r>
        <w:t>,</w:t>
      </w:r>
      <w:r w:rsidRPr="00622B9D">
        <w:t xml:space="preserve"> and the application of speedbumps on a venue could increase order flow fragmentation.</w:t>
      </w:r>
    </w:p>
    <w:p w14:paraId="228B6165" w14:textId="77777777" w:rsidR="00C7556A" w:rsidRPr="00622B9D" w:rsidRDefault="00C7556A" w:rsidP="00622B9D"/>
    <w:p w14:paraId="11ACB9CB" w14:textId="77777777" w:rsidR="00622B9D" w:rsidRPr="00622B9D" w:rsidRDefault="00622B9D" w:rsidP="00622B9D">
      <w:r w:rsidRPr="00622B9D">
        <w:lastRenderedPageBreak/>
        <w:t xml:space="preserve">With asymmetric speedbumps, the liquidity you see might not be the liquidity you get, as it could happen that market makers post more competitive quotes to attract </w:t>
      </w:r>
      <w:proofErr w:type="gramStart"/>
      <w:r w:rsidRPr="00622B9D">
        <w:t>liquidity, and</w:t>
      </w:r>
      <w:proofErr w:type="gramEnd"/>
      <w:r w:rsidRPr="00622B9D">
        <w:t xml:space="preserve"> use the time delay to subsequently cancel or modify them. This setup may grant advantages to liquidity providers countering the obligations of market makers and increasing the risk of fading liquidity during stressed conditions. Liquidity takers could also be exposed to adverse selection and potential trade at stale prices.</w:t>
      </w:r>
    </w:p>
    <w:p w14:paraId="404EBF0B" w14:textId="77777777" w:rsidR="00C7556A" w:rsidRDefault="00C7556A" w:rsidP="00622B9D"/>
    <w:p w14:paraId="068657F2" w14:textId="41DC6D02" w:rsidR="00F43578" w:rsidRDefault="00622B9D" w:rsidP="00622B9D">
      <w:r>
        <w:t>There is also a misperception that high‐frequency traders are speculators who move markets to extremes. In fact, the vast majority of HFT involves looking for very small arbitrage opportunities, as between futures and cash markets or between the prices of exchange-traded funds and their net asset values. These actions increase market efficiency by tightening bid‐ask spreads and reducing transaction costs for all market</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77777777" w:rsidR="00F43578" w:rsidRDefault="00F43578" w:rsidP="00F43578">
      <w:permStart w:id="1102984687" w:edGrp="everyone"/>
      <w:r>
        <w:t>TYPE YOUR TEXT HERE</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77777777" w:rsidR="00F43578" w:rsidRDefault="00F43578" w:rsidP="00F43578">
      <w:permStart w:id="503073787" w:edGrp="everyone"/>
      <w:r>
        <w:t>TYPE YOUR TEXT HERE</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77777777" w:rsidR="00F43578" w:rsidRDefault="00F43578" w:rsidP="00F43578">
      <w:permStart w:id="2073040423" w:edGrp="everyone"/>
      <w:r>
        <w:t>TYPE YOUR TEXT HERE</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A394E" w14:textId="77777777" w:rsidR="00AD11A5" w:rsidRDefault="00AD11A5" w:rsidP="007E7997">
      <w:r>
        <w:separator/>
      </w:r>
    </w:p>
  </w:endnote>
  <w:endnote w:type="continuationSeparator" w:id="0">
    <w:p w14:paraId="1C99B339" w14:textId="77777777" w:rsidR="00AD11A5" w:rsidRDefault="00AD11A5" w:rsidP="007E7997">
      <w:r>
        <w:continuationSeparator/>
      </w:r>
    </w:p>
  </w:endnote>
  <w:endnote w:type="continuationNotice" w:id="1">
    <w:p w14:paraId="180F9CFE" w14:textId="77777777" w:rsidR="00AD11A5" w:rsidRDefault="00AD1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0AF0D" w14:textId="77777777" w:rsidR="003D7A36" w:rsidRDefault="003D7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60F1D" w:rsidRDefault="00E60F1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E60F1D" w:rsidRDefault="00E60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3DD69B4E" w:rsidR="00E60F1D" w:rsidRDefault="00E60F1D" w:rsidP="007A160F">
    <w:pPr>
      <w:pStyle w:val="Footer"/>
    </w:pPr>
    <w:r>
      <w:rPr>
        <w:rFonts w:asciiTheme="majorHAnsi" w:hAnsiTheme="majorHAnsi"/>
        <w:color w:val="FFFFFF" w:themeColor="background1"/>
      </w:rPr>
      <w:tab/>
    </w:r>
    <w:r>
      <w:rPr>
        <w:rFonts w:asciiTheme="majorHAnsi" w:hAnsiTheme="majorHAnsi"/>
        <w:color w:val="FFFFFF" w:themeColor="background1"/>
      </w:rPr>
      <w:tab/>
      <w:t>18</w:t>
    </w:r>
    <w:r w:rsidRPr="0004778B">
      <w:rPr>
        <w:rFonts w:asciiTheme="majorHAnsi" w:hAnsiTheme="majorHAnsi"/>
        <w:color w:val="FFFFFF" w:themeColor="background1"/>
      </w:rPr>
      <w:t xml:space="preserve"> </w:t>
    </w:r>
    <w:r>
      <w:rPr>
        <w:rFonts w:asciiTheme="majorHAnsi" w:hAnsiTheme="majorHAnsi"/>
        <w:color w:val="FFFFFF" w:themeColor="background1"/>
      </w:rPr>
      <w:t xml:space="preserve">December </w:t>
    </w:r>
    <w:r w:rsidRPr="0004778B">
      <w:rPr>
        <w:rFonts w:asciiTheme="majorHAnsi" w:hAnsiTheme="majorHAnsi"/>
        <w:color w:val="FFFFFF" w:themeColor="background1"/>
      </w:rPr>
      <w:t>2020</w:t>
    </w:r>
    <w:r>
      <w:rPr>
        <w:rFonts w:asciiTheme="majorHAnsi" w:hAnsiTheme="majorHAnsi"/>
        <w:color w:val="FFFFFF" w:themeColor="background1"/>
      </w:rPr>
      <w:t xml:space="preserve"> | </w:t>
    </w:r>
    <w:hyperlink r:id="rId1" w:history="1">
      <w:r w:rsidRPr="001B0B7E">
        <w:rPr>
          <w:rFonts w:asciiTheme="majorHAnsi" w:hAnsiTheme="majorHAnsi"/>
          <w:color w:val="FFFFFF" w:themeColor="background1"/>
        </w:rPr>
        <w:t>ESMA70-156-</w:t>
      </w:r>
    </w:hyperlink>
    <w:permStart w:id="1090334507" w:edGrp="everyone"/>
    <w:permEnd w:id="1090334507"/>
    <w:r>
      <w:rPr>
        <w:rFonts w:asciiTheme="majorHAnsi" w:hAnsiTheme="majorHAnsi"/>
        <w:color w:val="FFFFFF" w:themeColor="background1"/>
      </w:rPr>
      <w:t>4086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33D326D0" w:rsidR="00E60F1D" w:rsidRDefault="00E60F1D">
        <w:pPr>
          <w:pStyle w:val="Footer"/>
          <w:jc w:val="center"/>
        </w:pPr>
        <w:r>
          <w:fldChar w:fldCharType="begin"/>
        </w:r>
        <w:r>
          <w:instrText xml:space="preserve"> PAGE   \* MERGEFORMAT </w:instrText>
        </w:r>
        <w:r>
          <w:fldChar w:fldCharType="separate"/>
        </w:r>
        <w:r w:rsidR="00C7556A">
          <w:rPr>
            <w:noProof/>
          </w:rPr>
          <w:t>17</w:t>
        </w:r>
        <w:r>
          <w:rPr>
            <w:noProof/>
          </w:rPr>
          <w:fldChar w:fldCharType="end"/>
        </w:r>
      </w:p>
    </w:sdtContent>
  </w:sdt>
  <w:p w14:paraId="5EAB6EC7" w14:textId="1F85019A" w:rsidR="00E60F1D" w:rsidRDefault="00E60F1D"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62CBF" w14:textId="77777777" w:rsidR="00AD11A5" w:rsidRDefault="00AD11A5" w:rsidP="007E7997">
      <w:r>
        <w:separator/>
      </w:r>
    </w:p>
  </w:footnote>
  <w:footnote w:type="continuationSeparator" w:id="0">
    <w:p w14:paraId="6C67F84D" w14:textId="77777777" w:rsidR="00AD11A5" w:rsidRDefault="00AD11A5" w:rsidP="007E7997">
      <w:r>
        <w:continuationSeparator/>
      </w:r>
    </w:p>
  </w:footnote>
  <w:footnote w:type="continuationNotice" w:id="1">
    <w:p w14:paraId="7F9805A4" w14:textId="77777777" w:rsidR="00AD11A5" w:rsidRDefault="00AD1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8E827" w14:textId="77777777" w:rsidR="003D7A36" w:rsidRDefault="003D7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60F1D" w:rsidRDefault="00E60F1D">
    <w:pPr>
      <w:pStyle w:val="Header"/>
    </w:pPr>
  </w:p>
  <w:p w14:paraId="59FA3C9D" w14:textId="77777777" w:rsidR="00E60F1D" w:rsidRDefault="00E60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60F1D" w:rsidRDefault="00E60F1D">
    <w:pPr>
      <w:pStyle w:val="Header"/>
    </w:pPr>
    <w:r>
      <w:rPr>
        <w:noProof/>
        <w:lang w:val="fi-FI" w:eastAsia="fi-FI"/>
      </w:rPr>
      <w:drawing>
        <wp:anchor distT="0" distB="0" distL="114300" distR="114300" simplePos="0" relativeHeight="251658243"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i-FI" w:eastAsia="fi-FI"/>
      </w:rPr>
      <w:drawing>
        <wp:anchor distT="0" distB="0" distL="114300" distR="114300" simplePos="0" relativeHeight="251658242"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60F1D" w:rsidRDefault="00E60F1D" w:rsidP="00B50534">
    <w:pPr>
      <w:pStyle w:val="Header"/>
      <w:jc w:val="right"/>
      <w:rPr>
        <w:b/>
        <w:color w:val="FF0000"/>
      </w:rPr>
    </w:pPr>
    <w:r w:rsidRPr="008D5F86">
      <w:rPr>
        <w:rFonts w:ascii="Arial" w:hAnsi="Arial" w:cs="Arial"/>
        <w:noProof/>
        <w:lang w:val="fi-FI" w:eastAsia="fi-FI"/>
      </w:rPr>
      <mc:AlternateContent>
        <mc:Choice Requires="wps">
          <w:drawing>
            <wp:anchor distT="0" distB="0" distL="114300" distR="114300" simplePos="0" relativeHeight="251658241"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A4F7B" id="Line 1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60F1D" w:rsidRPr="00D13661" w:rsidRDefault="00E60F1D"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fi-FI" w:eastAsia="fi-FI"/>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60F1D" w:rsidRPr="00C3170E" w:rsidRDefault="00E60F1D" w:rsidP="00B50534">
    <w:pPr>
      <w:pStyle w:val="Header"/>
      <w:jc w:val="right"/>
      <w:rPr>
        <w:color w:val="2F5496" w:themeColor="accent5" w:themeShade="BF"/>
        <w:sz w:val="20"/>
      </w:rPr>
    </w:pPr>
  </w:p>
  <w:p w14:paraId="5EAB6EC6" w14:textId="77777777" w:rsidR="00E60F1D" w:rsidRPr="00B50534" w:rsidRDefault="00E60F1D"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C756D"/>
    <w:multiLevelType w:val="hybridMultilevel"/>
    <w:tmpl w:val="65AA8C1E"/>
    <w:lvl w:ilvl="0" w:tplc="3A2AB7A4">
      <w:numFmt w:val="bullet"/>
      <w:lvlText w:val="•"/>
      <w:lvlJc w:val="left"/>
      <w:pPr>
        <w:ind w:left="360" w:hanging="360"/>
      </w:pPr>
      <w:rPr>
        <w:rFonts w:ascii="Trebuchet MS" w:eastAsia="Times New Roman" w:hAnsi="Trebuchet MS" w:cs="Calibri"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6DA59FC"/>
    <w:multiLevelType w:val="hybridMultilevel"/>
    <w:tmpl w:val="7966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50F65"/>
    <w:multiLevelType w:val="hybridMultilevel"/>
    <w:tmpl w:val="215893D0"/>
    <w:lvl w:ilvl="0" w:tplc="46F82B96">
      <w:start w:val="2021"/>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0"/>
  </w:num>
  <w:num w:numId="4">
    <w:abstractNumId w:val="2"/>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5"/>
  </w:num>
  <w:num w:numId="2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C6D"/>
    <w:rsid w:val="000032AE"/>
    <w:rsid w:val="0000380B"/>
    <w:rsid w:val="00005505"/>
    <w:rsid w:val="00005CEE"/>
    <w:rsid w:val="00006275"/>
    <w:rsid w:val="00006971"/>
    <w:rsid w:val="00011F6C"/>
    <w:rsid w:val="00011FD9"/>
    <w:rsid w:val="0001249B"/>
    <w:rsid w:val="00012D68"/>
    <w:rsid w:val="0001416B"/>
    <w:rsid w:val="000142BB"/>
    <w:rsid w:val="0001633D"/>
    <w:rsid w:val="000168D2"/>
    <w:rsid w:val="0001726F"/>
    <w:rsid w:val="00020098"/>
    <w:rsid w:val="00020300"/>
    <w:rsid w:val="00021A9A"/>
    <w:rsid w:val="00022ADA"/>
    <w:rsid w:val="00026327"/>
    <w:rsid w:val="00027EC9"/>
    <w:rsid w:val="00027F3C"/>
    <w:rsid w:val="00033934"/>
    <w:rsid w:val="00036C09"/>
    <w:rsid w:val="000372BF"/>
    <w:rsid w:val="00040A52"/>
    <w:rsid w:val="00041DAB"/>
    <w:rsid w:val="00044C5A"/>
    <w:rsid w:val="00044E0A"/>
    <w:rsid w:val="0004778B"/>
    <w:rsid w:val="00047DB9"/>
    <w:rsid w:val="00054E00"/>
    <w:rsid w:val="00061B2B"/>
    <w:rsid w:val="0006448C"/>
    <w:rsid w:val="0006449B"/>
    <w:rsid w:val="000655AD"/>
    <w:rsid w:val="00066FD1"/>
    <w:rsid w:val="00072BF9"/>
    <w:rsid w:val="00073DF9"/>
    <w:rsid w:val="0007767E"/>
    <w:rsid w:val="0007796D"/>
    <w:rsid w:val="00080302"/>
    <w:rsid w:val="00081B0F"/>
    <w:rsid w:val="000830DA"/>
    <w:rsid w:val="00083707"/>
    <w:rsid w:val="00083FBB"/>
    <w:rsid w:val="0008446A"/>
    <w:rsid w:val="000921E6"/>
    <w:rsid w:val="00093239"/>
    <w:rsid w:val="000A03C9"/>
    <w:rsid w:val="000A12CC"/>
    <w:rsid w:val="000A2738"/>
    <w:rsid w:val="000A2DF1"/>
    <w:rsid w:val="000A3D10"/>
    <w:rsid w:val="000A409B"/>
    <w:rsid w:val="000A66FC"/>
    <w:rsid w:val="000A741E"/>
    <w:rsid w:val="000B1615"/>
    <w:rsid w:val="000B26C2"/>
    <w:rsid w:val="000B2AAF"/>
    <w:rsid w:val="000B2E26"/>
    <w:rsid w:val="000B3F2F"/>
    <w:rsid w:val="000B5D3D"/>
    <w:rsid w:val="000C0CE0"/>
    <w:rsid w:val="000C2400"/>
    <w:rsid w:val="000C299C"/>
    <w:rsid w:val="000C3F7D"/>
    <w:rsid w:val="000C5ACC"/>
    <w:rsid w:val="000D0293"/>
    <w:rsid w:val="000D0850"/>
    <w:rsid w:val="000D1038"/>
    <w:rsid w:val="000D11A9"/>
    <w:rsid w:val="000D2D7B"/>
    <w:rsid w:val="000E2232"/>
    <w:rsid w:val="000E23ED"/>
    <w:rsid w:val="000E28DE"/>
    <w:rsid w:val="000E3DB1"/>
    <w:rsid w:val="000F0169"/>
    <w:rsid w:val="000F0951"/>
    <w:rsid w:val="000F2598"/>
    <w:rsid w:val="000F29C0"/>
    <w:rsid w:val="000F2BE6"/>
    <w:rsid w:val="000F3164"/>
    <w:rsid w:val="000F474D"/>
    <w:rsid w:val="000F5C90"/>
    <w:rsid w:val="000F5EA6"/>
    <w:rsid w:val="000F6C2A"/>
    <w:rsid w:val="000F7998"/>
    <w:rsid w:val="001000D7"/>
    <w:rsid w:val="00100ADC"/>
    <w:rsid w:val="0010429A"/>
    <w:rsid w:val="0010482F"/>
    <w:rsid w:val="00105424"/>
    <w:rsid w:val="001075EC"/>
    <w:rsid w:val="00113D82"/>
    <w:rsid w:val="00120F0D"/>
    <w:rsid w:val="001214DA"/>
    <w:rsid w:val="0012722A"/>
    <w:rsid w:val="00130EF9"/>
    <w:rsid w:val="001319C7"/>
    <w:rsid w:val="001355E6"/>
    <w:rsid w:val="0013644A"/>
    <w:rsid w:val="00140BA6"/>
    <w:rsid w:val="00141946"/>
    <w:rsid w:val="00143DCA"/>
    <w:rsid w:val="001449DC"/>
    <w:rsid w:val="00144AAD"/>
    <w:rsid w:val="001455E7"/>
    <w:rsid w:val="0014624E"/>
    <w:rsid w:val="001608B2"/>
    <w:rsid w:val="00160FE0"/>
    <w:rsid w:val="00163AB3"/>
    <w:rsid w:val="00165047"/>
    <w:rsid w:val="00165FF8"/>
    <w:rsid w:val="0016669F"/>
    <w:rsid w:val="00170AD6"/>
    <w:rsid w:val="001735B8"/>
    <w:rsid w:val="00177AA7"/>
    <w:rsid w:val="00177DB2"/>
    <w:rsid w:val="00180917"/>
    <w:rsid w:val="00180E53"/>
    <w:rsid w:val="00181CB7"/>
    <w:rsid w:val="00184144"/>
    <w:rsid w:val="001862A5"/>
    <w:rsid w:val="00186A70"/>
    <w:rsid w:val="00191035"/>
    <w:rsid w:val="001918E5"/>
    <w:rsid w:val="00192A7A"/>
    <w:rsid w:val="001958B9"/>
    <w:rsid w:val="00197D39"/>
    <w:rsid w:val="001A1EF4"/>
    <w:rsid w:val="001A7046"/>
    <w:rsid w:val="001A710D"/>
    <w:rsid w:val="001A7E6F"/>
    <w:rsid w:val="001B0A77"/>
    <w:rsid w:val="001B1727"/>
    <w:rsid w:val="001B2151"/>
    <w:rsid w:val="001B3CFF"/>
    <w:rsid w:val="001B4957"/>
    <w:rsid w:val="001B4996"/>
    <w:rsid w:val="001B6DD4"/>
    <w:rsid w:val="001C0E59"/>
    <w:rsid w:val="001C432D"/>
    <w:rsid w:val="001C469E"/>
    <w:rsid w:val="001C56C3"/>
    <w:rsid w:val="001C5D8C"/>
    <w:rsid w:val="001C7E0A"/>
    <w:rsid w:val="001D0112"/>
    <w:rsid w:val="001D07B8"/>
    <w:rsid w:val="001D19F5"/>
    <w:rsid w:val="001D34AD"/>
    <w:rsid w:val="001D385A"/>
    <w:rsid w:val="001D555D"/>
    <w:rsid w:val="001D6B39"/>
    <w:rsid w:val="001E1ECD"/>
    <w:rsid w:val="001E3E0D"/>
    <w:rsid w:val="001E4A45"/>
    <w:rsid w:val="001E5E30"/>
    <w:rsid w:val="001F0479"/>
    <w:rsid w:val="001F0BC5"/>
    <w:rsid w:val="001F1445"/>
    <w:rsid w:val="001F1F10"/>
    <w:rsid w:val="001F23C9"/>
    <w:rsid w:val="001F3999"/>
    <w:rsid w:val="001F3D9D"/>
    <w:rsid w:val="001F4AC8"/>
    <w:rsid w:val="00200894"/>
    <w:rsid w:val="00202333"/>
    <w:rsid w:val="00202C44"/>
    <w:rsid w:val="00202FA8"/>
    <w:rsid w:val="002034B8"/>
    <w:rsid w:val="00205922"/>
    <w:rsid w:val="00206FB8"/>
    <w:rsid w:val="0020766F"/>
    <w:rsid w:val="00207A07"/>
    <w:rsid w:val="00210498"/>
    <w:rsid w:val="00210C5D"/>
    <w:rsid w:val="0021147A"/>
    <w:rsid w:val="00213BFB"/>
    <w:rsid w:val="002156A3"/>
    <w:rsid w:val="002165D8"/>
    <w:rsid w:val="00217478"/>
    <w:rsid w:val="00220938"/>
    <w:rsid w:val="00221086"/>
    <w:rsid w:val="00224806"/>
    <w:rsid w:val="00232F8E"/>
    <w:rsid w:val="00233004"/>
    <w:rsid w:val="00233071"/>
    <w:rsid w:val="0023568A"/>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67B51"/>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0142"/>
    <w:rsid w:val="002A13B0"/>
    <w:rsid w:val="002A2C91"/>
    <w:rsid w:val="002A6C21"/>
    <w:rsid w:val="002A780E"/>
    <w:rsid w:val="002B144C"/>
    <w:rsid w:val="002B53F3"/>
    <w:rsid w:val="002B67CD"/>
    <w:rsid w:val="002C03FD"/>
    <w:rsid w:val="002C044D"/>
    <w:rsid w:val="002C101F"/>
    <w:rsid w:val="002C193D"/>
    <w:rsid w:val="002C1AA5"/>
    <w:rsid w:val="002C1AAA"/>
    <w:rsid w:val="002C2A46"/>
    <w:rsid w:val="002C3048"/>
    <w:rsid w:val="002D090F"/>
    <w:rsid w:val="002D2992"/>
    <w:rsid w:val="002D37A0"/>
    <w:rsid w:val="002D5AB5"/>
    <w:rsid w:val="002D6667"/>
    <w:rsid w:val="002D79F3"/>
    <w:rsid w:val="002E1522"/>
    <w:rsid w:val="002E1C11"/>
    <w:rsid w:val="002E3D0B"/>
    <w:rsid w:val="002E3E7D"/>
    <w:rsid w:val="002F5819"/>
    <w:rsid w:val="002F6279"/>
    <w:rsid w:val="003013B7"/>
    <w:rsid w:val="00301993"/>
    <w:rsid w:val="00301E55"/>
    <w:rsid w:val="00307397"/>
    <w:rsid w:val="003101EF"/>
    <w:rsid w:val="00312BDD"/>
    <w:rsid w:val="00314117"/>
    <w:rsid w:val="003170D4"/>
    <w:rsid w:val="00317EDF"/>
    <w:rsid w:val="003228FD"/>
    <w:rsid w:val="003279E7"/>
    <w:rsid w:val="00327B62"/>
    <w:rsid w:val="00331FE9"/>
    <w:rsid w:val="0033324D"/>
    <w:rsid w:val="00333811"/>
    <w:rsid w:val="0033587C"/>
    <w:rsid w:val="00336BF9"/>
    <w:rsid w:val="003371E8"/>
    <w:rsid w:val="00337471"/>
    <w:rsid w:val="00340002"/>
    <w:rsid w:val="0034151D"/>
    <w:rsid w:val="00341A3D"/>
    <w:rsid w:val="0034283D"/>
    <w:rsid w:val="00342B5B"/>
    <w:rsid w:val="00343532"/>
    <w:rsid w:val="00344CCB"/>
    <w:rsid w:val="00345469"/>
    <w:rsid w:val="003454ED"/>
    <w:rsid w:val="00345EB9"/>
    <w:rsid w:val="0035030F"/>
    <w:rsid w:val="00350DD1"/>
    <w:rsid w:val="003519DD"/>
    <w:rsid w:val="00353C4B"/>
    <w:rsid w:val="003545A6"/>
    <w:rsid w:val="00356C60"/>
    <w:rsid w:val="003578D1"/>
    <w:rsid w:val="00363639"/>
    <w:rsid w:val="00363AA2"/>
    <w:rsid w:val="00366D42"/>
    <w:rsid w:val="0036748C"/>
    <w:rsid w:val="00372615"/>
    <w:rsid w:val="00372EA3"/>
    <w:rsid w:val="00373A3C"/>
    <w:rsid w:val="0037428C"/>
    <w:rsid w:val="003750F3"/>
    <w:rsid w:val="00376233"/>
    <w:rsid w:val="00380B30"/>
    <w:rsid w:val="00381784"/>
    <w:rsid w:val="00381EB0"/>
    <w:rsid w:val="00382A72"/>
    <w:rsid w:val="00382EBA"/>
    <w:rsid w:val="0038331A"/>
    <w:rsid w:val="0038618F"/>
    <w:rsid w:val="00391015"/>
    <w:rsid w:val="0039135B"/>
    <w:rsid w:val="0039656D"/>
    <w:rsid w:val="003A24E3"/>
    <w:rsid w:val="003A34E7"/>
    <w:rsid w:val="003A3CB1"/>
    <w:rsid w:val="003A3D55"/>
    <w:rsid w:val="003A73A4"/>
    <w:rsid w:val="003B102E"/>
    <w:rsid w:val="003B4E3D"/>
    <w:rsid w:val="003C040A"/>
    <w:rsid w:val="003C167E"/>
    <w:rsid w:val="003C481D"/>
    <w:rsid w:val="003C4EB5"/>
    <w:rsid w:val="003D2CED"/>
    <w:rsid w:val="003D344A"/>
    <w:rsid w:val="003D3BB8"/>
    <w:rsid w:val="003D7937"/>
    <w:rsid w:val="003D7A36"/>
    <w:rsid w:val="003D7C07"/>
    <w:rsid w:val="003E13FD"/>
    <w:rsid w:val="003E1C24"/>
    <w:rsid w:val="003E61FC"/>
    <w:rsid w:val="003E77BC"/>
    <w:rsid w:val="003E7CE9"/>
    <w:rsid w:val="003F0EDF"/>
    <w:rsid w:val="003F1B6F"/>
    <w:rsid w:val="003F20C7"/>
    <w:rsid w:val="003F39B1"/>
    <w:rsid w:val="003F56B0"/>
    <w:rsid w:val="00400D9C"/>
    <w:rsid w:val="00400FBE"/>
    <w:rsid w:val="004022CF"/>
    <w:rsid w:val="004029B1"/>
    <w:rsid w:val="004038F1"/>
    <w:rsid w:val="00404282"/>
    <w:rsid w:val="004060D8"/>
    <w:rsid w:val="0040743A"/>
    <w:rsid w:val="00407623"/>
    <w:rsid w:val="00407A74"/>
    <w:rsid w:val="004114D5"/>
    <w:rsid w:val="00414210"/>
    <w:rsid w:val="004159DB"/>
    <w:rsid w:val="00420303"/>
    <w:rsid w:val="00420FD4"/>
    <w:rsid w:val="004242B3"/>
    <w:rsid w:val="00426D62"/>
    <w:rsid w:val="00427A89"/>
    <w:rsid w:val="00430C5B"/>
    <w:rsid w:val="00431968"/>
    <w:rsid w:val="00432EB2"/>
    <w:rsid w:val="00433936"/>
    <w:rsid w:val="0043475E"/>
    <w:rsid w:val="00435FE9"/>
    <w:rsid w:val="00436279"/>
    <w:rsid w:val="0044199E"/>
    <w:rsid w:val="0044206D"/>
    <w:rsid w:val="00444803"/>
    <w:rsid w:val="00445696"/>
    <w:rsid w:val="00446E5F"/>
    <w:rsid w:val="00450C4E"/>
    <w:rsid w:val="00455577"/>
    <w:rsid w:val="004561F4"/>
    <w:rsid w:val="00456795"/>
    <w:rsid w:val="00456EF3"/>
    <w:rsid w:val="00456F4E"/>
    <w:rsid w:val="004605D2"/>
    <w:rsid w:val="0046150E"/>
    <w:rsid w:val="00461CC8"/>
    <w:rsid w:val="00462B2F"/>
    <w:rsid w:val="00465EAA"/>
    <w:rsid w:val="00470003"/>
    <w:rsid w:val="004708CA"/>
    <w:rsid w:val="004709E7"/>
    <w:rsid w:val="00470ADE"/>
    <w:rsid w:val="004712C7"/>
    <w:rsid w:val="004759D1"/>
    <w:rsid w:val="004759EB"/>
    <w:rsid w:val="0047767F"/>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E7B01"/>
    <w:rsid w:val="004F0CF3"/>
    <w:rsid w:val="004F19B1"/>
    <w:rsid w:val="004F28FA"/>
    <w:rsid w:val="004F5740"/>
    <w:rsid w:val="004F58C9"/>
    <w:rsid w:val="005028B9"/>
    <w:rsid w:val="00505E17"/>
    <w:rsid w:val="005101DE"/>
    <w:rsid w:val="00511A59"/>
    <w:rsid w:val="00511C3B"/>
    <w:rsid w:val="005136D0"/>
    <w:rsid w:val="00513882"/>
    <w:rsid w:val="00514440"/>
    <w:rsid w:val="005166C3"/>
    <w:rsid w:val="00517BDC"/>
    <w:rsid w:val="00520F7C"/>
    <w:rsid w:val="00522B70"/>
    <w:rsid w:val="00523974"/>
    <w:rsid w:val="00523B88"/>
    <w:rsid w:val="00526E5D"/>
    <w:rsid w:val="00531432"/>
    <w:rsid w:val="00532BC8"/>
    <w:rsid w:val="005333E8"/>
    <w:rsid w:val="00534912"/>
    <w:rsid w:val="005356DC"/>
    <w:rsid w:val="005370E7"/>
    <w:rsid w:val="005409B7"/>
    <w:rsid w:val="00545E62"/>
    <w:rsid w:val="005506B0"/>
    <w:rsid w:val="00551070"/>
    <w:rsid w:val="00552C8A"/>
    <w:rsid w:val="00555156"/>
    <w:rsid w:val="0055535B"/>
    <w:rsid w:val="00556F5B"/>
    <w:rsid w:val="00560A96"/>
    <w:rsid w:val="005619CB"/>
    <w:rsid w:val="00561B71"/>
    <w:rsid w:val="00561F98"/>
    <w:rsid w:val="00563D92"/>
    <w:rsid w:val="005643DE"/>
    <w:rsid w:val="00564607"/>
    <w:rsid w:val="00565193"/>
    <w:rsid w:val="005717DA"/>
    <w:rsid w:val="005725BD"/>
    <w:rsid w:val="005730B0"/>
    <w:rsid w:val="00574D1F"/>
    <w:rsid w:val="00575DCC"/>
    <w:rsid w:val="005821B0"/>
    <w:rsid w:val="00585776"/>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204"/>
    <w:rsid w:val="005E0C59"/>
    <w:rsid w:val="005E18DE"/>
    <w:rsid w:val="005E1DA3"/>
    <w:rsid w:val="005E306B"/>
    <w:rsid w:val="005E4C99"/>
    <w:rsid w:val="005E53D0"/>
    <w:rsid w:val="005E5785"/>
    <w:rsid w:val="005E6098"/>
    <w:rsid w:val="005E7969"/>
    <w:rsid w:val="005F0C93"/>
    <w:rsid w:val="005F3F22"/>
    <w:rsid w:val="005F4FC0"/>
    <w:rsid w:val="005F540F"/>
    <w:rsid w:val="005F5491"/>
    <w:rsid w:val="005F6144"/>
    <w:rsid w:val="005F6573"/>
    <w:rsid w:val="00601541"/>
    <w:rsid w:val="0060361E"/>
    <w:rsid w:val="006044CE"/>
    <w:rsid w:val="00604A25"/>
    <w:rsid w:val="00604FB4"/>
    <w:rsid w:val="00606683"/>
    <w:rsid w:val="00607CC8"/>
    <w:rsid w:val="00613BF6"/>
    <w:rsid w:val="00616D27"/>
    <w:rsid w:val="00622B9D"/>
    <w:rsid w:val="006234FE"/>
    <w:rsid w:val="00623840"/>
    <w:rsid w:val="006255EC"/>
    <w:rsid w:val="00625A25"/>
    <w:rsid w:val="00626D87"/>
    <w:rsid w:val="0062736A"/>
    <w:rsid w:val="0063565E"/>
    <w:rsid w:val="00636E02"/>
    <w:rsid w:val="00641DB1"/>
    <w:rsid w:val="00642297"/>
    <w:rsid w:val="00644A34"/>
    <w:rsid w:val="00647144"/>
    <w:rsid w:val="00651A23"/>
    <w:rsid w:val="00654824"/>
    <w:rsid w:val="0066132C"/>
    <w:rsid w:val="00661766"/>
    <w:rsid w:val="00662882"/>
    <w:rsid w:val="0066298C"/>
    <w:rsid w:val="00663008"/>
    <w:rsid w:val="00663093"/>
    <w:rsid w:val="0066487A"/>
    <w:rsid w:val="00665A7C"/>
    <w:rsid w:val="00665B0B"/>
    <w:rsid w:val="006705CD"/>
    <w:rsid w:val="00671363"/>
    <w:rsid w:val="00672780"/>
    <w:rsid w:val="00672842"/>
    <w:rsid w:val="00676CFC"/>
    <w:rsid w:val="00677133"/>
    <w:rsid w:val="00681482"/>
    <w:rsid w:val="00687BF0"/>
    <w:rsid w:val="00687DC4"/>
    <w:rsid w:val="006904CF"/>
    <w:rsid w:val="00690AD6"/>
    <w:rsid w:val="006912FB"/>
    <w:rsid w:val="00694DAC"/>
    <w:rsid w:val="00695AF2"/>
    <w:rsid w:val="00696909"/>
    <w:rsid w:val="00696A2B"/>
    <w:rsid w:val="00696BD5"/>
    <w:rsid w:val="006A04AE"/>
    <w:rsid w:val="006A0AE4"/>
    <w:rsid w:val="006A23F3"/>
    <w:rsid w:val="006A2CF3"/>
    <w:rsid w:val="006A5047"/>
    <w:rsid w:val="006A58B9"/>
    <w:rsid w:val="006A70B1"/>
    <w:rsid w:val="006A7A10"/>
    <w:rsid w:val="006B0DA4"/>
    <w:rsid w:val="006B14A1"/>
    <w:rsid w:val="006B1B6B"/>
    <w:rsid w:val="006B2C57"/>
    <w:rsid w:val="006B4E12"/>
    <w:rsid w:val="006B79E0"/>
    <w:rsid w:val="006C0D6F"/>
    <w:rsid w:val="006C1633"/>
    <w:rsid w:val="006C4261"/>
    <w:rsid w:val="006C5BF8"/>
    <w:rsid w:val="006C7CCB"/>
    <w:rsid w:val="006D2BD9"/>
    <w:rsid w:val="006D6009"/>
    <w:rsid w:val="006D7D41"/>
    <w:rsid w:val="006E2F4D"/>
    <w:rsid w:val="006E3FDD"/>
    <w:rsid w:val="006E58FB"/>
    <w:rsid w:val="006E5D82"/>
    <w:rsid w:val="006E66B2"/>
    <w:rsid w:val="006E6C50"/>
    <w:rsid w:val="006E7A69"/>
    <w:rsid w:val="006E7DE4"/>
    <w:rsid w:val="006F53E8"/>
    <w:rsid w:val="006F5FB8"/>
    <w:rsid w:val="0070017B"/>
    <w:rsid w:val="00702575"/>
    <w:rsid w:val="0070332A"/>
    <w:rsid w:val="0070427E"/>
    <w:rsid w:val="00704D53"/>
    <w:rsid w:val="007056C3"/>
    <w:rsid w:val="00706072"/>
    <w:rsid w:val="00713644"/>
    <w:rsid w:val="00713BB2"/>
    <w:rsid w:val="00721256"/>
    <w:rsid w:val="007217AD"/>
    <w:rsid w:val="00723BA1"/>
    <w:rsid w:val="00724A1B"/>
    <w:rsid w:val="007303FB"/>
    <w:rsid w:val="00730C44"/>
    <w:rsid w:val="0073173E"/>
    <w:rsid w:val="007319C3"/>
    <w:rsid w:val="0073454F"/>
    <w:rsid w:val="00735C00"/>
    <w:rsid w:val="007364C6"/>
    <w:rsid w:val="00740BF3"/>
    <w:rsid w:val="00741D5C"/>
    <w:rsid w:val="0074352F"/>
    <w:rsid w:val="00747B02"/>
    <w:rsid w:val="00747C5E"/>
    <w:rsid w:val="00750210"/>
    <w:rsid w:val="00750C5A"/>
    <w:rsid w:val="00754B57"/>
    <w:rsid w:val="0075671D"/>
    <w:rsid w:val="00756D6C"/>
    <w:rsid w:val="0076002F"/>
    <w:rsid w:val="0076038B"/>
    <w:rsid w:val="00761744"/>
    <w:rsid w:val="00764582"/>
    <w:rsid w:val="00765FA3"/>
    <w:rsid w:val="00766961"/>
    <w:rsid w:val="00766B5A"/>
    <w:rsid w:val="00767938"/>
    <w:rsid w:val="00770C33"/>
    <w:rsid w:val="007741C3"/>
    <w:rsid w:val="00776981"/>
    <w:rsid w:val="00777BE0"/>
    <w:rsid w:val="00780923"/>
    <w:rsid w:val="0078131F"/>
    <w:rsid w:val="007831C0"/>
    <w:rsid w:val="007843C2"/>
    <w:rsid w:val="007844C6"/>
    <w:rsid w:val="00785A91"/>
    <w:rsid w:val="007876EF"/>
    <w:rsid w:val="00790306"/>
    <w:rsid w:val="0079364C"/>
    <w:rsid w:val="007942B9"/>
    <w:rsid w:val="007969A8"/>
    <w:rsid w:val="00796C7F"/>
    <w:rsid w:val="00797E0C"/>
    <w:rsid w:val="007A160F"/>
    <w:rsid w:val="007A48BC"/>
    <w:rsid w:val="007A6E09"/>
    <w:rsid w:val="007B0BC1"/>
    <w:rsid w:val="007B354B"/>
    <w:rsid w:val="007B45EB"/>
    <w:rsid w:val="007B4FC3"/>
    <w:rsid w:val="007B5A6E"/>
    <w:rsid w:val="007B6862"/>
    <w:rsid w:val="007B73F3"/>
    <w:rsid w:val="007B7EE5"/>
    <w:rsid w:val="007C1C28"/>
    <w:rsid w:val="007C2A2C"/>
    <w:rsid w:val="007C3577"/>
    <w:rsid w:val="007C5E08"/>
    <w:rsid w:val="007D0002"/>
    <w:rsid w:val="007D7A59"/>
    <w:rsid w:val="007E0E75"/>
    <w:rsid w:val="007E3400"/>
    <w:rsid w:val="007E53F5"/>
    <w:rsid w:val="007E6E9E"/>
    <w:rsid w:val="007E7637"/>
    <w:rsid w:val="007E7997"/>
    <w:rsid w:val="007F014A"/>
    <w:rsid w:val="007F04EF"/>
    <w:rsid w:val="007F0763"/>
    <w:rsid w:val="007F1DE9"/>
    <w:rsid w:val="007F25C2"/>
    <w:rsid w:val="007F3ECB"/>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3D3E"/>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0D10"/>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5B75"/>
    <w:rsid w:val="008A6000"/>
    <w:rsid w:val="008A70A8"/>
    <w:rsid w:val="008A7FAC"/>
    <w:rsid w:val="008B1AB7"/>
    <w:rsid w:val="008B1D7F"/>
    <w:rsid w:val="008B1FD9"/>
    <w:rsid w:val="008B2AF1"/>
    <w:rsid w:val="008B5191"/>
    <w:rsid w:val="008B710D"/>
    <w:rsid w:val="008B7CA1"/>
    <w:rsid w:val="008C0177"/>
    <w:rsid w:val="008C0389"/>
    <w:rsid w:val="008C1662"/>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0F1"/>
    <w:rsid w:val="008F4642"/>
    <w:rsid w:val="008F4E00"/>
    <w:rsid w:val="008F761D"/>
    <w:rsid w:val="00900D44"/>
    <w:rsid w:val="00902520"/>
    <w:rsid w:val="00906DC4"/>
    <w:rsid w:val="00910188"/>
    <w:rsid w:val="009131DA"/>
    <w:rsid w:val="0091457F"/>
    <w:rsid w:val="0091611B"/>
    <w:rsid w:val="0091729E"/>
    <w:rsid w:val="009218EB"/>
    <w:rsid w:val="009322EE"/>
    <w:rsid w:val="0093261E"/>
    <w:rsid w:val="0094008E"/>
    <w:rsid w:val="00941C0C"/>
    <w:rsid w:val="009437F2"/>
    <w:rsid w:val="0094528B"/>
    <w:rsid w:val="00960A8B"/>
    <w:rsid w:val="009643FD"/>
    <w:rsid w:val="00965128"/>
    <w:rsid w:val="00973F43"/>
    <w:rsid w:val="00975A6E"/>
    <w:rsid w:val="0097785D"/>
    <w:rsid w:val="0098011D"/>
    <w:rsid w:val="00981912"/>
    <w:rsid w:val="009819C0"/>
    <w:rsid w:val="00982663"/>
    <w:rsid w:val="0098795D"/>
    <w:rsid w:val="00987A75"/>
    <w:rsid w:val="00991A8A"/>
    <w:rsid w:val="00992611"/>
    <w:rsid w:val="00994303"/>
    <w:rsid w:val="0099526D"/>
    <w:rsid w:val="00996C8B"/>
    <w:rsid w:val="009A0054"/>
    <w:rsid w:val="009A0F6E"/>
    <w:rsid w:val="009A371D"/>
    <w:rsid w:val="009A5548"/>
    <w:rsid w:val="009B25C1"/>
    <w:rsid w:val="009B2FBD"/>
    <w:rsid w:val="009B7B79"/>
    <w:rsid w:val="009C0383"/>
    <w:rsid w:val="009C145B"/>
    <w:rsid w:val="009C223D"/>
    <w:rsid w:val="009C3E04"/>
    <w:rsid w:val="009C4FB0"/>
    <w:rsid w:val="009C75D1"/>
    <w:rsid w:val="009C7694"/>
    <w:rsid w:val="009D0570"/>
    <w:rsid w:val="009D3E5C"/>
    <w:rsid w:val="009D495C"/>
    <w:rsid w:val="009D52DA"/>
    <w:rsid w:val="009D570F"/>
    <w:rsid w:val="009D5E88"/>
    <w:rsid w:val="009D6E1A"/>
    <w:rsid w:val="009D7294"/>
    <w:rsid w:val="009E1690"/>
    <w:rsid w:val="009E18AF"/>
    <w:rsid w:val="009E2C9D"/>
    <w:rsid w:val="009E2CDD"/>
    <w:rsid w:val="009E3545"/>
    <w:rsid w:val="009E4FCE"/>
    <w:rsid w:val="009E522E"/>
    <w:rsid w:val="009E766A"/>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0198"/>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0EAC"/>
    <w:rsid w:val="00AC2DB8"/>
    <w:rsid w:val="00AC4C0C"/>
    <w:rsid w:val="00AC6DDE"/>
    <w:rsid w:val="00AC70C7"/>
    <w:rsid w:val="00AC79E0"/>
    <w:rsid w:val="00AD11A5"/>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217"/>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148F"/>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670"/>
    <w:rsid w:val="00BB449C"/>
    <w:rsid w:val="00BB44D7"/>
    <w:rsid w:val="00BB6FAE"/>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3D3A"/>
    <w:rsid w:val="00C03FF9"/>
    <w:rsid w:val="00C041CF"/>
    <w:rsid w:val="00C0651F"/>
    <w:rsid w:val="00C0696A"/>
    <w:rsid w:val="00C12034"/>
    <w:rsid w:val="00C1396B"/>
    <w:rsid w:val="00C1698A"/>
    <w:rsid w:val="00C17E6C"/>
    <w:rsid w:val="00C21692"/>
    <w:rsid w:val="00C235A7"/>
    <w:rsid w:val="00C249CC"/>
    <w:rsid w:val="00C24E5F"/>
    <w:rsid w:val="00C255B6"/>
    <w:rsid w:val="00C26F3A"/>
    <w:rsid w:val="00C2770B"/>
    <w:rsid w:val="00C30296"/>
    <w:rsid w:val="00C3170E"/>
    <w:rsid w:val="00C31947"/>
    <w:rsid w:val="00C375EA"/>
    <w:rsid w:val="00C40053"/>
    <w:rsid w:val="00C4294D"/>
    <w:rsid w:val="00C42D89"/>
    <w:rsid w:val="00C444C8"/>
    <w:rsid w:val="00C452DD"/>
    <w:rsid w:val="00C45856"/>
    <w:rsid w:val="00C465D2"/>
    <w:rsid w:val="00C46603"/>
    <w:rsid w:val="00C5228C"/>
    <w:rsid w:val="00C54316"/>
    <w:rsid w:val="00C55208"/>
    <w:rsid w:val="00C5527D"/>
    <w:rsid w:val="00C61A1A"/>
    <w:rsid w:val="00C61B1A"/>
    <w:rsid w:val="00C62A53"/>
    <w:rsid w:val="00C707C5"/>
    <w:rsid w:val="00C709F9"/>
    <w:rsid w:val="00C73A70"/>
    <w:rsid w:val="00C7556A"/>
    <w:rsid w:val="00C76054"/>
    <w:rsid w:val="00C779A2"/>
    <w:rsid w:val="00C80546"/>
    <w:rsid w:val="00C83CAD"/>
    <w:rsid w:val="00C8419E"/>
    <w:rsid w:val="00C851D7"/>
    <w:rsid w:val="00C85C8B"/>
    <w:rsid w:val="00C86524"/>
    <w:rsid w:val="00C867AD"/>
    <w:rsid w:val="00C87F9F"/>
    <w:rsid w:val="00C92E09"/>
    <w:rsid w:val="00C9545D"/>
    <w:rsid w:val="00C9625C"/>
    <w:rsid w:val="00C9671A"/>
    <w:rsid w:val="00C978C6"/>
    <w:rsid w:val="00C97F2A"/>
    <w:rsid w:val="00CA0B95"/>
    <w:rsid w:val="00CA112D"/>
    <w:rsid w:val="00CA1F9F"/>
    <w:rsid w:val="00CA2179"/>
    <w:rsid w:val="00CA3B72"/>
    <w:rsid w:val="00CA3D8A"/>
    <w:rsid w:val="00CA52AF"/>
    <w:rsid w:val="00CB4B3E"/>
    <w:rsid w:val="00CB50EF"/>
    <w:rsid w:val="00CB623F"/>
    <w:rsid w:val="00CB791A"/>
    <w:rsid w:val="00CB7D1B"/>
    <w:rsid w:val="00CC11DF"/>
    <w:rsid w:val="00CC1A6E"/>
    <w:rsid w:val="00CC3F62"/>
    <w:rsid w:val="00CC536E"/>
    <w:rsid w:val="00CC59DD"/>
    <w:rsid w:val="00CC6E2E"/>
    <w:rsid w:val="00CC77AC"/>
    <w:rsid w:val="00CC7FC6"/>
    <w:rsid w:val="00CD02B2"/>
    <w:rsid w:val="00CD47B2"/>
    <w:rsid w:val="00CD5AFD"/>
    <w:rsid w:val="00CD74EB"/>
    <w:rsid w:val="00CE00BF"/>
    <w:rsid w:val="00CE3739"/>
    <w:rsid w:val="00CE49F8"/>
    <w:rsid w:val="00CE4E1E"/>
    <w:rsid w:val="00CE66B5"/>
    <w:rsid w:val="00CE6E6A"/>
    <w:rsid w:val="00CF1F58"/>
    <w:rsid w:val="00CF52DF"/>
    <w:rsid w:val="00CF5832"/>
    <w:rsid w:val="00CF5911"/>
    <w:rsid w:val="00CF7221"/>
    <w:rsid w:val="00CF724E"/>
    <w:rsid w:val="00D0158D"/>
    <w:rsid w:val="00D059F5"/>
    <w:rsid w:val="00D117F5"/>
    <w:rsid w:val="00D11A5A"/>
    <w:rsid w:val="00D11CD9"/>
    <w:rsid w:val="00D13661"/>
    <w:rsid w:val="00D142BD"/>
    <w:rsid w:val="00D146DE"/>
    <w:rsid w:val="00D17E64"/>
    <w:rsid w:val="00D17FEC"/>
    <w:rsid w:val="00D200E7"/>
    <w:rsid w:val="00D21427"/>
    <w:rsid w:val="00D22164"/>
    <w:rsid w:val="00D22B86"/>
    <w:rsid w:val="00D22F2F"/>
    <w:rsid w:val="00D23904"/>
    <w:rsid w:val="00D23F7A"/>
    <w:rsid w:val="00D24194"/>
    <w:rsid w:val="00D2460F"/>
    <w:rsid w:val="00D2590F"/>
    <w:rsid w:val="00D27150"/>
    <w:rsid w:val="00D27EB3"/>
    <w:rsid w:val="00D34D8B"/>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012"/>
    <w:rsid w:val="00D6356C"/>
    <w:rsid w:val="00D64A32"/>
    <w:rsid w:val="00D6553A"/>
    <w:rsid w:val="00D657CA"/>
    <w:rsid w:val="00D665BE"/>
    <w:rsid w:val="00D73338"/>
    <w:rsid w:val="00D76898"/>
    <w:rsid w:val="00D775F3"/>
    <w:rsid w:val="00D77868"/>
    <w:rsid w:val="00D77F25"/>
    <w:rsid w:val="00D80F35"/>
    <w:rsid w:val="00D84599"/>
    <w:rsid w:val="00D84C2A"/>
    <w:rsid w:val="00D9064B"/>
    <w:rsid w:val="00D934DF"/>
    <w:rsid w:val="00D978C6"/>
    <w:rsid w:val="00DA03F6"/>
    <w:rsid w:val="00DA134A"/>
    <w:rsid w:val="00DA1A2E"/>
    <w:rsid w:val="00DA200D"/>
    <w:rsid w:val="00DA3413"/>
    <w:rsid w:val="00DA426E"/>
    <w:rsid w:val="00DA4339"/>
    <w:rsid w:val="00DA4B1B"/>
    <w:rsid w:val="00DA4EFC"/>
    <w:rsid w:val="00DA648D"/>
    <w:rsid w:val="00DA726D"/>
    <w:rsid w:val="00DB0A97"/>
    <w:rsid w:val="00DB3DEA"/>
    <w:rsid w:val="00DB40BD"/>
    <w:rsid w:val="00DB4B8E"/>
    <w:rsid w:val="00DB4F4B"/>
    <w:rsid w:val="00DB55FA"/>
    <w:rsid w:val="00DC070F"/>
    <w:rsid w:val="00DC3858"/>
    <w:rsid w:val="00DC3A57"/>
    <w:rsid w:val="00DC5FA6"/>
    <w:rsid w:val="00DC7A95"/>
    <w:rsid w:val="00DD55C2"/>
    <w:rsid w:val="00DD759E"/>
    <w:rsid w:val="00DE314E"/>
    <w:rsid w:val="00DE4CFB"/>
    <w:rsid w:val="00DE6B8F"/>
    <w:rsid w:val="00DF045B"/>
    <w:rsid w:val="00DF1ED8"/>
    <w:rsid w:val="00DF3785"/>
    <w:rsid w:val="00DF3D27"/>
    <w:rsid w:val="00DF6074"/>
    <w:rsid w:val="00DF6ADD"/>
    <w:rsid w:val="00E02239"/>
    <w:rsid w:val="00E047EC"/>
    <w:rsid w:val="00E07D42"/>
    <w:rsid w:val="00E12662"/>
    <w:rsid w:val="00E163E9"/>
    <w:rsid w:val="00E20690"/>
    <w:rsid w:val="00E22C42"/>
    <w:rsid w:val="00E234EB"/>
    <w:rsid w:val="00E240F5"/>
    <w:rsid w:val="00E30004"/>
    <w:rsid w:val="00E333AC"/>
    <w:rsid w:val="00E33ACD"/>
    <w:rsid w:val="00E3456B"/>
    <w:rsid w:val="00E35C16"/>
    <w:rsid w:val="00E35FC3"/>
    <w:rsid w:val="00E36085"/>
    <w:rsid w:val="00E36813"/>
    <w:rsid w:val="00E42382"/>
    <w:rsid w:val="00E44FA8"/>
    <w:rsid w:val="00E603DF"/>
    <w:rsid w:val="00E60F1D"/>
    <w:rsid w:val="00E63745"/>
    <w:rsid w:val="00E6699F"/>
    <w:rsid w:val="00E67B40"/>
    <w:rsid w:val="00E703AE"/>
    <w:rsid w:val="00E72373"/>
    <w:rsid w:val="00E7573A"/>
    <w:rsid w:val="00E76AF9"/>
    <w:rsid w:val="00E824DB"/>
    <w:rsid w:val="00E8416A"/>
    <w:rsid w:val="00E84366"/>
    <w:rsid w:val="00E84EF0"/>
    <w:rsid w:val="00E8649C"/>
    <w:rsid w:val="00E87886"/>
    <w:rsid w:val="00E87CDE"/>
    <w:rsid w:val="00E91FC1"/>
    <w:rsid w:val="00E92D54"/>
    <w:rsid w:val="00E9323C"/>
    <w:rsid w:val="00E95FD8"/>
    <w:rsid w:val="00EA013E"/>
    <w:rsid w:val="00EA0283"/>
    <w:rsid w:val="00EA5DE1"/>
    <w:rsid w:val="00EB020E"/>
    <w:rsid w:val="00EB0C86"/>
    <w:rsid w:val="00EB0E16"/>
    <w:rsid w:val="00EB1489"/>
    <w:rsid w:val="00EB1A57"/>
    <w:rsid w:val="00EB236F"/>
    <w:rsid w:val="00EB237E"/>
    <w:rsid w:val="00EB6265"/>
    <w:rsid w:val="00EB7C53"/>
    <w:rsid w:val="00EC1546"/>
    <w:rsid w:val="00EC2407"/>
    <w:rsid w:val="00EC5B23"/>
    <w:rsid w:val="00EC5DED"/>
    <w:rsid w:val="00EC6BD8"/>
    <w:rsid w:val="00ED0356"/>
    <w:rsid w:val="00ED0D71"/>
    <w:rsid w:val="00ED19A3"/>
    <w:rsid w:val="00ED3DCD"/>
    <w:rsid w:val="00ED3DD5"/>
    <w:rsid w:val="00ED56BE"/>
    <w:rsid w:val="00ED74D7"/>
    <w:rsid w:val="00EE40F8"/>
    <w:rsid w:val="00EE5024"/>
    <w:rsid w:val="00EE6DD6"/>
    <w:rsid w:val="00EF0867"/>
    <w:rsid w:val="00EF1A10"/>
    <w:rsid w:val="00EF1A9F"/>
    <w:rsid w:val="00EF1B27"/>
    <w:rsid w:val="00EF2604"/>
    <w:rsid w:val="00EF4370"/>
    <w:rsid w:val="00EF56B3"/>
    <w:rsid w:val="00EF5AD7"/>
    <w:rsid w:val="00EF5D81"/>
    <w:rsid w:val="00EF600F"/>
    <w:rsid w:val="00F03FA7"/>
    <w:rsid w:val="00F048EF"/>
    <w:rsid w:val="00F06AAD"/>
    <w:rsid w:val="00F146BE"/>
    <w:rsid w:val="00F20347"/>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974"/>
    <w:rsid w:val="00F72AEE"/>
    <w:rsid w:val="00F77851"/>
    <w:rsid w:val="00F77DB2"/>
    <w:rsid w:val="00F80FAB"/>
    <w:rsid w:val="00F81E3B"/>
    <w:rsid w:val="00F827E1"/>
    <w:rsid w:val="00F8568F"/>
    <w:rsid w:val="00F927B5"/>
    <w:rsid w:val="00F94BD0"/>
    <w:rsid w:val="00F95403"/>
    <w:rsid w:val="00F96705"/>
    <w:rsid w:val="00F96750"/>
    <w:rsid w:val="00F9704D"/>
    <w:rsid w:val="00FA0166"/>
    <w:rsid w:val="00FA2400"/>
    <w:rsid w:val="00FA33E9"/>
    <w:rsid w:val="00FA55C8"/>
    <w:rsid w:val="00FA74C6"/>
    <w:rsid w:val="00FB177C"/>
    <w:rsid w:val="00FB24ED"/>
    <w:rsid w:val="00FB29AF"/>
    <w:rsid w:val="00FB313D"/>
    <w:rsid w:val="00FB4003"/>
    <w:rsid w:val="00FB4EBA"/>
    <w:rsid w:val="00FB7086"/>
    <w:rsid w:val="00FC3608"/>
    <w:rsid w:val="00FC6733"/>
    <w:rsid w:val="00FD0319"/>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3">
    <w:name w:val="List Table 7 Colorful Accent 3"/>
    <w:basedOn w:val="TableNormal"/>
    <w:uiPriority w:val="52"/>
    <w:rsid w:val="00EA013E"/>
    <w:pPr>
      <w:spacing w:after="0" w:line="240" w:lineRule="auto"/>
    </w:pPr>
    <w:rPr>
      <w:rFonts w:eastAsiaTheme="minorHAnsi"/>
      <w:color w:val="7B7B7B" w:themeColor="accent3" w:themeShade="BF"/>
      <w:sz w:val="22"/>
      <w:szCs w:val="22"/>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4119754">
      <w:bodyDiv w:val="1"/>
      <w:marLeft w:val="0"/>
      <w:marRight w:val="0"/>
      <w:marTop w:val="0"/>
      <w:marBottom w:val="0"/>
      <w:divBdr>
        <w:top w:val="none" w:sz="0" w:space="0" w:color="auto"/>
        <w:left w:val="none" w:sz="0" w:space="0" w:color="auto"/>
        <w:bottom w:val="none" w:sz="0" w:space="0" w:color="auto"/>
        <w:right w:val="none" w:sz="0" w:space="0" w:color="auto"/>
      </w:divBdr>
      <w:divsChild>
        <w:div w:id="1520317304">
          <w:marLeft w:val="0"/>
          <w:marRight w:val="0"/>
          <w:marTop w:val="0"/>
          <w:marBottom w:val="0"/>
          <w:divBdr>
            <w:top w:val="none" w:sz="0" w:space="0" w:color="auto"/>
            <w:left w:val="none" w:sz="0" w:space="0" w:color="auto"/>
            <w:bottom w:val="none" w:sz="0" w:space="0" w:color="auto"/>
            <w:right w:val="none" w:sz="0" w:space="0" w:color="auto"/>
          </w:divBdr>
        </w:div>
      </w:divsChild>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668407321">
      <w:bodyDiv w:val="1"/>
      <w:marLeft w:val="0"/>
      <w:marRight w:val="0"/>
      <w:marTop w:val="0"/>
      <w:marBottom w:val="0"/>
      <w:divBdr>
        <w:top w:val="none" w:sz="0" w:space="0" w:color="auto"/>
        <w:left w:val="none" w:sz="0" w:space="0" w:color="auto"/>
        <w:bottom w:val="none" w:sz="0" w:space="0" w:color="auto"/>
        <w:right w:val="none" w:sz="0" w:space="0" w:color="auto"/>
      </w:divBdr>
      <w:divsChild>
        <w:div w:id="936672336">
          <w:marLeft w:val="0"/>
          <w:marRight w:val="0"/>
          <w:marTop w:val="0"/>
          <w:marBottom w:val="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purl.org/dc/elements/1.1/"/>
    <ds:schemaRef ds:uri="http://www.w3.org/XML/1998/namespace"/>
    <ds:schemaRef ds:uri="http://schemas.microsoft.com/sharepoint/v4"/>
    <ds:schemaRef ds:uri="20fbe147-bbda-4e53-b6b1-7e8bbff3fe19"/>
    <ds:schemaRef ds:uri="http://purl.org/dc/dcmitype/"/>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9E7060DE-184D-48A6-A2BD-5735F36D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13</TotalTime>
  <Pages>19</Pages>
  <Words>6488</Words>
  <Characters>34387</Characters>
  <Application>Microsoft Office Word</Application>
  <DocSecurity>8</DocSecurity>
  <Lines>286</Lines>
  <Paragraphs>81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Elina Yrgård</cp:lastModifiedBy>
  <cp:revision>3</cp:revision>
  <cp:lastPrinted>2017-07-24T14:47:00Z</cp:lastPrinted>
  <dcterms:created xsi:type="dcterms:W3CDTF">2021-03-12T08:45:00Z</dcterms:created>
  <dcterms:modified xsi:type="dcterms:W3CDTF">2021-03-12T14:44:00Z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