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olo"/>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2598283F" w:rsidR="00C85C8B" w:rsidRPr="00C85C8B" w:rsidRDefault="00D21A67" w:rsidP="00C85C8B">
            <w:pPr>
              <w:rPr>
                <w:rFonts w:ascii="Arial" w:hAnsi="Arial" w:cs="Arial"/>
                <w:color w:val="808080"/>
                <w:sz w:val="20"/>
                <w:lang w:eastAsia="de-DE"/>
              </w:rPr>
            </w:pPr>
            <w:r>
              <w:t>Italian Banking Association</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66CB406" w:rsidR="00C85C8B" w:rsidRPr="00C85C8B" w:rsidRDefault="00580F8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21A67">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14BE81B" w:rsidR="00C85C8B" w:rsidRPr="00C85C8B" w:rsidRDefault="00F371D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386A4B8" w:rsidR="00C85C8B" w:rsidRPr="00C85C8B" w:rsidRDefault="00F371DC"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46B82692" w:rsidR="00C85C8B" w:rsidRPr="00C85C8B" w:rsidRDefault="000A1EBB" w:rsidP="00580F87">
      <w:pPr>
        <w:rPr>
          <w:rFonts w:ascii="Arial" w:eastAsiaTheme="minorEastAsia" w:hAnsi="Arial" w:cs="Arial"/>
          <w:sz w:val="22"/>
          <w:szCs w:val="20"/>
          <w:lang w:eastAsia="en-US"/>
        </w:rPr>
      </w:pPr>
      <w:permStart w:id="885457707" w:edGrp="everyone"/>
      <w:r w:rsidRPr="001959B3">
        <w:t xml:space="preserve">This document is intended to provide ABI's contribution to the ESMA Consultation Paper </w:t>
      </w:r>
      <w:r w:rsidRPr="000A1EBB">
        <w:t>on MiFID II/MiFIR review report on Algorithmic Trading. Please, find below our response</w:t>
      </w:r>
      <w:r w:rsidR="00C25439">
        <w:t>s</w:t>
      </w:r>
      <w:r w:rsidRPr="000A1EBB">
        <w:t xml:space="preserve"> to some of the questions posed by the consultation document</w:t>
      </w:r>
      <w:r w:rsidR="00580F87">
        <w:t>,</w:t>
      </w:r>
      <w:r w:rsidR="00C25439">
        <w:t xml:space="preserve"> </w:t>
      </w:r>
      <w:r w:rsidR="00580F87">
        <w:t>n</w:t>
      </w:r>
      <w:r w:rsidR="002064E5" w:rsidRPr="002064E5">
        <w:t>ot</w:t>
      </w:r>
      <w:r w:rsidR="00580F87">
        <w:t>ing</w:t>
      </w:r>
      <w:r w:rsidR="002064E5" w:rsidRPr="002064E5">
        <w:t xml:space="preserve"> that all the responses were drafted in cooperation with the Italian Association of Financial Markets Intermediaries </w:t>
      </w:r>
      <w:r w:rsidR="002064E5">
        <w:t>(</w:t>
      </w:r>
      <w:r w:rsidR="002064E5" w:rsidRPr="002064E5">
        <w:t>Assosim</w:t>
      </w:r>
      <w:r w:rsidR="002064E5">
        <w:t>)</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D39147E" w14:textId="77777777" w:rsidR="00BC7327" w:rsidRPr="00BC7327" w:rsidRDefault="00BC7327" w:rsidP="00BC7327">
      <w:permStart w:id="286478064" w:edGrp="everyone"/>
      <w:r w:rsidRPr="00BC7327">
        <w:t xml:space="preserve">Our evaluation of the </w:t>
      </w:r>
      <w:proofErr w:type="gramStart"/>
      <w:r w:rsidRPr="00BC7327">
        <w:t>aforementioned framework</w:t>
      </w:r>
      <w:proofErr w:type="gramEnd"/>
      <w:r w:rsidRPr="00BC7327">
        <w:t xml:space="preserve"> is overall positive. The MiFID II regulatory framework relating to the Algorithmic and High Frequency Trading is robust and ensures a stringent monitoring of the operation. However, notwithstanding ESMA’s Q&amp;As, implementation uncertainties remain regarding the DEA perimeter. In particular, the reference to the fraction of a second is unclear with respect to the determination of the relevant time frame. Moreover, it should be considered that the constant technological evolution may make the “fraction of a second” criterion meaningless. </w:t>
      </w:r>
    </w:p>
    <w:p w14:paraId="10E02C8B" w14:textId="31D3F486" w:rsidR="00F43578" w:rsidRDefault="00BC7327" w:rsidP="00BC7327">
      <w:r w:rsidRPr="00BC7327">
        <w:t xml:space="preserve">As a possible criterion to better define the scope of DEA, we would propose ESMA to assess the criterion of the DEA provider having a dedicated line for each single DEA client. Moreover, with reference to the regulatory framework inherent to DEA operations, it would be advisable to define more accurate guidelines with the aim to ensure a homogeneous application of this concept at EU level: as a matter of fact, at the current stage, the interpretation and implementation of such regulatory requirement is different in each jurisdiction. Nevertheless, it is worth considering that the harmonisation effort should, however, </w:t>
      </w:r>
      <w:proofErr w:type="gramStart"/>
      <w:r w:rsidRPr="00BC7327">
        <w:t>take into account</w:t>
      </w:r>
      <w:proofErr w:type="gramEnd"/>
      <w:r w:rsidRPr="00BC7327">
        <w:t xml:space="preserve"> trading models and asset classes’ characteristics.</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E98D946" w14:textId="77777777" w:rsidR="00056E64" w:rsidRPr="00056E64" w:rsidRDefault="00056E64" w:rsidP="00056E64">
      <w:permStart w:id="1917137949" w:edGrp="everyone"/>
      <w:r w:rsidRPr="00056E64">
        <w:t>No. In our opinion the MiFID II regulatory framework provides an appropriate oversight of risks.</w:t>
      </w:r>
    </w:p>
    <w:p w14:paraId="58D42F31" w14:textId="77777777" w:rsidR="00056E64" w:rsidRPr="00056E64" w:rsidRDefault="00056E64" w:rsidP="00056E64">
      <w:r w:rsidRPr="00056E64">
        <w:t>The rules currently in force ensure the management of market, credit and operational risks deriving from algorithmic operations. Therefore, no other risks potentially deriving from algorithmic trading would need to be highlighted.</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3FEADF64" w14:textId="77777777" w:rsidR="008A66B3" w:rsidRPr="008A66B3" w:rsidRDefault="008A66B3" w:rsidP="008A66B3">
      <w:permStart w:id="1761220304" w:edGrp="everyone"/>
      <w:r w:rsidRPr="008A66B3">
        <w:t xml:space="preserve">The risks deriving from algorithmic trading should not be taken into consideration in other trading areas. </w:t>
      </w:r>
      <w:proofErr w:type="gramStart"/>
      <w:r w:rsidRPr="008A66B3">
        <w:t>In particular, algo</w:t>
      </w:r>
      <w:proofErr w:type="gramEnd"/>
      <w:r w:rsidRPr="008A66B3">
        <w:t xml:space="preserve"> trading may pose potential risks to the orderly functioning of multilateral trading venues. In this regard, we believe that the current framework adequately addresses these risks. However, we oppose to any extension of the scope of the algo trading regime to other trading areas (such as SI trading – please see our answer to Q9 below).</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lastRenderedPageBreak/>
        <w:t>&lt;ESMA_QUESTION_ALGO_4&gt;</w:t>
      </w:r>
    </w:p>
    <w:p w14:paraId="250BBD95" w14:textId="77777777" w:rsidR="00786CEC" w:rsidRPr="00786CEC" w:rsidRDefault="00786CEC" w:rsidP="00786CEC">
      <w:permStart w:id="1759576576" w:edGrp="everyone"/>
      <w:r w:rsidRPr="00786CEC">
        <w:t xml:space="preserve">We agree with the analysis if we look at the current regime. However, it should be considered that if DEA access no longer entails authorisation to provide investment services (see Q10), then it would no longer be possible to apply the algo regime to DEA clients who are not authorised as banks/IFs. However, in our view, the safeguards applicable to DEA providers would still be sufficient to minimise risks to the orderly functioning of markets. </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4AA50A65" w14:textId="77777777" w:rsidR="008135BB" w:rsidRPr="008135BB" w:rsidRDefault="008135BB" w:rsidP="008135BB">
      <w:permStart w:id="471091368" w:edGrp="everyone"/>
      <w:r w:rsidRPr="008135BB">
        <w:t xml:space="preserve">In our view, the definition of HFT should not be changed as more granular criteria would lead to a greater burden in terms of monitoring. </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7D3C9BAA" w14:textId="77777777" w:rsidR="00805C74" w:rsidRPr="00805C74" w:rsidRDefault="00805C74" w:rsidP="00805C74">
      <w:permStart w:id="139352066" w:edGrp="everyone"/>
      <w:r w:rsidRPr="00805C74">
        <w:t>In our experience sub-delegation is not a frequent practice.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334CF3FF" w14:textId="77777777" w:rsidR="00463E36" w:rsidRPr="00463E36" w:rsidRDefault="00463E36" w:rsidP="00463E36">
      <w:permStart w:id="1735736236" w:edGrp="everyone"/>
      <w:r w:rsidRPr="00463E36">
        <w:t>We strongly agree with the analysis made regarding the exclusion of clients of online brokers from the DEA perimeter.</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1972C572" w14:textId="564D231A" w:rsidR="00F43578" w:rsidRDefault="009E71B3" w:rsidP="00F43578">
      <w:permStart w:id="714028646" w:edGrp="everyone"/>
      <w:r w:rsidRPr="009E71B3">
        <w:lastRenderedPageBreak/>
        <w:t xml:space="preserve">We do not agree with the extension of the algo regime to systematic internalisers for which it is not reasonable to assume the occurrence of the typical risks of TVs (such as risk of systems overloading, risks of algorithmic trading generating duplicative or erroneous orders, risk of overreaction to market events, risk of market abuse behaviours, etc.). Furthermore, as stated in previous occasions (please see our answer to ESMA’s consultation on “MiFIR review report on the obligations to report transactions and reference data”), SIs have done investments to carry out their core SI’s activity (and, in certain cases, decided to opt-in) </w:t>
      </w:r>
      <w:proofErr w:type="gramStart"/>
      <w:r w:rsidRPr="009E71B3">
        <w:t>on the basis of</w:t>
      </w:r>
      <w:proofErr w:type="gramEnd"/>
      <w:r w:rsidRPr="009E71B3">
        <w:t xml:space="preserve"> the current MiFID II/MiFIR legal framework. A change in the “rules of the game” after three years of MiFID II/R application would not even allow the amortisation of all the costs borne to comply with the SI’s regime. The introduction of further costs due to the need to comply with ESMA’s current proposal would make the situation even worse taking into consideration the current (and the envisaged) delicate situation caused by the pandemic (whose end is unclear and likely not near). Finally, and importantly, such changes could discourage new SIs from opting-in, or currently active SIs to cease the business, thus reducing the overall transparency </w:t>
      </w:r>
      <w:proofErr w:type="gramStart"/>
      <w:r w:rsidRPr="009E71B3">
        <w:t>level.</w:t>
      </w:r>
      <w:permEnd w:id="714028646"/>
      <w:r w:rsidR="00F43578">
        <w:t>&lt;</w:t>
      </w:r>
      <w:proofErr w:type="gramEnd"/>
      <w:r w:rsidR="00F43578">
        <w: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70D4BAF7" w14:textId="77777777" w:rsidR="009D155D" w:rsidRPr="009D155D" w:rsidRDefault="009D155D" w:rsidP="009D155D">
      <w:permStart w:id="1286567615" w:edGrp="everyone"/>
      <w:r w:rsidRPr="009D155D">
        <w:t>We agree with ESMA’s proposal contained in paragraph 65 of the CP regarding the authorisation waiver for persons having DEA access to only deal on own account (except where they qualify as HFT firms).</w:t>
      </w:r>
    </w:p>
    <w:p w14:paraId="2C157EC8" w14:textId="77777777" w:rsidR="009D155D" w:rsidRPr="009D155D" w:rsidRDefault="009D155D" w:rsidP="009D155D">
      <w:r w:rsidRPr="009D155D">
        <w:t>As it regards the extension of the scope of DEA users to Tier 2 clients, it is not clear exactly what the effect of this inclusion would be, given that these clients would not be solely regulated entities. Moreover, it is not clear whether a Tier 1 client, that is not licensed as a bank/IF, could sub-delegate DEA access to a Tier 2 client.</w:t>
      </w:r>
    </w:p>
    <w:p w14:paraId="4FAD8B9B" w14:textId="77777777" w:rsidR="009D155D" w:rsidRPr="009D155D" w:rsidRDefault="009D155D" w:rsidP="009D155D">
      <w:r w:rsidRPr="009D155D">
        <w:t>Regarding the proposal to inform the NCA about the number and names of DEA clients, we do not see any issues. In this respect it could be even quicker and more convenient for firms to provide such data only where a change in the list previously delivered occurs.</w:t>
      </w:r>
    </w:p>
    <w:p w14:paraId="4FD1A80D" w14:textId="77777777" w:rsidR="009D155D" w:rsidRPr="009D155D" w:rsidRDefault="009D155D" w:rsidP="009D155D">
      <w:r w:rsidRPr="009D155D">
        <w:t>From a level playing field perspective, we agree with the proposal to provide authorisation as an IF for third-country DEA clients carrying out HFT activities.</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526A40B4" w14:textId="77777777" w:rsidR="00DF3550" w:rsidRPr="00DF3550" w:rsidRDefault="00DF3550" w:rsidP="00DF3550">
      <w:permStart w:id="1274354294" w:edGrp="everyone"/>
      <w:r w:rsidRPr="00DF3550">
        <w:t>We agree with ESMA's proposal.</w:t>
      </w:r>
    </w:p>
    <w:p w14:paraId="51411746" w14:textId="77777777" w:rsidR="00DF3550" w:rsidRPr="00DF3550" w:rsidRDefault="00DF3550" w:rsidP="00DF3550">
      <w:r w:rsidRPr="00DF3550">
        <w:t xml:space="preserve">Only a few NCAs adopted specific statements regarding communications between Investment Firms and NCAs pursuant to articles 17 (1), 17 (2) and 17 (5) of MiFID II. Therefore, the definition of a harmonized standard at EU level -in terms of notification timing and content- would make it easier </w:t>
      </w:r>
      <w:proofErr w:type="spellStart"/>
      <w:r w:rsidRPr="00DF3550">
        <w:t>i</w:t>
      </w:r>
      <w:proofErr w:type="spellEnd"/>
      <w:r w:rsidRPr="00DF3550">
        <w:t>) to identify and ii) to notify information considered relevant for the purposes of such communications.</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53D05196" w14:textId="77777777" w:rsidR="00730CA2" w:rsidRPr="00730CA2" w:rsidRDefault="00730CA2" w:rsidP="00730CA2">
      <w:permStart w:id="1308445152" w:edGrp="everyone"/>
      <w:r w:rsidRPr="00730CA2">
        <w:lastRenderedPageBreak/>
        <w:t>Yes, we agree that a template should be developed for notifications to NCAs as we believe that any initiative aiming to make communications more standardized and homogeneous at an EU level is likely to bring positive effects on the efficiency of the financial industry’s communications and administrative processes.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592F091D" w14:textId="77777777" w:rsidR="008B4BDF" w:rsidRPr="008B4BDF" w:rsidRDefault="008B4BDF" w:rsidP="008B4BDF">
      <w:permStart w:id="1436643470" w:edGrp="everyone"/>
      <w:r w:rsidRPr="008B4BDF">
        <w:t>We do not see any drawback to the proposal to specify that a notification should take place as soon as possible.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763ED24F" w14:textId="77777777" w:rsidR="000C615F" w:rsidRPr="000C615F" w:rsidRDefault="000C615F" w:rsidP="000C615F">
      <w:permStart w:id="892417975" w:edGrp="everyone"/>
      <w:r w:rsidRPr="000C615F">
        <w:t>In our view, a template for the exchange of information between NCAs would be desirable. If such a template were developed, the burden for the industry of making the same notification to several NCAs could be significantly reduced.</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29EFEC67" w14:textId="77777777" w:rsidR="005D0301" w:rsidRPr="005D0301" w:rsidRDefault="005D0301" w:rsidP="005D0301">
      <w:permStart w:id="1585009624" w:edGrp="everyone"/>
      <w:r w:rsidRPr="005D0301">
        <w:t xml:space="preserve">In our view, there is no need to clarify the definition of algorithmic trading. Instead, a revision of the notion of algo trading would be appropriate with a view to simplification. </w:t>
      </w:r>
      <w:proofErr w:type="gramStart"/>
      <w:r w:rsidRPr="005D0301">
        <w:t>In particular, it</w:t>
      </w:r>
      <w:proofErr w:type="gramEnd"/>
      <w:r w:rsidRPr="005D0301">
        <w:t xml:space="preserve"> would be desirable not to apply the regime if the algorithm generates one and only one order at the occurrence of given conditions (e.g., stop loss) and then ceases to operate. In such a circumstance, no additional disorderly market risk would arise and, therefore, the application of the algo trading rules would not be needed. The situation would be different if the algorithm remained active after the order has been generated.</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53DD0F0F" w14:textId="77777777" w:rsidR="00526DFD" w:rsidRPr="00526DFD" w:rsidRDefault="00526DFD" w:rsidP="00526DFD">
      <w:permStart w:id="1815021170" w:edGrp="everyone"/>
      <w:r w:rsidRPr="00526DFD">
        <w:t xml:space="preserve">We do not see any need in this respect. The current regulatory framework ensures the possibility to consistently apply safeguards to the operations, hence providing for adequate </w:t>
      </w:r>
      <w:r w:rsidRPr="00526DFD">
        <w:lastRenderedPageBreak/>
        <w:t xml:space="preserve">controls of the systems. </w:t>
      </w:r>
      <w:proofErr w:type="gramStart"/>
      <w:r w:rsidRPr="00526DFD">
        <w:t>With regard to</w:t>
      </w:r>
      <w:proofErr w:type="gramEnd"/>
      <w:r w:rsidRPr="00526DFD">
        <w:t xml:space="preserve"> conformance testing, a principle-based approach to such testing would lead to outcomes capable of taking into account different types of firms’ infrastructures. </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37A835A" w14:textId="77777777" w:rsidR="00E312C2" w:rsidRPr="00E312C2" w:rsidRDefault="00E312C2" w:rsidP="00E312C2">
      <w:permStart w:id="80092231" w:edGrp="everyone"/>
      <w:r w:rsidRPr="00E312C2">
        <w:t xml:space="preserve">We would like to point out that the testing environments provided by trading venues often demonstrated to be not entirely fit for purpose and we deem that enforcement and supervisory activity in this specific regard over venues should be strengthened. Also, the effectiveness of the testing environments could be improved, for instance </w:t>
      </w:r>
      <w:proofErr w:type="gramStart"/>
      <w:r w:rsidRPr="00E312C2">
        <w:t>with regard to</w:t>
      </w:r>
      <w:proofErr w:type="gramEnd"/>
      <w:r w:rsidRPr="00E312C2">
        <w:t xml:space="preserve"> stress testing, by exploiting synergies with Trading Venues, so as to ensure that tests can be carried out directly on the systems of Trading Venues and with the simultaneous participation of several investment firms. Further to this, the testing process can vary widely from one trading venue to another, and different testing environments can cause different testing outcomes. Hence, we would welcome any improvements aimed at ensuring more consistency across different venues.</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D51E0C3" w14:textId="77777777" w:rsidR="001010B3" w:rsidRPr="001010B3" w:rsidRDefault="001010B3" w:rsidP="001010B3">
      <w:permStart w:id="935476495" w:edGrp="everyone"/>
      <w:r w:rsidRPr="001010B3">
        <w:t>We believe that the definition of disorderly trading conditions is sufficiently clear. Nevertheless, ESMA could consider identifying -by way of example- a non-exhaustive list of elements that would occur in a disorderly trading situation.</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4BF0C461" w14:textId="77777777" w:rsidR="00B83414" w:rsidRPr="00B83414" w:rsidRDefault="00B83414" w:rsidP="00B83414">
      <w:permStart w:id="91701692" w:edGrp="everyone"/>
      <w:r w:rsidRPr="00B83414">
        <w:t>We believe that there is no need for additional guidelines as they would likely require adjustments and therefore imply additional costs without producing significant benefits.</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4882FA11" w14:textId="77777777" w:rsidR="000A2D25" w:rsidRPr="000A2D25" w:rsidRDefault="000A2D25" w:rsidP="000A2D25">
      <w:permStart w:id="830364215" w:edGrp="everyone"/>
      <w:r w:rsidRPr="000A2D25">
        <w:t>We think that the criteria for self-assessment are sufficiently detailed and that a predefined format is not necessary.</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lastRenderedPageBreak/>
        <w:t>&lt;ESMA_QUESTION_ALGO_21&gt;</w:t>
      </w:r>
    </w:p>
    <w:p w14:paraId="2990FF6F" w14:textId="77777777" w:rsidR="00C075D0" w:rsidRPr="00C075D0" w:rsidRDefault="00C075D0" w:rsidP="00C075D0">
      <w:permStart w:id="1799384931" w:edGrp="everyone"/>
      <w:r w:rsidRPr="00C075D0">
        <w:t>We do not agree with the proposed changes as we deem that they would not add any value.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5D55625A" w14:textId="77777777" w:rsidR="000E2F6C" w:rsidRPr="000E2F6C" w:rsidRDefault="000E2F6C" w:rsidP="000E2F6C">
      <w:permStart w:id="400963781" w:edGrp="everyone"/>
      <w:r w:rsidRPr="000E2F6C">
        <w:t xml:space="preserve">We agree in principle with ESMA’s proposal to harmonise and create a clear structure for the performance of the self-assessment. However, ESMA’s proposal lacks sufficient detail </w:t>
      </w:r>
      <w:proofErr w:type="gramStart"/>
      <w:r w:rsidRPr="000E2F6C">
        <w:t>in order to</w:t>
      </w:r>
      <w:proofErr w:type="gramEnd"/>
      <w:r w:rsidRPr="000E2F6C">
        <w:t xml:space="preserve"> fully understand and support the position. We believe further consultations on the content of such harmonised structure may be advisable, so that specific and detailed stakeholders’ views could be </w:t>
      </w:r>
      <w:proofErr w:type="gramStart"/>
      <w:r w:rsidRPr="000E2F6C">
        <w:t>taken into account</w:t>
      </w:r>
      <w:proofErr w:type="gramEnd"/>
      <w:r w:rsidRPr="000E2F6C">
        <w:t xml:space="preserve">. In our view, a one-size fits-all approach would not be </w:t>
      </w:r>
      <w:proofErr w:type="gramStart"/>
      <w:r w:rsidRPr="000E2F6C">
        <w:t>appropriate</w:t>
      </w:r>
      <w:proofErr w:type="gramEnd"/>
      <w:r w:rsidRPr="000E2F6C">
        <w:t xml:space="preserve"> and the exercise should be limited to identifying high-level content requirements and principles. </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2E6E76B8" w14:textId="77777777" w:rsidR="00C525A9" w:rsidRPr="00C525A9" w:rsidRDefault="00C525A9" w:rsidP="00C525A9">
      <w:permStart w:id="1148655378" w:edGrp="everyone"/>
      <w:r w:rsidRPr="00C525A9">
        <w:t>Yes, we agree with limiting the self-assessment to every two years and we would prefer to share the self-assessment with the relevant NCA as and when required (for example upon a request from the NCA) as opposed to this becoming an additional regulatory filing that must be filed by a certain date, in which case this requirement would translate in an additional administrative burden and costs to the venue.</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942C9B2" w14:textId="77777777" w:rsidR="00D51216" w:rsidRPr="00D51216" w:rsidRDefault="00D51216" w:rsidP="00D51216">
      <w:permStart w:id="1410487780" w:edGrp="everyone"/>
      <w:r w:rsidRPr="00D51216">
        <w:t>We believe that overlapping obligations should be minimised as they create a redundancy of requirements and controls, without significant benefits.</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1E6C56EB" w14:textId="77777777" w:rsidR="00CB6FD5" w:rsidRPr="00CB6FD5" w:rsidRDefault="00CB6FD5" w:rsidP="00CB6FD5">
      <w:permStart w:id="1397362070" w:edGrp="everyone"/>
      <w:r w:rsidRPr="00CB6FD5">
        <w:lastRenderedPageBreak/>
        <w:t xml:space="preserve">From a cost-benefit perspective, we think that more robust testing scenarios are not appropriate. </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5FF8D77" w14:textId="77777777" w:rsidR="008D4A8A" w:rsidRPr="008D4A8A" w:rsidRDefault="008D4A8A" w:rsidP="008D4A8A">
      <w:permStart w:id="136737856" w:edGrp="everyone"/>
      <w:r w:rsidRPr="008D4A8A">
        <w:t xml:space="preserve">As mentioned above (see Q17), the available test environments often demonstrated to be not fit for purpose. The testing environments currently available are adequate just for testing the basic operating logics of the algorithms. As also indicated in question 17 above, the effectiveness of the testing environments could be enhanced, for example </w:t>
      </w:r>
      <w:proofErr w:type="gramStart"/>
      <w:r w:rsidRPr="008D4A8A">
        <w:t>with regard to</w:t>
      </w:r>
      <w:proofErr w:type="gramEnd"/>
      <w:r w:rsidRPr="008D4A8A">
        <w:t xml:space="preserve"> stress tests, by exploiting synergies with Trading Venues, with the aim to guarantee that tests can be performed directly on the TV’s systems and with the concurrent participation of several investment firms at the same time.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5A45181C" w14:textId="77777777" w:rsidR="00FF49C5" w:rsidRPr="00FF49C5" w:rsidRDefault="00FF49C5" w:rsidP="00FF49C5">
      <w:permStart w:id="524302610" w:edGrp="everyone"/>
      <w:r w:rsidRPr="00FF49C5">
        <w:t xml:space="preserve">We agree with ESMA’s analysis and we believe that circuit breaker mechanism achieved its objective. </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65ADE4BB" w14:textId="77777777" w:rsidR="00625C2F" w:rsidRPr="00625C2F" w:rsidRDefault="00625C2F" w:rsidP="00625C2F">
      <w:permStart w:id="2087265348" w:edGrp="everyone"/>
      <w:r w:rsidRPr="00625C2F">
        <w:t xml:space="preserve">In line with ESMA’s considerations in paragraphs 174-to-177, we believe that the current regulatory framework remains appropriate, and no regulatory changes are necessary. </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2269C12F" w14:textId="77777777" w:rsidR="005C23CD" w:rsidRPr="005C23CD" w:rsidRDefault="005C23CD" w:rsidP="005C23CD">
      <w:permStart w:id="1506355568" w:edGrp="everyone"/>
      <w:r w:rsidRPr="005C23CD">
        <w:t>We disagree with the proposal to introduce a Level 1 amendment aimed at including an empowerment for ESMA to develop technical standards to set out the maximum OTR ratio, calibrated per asset class as we deem it important that the systems used by trading venues to limit the OTR ratio are tailored to their rules and configurations. The calibration per asset class would not be sufficient to take these factors into account.</w:t>
      </w:r>
    </w:p>
    <w:p w14:paraId="4E24F2A1" w14:textId="77777777" w:rsidR="005C23CD" w:rsidRPr="005C23CD" w:rsidRDefault="005C23CD" w:rsidP="005C23CD">
      <w:r w:rsidRPr="005C23CD">
        <w:t xml:space="preserve">As ESMA emphasized, there are many critical parameters to be </w:t>
      </w:r>
      <w:proofErr w:type="gramStart"/>
      <w:r w:rsidRPr="005C23CD">
        <w:t>taken into account</w:t>
      </w:r>
      <w:proofErr w:type="gramEnd"/>
      <w:r w:rsidRPr="005C23CD">
        <w:t xml:space="preserve"> to set the OTR ratio. Those parameters include, but are not limited to, the trading venue’s technological and connectivity infrastructure, matching algorithm used and the rules for the provision of liquidity.</w:t>
      </w:r>
    </w:p>
    <w:p w14:paraId="7A7CDA0F" w14:textId="77777777" w:rsidR="005C23CD" w:rsidRPr="005C23CD" w:rsidRDefault="005C23CD" w:rsidP="005C23CD">
      <w:r w:rsidRPr="005C23CD">
        <w:t xml:space="preserve">Furthermore, there is no clear evidence that variances in OTR ratios affect the level of protection across the EU and it should also be considered that a maximum OTR threshold may negatively affect the competitiveness of efficient trading venues in favour of less efficient trading venues. Moreover, the definition of a maximum OTR threshold would be counter-productive to the stated regulatory intention of increasing liquidity and market efficiency and would lead to limitations in market making; specifically: </w:t>
      </w:r>
      <w:proofErr w:type="spellStart"/>
      <w:r w:rsidRPr="005C23CD">
        <w:t>i</w:t>
      </w:r>
      <w:proofErr w:type="spellEnd"/>
      <w:r w:rsidRPr="005C23CD">
        <w:t>) it would generate inefficient market results ii) it would distort prices and iii) it would reduce liquidity, thereby frustrating the achievement of the objectives which the present proposal should be aiming at.</w:t>
      </w:r>
    </w:p>
    <w:p w14:paraId="22C66DE8" w14:textId="77777777" w:rsidR="005C23CD" w:rsidRPr="005C23CD" w:rsidRDefault="005C23CD" w:rsidP="005C23CD">
      <w:r w:rsidRPr="005C23CD">
        <w:t>More importantly, ESMA should exempt the activity done under market making/contractual liquidity provision agreements in the calculation of the OTR ratio.</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26718DB6" w14:textId="77777777" w:rsidR="00703E31" w:rsidRPr="00703E31" w:rsidRDefault="00703E31" w:rsidP="00703E31">
      <w:permStart w:id="1441803238" w:edGrp="everyone"/>
      <w:r w:rsidRPr="00703E31">
        <w:t>Yes, we agree with it. Maximum OTR thresholds are set to avoid that near to peak platform capacity is reached, so it is normal that they are rarely exceeded.</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7A80256C" w14:textId="77777777" w:rsidR="00E8544B" w:rsidRPr="00E8544B" w:rsidRDefault="00E8544B" w:rsidP="00E8544B">
      <w:permStart w:id="2142314160" w:edGrp="everyone"/>
      <w:r w:rsidRPr="00E8544B">
        <w:t>We share the view that the procedures set out by ESMA are procedures commonly adopted by trading venues, which have proven to be effective. ESMA should not seek to propose an even more convergent approach. The existing regime provides trading venues with the necessary flexibility to determine how to deal with participants in case the OTR limit is exceeded (order cancellation, call, formal letter, additional fee, or penalty charges, etc.). Trading venues should be able to adopt procedures that are tailored to their business models to remain competitive.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FFDC862" w14:textId="77777777" w:rsidR="00EC63DD" w:rsidRPr="00EC63DD" w:rsidRDefault="00EC63DD" w:rsidP="00EC63DD">
      <w:permStart w:id="1081607916" w:edGrp="everyone"/>
      <w:r w:rsidRPr="00EC63DD">
        <w:t>We believe that the current regulatory framework on this matter is appropriate and do not see the need of improving the notification process or the communication of incidents to the public.</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5F689060" w14:textId="77777777" w:rsidR="00B81E94" w:rsidRPr="00B81E94" w:rsidRDefault="00B81E94" w:rsidP="00B81E94">
      <w:permStart w:id="1046965136" w:edGrp="everyone"/>
      <w:r w:rsidRPr="00B81E94">
        <w:t>We do not believe further initiatives on this matter should be put forward, as we deem the current regulatory framework to be appropriate and we do not agree with the proposal to require algo traders to use more than one reference data point.</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46E9C786" w14:textId="77777777" w:rsidR="003C6559" w:rsidRPr="003C6559" w:rsidRDefault="003C6559" w:rsidP="003C6559">
      <w:permStart w:id="1180910868" w:edGrp="everyone"/>
      <w:r w:rsidRPr="003C6559">
        <w:t>Yes, we agree with the statement. By eliminating the possibility of suggesting infinitesimal price improvements, the introduction of the tick-size regime had a beneficial impact on the depth of the market and increased the quantity executed at the best price. With reference to request-for-quotes markets, this regime achieved a better alignment on the price offered by Market Makers.</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6983F341" w14:textId="77777777" w:rsidR="001929E7" w:rsidRPr="001929E7" w:rsidRDefault="001929E7" w:rsidP="001929E7">
      <w:permStart w:id="39611011" w:edGrp="everyone"/>
      <w:r w:rsidRPr="001929E7">
        <w:t>Yes, we agree.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lastRenderedPageBreak/>
        <w:t>&lt;ESMA_QUESTION_ALGO_40&gt;</w:t>
      </w:r>
    </w:p>
    <w:p w14:paraId="6EB0A837" w14:textId="77777777" w:rsidR="00C77E56" w:rsidRPr="00C77E56" w:rsidRDefault="00C77E56" w:rsidP="00C77E56">
      <w:permStart w:id="1982406894" w:edGrp="everyone"/>
      <w:r w:rsidRPr="00C77E56">
        <w:t xml:space="preserve">We disagree with the proposal because widening the scope of the tick size regime to all ETFs would not generate benefits on the liquidity of these instruments. </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6B8179D4" w14:textId="77777777" w:rsidR="00586782" w:rsidRPr="00586782" w:rsidRDefault="00586782" w:rsidP="00586782">
      <w:permStart w:id="788939487" w:edGrp="everyone"/>
      <w:r w:rsidRPr="00586782">
        <w:t>Yes, we agree.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37F0D86F" w14:textId="77777777" w:rsidR="00A6646D" w:rsidRPr="00A6646D" w:rsidRDefault="00A6646D" w:rsidP="00A6646D">
      <w:permStart w:id="201994906" w:edGrp="everyone"/>
      <w:proofErr w:type="gramStart"/>
      <w:r w:rsidRPr="00A6646D">
        <w:t>With regard to</w:t>
      </w:r>
      <w:proofErr w:type="gramEnd"/>
      <w:r w:rsidRPr="00A6646D">
        <w:t xml:space="preserve"> the market making regime, we believe that the provisions on incentives offered by trading venues to MMs, especially in exceptional circumstances, do not achieve their purpose. Incentives can never significantly reduce potential losses due to stressed market conditions (the losses due to market risks are many orders of magnitude greater than fee incentives). The same situation would arise if such incentives were extended to liquidity support of illiquid instruments. In this respect, it is noted that market-based measures (e.g., widening of spreads in stressed conditions) are more effective.</w:t>
      </w:r>
    </w:p>
    <w:p w14:paraId="2DABE674" w14:textId="77777777" w:rsidR="00A6646D" w:rsidRPr="00A6646D" w:rsidRDefault="00A6646D" w:rsidP="00A6646D">
      <w:r w:rsidRPr="00A6646D">
        <w:t xml:space="preserve">Furthermore, </w:t>
      </w:r>
      <w:proofErr w:type="gramStart"/>
      <w:r w:rsidRPr="00A6646D">
        <w:t>on the basis of</w:t>
      </w:r>
      <w:proofErr w:type="gramEnd"/>
      <w:r w:rsidRPr="00A6646D">
        <w:t xml:space="preserve"> our evidence, the MM regime has proved to be unsatisfactory. The linkage to quantitative parameters creates a burdensome monitoring system and is not effective in ensuring that MM strategies are maintained over time. In this regard, we believe that greater simplification is needed to promote a greater development of MM activities. For example, if a MM (as defined by MiFID II Directive, Art. 4, para. 1, 7)) carries out, in such capacity, HFT activities, it would be desirable to remove the "reinforced" obligation of order registration, since these registrations would be already available within the relevant trading venue.  </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54D53E61" w14:textId="77777777" w:rsidR="001D348D" w:rsidRPr="001D348D" w:rsidRDefault="001D348D" w:rsidP="001D348D">
      <w:permStart w:id="508756802" w:edGrp="everyone"/>
      <w:r w:rsidRPr="001D348D">
        <w:t xml:space="preserve">We think that MMs could play a valuable role for SMEs securities. However, we disagree with the usefulness of monetary incentives (see our answer to Q42). </w:t>
      </w:r>
    </w:p>
    <w:p w14:paraId="13C6FCA3" w14:textId="77777777" w:rsidR="001D348D" w:rsidRPr="001D348D" w:rsidRDefault="001D348D" w:rsidP="001D348D">
      <w:r w:rsidRPr="001D348D">
        <w:t>In general, in case of markets in less liquid instruments, such as cash fixed income instruments traded on a central limit order book (</w:t>
      </w:r>
      <w:proofErr w:type="gramStart"/>
      <w:r w:rsidRPr="001D348D">
        <w:t>in particular corporate</w:t>
      </w:r>
      <w:proofErr w:type="gramEnd"/>
      <w:r w:rsidRPr="001D348D">
        <w:t xml:space="preserve"> bonds) where a single market maker or few market makers are present, the additional requirements proposed in par. 313 would have a detrimental impact on the liquidity. In case ESMA implements the new proposal to amend RTS 8, it should include a specific exemption for TVs that have contractual liquidity provision agreements in place which operate in cash fixed income instruments with order book trading.</w:t>
      </w:r>
    </w:p>
    <w:p w14:paraId="53D6B42F" w14:textId="77777777" w:rsidR="001D348D" w:rsidRPr="001D348D" w:rsidRDefault="001D348D" w:rsidP="001D348D">
      <w:r w:rsidRPr="001D348D">
        <w:t>Finally, we agree with the proposed amendments to RTS 8 to clarify the application of Article 1 and 2 of Commission Delegated Regulation (EU) 2017/578 to continuous order books only.</w:t>
      </w:r>
    </w:p>
    <w:permEnd w:id="508756802"/>
    <w:p w14:paraId="636FAC4C" w14:textId="77777777" w:rsidR="00F43578" w:rsidRDefault="00F43578" w:rsidP="00F43578">
      <w:r>
        <w:lastRenderedPageBreak/>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2813875" w14:textId="77777777" w:rsidR="009534C0" w:rsidRPr="009534C0" w:rsidRDefault="009534C0" w:rsidP="009534C0">
      <w:permStart w:id="1520175509" w:edGrp="everyone"/>
      <w:r w:rsidRPr="009534C0">
        <w:t xml:space="preserve">The current regulatory framework relating to market making ensures a certain degree of discretion by trading venues for the definition of the content of market making agreements. </w:t>
      </w:r>
    </w:p>
    <w:p w14:paraId="325F8AB1" w14:textId="77777777" w:rsidR="009534C0" w:rsidRPr="009534C0" w:rsidRDefault="009534C0" w:rsidP="009534C0">
      <w:r w:rsidRPr="009534C0">
        <w:t>As proposed by ESMA, we would deem it advisable to have guidelines with reference to the following definitions currently used by trading venues:</w:t>
      </w:r>
    </w:p>
    <w:p w14:paraId="165865E6" w14:textId="77777777" w:rsidR="009534C0" w:rsidRPr="009534C0" w:rsidRDefault="009534C0" w:rsidP="009534C0">
      <w:r w:rsidRPr="009534C0">
        <w:t xml:space="preserve">- competitive </w:t>
      </w:r>
      <w:proofErr w:type="gramStart"/>
      <w:r w:rsidRPr="009534C0">
        <w:t>prices;</w:t>
      </w:r>
      <w:proofErr w:type="gramEnd"/>
    </w:p>
    <w:p w14:paraId="5849D882" w14:textId="77777777" w:rsidR="009534C0" w:rsidRPr="009534C0" w:rsidRDefault="009534C0" w:rsidP="009534C0">
      <w:r w:rsidRPr="009534C0">
        <w:t xml:space="preserve">- incentives provided on the basis of the operation </w:t>
      </w:r>
      <w:proofErr w:type="gramStart"/>
      <w:r w:rsidRPr="009534C0">
        <w:t>realized;</w:t>
      </w:r>
      <w:proofErr w:type="gramEnd"/>
    </w:p>
    <w:p w14:paraId="2403D6A9" w14:textId="77777777" w:rsidR="009534C0" w:rsidRPr="009534C0" w:rsidRDefault="009534C0" w:rsidP="009534C0">
      <w:r w:rsidRPr="009534C0">
        <w:t>- stressed market conditions.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BD06B7D" w14:textId="77777777" w:rsidR="001B7110" w:rsidRPr="001B7110" w:rsidRDefault="001B7110" w:rsidP="001B7110">
      <w:permStart w:id="263281226" w:edGrp="everyone"/>
      <w:r w:rsidRPr="001B7110">
        <w:t xml:space="preserve">Yes, we believe that Primary Dealers should be exempted from Article 1 of RTS 8. </w:t>
      </w:r>
    </w:p>
    <w:p w14:paraId="25B8518F" w14:textId="77777777" w:rsidR="001B7110" w:rsidRPr="001B7110" w:rsidRDefault="001B7110" w:rsidP="001B7110">
      <w:r w:rsidRPr="001B7110">
        <w:t>As regards bonds, this exemption should also be extended to all contractual liquidity providers that have assumed obligations with the trading venues that processes trades in such instruments using a continuous trading algorithm.</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61B34AA6" w14:textId="77777777" w:rsidR="009B09EE" w:rsidRPr="009B09EE" w:rsidRDefault="009B09EE" w:rsidP="009B09EE">
      <w:permStart w:id="132985251" w:edGrp="everyone"/>
      <w:r w:rsidRPr="009B09EE">
        <w:t>We do not have a factual experience about the availability of adequate information. In any case, we think that asymmetric speedbumps require a clear disclosure to market participants.</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lastRenderedPageBreak/>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3CB46711" w14:textId="77777777" w:rsidR="008F36FD" w:rsidRPr="008F36FD" w:rsidRDefault="008F36FD" w:rsidP="008F36FD">
      <w:permStart w:id="304307406" w:edGrp="everyone"/>
      <w:r w:rsidRPr="008F36FD">
        <w:t>We do not agree with stricter MM requirements.</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307651E8" w14:textId="77777777" w:rsidR="00A670A2" w:rsidRPr="00A670A2" w:rsidRDefault="00A670A2" w:rsidP="00A670A2">
      <w:permStart w:id="930559500" w:edGrp="everyone"/>
      <w:r w:rsidRPr="00A670A2">
        <w:t>In this regard, transparency obligations should be set up.</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lastRenderedPageBreak/>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Intestazion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6C00"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56E64"/>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1EBB"/>
    <w:rsid w:val="000A2738"/>
    <w:rsid w:val="000A2D25"/>
    <w:rsid w:val="000A2DF1"/>
    <w:rsid w:val="000A3D10"/>
    <w:rsid w:val="000A409B"/>
    <w:rsid w:val="000A66FC"/>
    <w:rsid w:val="000A741E"/>
    <w:rsid w:val="000B1615"/>
    <w:rsid w:val="000B2AAF"/>
    <w:rsid w:val="000B2E26"/>
    <w:rsid w:val="000B5D3D"/>
    <w:rsid w:val="000C0CE0"/>
    <w:rsid w:val="000C2400"/>
    <w:rsid w:val="000C299C"/>
    <w:rsid w:val="000C5ACC"/>
    <w:rsid w:val="000C615F"/>
    <w:rsid w:val="000D0293"/>
    <w:rsid w:val="000D0850"/>
    <w:rsid w:val="000D1038"/>
    <w:rsid w:val="000D11A9"/>
    <w:rsid w:val="000D2D7B"/>
    <w:rsid w:val="000E2232"/>
    <w:rsid w:val="000E23ED"/>
    <w:rsid w:val="000E2F6C"/>
    <w:rsid w:val="000E3DB1"/>
    <w:rsid w:val="000F0169"/>
    <w:rsid w:val="000F0951"/>
    <w:rsid w:val="000F2598"/>
    <w:rsid w:val="000F29C0"/>
    <w:rsid w:val="000F2BE6"/>
    <w:rsid w:val="000F474D"/>
    <w:rsid w:val="000F5C90"/>
    <w:rsid w:val="000F5EA6"/>
    <w:rsid w:val="000F6C2A"/>
    <w:rsid w:val="000F7998"/>
    <w:rsid w:val="001000D7"/>
    <w:rsid w:val="00100ADC"/>
    <w:rsid w:val="001010B3"/>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9E7"/>
    <w:rsid w:val="00192A7A"/>
    <w:rsid w:val="001958B9"/>
    <w:rsid w:val="001A1EF4"/>
    <w:rsid w:val="001A7046"/>
    <w:rsid w:val="001A710D"/>
    <w:rsid w:val="001A7E6F"/>
    <w:rsid w:val="001B0A77"/>
    <w:rsid w:val="001B1727"/>
    <w:rsid w:val="001B2151"/>
    <w:rsid w:val="001B3CFF"/>
    <w:rsid w:val="001B4957"/>
    <w:rsid w:val="001B4996"/>
    <w:rsid w:val="001B7110"/>
    <w:rsid w:val="001C0E59"/>
    <w:rsid w:val="001C432D"/>
    <w:rsid w:val="001C469E"/>
    <w:rsid w:val="001C56C3"/>
    <w:rsid w:val="001C5D8C"/>
    <w:rsid w:val="001C7E0A"/>
    <w:rsid w:val="001D0112"/>
    <w:rsid w:val="001D19F5"/>
    <w:rsid w:val="001D348D"/>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4E5"/>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C6559"/>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3E36"/>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4F6624"/>
    <w:rsid w:val="005028B9"/>
    <w:rsid w:val="00505E17"/>
    <w:rsid w:val="00511A59"/>
    <w:rsid w:val="00511C3B"/>
    <w:rsid w:val="00514440"/>
    <w:rsid w:val="005166C3"/>
    <w:rsid w:val="00520F7C"/>
    <w:rsid w:val="00522B70"/>
    <w:rsid w:val="00523974"/>
    <w:rsid w:val="00526DFD"/>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0F87"/>
    <w:rsid w:val="005821B0"/>
    <w:rsid w:val="00586782"/>
    <w:rsid w:val="0058799B"/>
    <w:rsid w:val="0059175F"/>
    <w:rsid w:val="00591AAC"/>
    <w:rsid w:val="00595F08"/>
    <w:rsid w:val="00595FBE"/>
    <w:rsid w:val="005A1C55"/>
    <w:rsid w:val="005B169D"/>
    <w:rsid w:val="005B467C"/>
    <w:rsid w:val="005B4ACA"/>
    <w:rsid w:val="005B6B12"/>
    <w:rsid w:val="005C19E9"/>
    <w:rsid w:val="005C23CD"/>
    <w:rsid w:val="005C2DBC"/>
    <w:rsid w:val="005C5F13"/>
    <w:rsid w:val="005C65F9"/>
    <w:rsid w:val="005C6B0E"/>
    <w:rsid w:val="005C7E1F"/>
    <w:rsid w:val="005D0301"/>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5C2F"/>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3E31"/>
    <w:rsid w:val="0070427E"/>
    <w:rsid w:val="00704D53"/>
    <w:rsid w:val="007056C3"/>
    <w:rsid w:val="00706072"/>
    <w:rsid w:val="00713644"/>
    <w:rsid w:val="00721256"/>
    <w:rsid w:val="007217AD"/>
    <w:rsid w:val="00723BA1"/>
    <w:rsid w:val="00724A1B"/>
    <w:rsid w:val="00730C44"/>
    <w:rsid w:val="00730CA2"/>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6CEC"/>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5C74"/>
    <w:rsid w:val="00806BC3"/>
    <w:rsid w:val="0081028F"/>
    <w:rsid w:val="008107D9"/>
    <w:rsid w:val="0081093B"/>
    <w:rsid w:val="008116D9"/>
    <w:rsid w:val="00811936"/>
    <w:rsid w:val="00813059"/>
    <w:rsid w:val="008135BB"/>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66B3"/>
    <w:rsid w:val="008A70A8"/>
    <w:rsid w:val="008A7FAC"/>
    <w:rsid w:val="008B1D7F"/>
    <w:rsid w:val="008B1FD9"/>
    <w:rsid w:val="008B2AF1"/>
    <w:rsid w:val="008B4BDF"/>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8A"/>
    <w:rsid w:val="008D5C28"/>
    <w:rsid w:val="008E2D26"/>
    <w:rsid w:val="008E4076"/>
    <w:rsid w:val="008E7DBA"/>
    <w:rsid w:val="008F3386"/>
    <w:rsid w:val="008F36FD"/>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534C0"/>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09EE"/>
    <w:rsid w:val="009B25C1"/>
    <w:rsid w:val="009B7B79"/>
    <w:rsid w:val="009C0383"/>
    <w:rsid w:val="009C145B"/>
    <w:rsid w:val="009C223D"/>
    <w:rsid w:val="009C3E04"/>
    <w:rsid w:val="009C4FB0"/>
    <w:rsid w:val="009C75D1"/>
    <w:rsid w:val="009C7694"/>
    <w:rsid w:val="009D0570"/>
    <w:rsid w:val="009D155D"/>
    <w:rsid w:val="009D3E5C"/>
    <w:rsid w:val="009D495C"/>
    <w:rsid w:val="009D570F"/>
    <w:rsid w:val="009D5E88"/>
    <w:rsid w:val="009D6E1A"/>
    <w:rsid w:val="009D7294"/>
    <w:rsid w:val="009E1690"/>
    <w:rsid w:val="009E18AF"/>
    <w:rsid w:val="009E2C9D"/>
    <w:rsid w:val="009E2CDD"/>
    <w:rsid w:val="009E3545"/>
    <w:rsid w:val="009E4FCE"/>
    <w:rsid w:val="009E522E"/>
    <w:rsid w:val="009E71B3"/>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46D"/>
    <w:rsid w:val="00A6691F"/>
    <w:rsid w:val="00A670A2"/>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1E94"/>
    <w:rsid w:val="00B8341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C7327"/>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075D0"/>
    <w:rsid w:val="00C12034"/>
    <w:rsid w:val="00C1396B"/>
    <w:rsid w:val="00C1698A"/>
    <w:rsid w:val="00C17E6C"/>
    <w:rsid w:val="00C249CC"/>
    <w:rsid w:val="00C24E5F"/>
    <w:rsid w:val="00C25439"/>
    <w:rsid w:val="00C255B6"/>
    <w:rsid w:val="00C26F3A"/>
    <w:rsid w:val="00C2770B"/>
    <w:rsid w:val="00C30296"/>
    <w:rsid w:val="00C3170E"/>
    <w:rsid w:val="00C31947"/>
    <w:rsid w:val="00C40053"/>
    <w:rsid w:val="00C4294D"/>
    <w:rsid w:val="00C444C8"/>
    <w:rsid w:val="00C452DD"/>
    <w:rsid w:val="00C45856"/>
    <w:rsid w:val="00C46603"/>
    <w:rsid w:val="00C525A9"/>
    <w:rsid w:val="00C54316"/>
    <w:rsid w:val="00C55208"/>
    <w:rsid w:val="00C5527D"/>
    <w:rsid w:val="00C61B1A"/>
    <w:rsid w:val="00C62A53"/>
    <w:rsid w:val="00C709F9"/>
    <w:rsid w:val="00C73A70"/>
    <w:rsid w:val="00C76054"/>
    <w:rsid w:val="00C779A2"/>
    <w:rsid w:val="00C77E56"/>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6FD5"/>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1A6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216"/>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550"/>
    <w:rsid w:val="00DF3785"/>
    <w:rsid w:val="00DF3D27"/>
    <w:rsid w:val="00DF6074"/>
    <w:rsid w:val="00E02239"/>
    <w:rsid w:val="00E047EC"/>
    <w:rsid w:val="00E07D42"/>
    <w:rsid w:val="00E163E9"/>
    <w:rsid w:val="00E20690"/>
    <w:rsid w:val="00E240F5"/>
    <w:rsid w:val="00E30004"/>
    <w:rsid w:val="00E312C2"/>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544B"/>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3D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1DC"/>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49C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27495332">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17</Pages>
  <Words>4944</Words>
  <Characters>28186</Characters>
  <Application>Microsoft Office Word</Application>
  <DocSecurity>8</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Angeloni David</cp:lastModifiedBy>
  <cp:revision>51</cp:revision>
  <cp:lastPrinted>2017-07-24T14:47:00Z</cp:lastPrinted>
  <dcterms:created xsi:type="dcterms:W3CDTF">2021-03-12T10:02:00Z</dcterms:created>
  <dcterms:modified xsi:type="dcterms:W3CDTF">2021-03-12T11:17:00Z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