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4A7EA12" w:rsidR="00C85C8B" w:rsidRPr="00C85C8B" w:rsidRDefault="006E3120" w:rsidP="006E3120">
                <w:pPr>
                  <w:rPr>
                    <w:rFonts w:ascii="Arial" w:hAnsi="Arial" w:cs="Arial"/>
                    <w:color w:val="808080"/>
                    <w:sz w:val="20"/>
                    <w:lang w:eastAsia="de-DE"/>
                  </w:rPr>
                </w:pPr>
                <w:proofErr w:type="spellStart"/>
                <w:r>
                  <w:t>Eurelectric</w:t>
                </w:r>
                <w:proofErr w:type="spellEnd"/>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351E98A" w:rsidR="00C85C8B" w:rsidRPr="00C85C8B" w:rsidRDefault="006E312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639B1AC" w:rsidR="00C85C8B" w:rsidRPr="00C85C8B" w:rsidRDefault="006E3120"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2940986" w:rsidR="00C85C8B" w:rsidRPr="00C85C8B" w:rsidRDefault="006E3120"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7F993881" w14:textId="77777777" w:rsidR="006E3120" w:rsidRDefault="006E3120" w:rsidP="006E3120">
      <w:permStart w:id="885457707" w:edGrp="everyone"/>
      <w:proofErr w:type="spellStart"/>
      <w:r w:rsidRPr="00C51346">
        <w:t>Eurelectric</w:t>
      </w:r>
      <w:proofErr w:type="spellEnd"/>
      <w:r w:rsidRPr="00C51346">
        <w:t xml:space="preserve"> represents the interests of the electricity industry in Europe. Our work covers all major issues affecting our sector. Our members represent the electricity industry in over 30 European </w:t>
      </w:r>
      <w:r w:rsidRPr="006E3120">
        <w:t>countries. We cover the entire industry from electricity generation and markets to distribution networks and customer issues. We also have affiliates active on several other continents and business associates from a wide variety of sectors with a direct interest in the electricity industry.</w:t>
      </w:r>
    </w:p>
    <w:p w14:paraId="1362D936" w14:textId="77777777" w:rsidR="006E3120" w:rsidRPr="006E3120" w:rsidRDefault="006E3120" w:rsidP="006E3120"/>
    <w:p w14:paraId="3419ADF7" w14:textId="77777777" w:rsidR="006E3120" w:rsidRDefault="006E3120" w:rsidP="006E3120">
      <w:r w:rsidRPr="00C51346">
        <w:t xml:space="preserve">We welcome the publication of this </w:t>
      </w:r>
      <w:r w:rsidRPr="006E3120">
        <w:t>Consultation Paper and its objective of having the current framework of algorithmic trading operate more efficiently.</w:t>
      </w:r>
    </w:p>
    <w:p w14:paraId="058A669E" w14:textId="77777777" w:rsidR="006E3120" w:rsidRPr="006E3120" w:rsidRDefault="006E3120" w:rsidP="006E3120"/>
    <w:p w14:paraId="5833B55F" w14:textId="77777777" w:rsidR="006E3120" w:rsidRDefault="006E3120" w:rsidP="006E3120">
      <w:r w:rsidRPr="00C51346">
        <w:t xml:space="preserve">We would like to stress there is a need to increase the </w:t>
      </w:r>
      <w:r w:rsidRPr="006E3120">
        <w:t xml:space="preserve">proportionality criteria of algorithmic trading requirements. From our point of view, requirements should be based on the potential impact on the overall fair and orderly functioning of the market, which is linked to the nature, scale and complexity of the business of the firms carrying out these trades. </w:t>
      </w:r>
    </w:p>
    <w:p w14:paraId="298F697B" w14:textId="77777777" w:rsidR="006E3120" w:rsidRPr="006E3120" w:rsidRDefault="006E3120" w:rsidP="006E3120"/>
    <w:p w14:paraId="52C1D2C7" w14:textId="77777777" w:rsidR="006E3120" w:rsidRDefault="006E3120" w:rsidP="006E3120">
      <w:r w:rsidRPr="00C51346">
        <w:t xml:space="preserve">In our opinion, </w:t>
      </w:r>
      <w:r w:rsidRPr="006E3120">
        <w:t xml:space="preserve">and as explained in the specific replies, it does not seem convenient to require the same number of obligations on all companies regardless of the nature, scale and complexity of their business. </w:t>
      </w:r>
    </w:p>
    <w:p w14:paraId="7DCE625B" w14:textId="77777777" w:rsidR="006E3120" w:rsidRPr="006E3120" w:rsidRDefault="006E3120" w:rsidP="006E3120"/>
    <w:p w14:paraId="70C01141" w14:textId="77777777" w:rsidR="006E3120" w:rsidRPr="006E3120" w:rsidRDefault="006E3120" w:rsidP="006E3120">
      <w:r w:rsidRPr="00C51346">
        <w:t>The criteria to be considered by a company in its self-assessment</w:t>
      </w:r>
      <w:r w:rsidRPr="006E3120">
        <w:t xml:space="preserve">, as referred to in article 9 of Commission Delegated Regulation 2017/589, could be used to directly or indirectly exempt several companies from some of the requirements. These criteria take into account the nature, scale and complexity of the business, such as - inter alia - the regulatory status of the firm, the number of algorithms and strategies running in parallel, the number of individual instruments, products, and asset classes traded, the monetary value of gross and net positions intraday and overnight, the nature of the strategies carried out. As an example, companies not applying </w:t>
      </w:r>
      <w:r w:rsidRPr="006E3120">
        <w:lastRenderedPageBreak/>
        <w:t xml:space="preserve">high-frequency trading and applying algorithmic trading only to local venues could be excluded from the requirement of real time monitoring by the risk management function, the reconciliation of orders’ logs or the necessity of the compliance function to have at all times contact with the staff that have access to the kill functionality. </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C6E9AA1" w14:textId="77777777" w:rsidR="006E3120" w:rsidRDefault="006E3120" w:rsidP="006E3120">
      <w:permStart w:id="286478064" w:edGrp="everyone"/>
      <w:proofErr w:type="spellStart"/>
      <w:r w:rsidRPr="00C51346">
        <w:t>Eurelectric</w:t>
      </w:r>
      <w:proofErr w:type="spellEnd"/>
      <w:r w:rsidRPr="006E3120">
        <w:t xml:space="preserve"> agrees that it is necessary and appropriate to properly regulate and control the use of algorithmic trading, HFT and DEA, because of the risks these technical solutions pose for the overall fair and orderly functioning of financial markets.</w:t>
      </w:r>
    </w:p>
    <w:p w14:paraId="45DC8468" w14:textId="77777777" w:rsidR="006E3120" w:rsidRPr="006E3120" w:rsidRDefault="006E3120" w:rsidP="006E3120"/>
    <w:p w14:paraId="5A2EC19E" w14:textId="77777777" w:rsidR="006E3120" w:rsidRDefault="006E3120" w:rsidP="006E3120">
      <w:r w:rsidRPr="00C51346">
        <w:t xml:space="preserve">However, </w:t>
      </w:r>
      <w:r w:rsidRPr="006E3120">
        <w:t>in our view, the current regulatory framework fails to adequately take into consideration the different levels of complexity and risk that can characterize different types of algorithms and trading strategies adopted, as well as the different levels of sophistication and different spectrum of purposes of legal entities engaged in such activity.</w:t>
      </w:r>
    </w:p>
    <w:p w14:paraId="79C1C7C9" w14:textId="77777777" w:rsidR="006E3120" w:rsidRPr="006E3120" w:rsidRDefault="006E3120" w:rsidP="006E3120"/>
    <w:p w14:paraId="4EC6ADE7" w14:textId="77777777" w:rsidR="006E3120" w:rsidRDefault="006E3120" w:rsidP="006E3120">
      <w:r w:rsidRPr="00C51346">
        <w:t>As said in the introduct</w:t>
      </w:r>
      <w:r w:rsidRPr="006E3120">
        <w:t xml:space="preserve">ion, </w:t>
      </w:r>
      <w:proofErr w:type="spellStart"/>
      <w:r w:rsidRPr="006E3120">
        <w:t>Eurelectric</w:t>
      </w:r>
      <w:proofErr w:type="spellEnd"/>
      <w:r w:rsidRPr="006E3120">
        <w:t xml:space="preserve"> represents the electricity industry in Europe and the vast majority of its member companies are not investment firms.</w:t>
      </w:r>
    </w:p>
    <w:p w14:paraId="1A1A68A7" w14:textId="77777777" w:rsidR="006E3120" w:rsidRPr="006E3120" w:rsidRDefault="006E3120" w:rsidP="006E3120"/>
    <w:p w14:paraId="370A5926" w14:textId="77777777" w:rsidR="006E3120" w:rsidRDefault="006E3120" w:rsidP="006E3120">
      <w:r w:rsidRPr="00C51346">
        <w:t xml:space="preserve">It is </w:t>
      </w:r>
      <w:r w:rsidRPr="006E3120">
        <w:t xml:space="preserve">noteworthy in this regard that the Commission Delegated Regulation (EU) 2017/589 and the rest of the regulatory framework for algorithmic trading always refers to “investment firms”. This happens despite the fact requirements for algorithmic trading are applicable both to investment and non-investment firms (due to MiFID article 1.5, which states: “Article 17(1) to (6) shall also apply to members or participants of regulated markets and MTFs who are not required to be authorised under this Directive pursuant to points a, (e), </w:t>
      </w:r>
      <w:proofErr w:type="spellStart"/>
      <w:r w:rsidRPr="006E3120">
        <w:t>i</w:t>
      </w:r>
      <w:proofErr w:type="spellEnd"/>
      <w:r w:rsidRPr="006E3120">
        <w:t xml:space="preserve"> and j of Article 2(1)”).</w:t>
      </w:r>
    </w:p>
    <w:p w14:paraId="022D8140" w14:textId="77777777" w:rsidR="006E3120" w:rsidRPr="006E3120" w:rsidRDefault="006E3120" w:rsidP="006E3120"/>
    <w:p w14:paraId="230AE5AA" w14:textId="77777777" w:rsidR="006E3120" w:rsidRDefault="006E3120" w:rsidP="006E3120">
      <w:proofErr w:type="spellStart"/>
      <w:r w:rsidRPr="00C51346">
        <w:t>Eurelectric</w:t>
      </w:r>
      <w:proofErr w:type="spellEnd"/>
      <w:r w:rsidRPr="006E3120">
        <w:t xml:space="preserve"> takes the opportunity of this Consultation to share the impression that the wording and the content of the Commission Delegated Regulation (EU) 2017/589 do not sufficiently take into consideration that non-investment firms are also required to comply with the very same requirements originally thought up, and foreseen, for investment firms. This is particularly critical given that non-investment firms inevitably have a less articulated internal organizational structure, and less mature systems and processes, as these primarily serve the business needs of their main activity (e.g. production and supply of power and gas) and are not subject to prudent regulation. Furthermore, non-financial firms use algorithmic trading inter alia for risk hedging and balancing sales and production portfolios. </w:t>
      </w:r>
    </w:p>
    <w:p w14:paraId="26C418AB" w14:textId="77777777" w:rsidR="006E3120" w:rsidRPr="006E3120" w:rsidRDefault="006E3120" w:rsidP="006E3120"/>
    <w:p w14:paraId="741982F2" w14:textId="77777777" w:rsidR="006E3120" w:rsidRDefault="006E3120" w:rsidP="006E3120">
      <w:r w:rsidRPr="00C51346">
        <w:t xml:space="preserve">In </w:t>
      </w:r>
      <w:r w:rsidRPr="006E3120">
        <w:t>light of the above considerations, in our opinion the Commission Delegated Regulation (EU) 2017/589 should foresee a wider use of the proportionality principle to avoid overcharging firms - and especially non-financial entities - with excessive compliance costs.</w:t>
      </w:r>
    </w:p>
    <w:p w14:paraId="4BF3163D" w14:textId="77777777" w:rsidR="006E3120" w:rsidRPr="006E3120" w:rsidRDefault="006E3120" w:rsidP="006E3120"/>
    <w:p w14:paraId="47A902E4" w14:textId="77777777" w:rsidR="006E3120" w:rsidRDefault="006E3120" w:rsidP="00F43578">
      <w:r w:rsidRPr="00C51346">
        <w:t>It is worth mentioning that such an approach is already present in the regulation itself and that it already makes it possible for non-investment firms to use proportionality in the application of some specific requirements. However, the present references in CDR 2017/589 to the possibility of “</w:t>
      </w:r>
      <w:r w:rsidRPr="006E3120">
        <w:t>having regard to the nature, scale and complexity of its business</w:t>
      </w:r>
      <w:r w:rsidRPr="00C51346">
        <w:t xml:space="preserve">” is used occasionally on specific requirements (e.g., governance, stress testing, annual self-assessment). In our view, proportionality should instead be set as a general and fundamental principle - given the wide variety of entities engaged in algorithmic trading and of algorithms covered by the Regulation. This may be achieved by clearly stating in an initial article that </w:t>
      </w:r>
      <w:r w:rsidRPr="00C51346">
        <w:lastRenderedPageBreak/>
        <w:t xml:space="preserve">firms subject to this regulation shall apply it </w:t>
      </w:r>
      <w:r>
        <w:t>with</w:t>
      </w:r>
      <w:r w:rsidRPr="00C51346">
        <w:t xml:space="preserve"> regard to the nature, scale and complexity of the algorithmic system they use and of their business model.</w:t>
      </w:r>
    </w:p>
    <w:permEnd w:id="286478064"/>
    <w:p w14:paraId="03198B52" w14:textId="39E0D1C6" w:rsidR="00F43578" w:rsidRDefault="00F43578" w:rsidP="00F43578">
      <w:proofErr w:type="gramStart"/>
      <w:r>
        <w:t>&lt;</w:t>
      </w:r>
      <w:proofErr w:type="gramEnd"/>
      <w:r>
        <w: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77777777" w:rsidR="00F43578" w:rsidRDefault="00F43578" w:rsidP="00F43578">
      <w:permStart w:id="1917137949" w:edGrp="everyone"/>
      <w:r>
        <w:t>TYPE YOUR TEXT HERE</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77777777" w:rsidR="00F43578" w:rsidRDefault="00F43578" w:rsidP="00F43578">
      <w:permStart w:id="1761220304" w:edGrp="everyone"/>
      <w:r>
        <w:t>TYPE YOUR TEXT HERE</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77777777" w:rsidR="00F43578" w:rsidRDefault="00F43578" w:rsidP="00F43578">
      <w:permStart w:id="1759576576" w:edGrp="everyone"/>
      <w:r>
        <w:t>TYPE YOUR TEXT HERE</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lastRenderedPageBreak/>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77777777" w:rsidR="00F43578" w:rsidRDefault="00F43578" w:rsidP="00F43578">
      <w:permStart w:id="1735736236" w:edGrp="everyone"/>
      <w:r>
        <w:t>TYPE YOUR TEXT HERE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77777777" w:rsidR="00F43578" w:rsidRDefault="00F43578" w:rsidP="00F43578">
      <w:permStart w:id="714028646" w:edGrp="everyone"/>
      <w:r>
        <w:t>TYPE YOUR TEXT HERE</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007B70A7" w14:textId="77777777" w:rsidR="006E3120" w:rsidRPr="006E3120" w:rsidRDefault="006E3120" w:rsidP="006E3120">
      <w:permStart w:id="1308445152" w:edGrp="everyone"/>
      <w:r w:rsidRPr="00C51346">
        <w:t>No, we do not. The notification process to the NCAs works sufficiently and using a template could potentially impose additional burdens to the process.</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32E410BA" w14:textId="77777777" w:rsidR="006E3120" w:rsidRDefault="006E3120" w:rsidP="00F43578">
      <w:permStart w:id="1436643470" w:edGrp="everyone"/>
      <w:r w:rsidRPr="006E3120">
        <w:t>No, we do not.</w:t>
      </w:r>
    </w:p>
    <w:permEnd w:id="1436643470"/>
    <w:p w14:paraId="67206593" w14:textId="72628403" w:rsidR="00F43578" w:rsidRDefault="00F43578" w:rsidP="00F43578">
      <w:proofErr w:type="gramStart"/>
      <w:r>
        <w:t>&lt;</w:t>
      </w:r>
      <w:proofErr w:type="gramEnd"/>
      <w:r>
        <w: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lastRenderedPageBreak/>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57B7D618" w14:textId="77777777" w:rsidR="006E3120" w:rsidRDefault="006E3120" w:rsidP="006E3120">
      <w:permStart w:id="1585009624" w:edGrp="everyone"/>
      <w:r w:rsidRPr="00C51346">
        <w:t xml:space="preserve">Apart from any consideration about the necessity of better defining algorithmic trading strategies, we want to </w:t>
      </w:r>
      <w:r w:rsidRPr="006E3120">
        <w:t>stress again the importance of envisaging an appropriate level of proportionality in the implementation of requirements on algorithmic trading, at least for non-investment firms.</w:t>
      </w:r>
    </w:p>
    <w:p w14:paraId="1546955E" w14:textId="77777777" w:rsidR="006E3120" w:rsidRPr="006E3120" w:rsidRDefault="006E3120" w:rsidP="006E3120"/>
    <w:p w14:paraId="429D3AE6" w14:textId="77777777" w:rsidR="006E3120" w:rsidRDefault="006E3120" w:rsidP="006E3120">
      <w:r w:rsidRPr="00C51346">
        <w:t>In practice</w:t>
      </w:r>
      <w:r w:rsidRPr="006E3120">
        <w:t>, for the less technically complex algorithms, on the condition that they pose limited or no risks to the orderly functioning of markets, non-financial entities should be allowed to not apply the most burdensome requirements. By way of example, non-financial firms often simply use algorithms that block their activity automatically every time they conclude a deal and require a manual intervention to be restarted, or algorithms with specific limitations which prevent excessive order flows. In similar cases, a non-financial entity should have the flexibility not to adopt the more complex and sophisticated requirements, like - for instance - the reconciliation of electronic trading logs of orders or the real-time monitoring by units different from the trading desks (risk management).</w:t>
      </w:r>
    </w:p>
    <w:p w14:paraId="4BF626BC" w14:textId="77777777" w:rsidR="006E3120" w:rsidRPr="006E3120" w:rsidRDefault="006E3120" w:rsidP="006E3120"/>
    <w:p w14:paraId="27BF5511" w14:textId="77777777" w:rsidR="006E3120" w:rsidRDefault="006E3120" w:rsidP="00F43578">
      <w:r w:rsidRPr="00C51346">
        <w:t>To this purpose, as already said, we think that an initial article should state that firms subject to Commission Delegated Regulation (EU) 2017/589 shall apply controls and processes adequately addressing the nature, scale and complexity of algorithmic trading</w:t>
      </w:r>
    </w:p>
    <w:permEnd w:id="1585009624"/>
    <w:p w14:paraId="3AB70847" w14:textId="722F225F"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08615173" w14:textId="77777777" w:rsidR="006E3120" w:rsidRDefault="006E3120" w:rsidP="006E3120">
      <w:permStart w:id="1815021170" w:edGrp="everyone"/>
      <w:proofErr w:type="spellStart"/>
      <w:r w:rsidRPr="00C51346">
        <w:t>Eurelectric</w:t>
      </w:r>
      <w:proofErr w:type="spellEnd"/>
      <w:r w:rsidRPr="00C51346">
        <w:t xml:space="preserve"> shares ESMA concerns that it may be difficult to verify </w:t>
      </w:r>
      <w:r w:rsidRPr="006E3120">
        <w:t xml:space="preserve">from the outside whether any algorithm would have a limited impact on the overall fair and orderly functioning of the market (paragraph 109). Yet, as explained above, we think that the overall level of proportionality should be increased when it comes to regulatory requirements concerning trading algorithms. This is due to the presence of NIFs and simple algorithms, in relation to which it is objectively evident that applying the entire set of rules would be disproportionate. </w:t>
      </w:r>
    </w:p>
    <w:p w14:paraId="42A31B6A" w14:textId="77777777" w:rsidR="006E3120" w:rsidRPr="006E3120" w:rsidRDefault="006E3120" w:rsidP="006E3120"/>
    <w:p w14:paraId="187E5C2E" w14:textId="77777777" w:rsidR="006E3120" w:rsidRPr="006E3120" w:rsidRDefault="006E3120" w:rsidP="006E3120">
      <w:r w:rsidRPr="00C51346">
        <w:t>In order to strike the balance between these needs, we suggest that</w:t>
      </w:r>
      <w:r w:rsidRPr="006E3120">
        <w:t xml:space="preserve"> the current regulatory framework should be integrated with a general statement aimed at confirming the use of proportionality as general interpretation criteria for all the provisions established in the regulation. </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77777777" w:rsidR="00F43578" w:rsidRDefault="00F43578" w:rsidP="00F43578">
      <w:permStart w:id="935476495" w:edGrp="everyone"/>
      <w:r>
        <w:t>TYPE YOUR TEXT HERE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7777777" w:rsidR="00F43578" w:rsidRDefault="00F43578" w:rsidP="00F43578">
      <w:permStart w:id="91701692" w:edGrp="everyone"/>
      <w:r>
        <w:t>TYPE YOUR TEXT HERE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74A0BD0" w14:textId="77777777" w:rsidR="006E3120" w:rsidRDefault="006E3120" w:rsidP="006E3120">
      <w:permStart w:id="1799384931" w:edGrp="everyone"/>
      <w:r w:rsidRPr="00C51346">
        <w:t>In relation to the changes proposed to the current version of the self-assessment, in our opinion</w:t>
      </w:r>
      <w:r w:rsidRPr="006E3120">
        <w:t>, the annual self-assessment should remain an internal compliance document in which the company internally assesses their activities in algorithmic trading in the best possible way, including for the purposes of identifying possible gaps and setting a plan of remediation actions if needed.</w:t>
      </w:r>
    </w:p>
    <w:p w14:paraId="4CE1792B" w14:textId="77777777" w:rsidR="006E3120" w:rsidRPr="006E3120" w:rsidRDefault="006E3120" w:rsidP="006E3120"/>
    <w:p w14:paraId="5EB3E561" w14:textId="77777777" w:rsidR="006E3120" w:rsidRDefault="006E3120" w:rsidP="006E3120">
      <w:r w:rsidRPr="00C51346">
        <w:t>In our view</w:t>
      </w:r>
      <w:r w:rsidRPr="006E3120">
        <w:t>, and as stated by ESMA in paragraph 79 of the Consultation Paper, NCAs always have the possibility to require from a firm - on a regular or ad-hoc basis - specific information concerning the algorithm and the trading strategy adopted by the company, as well as about the compliance with regulatory requirements. However, this should be done as something different and completely separated from the legal entities’ internal self-assessment process.</w:t>
      </w:r>
    </w:p>
    <w:p w14:paraId="447AD8FB" w14:textId="77777777" w:rsidR="006E3120" w:rsidRPr="006E3120" w:rsidRDefault="006E3120" w:rsidP="006E3120"/>
    <w:p w14:paraId="3673AAA2" w14:textId="77777777" w:rsidR="006E3120" w:rsidRDefault="006E3120" w:rsidP="009F3FD3">
      <w:r w:rsidRPr="006E3120">
        <w:t xml:space="preserve">As such, the self-assessment should be provided to NCAs upon request, and it should be left to the discretion of NCAs to decide, while planning supervisory activities, when to request such self-assessments for review, taking into account e.g. the type and complexity of the </w:t>
      </w:r>
      <w:r w:rsidRPr="006E3120">
        <w:lastRenderedPageBreak/>
        <w:t xml:space="preserve">algorithm or the number of algorithms deployed by the market participant (i.e. applying a proportional and risk-based approach). Indeed, the introduction of a general obligation to provide such self-assessment to NCAs for review would be burdensome for market participants, even if the self-assessment would have to be provided “only” every 2 years. We question whether such changes would increase the quality of such self-assessment. </w:t>
      </w:r>
    </w:p>
    <w:p w14:paraId="37E2FCCF" w14:textId="77777777" w:rsidR="006E3120" w:rsidRPr="006E3120" w:rsidRDefault="006E3120" w:rsidP="009F3FD3"/>
    <w:p w14:paraId="729D15AA" w14:textId="77777777" w:rsidR="006E3120" w:rsidRDefault="006E3120" w:rsidP="00F43578">
      <w:r w:rsidRPr="006E3120">
        <w:t>We note in this respect that the current regulatory regime requires the risk management function to draw up a validation report (after having involved technical staff), that the compliance function shall be informed of any deficiencies identified in such report, and that the report shall be audited by the internal audit function and approved by senior management, which is why, in our view, it provides sufficient safeguards to ensure the quality of the self-assessment.</w:t>
      </w:r>
    </w:p>
    <w:permEnd w:id="1799384931"/>
    <w:p w14:paraId="5C69B872" w14:textId="0F550D07" w:rsidR="00F43578" w:rsidRDefault="00F43578" w:rsidP="00F43578">
      <w:proofErr w:type="gramStart"/>
      <w:r>
        <w:t>&lt;</w:t>
      </w:r>
      <w:proofErr w:type="gramEnd"/>
      <w:r>
        <w: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77777777" w:rsidR="00F43578" w:rsidRDefault="00F43578" w:rsidP="00F43578">
      <w:permStart w:id="400963781" w:edGrp="everyone"/>
      <w:r>
        <w:t>TYPE YOUR TEXT HERE</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7F296B6F" w14:textId="600D946B" w:rsidR="006E3120" w:rsidRDefault="006E3120" w:rsidP="00F43578">
      <w:permStart w:id="1148655378" w:edGrp="everyone"/>
      <w:r w:rsidRPr="006E3120">
        <w:t>We refer to the answer to Q21</w:t>
      </w:r>
      <w:r>
        <w:t>.</w:t>
      </w:r>
      <w:bookmarkStart w:id="1" w:name="_GoBack"/>
      <w:bookmarkEnd w:id="1"/>
    </w:p>
    <w:permEnd w:id="1148655378"/>
    <w:p w14:paraId="66ABD509" w14:textId="730B7D8D"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77777777" w:rsidR="00F43578" w:rsidRDefault="00F43578" w:rsidP="00F43578">
      <w:permStart w:id="1410487780" w:edGrp="everyone"/>
      <w:r>
        <w:t>TYPE YOUR TEXT HERE</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7777777" w:rsidR="00F43578" w:rsidRDefault="00F43578" w:rsidP="00F43578">
      <w:permStart w:id="1397362070" w:edGrp="everyone"/>
      <w:r>
        <w:t>TYPE YOUR TEXT HERE</w:t>
      </w:r>
    </w:p>
    <w:permEnd w:id="1397362070"/>
    <w:p w14:paraId="216D4625" w14:textId="77777777" w:rsidR="00F43578" w:rsidRDefault="00F43578" w:rsidP="00F43578">
      <w:r>
        <w:lastRenderedPageBreak/>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7777777" w:rsidR="00F43578" w:rsidRDefault="00F43578" w:rsidP="00F43578">
      <w:permStart w:id="136737856" w:edGrp="everyone"/>
      <w:r>
        <w:t>TYPE YOUR TEXT HERE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7777777" w:rsidR="00F43578" w:rsidRDefault="00F43578" w:rsidP="00F43578">
      <w:permStart w:id="524302610" w:edGrp="everyone"/>
      <w:r>
        <w:t>TYPE YOUR TEXT HERE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7777777" w:rsidR="00F43578" w:rsidRDefault="00F43578" w:rsidP="00F43578">
      <w:permStart w:id="2087265348" w:edGrp="everyone"/>
      <w:r>
        <w:t>TYPE YOUR TEXT HERE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F81CA8B" w14:textId="77777777" w:rsidR="00F43578" w:rsidRDefault="00F43578" w:rsidP="00F43578">
      <w:permStart w:id="1506355568" w:edGrp="everyone"/>
      <w:r>
        <w:t>TYPE YOUR TEXT HERE</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lastRenderedPageBreak/>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7777777" w:rsidR="00F43578" w:rsidRDefault="00F43578" w:rsidP="00F43578">
      <w:permStart w:id="2142314160" w:edGrp="everyone"/>
      <w:r>
        <w:t>TYPE YOUR TEXT HERE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7777777" w:rsidR="00F43578" w:rsidRDefault="00F43578" w:rsidP="00F43578">
      <w:permStart w:id="1081607916" w:edGrp="everyone"/>
      <w:r>
        <w:t>TYPE YOUR TEXT HERE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77777777" w:rsidR="00F43578" w:rsidRDefault="00F43578" w:rsidP="00F43578">
      <w:permStart w:id="1046965136" w:edGrp="everyone"/>
      <w:r>
        <w:t>TYPE YOUR TEXT HERE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lastRenderedPageBreak/>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7777777" w:rsidR="00F43578" w:rsidRDefault="00F43578" w:rsidP="00F43578">
      <w:permStart w:id="788939487" w:edGrp="everyone"/>
      <w:r>
        <w:t>TYPE YOUR TEXT HERE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77777777" w:rsidR="00F43578" w:rsidRDefault="00F43578" w:rsidP="00F43578">
      <w:permStart w:id="201994906" w:edGrp="everyone"/>
      <w:r>
        <w:t>TYPE YOUR TEXT HERE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5FC8D2A7" w14:textId="77777777" w:rsidR="006E3120" w:rsidRDefault="006E3120" w:rsidP="006E3120">
      <w:permStart w:id="508756802" w:edGrp="everyone"/>
      <w:r w:rsidRPr="006E3120">
        <w:t>Article 17(3) of MiFID generally calls for “an investment firm that engages in algorithmic trading to pursue a market making strategy” to enter into binding written agreements with the trading venue; article 1(5) MiFID extends the applicability of such market making agreements regime also to non-investment firms.</w:t>
      </w:r>
    </w:p>
    <w:p w14:paraId="3C74F36D" w14:textId="77777777" w:rsidR="006E3120" w:rsidRPr="006E3120" w:rsidRDefault="006E3120" w:rsidP="006E3120"/>
    <w:p w14:paraId="364627E3" w14:textId="77777777" w:rsidR="006E3120" w:rsidRPr="006E3120" w:rsidRDefault="006E3120" w:rsidP="006E3120">
      <w:r w:rsidRPr="006E3120">
        <w:t xml:space="preserve">In this context, we would highly recommend to take due account of ESMA consideration in paragraph 310 of the Consultation (“the provisions in MiFID II and RTS 8 appear to have been designed for a specific type of market making, i.e. market making activity undertaken by </w:t>
      </w:r>
      <w:proofErr w:type="spellStart"/>
      <w:r w:rsidRPr="006E3120">
        <w:t>algo</w:t>
      </w:r>
      <w:proofErr w:type="spellEnd"/>
      <w:r w:rsidRPr="006E3120">
        <w:t xml:space="preserve"> or HFT traders trading through continuous order book”), and to more explicitly limit the application of RTS 8 and market making agreements: namely, general liquidity provision agreements among market participants and TVs (those that simply provide for a voluntary provision of liquidity to the market with a fee rebate as incentive) should not be required to enter into market making agreements.</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lastRenderedPageBreak/>
        <w:t>&lt;ESMA_QUESTION_ALGO_44&gt;</w:t>
      </w:r>
    </w:p>
    <w:p w14:paraId="0F1D32F6" w14:textId="77777777" w:rsidR="00F43578" w:rsidRDefault="00F43578" w:rsidP="00F43578">
      <w:permStart w:id="1520175509" w:edGrp="everyone"/>
      <w:r>
        <w:t>TYPE YOUR TEXT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lastRenderedPageBreak/>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BF21" w14:textId="77777777" w:rsidR="00D17E64" w:rsidRDefault="00D17E64" w:rsidP="007E7997">
      <w:r>
        <w:separator/>
      </w:r>
    </w:p>
  </w:endnote>
  <w:endnote w:type="continuationSeparator" w:id="0">
    <w:p w14:paraId="55472AC0" w14:textId="77777777" w:rsidR="00D17E64" w:rsidRDefault="00D17E64" w:rsidP="007E7997">
      <w:r>
        <w:continuationSeparator/>
      </w:r>
    </w:p>
  </w:endnote>
  <w:endnote w:type="continuationNotice" w:id="1">
    <w:p w14:paraId="7E649101" w14:textId="77777777" w:rsidR="00D17E64" w:rsidRDefault="00D1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6E3120">
          <w:rPr>
            <w:noProof/>
          </w:rPr>
          <w:t>15</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0305" w14:textId="77777777" w:rsidR="00D17E64" w:rsidRDefault="00D17E64" w:rsidP="007E7997">
      <w:r>
        <w:separator/>
      </w:r>
    </w:p>
  </w:footnote>
  <w:footnote w:type="continuationSeparator" w:id="0">
    <w:p w14:paraId="415CB48A" w14:textId="77777777" w:rsidR="00D17E64" w:rsidRDefault="00D17E64" w:rsidP="007E7997">
      <w:r>
        <w:continuationSeparator/>
      </w:r>
    </w:p>
  </w:footnote>
  <w:footnote w:type="continuationNotice" w:id="1">
    <w:p w14:paraId="7F11C162" w14:textId="77777777" w:rsidR="00D17E64" w:rsidRDefault="00D1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0qA4wgEAAGoDAAAOAAAAZHJzL2Uyb0RvYy54bWysU02P2yAQvVfqf0DcGzteJY2sOHvIdntJ 20i7/QETwDEqZhCQ2Pn3HYiTdttb1Qsa5uPNmzewfhx7w87KB4224fNZyZmyAqW2x4Z/f33+sOIs RLASDFrV8IsK/HHz/t16cLWqsEMjlWcEYkM9uIZ3Mbq6KILoVA9hhk5ZCrboe4h09cdCehgIvTdF VZbLYkAvnUehQiDv0zXINxm/bZWI39o2qMhMw4lbzKfP5yGdxWYN9dGD67SYaMA/sOhBW2p6h3qC COzk9V9QvRYeA7ZxJrAvsG21UHkGmmZe/jHNSwdO5VlInODuMoX/Byu+nveeadnwijMLPa1op61i 82WSZnChpoyt3fs0nBjti9uh+BGYxW0H9qgyxdeLo7p5qijelKRLcNTgMHxBSTlwiph1GlvfJ0hS gI15HZf7OtQYmbg6BXkXi9V8ucjgUN/qnA/xs8KeJaPhhjhnXDjvQkw8oL6lpDYWn7UxednGsoHI Vh/LMlcENFqmaMoL/njYGs/OQO+lWj0sVg9T4zdpHk9WZrROgfw02RG0udrU3dhJjDT/VckDysve 30SihWaa0+NLL+b3e67+9UU2PwEAAP//AwBQSwMEFAAGAAgAAAAhAI0GJdXeAAAACgEAAA8AAABk cnMvZG93bnJldi54bWxMj8FOwzAMhu9IvENkJG4saWEdKk0nhMShQjswYOe0MW1H41RNtpW3x4jD ONr+9Pv7i/XsBnHEKfSeNCQLBQKp8banVsP72/PNPYgQDVkzeEIN3xhgXV5eFCa3/kSveNzGVnAI hdxo6GIccylD06EzYeFHJL59+smZyOPUSjuZE4e7QaZKZdKZnvhDZ0Z86rD52h6chrmW6sXv7zZJ 8oG31X5Xbeqp0vr6an58ABFxjmcYfvVZHUp2qv2BbBCDhnSZcJeoYZVmIBj4W9RMZmoJsizk/wrl DwAAAP//AwBQSwECLQAUAAYACAAAACEAtoM4kv4AAADhAQAAEwAAAAAAAAAAAAAAAAAAAAAAW0Nv bnRlbnRfVHlwZXNdLnhtbFBLAQItABQABgAIAAAAIQA4/SH/1gAAAJQBAAALAAAAAAAAAAAAAAAA AC8BAABfcmVscy8ucmVsc1BLAQItABQABgAIAAAAIQC30qA4wgEAAGoDAAAOAAAAAAAAAAAAAAAA AC4CAABkcnMvZTJvRG9jLnhtbFBLAQItABQABgAIAAAAIQCNBiXV3gAAAAoBAAAPAAAAAAAAAAAA AAAAABwEAABkcnMvZG93bnJldi54bWxQSwUGAAAAAAQABADzAAAAJwUAAAAA "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120"/>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0C4A"/>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purl.org/dc/terms/"/>
    <ds:schemaRef ds:uri="http://schemas.microsoft.com/office/2006/documentManagement/types"/>
    <ds:schemaRef ds:uri="http://schemas.microsoft.com/sharepoint/v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20fbe147-bbda-4e53-b6b1-7e8bbff3fe19"/>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AA3A9E9F-A2FF-4821-94FD-8C5E0ED3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9</TotalTime>
  <Pages>16</Pages>
  <Words>4045</Words>
  <Characters>23058</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Stella BENFATTO</cp:lastModifiedBy>
  <cp:revision>3</cp:revision>
  <cp:lastPrinted>2017-07-24T14:47:00Z</cp:lastPrinted>
  <dcterms:created xsi:type="dcterms:W3CDTF">2021-03-11T13:18:00Z</dcterms:created>
  <dcterms:modified xsi:type="dcterms:W3CDTF">2021-03-11T13:28:00Z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