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le"/>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F942CA8" w:rsidR="00C85C8B" w:rsidRPr="00C85C8B" w:rsidRDefault="001C1906" w:rsidP="00C85C8B">
                <w:pPr>
                  <w:rPr>
                    <w:rFonts w:ascii="Arial" w:hAnsi="Arial" w:cs="Arial"/>
                    <w:color w:val="808080"/>
                    <w:sz w:val="20"/>
                    <w:lang w:eastAsia="de-DE"/>
                  </w:rPr>
                </w:pPr>
                <w:r>
                  <w:t xml:space="preserve">European </w:t>
                </w:r>
                <w:r w:rsidR="00A27E2F">
                  <w:t>Federation of Energy Traders (EFET)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51DF3F9" w:rsidR="00C85C8B" w:rsidRPr="00C85C8B" w:rsidRDefault="008A587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5152C">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8F9AACF" w:rsidR="00C85C8B" w:rsidRPr="00C85C8B" w:rsidRDefault="00A5152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5BA7554" w:rsidR="00C85C8B" w:rsidRPr="00C85C8B" w:rsidRDefault="00A5152C"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77777777" w:rsidR="00C85C8B" w:rsidRPr="00C85C8B" w:rsidRDefault="00C85C8B" w:rsidP="00C85C8B">
      <w:pPr>
        <w:spacing w:after="250" w:line="276" w:lineRule="auto"/>
        <w:jc w:val="both"/>
        <w:rPr>
          <w:rFonts w:ascii="Arial" w:eastAsiaTheme="minorEastAsia" w:hAnsi="Arial" w:cs="Arial"/>
          <w:sz w:val="22"/>
          <w:szCs w:val="20"/>
          <w:lang w:eastAsia="en-US"/>
        </w:rPr>
      </w:pPr>
      <w:permStart w:id="885457707" w:edGrp="everyone"/>
      <w:r w:rsidRPr="00C85C8B">
        <w:rPr>
          <w:rFonts w:ascii="Arial" w:eastAsiaTheme="minorEastAsia" w:hAnsi="Arial" w:cs="Arial"/>
          <w:sz w:val="22"/>
          <w:szCs w:val="20"/>
          <w:lang w:eastAsia="en-US"/>
        </w:rPr>
        <w:t>TYPE YOUR TEXT HERE</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36C7A6D1" w14:textId="77777777" w:rsidR="0054155C" w:rsidRPr="0054155C" w:rsidRDefault="0054155C" w:rsidP="0054155C">
      <w:permStart w:id="286478064" w:edGrp="everyone"/>
      <w:r w:rsidRPr="0054155C">
        <w:t xml:space="preserve">The overall framework seems to work well in </w:t>
      </w:r>
      <w:proofErr w:type="gramStart"/>
      <w:r w:rsidRPr="0054155C">
        <w:t>general, but</w:t>
      </w:r>
      <w:proofErr w:type="gramEnd"/>
      <w:r w:rsidRPr="0054155C">
        <w:t xml:space="preserve"> needs further calibration in order to provide more clarity for market participants regarding the scope/ its application. In our view, the current regulatory framework does not adequately take into consideration the different levels of complexity and risks that can characterize different types of algorithms and automated trading solutions adopted. </w:t>
      </w:r>
    </w:p>
    <w:p w14:paraId="245761CA" w14:textId="77777777" w:rsidR="0054155C" w:rsidRPr="0054155C" w:rsidRDefault="0054155C" w:rsidP="0054155C"/>
    <w:p w14:paraId="10E02C8B" w14:textId="6430FAF5" w:rsidR="00F43578" w:rsidRDefault="0054155C" w:rsidP="00F43578">
      <w:r w:rsidRPr="0054155C">
        <w:t xml:space="preserve">Furthermore, it fails to adequately address the use of the proportionality principle. </w:t>
      </w:r>
      <w:r w:rsidRPr="0054155C">
        <w:rPr>
          <w:rFonts w:eastAsiaTheme="minorHAnsi"/>
        </w:rPr>
        <w:t xml:space="preserve">While it is accepted that investment firms (and non-investment firms) should comply with fundamental regulatory requirements and </w:t>
      </w:r>
      <w:proofErr w:type="gramStart"/>
      <w:r w:rsidRPr="0054155C">
        <w:rPr>
          <w:rFonts w:eastAsiaTheme="minorHAnsi"/>
        </w:rPr>
        <w:t>high level</w:t>
      </w:r>
      <w:proofErr w:type="gramEnd"/>
      <w:r w:rsidRPr="0054155C">
        <w:rPr>
          <w:rFonts w:eastAsiaTheme="minorHAnsi"/>
        </w:rPr>
        <w:t xml:space="preserve"> obligations that are appropriate for all firms, the flexibility to apply the details of those provisions in a proportionate manner (e.g. adequate and effective risk-controls) that are best suited to the particular nature, scale and complexity of the specific activity in algorithmic trading could be better clarified.</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CE6CA77" w14:textId="41ACCFFE" w:rsidR="00F43578" w:rsidRDefault="00BA2D6F" w:rsidP="00F43578">
      <w:permStart w:id="1917137949" w:edGrp="everyone"/>
      <w:r>
        <w:t xml:space="preserve">EFET </w:t>
      </w:r>
      <w:r w:rsidR="004C1AB8" w:rsidRPr="004C1AB8">
        <w:t>ha</w:t>
      </w:r>
      <w:r>
        <w:t>s</w:t>
      </w:r>
      <w:r w:rsidR="004C1AB8" w:rsidRPr="004C1AB8">
        <w:t xml:space="preserve"> not observed so far additional commodity markets specific issues which deserve further regulatory attention.</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51F478BB" w:rsidR="00F43578" w:rsidRDefault="00592EEB" w:rsidP="00F43578">
      <w:permStart w:id="1761220304" w:edGrp="everyone"/>
      <w:r>
        <w:t>EFET</w:t>
      </w:r>
      <w:r w:rsidR="0015508B" w:rsidRPr="0015508B">
        <w:t xml:space="preserve"> agree</w:t>
      </w:r>
      <w:r>
        <w:t>s</w:t>
      </w:r>
      <w:r w:rsidR="0015508B" w:rsidRPr="0015508B">
        <w:t xml:space="preserve"> with ESMA´s estimation that the risks attached to algorithmic trading on trading venues are specifically pertinent to regulated markets. We do not see the same risks emerging on the OTC markets or that those </w:t>
      </w:r>
      <w:r w:rsidR="00B64F70">
        <w:t xml:space="preserve">OTC markets </w:t>
      </w:r>
      <w:r w:rsidR="0015508B" w:rsidRPr="0015508B">
        <w:t>would benefit from the additional application of algorithmic trading.</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t>&lt;ESMA_QUESTION_ALGO_4&gt;</w:t>
      </w:r>
    </w:p>
    <w:p w14:paraId="688B7D5C" w14:textId="17E86F67" w:rsidR="00F43578" w:rsidRDefault="00360B8D" w:rsidP="00F43578">
      <w:permStart w:id="1759576576" w:edGrp="everyone"/>
      <w:r>
        <w:t xml:space="preserve">EFET </w:t>
      </w:r>
      <w:r w:rsidR="000C1EAA" w:rsidRPr="000C1EAA">
        <w:t>agree</w:t>
      </w:r>
      <w:r>
        <w:t>s</w:t>
      </w:r>
      <w:r w:rsidR="000C1EAA" w:rsidRPr="000C1EAA">
        <w:t xml:space="preserve"> with ESMA´s analysis, as it otherwise would create an unlevel playing field in favour of clients of DEA providers.</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xml:space="preserve">: Did you encounter any specific issue with the definition of HFT? Do you consider that the definition should be amended? Do you have any suggestion to replace the high </w:t>
      </w:r>
      <w:r>
        <w:lastRenderedPageBreak/>
        <w:t>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014D2504" w:rsidR="00F43578" w:rsidRDefault="00291777" w:rsidP="00F43578">
      <w:permStart w:id="471091368" w:edGrp="everyone"/>
      <w:r>
        <w:t>EFET</w:t>
      </w:r>
      <w:r w:rsidRPr="00291777">
        <w:t xml:space="preserve"> do</w:t>
      </w:r>
      <w:r>
        <w:t>es</w:t>
      </w:r>
      <w:r w:rsidRPr="00291777">
        <w:t xml:space="preserve"> not think that the definition should be amended, but we consider that the thresholds are set too low and that the culmination threshold, where a company trades in multiple financial instruments, puts them at competitive disadvantage, given that many providers are collocating. We think that the single individual threshold should be increased, and the cumulative threshold should be removed.</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77777777" w:rsidR="00F43578" w:rsidRDefault="00F43578" w:rsidP="00F43578">
      <w:permStart w:id="139352066" w:edGrp="everyone"/>
      <w:r>
        <w:t>TYPE YOUR TEXT HERE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3B9CAE27" w:rsidR="00F43578" w:rsidRDefault="00CE67C3" w:rsidP="00F43578">
      <w:permStart w:id="1735736236" w:edGrp="everyone"/>
      <w:r>
        <w:t xml:space="preserve">EFET </w:t>
      </w:r>
      <w:r w:rsidRPr="00CE67C3">
        <w:t>think</w:t>
      </w:r>
      <w:r>
        <w:t>s</w:t>
      </w:r>
      <w:r w:rsidRPr="00CE67C3">
        <w:t xml:space="preserve"> that the definition in article 20 of CDR (EU) 2017/565 which clarifies that a person is not considered to have DEA when that person “cannot exercise discretion regarding the exact fraction of a second of order entry and the lifetime of the order within that time frame” is sufficient. We further agree that clients of online brokers and other market participants do not have control over the exact fraction of a second when their orders enter the trading venue’s systems and therefore cannot be considered as having DEA access.</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48DBC7B2" w:rsidR="00F43578" w:rsidRDefault="00F948A9" w:rsidP="00F43578">
      <w:permStart w:id="714028646" w:edGrp="everyone"/>
      <w:r>
        <w:t>EFET</w:t>
      </w:r>
      <w:r w:rsidRPr="00F948A9">
        <w:t xml:space="preserve"> do</w:t>
      </w:r>
      <w:r>
        <w:t>es</w:t>
      </w:r>
      <w:r w:rsidRPr="00F948A9">
        <w:t xml:space="preserve"> not think that the extension to the regime to the OTC market is useful, as it would mean that the whole system would need to be re-calibrated.</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lastRenderedPageBreak/>
        <w:t>: Do you agree with ESMA’s proposals above? Please elaborate.</w:t>
      </w:r>
    </w:p>
    <w:p w14:paraId="63BFA10D" w14:textId="77777777" w:rsidR="00F43578" w:rsidRDefault="00F43578" w:rsidP="00F43578">
      <w:r>
        <w:t>&lt;ESMA_QUESTION_ALGO_10&gt;</w:t>
      </w:r>
    </w:p>
    <w:p w14:paraId="49926942" w14:textId="4CD3EF29" w:rsidR="00F43578" w:rsidRDefault="001B395D" w:rsidP="00F43578">
      <w:permStart w:id="1286567615" w:edGrp="everyone"/>
      <w:r>
        <w:t>EFET</w:t>
      </w:r>
      <w:r w:rsidRPr="001B395D">
        <w:t xml:space="preserve"> </w:t>
      </w:r>
      <w:r>
        <w:t xml:space="preserve">is </w:t>
      </w:r>
      <w:r w:rsidRPr="001B395D">
        <w:t>supportive of the proposal to remove the obligation for DEA clients to be authorised as investment firms as this ensures an equal treatment of EU and non-EU firms.</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18A873BF" w14:textId="0839BCAB" w:rsidR="00F43578" w:rsidRDefault="00322C07" w:rsidP="00F43578">
      <w:permStart w:id="1274354294" w:edGrp="everyone"/>
      <w:r>
        <w:t>EFET</w:t>
      </w:r>
      <w:r w:rsidRPr="00322C07">
        <w:t xml:space="preserve"> consider</w:t>
      </w:r>
      <w:r>
        <w:t>s</w:t>
      </w:r>
      <w:r w:rsidRPr="00322C07">
        <w:t xml:space="preserve"> that ESMA ought not to develop a template. The current regime works well and each NCA can determine what level of detail it requires.</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24DA03C6" w:rsidR="00F43578" w:rsidRDefault="00703CB8" w:rsidP="00F43578">
      <w:permStart w:id="1308445152" w:edGrp="everyone"/>
      <w:r>
        <w:t>EFET</w:t>
      </w:r>
      <w:r w:rsidRPr="00703CB8">
        <w:t xml:space="preserve"> do</w:t>
      </w:r>
      <w:r>
        <w:t>es</w:t>
      </w:r>
      <w:r w:rsidRPr="00703CB8">
        <w:t xml:space="preserve"> not see merit. The notification process to the NCAs works sufficiently well and using a template could potentially impose additional burdens to the process.</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13F44892" w:rsidR="00F43578" w:rsidRDefault="00B77F79" w:rsidP="00F43578">
      <w:permStart w:id="1436643470" w:edGrp="everyone"/>
      <w:r>
        <w:t>EFET</w:t>
      </w:r>
      <w:r w:rsidRPr="00B77F79">
        <w:t xml:space="preserve"> disagree</w:t>
      </w:r>
      <w:r>
        <w:t>s</w:t>
      </w:r>
      <w:r w:rsidRPr="00B77F79">
        <w:t xml:space="preserve"> that it would be useful to clarify that notifications should be done ‘without undue delay’.</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77777777" w:rsidR="00F43578" w:rsidRDefault="00F43578" w:rsidP="00F43578">
      <w:permStart w:id="892417975" w:edGrp="everyone"/>
      <w:r>
        <w:t>TYPE YOUR TEXT HERE</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2B0A16F5" w:rsidR="00F43578" w:rsidRDefault="000043C0" w:rsidP="00F43578">
      <w:permStart w:id="1585009624" w:edGrp="everyone"/>
      <w:r>
        <w:lastRenderedPageBreak/>
        <w:t>EFET</w:t>
      </w:r>
      <w:r w:rsidRPr="000043C0">
        <w:t xml:space="preserve"> believe</w:t>
      </w:r>
      <w:r>
        <w:t>s</w:t>
      </w:r>
      <w:r w:rsidRPr="000043C0">
        <w:t xml:space="preserve"> that the definition provided in Article 4(1)(39) of MIFID II Directive describes algorithmic trading well and should be maintained, and the principle of proportionality be strengthened. Any attempt to make this more specific or granular would lead to different applications in different member states.</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6ABABCC2" w:rsidR="00F43578" w:rsidRDefault="00B11065" w:rsidP="00F43578">
      <w:permStart w:id="1815021170" w:edGrp="everyone"/>
      <w:r w:rsidRPr="00B11065">
        <w:t xml:space="preserve">RTS 6 set-out the legal framework and principles for governance and compliance and </w:t>
      </w:r>
      <w:r>
        <w:t xml:space="preserve">EFET </w:t>
      </w:r>
      <w:r w:rsidRPr="00B11065">
        <w:t>believe</w:t>
      </w:r>
      <w:r>
        <w:t>s</w:t>
      </w:r>
      <w:r w:rsidRPr="00B11065">
        <w:t xml:space="preserve"> that the specific algorithm and trading strategies each firm (at its own discretion) should be decisive for the specified requirements. A differentiated approach imposing specific requirements for some </w:t>
      </w:r>
      <w:proofErr w:type="gramStart"/>
      <w:r w:rsidRPr="00B11065">
        <w:t>types</w:t>
      </w:r>
      <w:proofErr w:type="gramEnd"/>
      <w:r w:rsidRPr="00B11065">
        <w:t xml:space="preserve"> algorithms could lead to legal uncertainty likely to stifle innovation.</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51531F53" w:rsidR="00F43578" w:rsidRDefault="00474A74" w:rsidP="00F43578">
      <w:permStart w:id="80092231" w:edGrp="everyone"/>
      <w:r w:rsidRPr="00474A74">
        <w:t>If firms are obligated to test strategies on trading venues, then the venues permitting algorithmic trading ought to be obligated to provide testing environments.</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6CB61A8D" w:rsidR="00F43578" w:rsidRDefault="00961D02" w:rsidP="00F43578">
      <w:permStart w:id="935476495" w:edGrp="everyone"/>
      <w:r>
        <w:t>EFET</w:t>
      </w:r>
      <w:r w:rsidRPr="00961D02">
        <w:t xml:space="preserve"> welcome</w:t>
      </w:r>
      <w:r>
        <w:t>s</w:t>
      </w:r>
      <w:r w:rsidRPr="00961D02">
        <w:t xml:space="preserve"> the general proposal made by ESMA in the consultation paper about the introduction of a harmonized definition</w:t>
      </w:r>
      <w:r w:rsidRPr="00E124E7">
        <w:t xml:space="preserve"> </w:t>
      </w:r>
      <w:r w:rsidRPr="00961D02">
        <w:t>that could contribute to a more accurate and improved testing, as well as providing a level playing field for market participants carrying out algo trading. However, such definitions should not be based on undefined terms, but rather provide the variety of "real life scenarios"/ practical examples what behaviours/ actions on the trading venues are considered as “disorderly trading”.</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5625D136" w:rsidR="00F43578" w:rsidRDefault="0033009C" w:rsidP="00F43578">
      <w:permStart w:id="91701692" w:edGrp="everyone"/>
      <w:r>
        <w:t>EFET</w:t>
      </w:r>
      <w:r w:rsidRPr="0033009C">
        <w:t xml:space="preserve"> do</w:t>
      </w:r>
      <w:r>
        <w:t>es</w:t>
      </w:r>
      <w:r w:rsidRPr="0033009C">
        <w:t xml:space="preserve"> not believe that it is possible to develop comprehensive guidance for checks and testing due to the complexity that may occur in the market. Such guidance will inevitably be incomplete and not appropriate for all markets and would cause confusion. Consequently, it is suggested that ESMA should not provide such guidance.</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lastRenderedPageBreak/>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0B9423FE" w:rsidR="00F43578" w:rsidRPr="00402904" w:rsidRDefault="00402904" w:rsidP="00F43578">
      <w:pPr>
        <w:rPr>
          <w:rFonts w:eastAsiaTheme="minorHAnsi"/>
        </w:rPr>
      </w:pPr>
      <w:permStart w:id="830364215" w:edGrp="everyone"/>
      <w:r>
        <w:t>EFET</w:t>
      </w:r>
      <w:r w:rsidRPr="00402904">
        <w:t xml:space="preserve"> </w:t>
      </w:r>
      <w:r>
        <w:t xml:space="preserve">considers that </w:t>
      </w:r>
      <w:r w:rsidRPr="00402904">
        <w:t>a well</w:t>
      </w:r>
      <w:r>
        <w:t>-</w:t>
      </w:r>
      <w:r w:rsidRPr="00402904">
        <w:t>consulted principles-based format for the self-assessment would ensure a consistent approach and standards across the European markets. Furthermore, it would provide legal certainty to the market participants, if applied proportionately. In this regard, we want to highlight that the AFM applies the principle of proportionality in such a fashion that each market participant, irrespective of size and undertaking, can conduct the self-assessment.</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t>&lt;ESMA_QUESTION_ALGO_21&gt;</w:t>
      </w:r>
    </w:p>
    <w:p w14:paraId="724B4F7C" w14:textId="5252893E" w:rsidR="00F74B8B" w:rsidRPr="00F74B8B" w:rsidRDefault="00F74B8B" w:rsidP="00F74B8B">
      <w:permStart w:id="1799384931" w:edGrp="everyone"/>
      <w:r>
        <w:t>EFET</w:t>
      </w:r>
      <w:r w:rsidRPr="00F74B8B">
        <w:t xml:space="preserve"> recognise</w:t>
      </w:r>
      <w:r>
        <w:t>s</w:t>
      </w:r>
      <w:r w:rsidRPr="00F74B8B">
        <w:t xml:space="preserve"> ESMA’s consideration, but we think that the self-assessment should be provided to NCAs upon request. We consider that it should be left to the discretion of NCAs to decide, while planning supervisory activities, when to request such self-assessments for review, taking into account for example the type and complexity of the algo or the number of algos deployed by the market participant (</w:t>
      </w:r>
      <w:proofErr w:type="gramStart"/>
      <w:r w:rsidRPr="00F74B8B">
        <w:t>i.e.</w:t>
      </w:r>
      <w:proofErr w:type="gramEnd"/>
      <w:r w:rsidRPr="00F74B8B">
        <w:t xml:space="preserve"> applying a proportional and risk-based approach). In our view, the introduction of a general obligation to provide such self-assessment to NCAs for review would be burdensome for market participants, even if the self-assessment would have to be provided “only” every 2 years and questioning whether such changes would increase the quality of such self-assessment. </w:t>
      </w:r>
    </w:p>
    <w:p w14:paraId="4E354866" w14:textId="77777777" w:rsidR="00F74B8B" w:rsidRPr="00F74B8B" w:rsidRDefault="00F74B8B" w:rsidP="00F74B8B"/>
    <w:p w14:paraId="227422DA" w14:textId="61909973" w:rsidR="00F43578" w:rsidRDefault="00F74B8B" w:rsidP="00F43578">
      <w:r w:rsidRPr="00F74B8B">
        <w:t>We note that the current regulatory regime requires the risk management function to draw up a validation report (after having involved technical staff), that the compliance function shall be informed of any deficiencies identified in such report. The report shall be audited by the internal audit function and approved by senior management, which is why, in our view, it provides sufficient safeguards to ensure the quality of the self-assessment.</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77777777" w:rsidR="00F43578" w:rsidRDefault="00F43578" w:rsidP="00F43578">
      <w:permStart w:id="400963781" w:edGrp="everyone"/>
      <w:r>
        <w:t>TYPE YOUR TEXT HERE</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lastRenderedPageBreak/>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64B03F30" w:rsidR="00F43578" w:rsidRDefault="00040742" w:rsidP="00F43578">
      <w:permStart w:id="1148655378" w:edGrp="everyone"/>
      <w:r>
        <w:t>EFET</w:t>
      </w:r>
      <w:r w:rsidRPr="00040742">
        <w:t xml:space="preserve"> welcome</w:t>
      </w:r>
      <w:r>
        <w:t>s</w:t>
      </w:r>
      <w:r w:rsidRPr="00040742">
        <w:t xml:space="preserve"> limiting the self-assessment to every two </w:t>
      </w:r>
      <w:proofErr w:type="gramStart"/>
      <w:r w:rsidRPr="00040742">
        <w:t>years, but</w:t>
      </w:r>
      <w:proofErr w:type="gramEnd"/>
      <w:r w:rsidRPr="00040742">
        <w:t xml:space="preserve"> consider that the self-assessment should be provided to the NCAs upon request. We also find that is should be left to the discretion of the NCAs to decide, when planning supervisory </w:t>
      </w:r>
      <w:proofErr w:type="gramStart"/>
      <w:r w:rsidRPr="00040742">
        <w:t>activities,  to</w:t>
      </w:r>
      <w:proofErr w:type="gramEnd"/>
      <w:r w:rsidRPr="00040742">
        <w:t xml:space="preserve"> request such self-assessments for review.</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15457E90" w:rsidR="00F43578" w:rsidRDefault="000F07C9" w:rsidP="00F43578">
      <w:permStart w:id="1410487780" w:edGrp="everyone"/>
      <w:r>
        <w:t>EFET</w:t>
      </w:r>
      <w:r w:rsidRPr="000F07C9">
        <w:t xml:space="preserve"> consider</w:t>
      </w:r>
      <w:r>
        <w:t>s</w:t>
      </w:r>
      <w:r w:rsidRPr="000F07C9">
        <w:t xml:space="preserve"> that it would be helpful to clarify that venues are responsible for ensuring their members have carried out the required conformance testing. This would ensure no ambiguity and would place the onus on trading venues to identify what is appropriate.</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553C033B" w:rsidR="00F43578" w:rsidRDefault="009F5B08" w:rsidP="00F43578">
      <w:permStart w:id="1397362070" w:edGrp="everyone"/>
      <w:r w:rsidRPr="009F5B08">
        <w:t>A well-established testing environment at exchange level would be of great benefit to the market and would allow firms to test their products in the right environment.</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4C1565D2" w:rsidR="00F43578" w:rsidRDefault="00B53012" w:rsidP="00F43578">
      <w:permStart w:id="136737856" w:edGrp="everyone"/>
      <w:r w:rsidRPr="00B53012">
        <w:t>Please note our answer at Q26.</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77777777" w:rsidR="00F43578" w:rsidRDefault="00F43578" w:rsidP="00F43578">
      <w:permStart w:id="524302610" w:edGrp="everyone"/>
      <w:r>
        <w:t>TYPE YOUR TEXT HERE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77777777" w:rsidR="00F43578" w:rsidRDefault="00F43578" w:rsidP="00F43578">
      <w:permStart w:id="2087265348" w:edGrp="everyone"/>
      <w:r>
        <w:t>TYPE YOUR TEXT HERE</w:t>
      </w:r>
    </w:p>
    <w:permEnd w:id="2087265348"/>
    <w:p w14:paraId="5CD2143E" w14:textId="77777777" w:rsidR="00F43578" w:rsidRDefault="00F43578" w:rsidP="00F43578">
      <w:r>
        <w:lastRenderedPageBreak/>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3AB87BA1" w14:textId="51CF0EA7" w:rsidR="001E449F" w:rsidRPr="001E449F" w:rsidRDefault="001E449F" w:rsidP="001E449F">
      <w:permStart w:id="1506355568" w:edGrp="everyone"/>
      <w:r>
        <w:t>EFET</w:t>
      </w:r>
      <w:r w:rsidRPr="001E449F">
        <w:t xml:space="preserve"> consider</w:t>
      </w:r>
      <w:r>
        <w:t>s</w:t>
      </w:r>
      <w:r w:rsidRPr="001E449F">
        <w:t xml:space="preserve"> that the regulation of Order-Transaction-Ratios is counter-productive to the stated regulatory intention of increasing liquidity and market efficiency and would need, if applied, be supported with specific guidance to clarify the expected actions on market participants. Neither a trading venue nor a market maker can manufacture transactions at a specified rate because transaction requires two parties to agree. We want to highlight that price transparency improves when a larger number of products have tighter bid-ask markets. Liquidity, as measured by the cost per unit of transaction, increases when </w:t>
      </w:r>
      <w:proofErr w:type="gramStart"/>
      <w:r w:rsidRPr="001E449F">
        <w:t>bid-ask</w:t>
      </w:r>
      <w:proofErr w:type="gramEnd"/>
      <w:r w:rsidRPr="001E449F">
        <w:t xml:space="preserve"> spread decreases. A reduction in mandated order-to-transaction ratio has two direct impacts on the market:</w:t>
      </w:r>
    </w:p>
    <w:p w14:paraId="526B9DF0" w14:textId="77777777" w:rsidR="001E449F" w:rsidRPr="001E449F" w:rsidRDefault="001E449F" w:rsidP="001E449F"/>
    <w:p w14:paraId="0596E0D9" w14:textId="77777777" w:rsidR="001E449F" w:rsidRPr="001E449F" w:rsidRDefault="001E449F" w:rsidP="001E449F">
      <w:r w:rsidRPr="001E449F">
        <w:t>a) market-makers must reduce the number of orders that they send because this is the only quantity that they can control;</w:t>
      </w:r>
    </w:p>
    <w:p w14:paraId="083CA473" w14:textId="77777777" w:rsidR="001E449F" w:rsidRPr="001E449F" w:rsidRDefault="001E449F" w:rsidP="001E449F"/>
    <w:p w14:paraId="197D8B6C" w14:textId="77777777" w:rsidR="001E449F" w:rsidRPr="001E449F" w:rsidRDefault="001E449F" w:rsidP="001E449F">
      <w:r w:rsidRPr="001E449F">
        <w:t>b) for a market maker, to reduce the number of orders while ensuring that his orders are economically viable, he/she must increase the bid-offer spread between those orders.</w:t>
      </w:r>
    </w:p>
    <w:p w14:paraId="005A7831" w14:textId="77777777" w:rsidR="001E449F" w:rsidRPr="001E449F" w:rsidRDefault="001E449F" w:rsidP="001E449F">
      <w:r w:rsidRPr="001E449F">
        <w:t xml:space="preserve">Therefore, any limitation on OTR is destructive to a tight, liquid, efficient, transparent market.  </w:t>
      </w:r>
    </w:p>
    <w:p w14:paraId="29C1ADFE" w14:textId="77777777" w:rsidR="001E449F" w:rsidRPr="001E449F" w:rsidRDefault="001E449F" w:rsidP="001E449F"/>
    <w:p w14:paraId="6F81CA8B" w14:textId="3581871D" w:rsidR="00F43578" w:rsidRDefault="001E449F" w:rsidP="00F43578">
      <w:r w:rsidRPr="001E449F">
        <w:t>If trading venues and regulators want to provide good incentives for participants to become registered market makers, they should state that restrictions on OTR apply to all HFTs that are not registered market makers.</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77777777" w:rsidR="00F43578" w:rsidRDefault="00F43578" w:rsidP="00F43578">
      <w:permStart w:id="1441803238" w:edGrp="everyone"/>
      <w:r>
        <w:lastRenderedPageBreak/>
        <w:t>TYPE YOUR TEXT HERE</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77777777" w:rsidR="00F43578" w:rsidRDefault="00F43578" w:rsidP="00F43578">
      <w:permStart w:id="2142314160" w:edGrp="everyone"/>
      <w:r>
        <w:t>TYPE YOUR TEXT HERE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77777777" w:rsidR="00F43578" w:rsidRDefault="00F43578" w:rsidP="00F43578">
      <w:permStart w:id="1081607916" w:edGrp="everyone"/>
      <w:r>
        <w:t>TYPE YOUR TEXT HERE</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77777777" w:rsidR="00F43578" w:rsidRDefault="00F43578" w:rsidP="00F43578">
      <w:permStart w:id="1046965136" w:edGrp="everyone"/>
      <w:r>
        <w:t>TYPE YOUR TEXT HERE</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77777777" w:rsidR="00F43578" w:rsidRDefault="00F43578" w:rsidP="00F43578">
      <w:permStart w:id="1180910868" w:edGrp="everyone"/>
      <w:r>
        <w:t>TYPE YOUR TEXT HERE</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77777777" w:rsidR="00F43578" w:rsidRDefault="00F43578" w:rsidP="00F43578">
      <w:permStart w:id="39611011" w:edGrp="everyone"/>
      <w:r>
        <w:t>TYPE YOUR TEXT HERE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lastRenderedPageBreak/>
        <w:t>: Do you agree with the proposal to widen the scope of the tick size regime to all ETFs? Would this pose challenges in your view? Please explain.</w:t>
      </w:r>
    </w:p>
    <w:p w14:paraId="6A9F7618" w14:textId="77777777" w:rsidR="00F43578" w:rsidRDefault="00F43578" w:rsidP="00F43578">
      <w:r>
        <w:t>&lt;ESMA_QUESTION_ALGO_40&gt;</w:t>
      </w:r>
    </w:p>
    <w:p w14:paraId="0282737A" w14:textId="77777777" w:rsidR="00F43578" w:rsidRDefault="00F43578" w:rsidP="00F43578">
      <w:permStart w:id="1982406894" w:edGrp="everyone"/>
      <w:r>
        <w:t>TYPE YOUR TEXT HERE</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77777777" w:rsidR="00F43578" w:rsidRDefault="00F43578" w:rsidP="00F43578">
      <w:permStart w:id="788939487" w:edGrp="everyone"/>
      <w:r>
        <w:t>TYPE YOUR TEXT HERE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0DA79E52" w14:textId="77777777" w:rsidR="00F43578" w:rsidRDefault="00F43578" w:rsidP="00F43578">
      <w:permStart w:id="201994906" w:edGrp="everyone"/>
      <w:r>
        <w:t>TYPE YOUR TEXT HERE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6F712A46" w14:textId="77777777" w:rsidR="00F43578" w:rsidRDefault="00F43578" w:rsidP="00F43578">
      <w:permStart w:id="508756802" w:edGrp="everyone"/>
      <w:r>
        <w:t>TYPE YOUR TEXT HERE</w:t>
      </w:r>
    </w:p>
    <w:permEnd w:id="508756802"/>
    <w:p w14:paraId="636FAC4C" w14:textId="77777777" w:rsidR="00F43578" w:rsidRDefault="00F43578" w:rsidP="00F43578">
      <w:r>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F1D32F6" w14:textId="77777777" w:rsidR="00F43578" w:rsidRDefault="00F43578" w:rsidP="00F43578">
      <w:permStart w:id="1520175509" w:edGrp="everyone"/>
      <w:r>
        <w:t>TYPE YOUR TEXT HERE</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11C5E9EC" w14:textId="77777777" w:rsidR="00F43578" w:rsidRDefault="00F43578" w:rsidP="00F43578">
      <w:permStart w:id="263281226" w:edGrp="everyone"/>
      <w:r>
        <w:t>TYPE YOUR TEXT HERE</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lastRenderedPageBreak/>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77777777" w:rsidR="00F43578" w:rsidRDefault="00F43578" w:rsidP="00F43578">
      <w:permStart w:id="132985251" w:edGrp="everyone"/>
      <w:r>
        <w:t>TYPE YOUR TEXT HERE</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77777777" w:rsidR="00F43578" w:rsidRDefault="00F43578" w:rsidP="00F43578">
      <w:permStart w:id="304307406" w:edGrp="everyone"/>
      <w:r>
        <w:t>TYPE YOUR TEXT HERE</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77777777" w:rsidR="00F43578" w:rsidRDefault="00F43578" w:rsidP="00F43578">
      <w:permStart w:id="930559500" w:edGrp="everyone"/>
      <w:r>
        <w:t>TYPE YOUR TEXT HERE</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lastRenderedPageBreak/>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D052E" w14:textId="77777777" w:rsidR="008A5873" w:rsidRDefault="008A5873" w:rsidP="007E7997">
      <w:r>
        <w:separator/>
      </w:r>
    </w:p>
  </w:endnote>
  <w:endnote w:type="continuationSeparator" w:id="0">
    <w:p w14:paraId="364320ED" w14:textId="77777777" w:rsidR="008A5873" w:rsidRDefault="008A5873" w:rsidP="007E7997">
      <w:r>
        <w:continuationSeparator/>
      </w:r>
    </w:p>
  </w:endnote>
  <w:endnote w:type="continuationNotice" w:id="1">
    <w:p w14:paraId="2FABB6FA" w14:textId="77777777" w:rsidR="008A5873" w:rsidRDefault="008A5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E3AA1" w14:textId="77777777" w:rsidR="008A5873" w:rsidRDefault="008A5873" w:rsidP="007E7997">
      <w:r>
        <w:separator/>
      </w:r>
    </w:p>
  </w:footnote>
  <w:footnote w:type="continuationSeparator" w:id="0">
    <w:p w14:paraId="0D2CB0BD" w14:textId="77777777" w:rsidR="008A5873" w:rsidRDefault="008A5873" w:rsidP="007E7997">
      <w:r>
        <w:continuationSeparator/>
      </w:r>
    </w:p>
  </w:footnote>
  <w:footnote w:type="continuationNotice" w:id="1">
    <w:p w14:paraId="38B4EDED" w14:textId="77777777" w:rsidR="008A5873" w:rsidRDefault="008A5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380B"/>
    <w:rsid w:val="000043C0"/>
    <w:rsid w:val="00005505"/>
    <w:rsid w:val="00005CEE"/>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742"/>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EAA"/>
    <w:rsid w:val="000C2400"/>
    <w:rsid w:val="000C299C"/>
    <w:rsid w:val="000C5ACC"/>
    <w:rsid w:val="000D0293"/>
    <w:rsid w:val="000D0850"/>
    <w:rsid w:val="000D1038"/>
    <w:rsid w:val="000D11A9"/>
    <w:rsid w:val="000D2D7B"/>
    <w:rsid w:val="000E2232"/>
    <w:rsid w:val="000E23ED"/>
    <w:rsid w:val="000E3DB1"/>
    <w:rsid w:val="000F0169"/>
    <w:rsid w:val="000F07C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5508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8B9"/>
    <w:rsid w:val="001A1EF4"/>
    <w:rsid w:val="001A7046"/>
    <w:rsid w:val="001A710D"/>
    <w:rsid w:val="001A7E6F"/>
    <w:rsid w:val="001B0A77"/>
    <w:rsid w:val="001B1727"/>
    <w:rsid w:val="001B2151"/>
    <w:rsid w:val="001B395D"/>
    <w:rsid w:val="001B3CFF"/>
    <w:rsid w:val="001B4957"/>
    <w:rsid w:val="001B4996"/>
    <w:rsid w:val="001C0E59"/>
    <w:rsid w:val="001C1906"/>
    <w:rsid w:val="001C432D"/>
    <w:rsid w:val="001C469E"/>
    <w:rsid w:val="001C56C3"/>
    <w:rsid w:val="001C5D8C"/>
    <w:rsid w:val="001C7E0A"/>
    <w:rsid w:val="001D0112"/>
    <w:rsid w:val="001D19F5"/>
    <w:rsid w:val="001D385A"/>
    <w:rsid w:val="001D6B39"/>
    <w:rsid w:val="001E1ECD"/>
    <w:rsid w:val="001E2C80"/>
    <w:rsid w:val="001E3E0D"/>
    <w:rsid w:val="001E449F"/>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77"/>
    <w:rsid w:val="002917B9"/>
    <w:rsid w:val="00291A55"/>
    <w:rsid w:val="0029394C"/>
    <w:rsid w:val="002A13B0"/>
    <w:rsid w:val="002A2C91"/>
    <w:rsid w:val="002A6C21"/>
    <w:rsid w:val="002A780E"/>
    <w:rsid w:val="002B144C"/>
    <w:rsid w:val="002B53F3"/>
    <w:rsid w:val="002C03FD"/>
    <w:rsid w:val="002C044D"/>
    <w:rsid w:val="002C1AA5"/>
    <w:rsid w:val="002C1AAA"/>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2C07"/>
    <w:rsid w:val="003279E7"/>
    <w:rsid w:val="00327B62"/>
    <w:rsid w:val="0033009C"/>
    <w:rsid w:val="00331FE9"/>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0B8D"/>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04"/>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3AA9"/>
    <w:rsid w:val="00455577"/>
    <w:rsid w:val="00456795"/>
    <w:rsid w:val="0046150E"/>
    <w:rsid w:val="00461CC8"/>
    <w:rsid w:val="00462B2F"/>
    <w:rsid w:val="00465EAA"/>
    <w:rsid w:val="004708CA"/>
    <w:rsid w:val="004709E7"/>
    <w:rsid w:val="00470ADE"/>
    <w:rsid w:val="004712C7"/>
    <w:rsid w:val="00474A74"/>
    <w:rsid w:val="004759EB"/>
    <w:rsid w:val="00477919"/>
    <w:rsid w:val="00482611"/>
    <w:rsid w:val="00482A27"/>
    <w:rsid w:val="00487DCE"/>
    <w:rsid w:val="004950B7"/>
    <w:rsid w:val="00497FEA"/>
    <w:rsid w:val="004A691F"/>
    <w:rsid w:val="004B07B2"/>
    <w:rsid w:val="004B0955"/>
    <w:rsid w:val="004B1842"/>
    <w:rsid w:val="004B25D0"/>
    <w:rsid w:val="004B3553"/>
    <w:rsid w:val="004B5E92"/>
    <w:rsid w:val="004C0A30"/>
    <w:rsid w:val="004C1AB8"/>
    <w:rsid w:val="004C357C"/>
    <w:rsid w:val="004C3D18"/>
    <w:rsid w:val="004D42B1"/>
    <w:rsid w:val="004D526F"/>
    <w:rsid w:val="004E19C0"/>
    <w:rsid w:val="004E1C54"/>
    <w:rsid w:val="004E2C37"/>
    <w:rsid w:val="004E5285"/>
    <w:rsid w:val="004F0CF3"/>
    <w:rsid w:val="004F28FA"/>
    <w:rsid w:val="004F5740"/>
    <w:rsid w:val="004F58C9"/>
    <w:rsid w:val="005028B9"/>
    <w:rsid w:val="00505E17"/>
    <w:rsid w:val="00511A59"/>
    <w:rsid w:val="00511C3B"/>
    <w:rsid w:val="00514440"/>
    <w:rsid w:val="005166C3"/>
    <w:rsid w:val="00520F7C"/>
    <w:rsid w:val="00522B70"/>
    <w:rsid w:val="00523974"/>
    <w:rsid w:val="00526E5D"/>
    <w:rsid w:val="00531432"/>
    <w:rsid w:val="00532BC8"/>
    <w:rsid w:val="005333E8"/>
    <w:rsid w:val="00534912"/>
    <w:rsid w:val="005370E7"/>
    <w:rsid w:val="005409B7"/>
    <w:rsid w:val="0054155C"/>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2EEB"/>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3CB8"/>
    <w:rsid w:val="0070427E"/>
    <w:rsid w:val="00704D53"/>
    <w:rsid w:val="007056C3"/>
    <w:rsid w:val="00706072"/>
    <w:rsid w:val="00713644"/>
    <w:rsid w:val="00721256"/>
    <w:rsid w:val="007217AD"/>
    <w:rsid w:val="00723BA1"/>
    <w:rsid w:val="00724A1B"/>
    <w:rsid w:val="00730C44"/>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5873"/>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356"/>
    <w:rsid w:val="0093261E"/>
    <w:rsid w:val="0094008E"/>
    <w:rsid w:val="00941C0C"/>
    <w:rsid w:val="009437F2"/>
    <w:rsid w:val="0094528B"/>
    <w:rsid w:val="00960A8B"/>
    <w:rsid w:val="00961D02"/>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9F5B08"/>
    <w:rsid w:val="00A02199"/>
    <w:rsid w:val="00A026A4"/>
    <w:rsid w:val="00A02B15"/>
    <w:rsid w:val="00A04044"/>
    <w:rsid w:val="00A0779E"/>
    <w:rsid w:val="00A11D0C"/>
    <w:rsid w:val="00A16579"/>
    <w:rsid w:val="00A24843"/>
    <w:rsid w:val="00A26D48"/>
    <w:rsid w:val="00A27E2F"/>
    <w:rsid w:val="00A31C7C"/>
    <w:rsid w:val="00A367AA"/>
    <w:rsid w:val="00A378DF"/>
    <w:rsid w:val="00A37AC6"/>
    <w:rsid w:val="00A410CC"/>
    <w:rsid w:val="00A42B43"/>
    <w:rsid w:val="00A42BD0"/>
    <w:rsid w:val="00A433DC"/>
    <w:rsid w:val="00A460CD"/>
    <w:rsid w:val="00A50761"/>
    <w:rsid w:val="00A5152C"/>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1065"/>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012"/>
    <w:rsid w:val="00B5331D"/>
    <w:rsid w:val="00B543D6"/>
    <w:rsid w:val="00B556B0"/>
    <w:rsid w:val="00B57687"/>
    <w:rsid w:val="00B578E3"/>
    <w:rsid w:val="00B57CE5"/>
    <w:rsid w:val="00B648F2"/>
    <w:rsid w:val="00B64F70"/>
    <w:rsid w:val="00B655D1"/>
    <w:rsid w:val="00B73FF2"/>
    <w:rsid w:val="00B74CBA"/>
    <w:rsid w:val="00B74ED3"/>
    <w:rsid w:val="00B768CF"/>
    <w:rsid w:val="00B77F79"/>
    <w:rsid w:val="00B81A44"/>
    <w:rsid w:val="00B86BB5"/>
    <w:rsid w:val="00B91072"/>
    <w:rsid w:val="00B91B6E"/>
    <w:rsid w:val="00B94B2C"/>
    <w:rsid w:val="00B96F7D"/>
    <w:rsid w:val="00B970D0"/>
    <w:rsid w:val="00BA2D6F"/>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E67C3"/>
    <w:rsid w:val="00CF52DF"/>
    <w:rsid w:val="00CF5832"/>
    <w:rsid w:val="00CF5911"/>
    <w:rsid w:val="00CF7221"/>
    <w:rsid w:val="00CF724E"/>
    <w:rsid w:val="00D059F5"/>
    <w:rsid w:val="00D117F5"/>
    <w:rsid w:val="00D13661"/>
    <w:rsid w:val="00D142BD"/>
    <w:rsid w:val="00D146DE"/>
    <w:rsid w:val="00D17E64"/>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223C"/>
    <w:rsid w:val="00F57787"/>
    <w:rsid w:val="00F61E82"/>
    <w:rsid w:val="00F6243A"/>
    <w:rsid w:val="00F63323"/>
    <w:rsid w:val="00F636FE"/>
    <w:rsid w:val="00F648B2"/>
    <w:rsid w:val="00F67EBD"/>
    <w:rsid w:val="00F70EA4"/>
    <w:rsid w:val="00F714F3"/>
    <w:rsid w:val="00F72AEE"/>
    <w:rsid w:val="00F74B8B"/>
    <w:rsid w:val="00F77851"/>
    <w:rsid w:val="00F80FAB"/>
    <w:rsid w:val="00F81E3B"/>
    <w:rsid w:val="00F827E1"/>
    <w:rsid w:val="00F927B5"/>
    <w:rsid w:val="00F948A9"/>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2.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CC9D69CF-149B-4D2F-89A2-279037685A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36</TotalTime>
  <Pages>15</Pages>
  <Words>3674</Words>
  <Characters>20946</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Mike Bostan</cp:lastModifiedBy>
  <cp:revision>36</cp:revision>
  <cp:lastPrinted>2017-07-24T14:47:00Z</cp:lastPrinted>
  <dcterms:created xsi:type="dcterms:W3CDTF">2021-03-11T13:27:00Z</dcterms:created>
  <dcterms:modified xsi:type="dcterms:W3CDTF">2021-03-11T14:09:00Z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