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el"/>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425CAA7" w:rsidR="00C85C8B" w:rsidRPr="00C85C8B" w:rsidRDefault="000F2D6D" w:rsidP="00C85C8B">
                <w:pPr>
                  <w:rPr>
                    <w:rFonts w:ascii="Arial" w:hAnsi="Arial" w:cs="Arial"/>
                    <w:color w:val="808080"/>
                    <w:sz w:val="20"/>
                    <w:lang w:eastAsia="de-DE"/>
                  </w:rPr>
                </w:pPr>
                <w:r>
                  <w:t>BVI</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388E10D" w:rsidR="00C85C8B" w:rsidRPr="00C85C8B" w:rsidRDefault="00EE568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F2D6D">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8F19045" w:rsidR="00C85C8B" w:rsidRPr="00C85C8B" w:rsidRDefault="000F2D6D"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04CE1A" w:rsidR="00C85C8B" w:rsidRPr="00C85C8B" w:rsidRDefault="000F2D6D"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2BC2E072" w14:textId="6BDC7FA1" w:rsidR="00783F93" w:rsidRDefault="009F4F95" w:rsidP="00C85C8B">
      <w:pPr>
        <w:spacing w:after="250" w:line="276" w:lineRule="auto"/>
        <w:jc w:val="both"/>
        <w:rPr>
          <w:lang w:eastAsia="en-US"/>
        </w:rPr>
      </w:pPr>
      <w:permStart w:id="885457707" w:edGrp="everyone"/>
      <w:r w:rsidRPr="009F4F95">
        <w:rPr>
          <w:lang w:eastAsia="en-US"/>
        </w:rPr>
        <w:t>The BVI</w:t>
      </w:r>
      <w:r>
        <w:t xml:space="preserve"> </w:t>
      </w:r>
      <w:r w:rsidRPr="009F4F95">
        <w:rPr>
          <w:lang w:eastAsia="en-US"/>
        </w:rPr>
        <w:t>gladly takes the opportunity to present its views on</w:t>
      </w:r>
      <w:r w:rsidR="00783F93">
        <w:t xml:space="preserve"> the</w:t>
      </w:r>
      <w:r w:rsidRPr="009F4F95">
        <w:rPr>
          <w:lang w:eastAsia="en-US"/>
        </w:rPr>
        <w:t xml:space="preserve"> ESMAs</w:t>
      </w:r>
      <w:r w:rsidR="00783F93">
        <w:t xml:space="preserve"> </w:t>
      </w:r>
      <w:r w:rsidRPr="009F4F95">
        <w:rPr>
          <w:lang w:eastAsia="en-US"/>
        </w:rPr>
        <w:t>Consultation Paper on the Algorithm Trading.</w:t>
      </w:r>
      <w:r w:rsidR="00783F93" w:rsidRPr="00783F93">
        <w:rPr>
          <w:lang w:eastAsia="en-US"/>
        </w:rPr>
        <w:t xml:space="preserve">  </w:t>
      </w:r>
    </w:p>
    <w:p w14:paraId="4F856DB9" w14:textId="50CF8FA2" w:rsidR="00783F93" w:rsidRDefault="00783F93" w:rsidP="00C85C8B">
      <w:pPr>
        <w:spacing w:after="250" w:line="276" w:lineRule="auto"/>
        <w:jc w:val="both"/>
        <w:rPr>
          <w:lang w:eastAsia="en-US"/>
        </w:rPr>
      </w:pPr>
      <w:r w:rsidRPr="00783F93">
        <w:rPr>
          <w:lang w:eastAsia="en-US"/>
        </w:rPr>
        <w:t>BVI represents the interests of the German fund industry at national and international level. The association promotes sensible regulation of the fund business as well as fair competition vis-à-vis policy makers and regulators. Asset Managers act as trustees in the sole interest of the investor and are subject to strict regulation. Funds match funding investors and the capital demands of companies and governments, thus fulfilling an important macro-economic function. BVI’s 112 members manage assets more than 3.</w:t>
      </w:r>
      <w:r w:rsidR="00EE5689">
        <w:t>85</w:t>
      </w:r>
      <w:r w:rsidRPr="00783F93">
        <w:rPr>
          <w:lang w:eastAsia="en-US"/>
        </w:rPr>
        <w:t xml:space="preserve"> trillion euros for retail investors, insurance companies, pension and reti</w:t>
      </w:r>
      <w:bookmarkStart w:id="1" w:name="_GoBack"/>
      <w:bookmarkEnd w:id="1"/>
      <w:r w:rsidRPr="00783F93">
        <w:rPr>
          <w:lang w:eastAsia="en-US"/>
        </w:rPr>
        <w:t>rement schemes, banks, churches and foundations. With a share of 27%, Germany represents the largest fund market in the EU. BVI’s ID number in the EU Transparency Register is 96816064173-47. For more information, please visit www.bvi.de/en.</w:t>
      </w:r>
    </w:p>
    <w:permEnd w:id="885457707"/>
    <w:p w14:paraId="15D00E65" w14:textId="206BA51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03198B52" w14:textId="20CF681D" w:rsidR="00F43578" w:rsidRDefault="007014A9" w:rsidP="00F43578">
      <w:permStart w:id="286478064" w:edGrp="everyone"/>
      <w:r w:rsidRPr="007014A9">
        <w:rPr>
          <w:rFonts w:eastAsiaTheme="majorEastAsia"/>
          <w:lang w:val="en"/>
        </w:rPr>
        <w:t>Partial automation in trading by means of algo trading functionalities is now</w:t>
      </w:r>
      <w:r w:rsidR="006A3C3C">
        <w:rPr>
          <w:rFonts w:eastAsiaTheme="majorEastAsia"/>
        </w:rPr>
        <w:t xml:space="preserve">adays </w:t>
      </w:r>
      <w:r w:rsidRPr="007014A9">
        <w:rPr>
          <w:rFonts w:eastAsiaTheme="majorEastAsia"/>
          <w:lang w:val="en"/>
        </w:rPr>
        <w:t xml:space="preserve">common </w:t>
      </w:r>
      <w:proofErr w:type="spellStart"/>
      <w:r w:rsidR="006A3C3C">
        <w:rPr>
          <w:rFonts w:eastAsiaTheme="majorEastAsia"/>
        </w:rPr>
        <w:t>i</w:t>
      </w:r>
      <w:proofErr w:type="spellEnd"/>
      <w:r w:rsidRPr="007014A9">
        <w:rPr>
          <w:rFonts w:eastAsiaTheme="majorEastAsia"/>
          <w:lang w:val="en"/>
        </w:rPr>
        <w:t xml:space="preserve">n </w:t>
      </w:r>
      <w:r w:rsidR="006A3C3C">
        <w:rPr>
          <w:rFonts w:eastAsiaTheme="majorEastAsia"/>
        </w:rPr>
        <w:t>asset management</w:t>
      </w:r>
      <w:r w:rsidRPr="007014A9">
        <w:rPr>
          <w:rFonts w:eastAsiaTheme="majorEastAsia"/>
          <w:lang w:val="en"/>
        </w:rPr>
        <w:t xml:space="preserve">. In principle, we consider the existing regulations </w:t>
      </w:r>
      <w:r>
        <w:rPr>
          <w:rFonts w:eastAsiaTheme="majorEastAsia"/>
        </w:rPr>
        <w:t>for algo trading and t</w:t>
      </w:r>
      <w:r w:rsidRPr="007014A9">
        <w:rPr>
          <w:rFonts w:eastAsiaTheme="majorEastAsia"/>
          <w:lang w:val="en"/>
        </w:rPr>
        <w:t xml:space="preserve">he criteria for delimiting the regulation of high-frequency trading </w:t>
      </w:r>
      <w:r>
        <w:rPr>
          <w:rFonts w:eastAsiaTheme="majorEastAsia"/>
        </w:rPr>
        <w:t>as</w:t>
      </w:r>
      <w:r w:rsidRPr="007014A9">
        <w:rPr>
          <w:rFonts w:eastAsiaTheme="majorEastAsia"/>
          <w:lang w:val="en"/>
        </w:rPr>
        <w:t xml:space="preserve"> appropriate. The use of algo trading is helpful and manageable for asset management, provided that the user is able to adequately assess the underlying functions, roles and technical mechanisms</w:t>
      </w:r>
      <w:r>
        <w:rPr>
          <w:rFonts w:eastAsiaTheme="majorEastAsia"/>
        </w:rPr>
        <w:t xml:space="preserve"> of algo trading routines</w:t>
      </w:r>
      <w:r w:rsidRPr="007014A9">
        <w:rPr>
          <w:rFonts w:eastAsiaTheme="majorEastAsia"/>
          <w:lang w:val="en"/>
        </w:rPr>
        <w:t>.</w:t>
      </w:r>
      <w:r w:rsidRPr="007014A9">
        <w:t xml:space="preserve"> </w:t>
      </w:r>
      <w:permEnd w:id="286478064"/>
      <w:r w:rsidR="00F43578">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77777777" w:rsidR="00F43578" w:rsidRDefault="00F43578" w:rsidP="00F43578">
      <w:permStart w:id="1917137949" w:edGrp="everyone"/>
      <w:r>
        <w:t>TYPE YOUR TEXT HERE</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77777777" w:rsidR="00F43578" w:rsidRDefault="00F43578" w:rsidP="00F43578">
      <w:permStart w:id="1761220304" w:edGrp="everyone"/>
      <w:r>
        <w:t>TYPE YOUR TEXT HERE</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77777777" w:rsidR="00F43578" w:rsidRDefault="00F43578" w:rsidP="00F43578">
      <w:permStart w:id="1759576576" w:edGrp="everyone"/>
      <w:r>
        <w:t>TYPE YOUR TEXT HERE</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lastRenderedPageBreak/>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77777777" w:rsidR="00F43578" w:rsidRDefault="00F43578" w:rsidP="00F43578">
      <w:permStart w:id="1735736236" w:edGrp="everyone"/>
      <w:r>
        <w:t>TYPE YOUR TEXT HERE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77777777" w:rsidR="00F43578" w:rsidRDefault="00F43578" w:rsidP="00F43578">
      <w:permStart w:id="714028646" w:edGrp="everyone"/>
      <w:r>
        <w:t>TYPE YOUR TEXT HERE</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7777777" w:rsidR="00F43578" w:rsidRDefault="00F43578" w:rsidP="00F43578">
      <w:permStart w:id="1308445152" w:edGrp="everyone"/>
      <w:r>
        <w:t>TYPE YOUR TEXT HERE</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lastRenderedPageBreak/>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77777777" w:rsidR="00F43578" w:rsidRDefault="00F43578" w:rsidP="00F43578">
      <w:permStart w:id="1436643470" w:edGrp="everyone"/>
      <w:r>
        <w:t>TYPE YOUR TEXT HERE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77777777" w:rsidR="00F43578" w:rsidRDefault="00F43578" w:rsidP="00F43578">
      <w:permStart w:id="1585009624" w:edGrp="everyone"/>
      <w:r>
        <w:t>TYPE YOUR TEXT HERE</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7777777" w:rsidR="00F43578" w:rsidRDefault="00F43578" w:rsidP="00F43578">
      <w:permStart w:id="1815021170" w:edGrp="everyone"/>
      <w:r>
        <w:t>TYPE YOUR TEXT HERE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77777777" w:rsidR="00F43578" w:rsidRDefault="00F43578" w:rsidP="00F43578">
      <w:permStart w:id="935476495" w:edGrp="everyone"/>
      <w:r>
        <w:t>TYPE YOUR TEXT HERE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lastRenderedPageBreak/>
        <w:t>&lt;ESMA_QUESTION_ALGO_19&gt;</w:t>
      </w:r>
    </w:p>
    <w:p w14:paraId="09370067" w14:textId="77777777" w:rsidR="00F43578" w:rsidRDefault="00F43578" w:rsidP="00F43578">
      <w:permStart w:id="91701692" w:edGrp="everyone"/>
      <w:r>
        <w:t>TYPE YOUR TEXT HERE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77777777" w:rsidR="00F43578" w:rsidRDefault="00F43578" w:rsidP="00F43578">
      <w:permStart w:id="1799384931" w:edGrp="everyone"/>
      <w:r>
        <w:t>TYPE YOUR TEXT HERE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77777777" w:rsidR="00F43578" w:rsidRDefault="00F43578" w:rsidP="00F43578">
      <w:permStart w:id="400963781" w:edGrp="everyone"/>
      <w:r>
        <w:t>TYPE YOUR TEXT HERE</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77777777" w:rsidR="00F43578" w:rsidRDefault="00F43578" w:rsidP="00F43578">
      <w:permStart w:id="1148655378" w:edGrp="everyone"/>
      <w:r>
        <w:t>TYPE YOUR TEXT HERE</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77777777" w:rsidR="00F43578" w:rsidRDefault="00F43578" w:rsidP="00F43578">
      <w:permStart w:id="1410487780" w:edGrp="everyone"/>
      <w:r>
        <w:t>TYPE YOUR TEXT HERE</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lastRenderedPageBreak/>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7777777" w:rsidR="00F43578" w:rsidRDefault="00F43578" w:rsidP="00F43578">
      <w:permStart w:id="1397362070" w:edGrp="everyone"/>
      <w:r>
        <w:t>TYPE YOUR TEXT HERE</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7777777" w:rsidR="00F43578" w:rsidRDefault="00F43578" w:rsidP="00F43578">
      <w:permStart w:id="136737856" w:edGrp="everyone"/>
      <w:r>
        <w:t>TYPE YOUR TEXT HERE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7777777" w:rsidR="00F43578" w:rsidRDefault="00F43578" w:rsidP="00F43578">
      <w:permStart w:id="524302610" w:edGrp="everyone"/>
      <w:r>
        <w:t>TYPE YOUR TEXT HERE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7777777" w:rsidR="00F43578" w:rsidRDefault="00F43578" w:rsidP="00F43578">
      <w:permStart w:id="2087265348" w:edGrp="everyone"/>
      <w:r>
        <w:t>TYPE YOUR TEXT HERE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F81CA8B" w14:textId="77777777" w:rsidR="00F43578" w:rsidRDefault="00F43578" w:rsidP="00F43578">
      <w:permStart w:id="1506355568" w:edGrp="everyone"/>
      <w:r>
        <w:lastRenderedPageBreak/>
        <w:t>TYPE YOUR TEXT HERE</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7777777" w:rsidR="00F43578" w:rsidRDefault="00F43578" w:rsidP="00F43578">
      <w:permStart w:id="2142314160" w:edGrp="everyone"/>
      <w:r>
        <w:t>TYPE YOUR TEXT HERE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7660AD32" w14:textId="4A12FB56" w:rsidR="00F43578" w:rsidRDefault="000F2D6D" w:rsidP="00F43578">
      <w:permStart w:id="1081607916" w:edGrp="everyone"/>
      <w:r w:rsidRPr="000F2D6D">
        <w:t>Sufficient information on a</w:t>
      </w:r>
      <w:r>
        <w:t xml:space="preserve">n outage </w:t>
      </w:r>
      <w:r w:rsidRPr="000F2D6D">
        <w:t xml:space="preserve">as well as transparency with regard to the type, </w:t>
      </w:r>
      <w:r>
        <w:t>degree</w:t>
      </w:r>
      <w:r w:rsidRPr="000F2D6D">
        <w:t xml:space="preserve"> and expected duration of the restriction on trading would be desirable. Especially in volatile markets, prompt information to financial market participants and the public is necessary in order to mitigate potential </w:t>
      </w:r>
      <w:proofErr w:type="spellStart"/>
      <w:r w:rsidRPr="000F2D6D">
        <w:t>spillover</w:t>
      </w:r>
      <w:proofErr w:type="spellEnd"/>
      <w:r w:rsidRPr="000F2D6D">
        <w:t xml:space="preserve"> effects stemming from the outage and avoid straining market confidence.</w:t>
      </w:r>
      <w:permEnd w:id="1081607916"/>
      <w:r w:rsidR="00F43578">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bookmarkStart w:id="2" w:name="_Hlk66361620"/>
      <w:r>
        <w:t>: Do you believe any initiative should be put forward to ensure there is more continuity on trading in case of an outage on the main market, e.g. by requiring algo traders to use more than one reference data point?</w:t>
      </w:r>
    </w:p>
    <w:bookmarkEnd w:id="2"/>
    <w:p w14:paraId="75DCA1E3" w14:textId="77777777" w:rsidR="00F43578" w:rsidRDefault="00F43578" w:rsidP="00F43578">
      <w:r>
        <w:t>&lt;ESMA_QUESTION_ALGO_36&gt;</w:t>
      </w:r>
    </w:p>
    <w:p w14:paraId="00BC7C87" w14:textId="544EAB67" w:rsidR="00F43578" w:rsidRDefault="009B63B9" w:rsidP="00F43578">
      <w:bookmarkStart w:id="3" w:name="_Hlk66361603"/>
      <w:permStart w:id="1046965136" w:edGrp="everyone"/>
      <w:r w:rsidRPr="009B63B9">
        <w:t>We would welcome an initiative in this subject</w:t>
      </w:r>
      <w:r>
        <w:t xml:space="preserve">. </w:t>
      </w:r>
      <w:r w:rsidRPr="009B63B9">
        <w:t>However, the scope of such initiative should not be limited to the effects but emphasize the causes of outages as the starting point when exploring measures to improve continuity of trading. Access to more than one reference data point may not solve the inherent problem of reliable price formation if the primary source of reference prices stemming from the deepest pool of liqui</w:t>
      </w:r>
      <w:r w:rsidR="002C7B2E">
        <w:t>di</w:t>
      </w:r>
      <w:r w:rsidRPr="009B63B9">
        <w:t xml:space="preserve">ty for certain instruments ceases to function for a considerable </w:t>
      </w:r>
      <w:r>
        <w:t xml:space="preserve">period of </w:t>
      </w:r>
      <w:r w:rsidRPr="009B63B9">
        <w:t>time.</w:t>
      </w:r>
      <w:bookmarkEnd w:id="3"/>
      <w:r w:rsidRPr="009B63B9">
        <w:t>.</w:t>
      </w:r>
      <w:permEnd w:id="1046965136"/>
      <w:r w:rsidR="00F43578">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lastRenderedPageBreak/>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7777777" w:rsidR="00F43578" w:rsidRDefault="00F43578" w:rsidP="00F43578">
      <w:permStart w:id="788939487" w:edGrp="everyone"/>
      <w:r>
        <w:t>TYPE YOUR TEXT HERE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77777777" w:rsidR="00F43578" w:rsidRDefault="00F43578" w:rsidP="00F43578">
      <w:permStart w:id="201994906" w:edGrp="everyone"/>
      <w:r>
        <w:t>TYPE YOUR TEXT HERE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6F712A46" w14:textId="77777777" w:rsidR="00F43578" w:rsidRDefault="00F43578" w:rsidP="00F43578">
      <w:permStart w:id="508756802" w:edGrp="everyone"/>
      <w:r>
        <w:t>TYPE YOUR TEXT HERE</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77777777" w:rsidR="00F43578" w:rsidRDefault="00F43578" w:rsidP="00F43578">
      <w:permStart w:id="1520175509" w:edGrp="everyone"/>
      <w:r>
        <w:lastRenderedPageBreak/>
        <w:t>TYPE YOUR TEXT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lastRenderedPageBreak/>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CBF21" w14:textId="77777777" w:rsidR="00D17E64" w:rsidRDefault="00D17E64" w:rsidP="007E7997">
      <w:r>
        <w:separator/>
      </w:r>
    </w:p>
  </w:endnote>
  <w:endnote w:type="continuationSeparator" w:id="0">
    <w:p w14:paraId="55472AC0" w14:textId="77777777" w:rsidR="00D17E64" w:rsidRDefault="00D17E64" w:rsidP="007E7997">
      <w:r>
        <w:continuationSeparator/>
      </w:r>
    </w:p>
  </w:endnote>
  <w:endnote w:type="continuationNotice" w:id="1">
    <w:p w14:paraId="7E649101" w14:textId="77777777" w:rsidR="00D17E64" w:rsidRDefault="00D1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3DD69B4E"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F0305" w14:textId="77777777" w:rsidR="00D17E64" w:rsidRDefault="00D17E64" w:rsidP="007E7997">
      <w:r>
        <w:separator/>
      </w:r>
    </w:p>
  </w:footnote>
  <w:footnote w:type="continuationSeparator" w:id="0">
    <w:p w14:paraId="415CB48A" w14:textId="77777777" w:rsidR="00D17E64" w:rsidRDefault="00D17E64" w:rsidP="007E7997">
      <w:r>
        <w:continuationSeparator/>
      </w:r>
    </w:p>
  </w:footnote>
  <w:footnote w:type="continuationNotice" w:id="1">
    <w:p w14:paraId="7F11C162" w14:textId="77777777" w:rsidR="00D17E64" w:rsidRDefault="00D17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Kopfzeil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606"/>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2D6D"/>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C7B2E"/>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3C3C"/>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14A9"/>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1E4B"/>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3F93"/>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0D11"/>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63B9"/>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9F4F95"/>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2971"/>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5689"/>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documentManagement/types"/>
    <ds:schemaRef ds:uri="http://schemas.microsoft.com/sharepoint/v3"/>
    <ds:schemaRef ds:uri="http://purl.org/dc/dcmitype/"/>
    <ds:schemaRef ds:uri="http://schemas.microsoft.com/sharepoint/v4"/>
    <ds:schemaRef ds:uri="http://schemas.microsoft.com/office/infopath/2007/PartnerControls"/>
    <ds:schemaRef ds:uri="http://purl.org/dc/terms/"/>
    <ds:schemaRef ds:uri="http://schemas.openxmlformats.org/package/2006/metadata/core-properties"/>
    <ds:schemaRef ds:uri="http://schemas.microsoft.com/office/2006/metadata/properties"/>
    <ds:schemaRef ds:uri="20fbe147-bbda-4e53-b6b1-7e8bbff3fe19"/>
    <ds:schemaRef ds:uri="http://www.w3.org/XML/1998/namespace"/>
    <ds:schemaRef ds:uri="http://purl.org/dc/elements/1.1/"/>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AC9FB91E-8EA3-4694-82A4-1E7E6BEB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13</Pages>
  <Words>2542</Words>
  <Characters>16020</Characters>
  <Application>Microsoft Office Word</Application>
  <DocSecurity>8</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Jenny Seydel</cp:lastModifiedBy>
  <cp:revision>7</cp:revision>
  <cp:lastPrinted>2017-07-24T14:47:00Z</cp:lastPrinted>
  <dcterms:created xsi:type="dcterms:W3CDTF">2021-03-11T12:31:00Z</dcterms:created>
  <dcterms:modified xsi:type="dcterms:W3CDTF">2021-03-16T10:34:00Z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