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78DEB6F6" w:rsidR="00C92E09" w:rsidRPr="00C92E09" w:rsidRDefault="00C92E09" w:rsidP="00C92E09">
                <w:pPr>
                  <w:pStyle w:val="Titel"/>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the </w:t>
                </w:r>
                <w:r w:rsidR="00607CC8">
                  <w:rPr>
                    <w:rFonts w:cs="Arial"/>
                    <w:sz w:val="40"/>
                    <w:szCs w:val="40"/>
                  </w:rPr>
                  <w:t>Algorithim Trading</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BDC0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07CC8">
            <w:rPr>
              <w:rFonts w:asciiTheme="minorHAnsi" w:eastAsiaTheme="minorEastAsia" w:hAnsiTheme="minorHAnsi" w:cstheme="minorBidi"/>
              <w:b/>
              <w:sz w:val="22"/>
              <w:szCs w:val="20"/>
              <w:lang w:eastAsia="en-US"/>
            </w:rPr>
            <w:t>1</w:t>
          </w:r>
          <w:r w:rsidR="003F56B0">
            <w:rPr>
              <w:rFonts w:asciiTheme="minorHAnsi" w:eastAsiaTheme="minorEastAsia" w:hAnsiTheme="minorHAnsi" w:cstheme="minorBidi"/>
              <w:b/>
              <w:sz w:val="22"/>
              <w:szCs w:val="20"/>
              <w:lang w:eastAsia="en-US"/>
            </w:rPr>
            <w:t>2</w:t>
          </w:r>
          <w:r w:rsidR="009C223D" w:rsidRPr="0004778B">
            <w:rPr>
              <w:rFonts w:asciiTheme="minorHAnsi" w:eastAsiaTheme="minorEastAsia" w:hAnsiTheme="minorHAnsi" w:cstheme="minorBidi"/>
              <w:b/>
              <w:sz w:val="22"/>
              <w:szCs w:val="20"/>
              <w:lang w:eastAsia="en-US"/>
            </w:rPr>
            <w:t>/</w:t>
          </w:r>
          <w:r w:rsidR="00607CC8">
            <w:rPr>
              <w:rFonts w:asciiTheme="minorHAnsi" w:eastAsiaTheme="minorEastAsia" w:hAnsiTheme="minorHAnsi" w:cstheme="minorBidi"/>
              <w:b/>
              <w:sz w:val="22"/>
              <w:szCs w:val="20"/>
              <w:lang w:eastAsia="en-US"/>
            </w:rPr>
            <w:t>03</w:t>
          </w:r>
          <w:r w:rsidR="009C223D" w:rsidRPr="0004778B">
            <w:rPr>
              <w:rFonts w:asciiTheme="minorHAnsi" w:eastAsiaTheme="minorEastAsia" w:hAnsiTheme="minorHAnsi" w:cstheme="minorBidi"/>
              <w:b/>
              <w:sz w:val="22"/>
              <w:szCs w:val="20"/>
              <w:lang w:eastAsia="en-US"/>
            </w:rPr>
            <w:t>/202</w:t>
          </w:r>
          <w:r w:rsidR="00607CC8">
            <w:rPr>
              <w:rFonts w:asciiTheme="minorHAnsi" w:eastAsiaTheme="minorEastAsia" w:hAnsiTheme="minorHAnsi" w:cstheme="minorBidi"/>
              <w:b/>
              <w:sz w:val="22"/>
              <w:szCs w:val="20"/>
              <w:lang w:eastAsia="en-US"/>
            </w:rPr>
            <w:t>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jstaline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0E0AB66" w:rsidR="00C85C8B" w:rsidRPr="00C85C8B" w:rsidRDefault="00C85C8B" w:rsidP="00C85C8B">
          <w:pPr>
            <w:pStyle w:val="Lijstaline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607CC8">
            <w:rPr>
              <w:rFonts w:eastAsiaTheme="minorEastAsia" w:cstheme="minorBidi"/>
              <w:szCs w:val="20"/>
              <w:lang w:eastAsia="en-US"/>
            </w:rPr>
            <w:t>ALGO</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jstaline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0F5CB2A" w:rsidR="00C85C8B" w:rsidRPr="00C85C8B" w:rsidRDefault="00C85C8B" w:rsidP="00C85C8B">
          <w:pPr>
            <w:pStyle w:val="Lijstaline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607CC8">
            <w:rPr>
              <w:rFonts w:eastAsiaTheme="minorEastAsia" w:cstheme="minorBidi"/>
              <w:szCs w:val="20"/>
              <w:lang w:eastAsia="en-US"/>
            </w:rPr>
            <w:t>ALGO</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320EE66B" w:rsidR="00C85C8B" w:rsidRPr="00C85C8B" w:rsidRDefault="00C85C8B" w:rsidP="00C85C8B">
          <w:pPr>
            <w:pStyle w:val="Lijstaline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607CC8">
            <w:rPr>
              <w:rFonts w:eastAsiaTheme="minorEastAsia" w:cstheme="minorBidi"/>
              <w:szCs w:val="20"/>
              <w:lang w:eastAsia="en-US"/>
            </w:rPr>
            <w:t xml:space="preserve"> Algorithmic Trading</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EuVECA managers and their trade associations, (ii) distributors of UCITS, alternative investment funds, EuSEFs and EuVECAs, as well as (iii) institutional and retail investors investing into UCITS, alternative investment funds, EuSEFs and/or EuVECAs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Kop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0CE91DBA" w:rsidR="00C85C8B" w:rsidRPr="00C85C8B" w:rsidRDefault="001C556D" w:rsidP="00C85C8B">
                <w:pPr>
                  <w:rPr>
                    <w:rFonts w:ascii="Arial" w:hAnsi="Arial" w:cs="Arial"/>
                    <w:color w:val="808080"/>
                    <w:sz w:val="20"/>
                    <w:lang w:eastAsia="de-DE"/>
                  </w:rPr>
                </w:pPr>
                <w:r>
                  <w:t>Association of Proprietary Traders</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2A16A0DC" w:rsidR="00C85C8B" w:rsidRPr="00C85C8B" w:rsidRDefault="00CE6CA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C556D">
                  <w:rPr>
                    <w:rFonts w:ascii="Arial" w:hAnsi="Arial" w:cs="Arial"/>
                    <w:sz w:val="20"/>
                    <w:lang w:eastAsia="de-DE"/>
                  </w:rPr>
                  <w:t>Investment Services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77EF0CC9" w:rsidR="00C85C8B" w:rsidRPr="00C85C8B" w:rsidRDefault="001C556D"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6CD5B5B" w:rsidR="00C85C8B" w:rsidRPr="00C85C8B" w:rsidRDefault="001C556D" w:rsidP="00C85C8B">
                <w:pPr>
                  <w:rPr>
                    <w:rFonts w:ascii="Arial" w:hAnsi="Arial" w:cs="Arial"/>
                    <w:sz w:val="20"/>
                    <w:lang w:eastAsia="de-DE"/>
                  </w:rPr>
                </w:pPr>
                <w:r>
                  <w:rPr>
                    <w:rFonts w:ascii="Arial" w:hAnsi="Arial" w:cs="Arial"/>
                    <w:sz w:val="20"/>
                    <w:lang w:eastAsia="de-DE"/>
                  </w:rPr>
                  <w:t>Netherlands</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3054F1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theme="minorBidi"/>
          <w:sz w:val="22"/>
          <w:szCs w:val="20"/>
          <w:lang w:eastAsia="en-US"/>
        </w:rPr>
        <w:t>ALGO</w:t>
      </w:r>
      <w:r w:rsidRPr="00C85C8B">
        <w:rPr>
          <w:rFonts w:asciiTheme="minorHAnsi" w:eastAsiaTheme="minorEastAsia" w:hAnsiTheme="minorHAnsi" w:cstheme="minorBidi"/>
          <w:sz w:val="22"/>
          <w:szCs w:val="20"/>
          <w:lang w:eastAsia="en-US"/>
        </w:rPr>
        <w:t>_1&gt;</w:t>
      </w:r>
    </w:p>
    <w:p w14:paraId="02AF2FF9" w14:textId="1012A948" w:rsidR="00C85C8B" w:rsidRDefault="001C556D" w:rsidP="001C556D">
      <w:permStart w:id="885457707" w:edGrp="everyone"/>
      <w:r w:rsidRPr="001C556D">
        <w:t xml:space="preserve">APT is the trade association of proprietary trading firms based in the Netherlands. Amsterdam is an important centre within the Capital Markets Union. </w:t>
      </w:r>
      <w:r w:rsidR="00BC2DA8">
        <w:t>Amsterdam based t</w:t>
      </w:r>
      <w:r w:rsidRPr="001C556D">
        <w:t>rading firms ensure liquidity on trading venues across the EU, by issuing prices in all circumstances and by continuously buying and selling financial instruments in larger, smaller and green funds. Competition between firms has led to technological advancement, algorithmic trading gaining importance and trading in securities becoming more efficient, transparent and affordable. EU based trading firms are leading liquidity providers on major trading venues around the world.</w:t>
      </w:r>
    </w:p>
    <w:p w14:paraId="526ABF99" w14:textId="4D12866B" w:rsidR="006975A5" w:rsidRDefault="006975A5" w:rsidP="001C556D"/>
    <w:p w14:paraId="3AB1EA7F" w14:textId="51B4BE35" w:rsidR="006975A5" w:rsidRPr="001C556D" w:rsidRDefault="006975A5" w:rsidP="001C556D">
      <w:bookmarkStart w:id="1" w:name="_Hlk65691578"/>
      <w:r>
        <w:t xml:space="preserve">We will </w:t>
      </w:r>
      <w:r w:rsidR="0040056B">
        <w:t xml:space="preserve">restrict our answers to </w:t>
      </w:r>
      <w:r>
        <w:t>questions 9</w:t>
      </w:r>
      <w:r w:rsidR="0040056B">
        <w:t xml:space="preserve"> on the </w:t>
      </w:r>
      <w:r>
        <w:t>scope of algorithmic trading</w:t>
      </w:r>
      <w:r w:rsidR="0040056B">
        <w:t xml:space="preserve">, </w:t>
      </w:r>
      <w:r>
        <w:t>15-22 and 25-26,</w:t>
      </w:r>
      <w:r w:rsidR="0040056B">
        <w:t xml:space="preserve"> mainly </w:t>
      </w:r>
      <w:r>
        <w:t>with suggestion for improvement around RTS 6 and 7</w:t>
      </w:r>
      <w:r w:rsidR="0040056B">
        <w:t xml:space="preserve">, </w:t>
      </w:r>
      <w:r w:rsidR="00BC2DA8">
        <w:t xml:space="preserve">35-36 on market resilience, </w:t>
      </w:r>
      <w:r w:rsidR="0040056B">
        <w:t>42-44 on market making, 48-50 on</w:t>
      </w:r>
      <w:r w:rsidR="00BC2DA8">
        <w:t xml:space="preserve"> speed bumps</w:t>
      </w:r>
      <w:r w:rsidR="0040056B">
        <w:t xml:space="preserve"> and 52 on asymmetry</w:t>
      </w:r>
      <w:bookmarkEnd w:id="1"/>
      <w:r w:rsidR="0040056B">
        <w:t>.</w:t>
      </w:r>
    </w:p>
    <w:permEnd w:id="885457707"/>
    <w:p w14:paraId="15D00E65" w14:textId="1BA2394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Arial"/>
          <w:sz w:val="22"/>
          <w:szCs w:val="20"/>
          <w:lang w:eastAsia="en-US"/>
        </w:rPr>
        <w:t>ALGO</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bookmarkEnd w:id="0"/>
    <w:p w14:paraId="289A1E31" w14:textId="631E2F3B" w:rsidR="00AB6157" w:rsidRDefault="00AB6157" w:rsidP="00C1698A">
      <w:pPr>
        <w:spacing w:line="276" w:lineRule="auto"/>
        <w:rPr>
          <w:rFonts w:asciiTheme="minorHAnsi" w:hAnsiTheme="minorHAnsi" w:cstheme="minorHAnsi"/>
          <w:b/>
          <w:sz w:val="28"/>
          <w:szCs w:val="28"/>
        </w:rPr>
      </w:pPr>
    </w:p>
    <w:p w14:paraId="1755FD34" w14:textId="77777777" w:rsidR="00F43578" w:rsidRDefault="00F43578" w:rsidP="00F43578">
      <w:pPr>
        <w:pStyle w:val="Questionstyle"/>
        <w:numPr>
          <w:ilvl w:val="0"/>
          <w:numId w:val="17"/>
        </w:numPr>
        <w:spacing w:after="250" w:line="276" w:lineRule="auto"/>
        <w:rPr>
          <w:lang w:val="en-US" w:eastAsia="en-US"/>
        </w:rPr>
      </w:pPr>
      <w:r>
        <w:t>: What is your overall assessment of the MiFID II framework for algorithmic trading, HFT and DEA?</w:t>
      </w:r>
    </w:p>
    <w:p w14:paraId="58DF7D8B" w14:textId="77777777" w:rsidR="00F43578" w:rsidRDefault="00F43578" w:rsidP="00F43578">
      <w:r>
        <w:t>&lt;ESMA_QUESTION_ALGO_1&gt;</w:t>
      </w:r>
    </w:p>
    <w:p w14:paraId="10E02C8B" w14:textId="3848FD0A" w:rsidR="00F43578" w:rsidRDefault="00957358" w:rsidP="00F43578">
      <w:permStart w:id="286478064" w:edGrp="everyone"/>
      <w:r>
        <w:t xml:space="preserve"> </w:t>
      </w:r>
      <w:bookmarkStart w:id="2" w:name="_Hlk66271690"/>
      <w:r w:rsidRPr="00957358">
        <w:t xml:space="preserve">We believe that </w:t>
      </w:r>
      <w:r>
        <w:t xml:space="preserve">on the whole </w:t>
      </w:r>
      <w:r w:rsidRPr="00957358">
        <w:t xml:space="preserve">the framework </w:t>
      </w:r>
      <w:r>
        <w:t xml:space="preserve">works </w:t>
      </w:r>
      <w:r w:rsidRPr="00957358">
        <w:t xml:space="preserve">well, </w:t>
      </w:r>
      <w:r>
        <w:t xml:space="preserve">as </w:t>
      </w:r>
      <w:r w:rsidR="009423AB">
        <w:t xml:space="preserve">was also shown </w:t>
      </w:r>
      <w:r w:rsidRPr="00957358">
        <w:t xml:space="preserve">during </w:t>
      </w:r>
      <w:r>
        <w:t>the volatile first quarter</w:t>
      </w:r>
      <w:r w:rsidRPr="00957358">
        <w:t xml:space="preserve"> </w:t>
      </w:r>
      <w:r>
        <w:t xml:space="preserve">of </w:t>
      </w:r>
      <w:r w:rsidRPr="00957358">
        <w:t>2020. Trading venues and market participants that use algorithmic trading technology have proven to be very resilient</w:t>
      </w:r>
      <w:r>
        <w:t xml:space="preserve"> </w:t>
      </w:r>
      <w:r w:rsidRPr="00957358">
        <w:t>in stressed markets</w:t>
      </w:r>
      <w:bookmarkEnd w:id="2"/>
      <w:r w:rsidRPr="00957358">
        <w:t>.</w:t>
      </w:r>
    </w:p>
    <w:permEnd w:id="286478064"/>
    <w:p w14:paraId="03198B52" w14:textId="77777777" w:rsidR="00F43578" w:rsidRDefault="00F43578" w:rsidP="00F43578">
      <w:r>
        <w:t>&lt;ESMA_QUESTION_ALGO_1&gt;</w:t>
      </w:r>
    </w:p>
    <w:p w14:paraId="06026C75" w14:textId="77777777" w:rsidR="00F43578" w:rsidRDefault="00F43578" w:rsidP="00F43578"/>
    <w:p w14:paraId="260789AB" w14:textId="77777777" w:rsidR="00F43578" w:rsidRDefault="00F43578" w:rsidP="00F43578">
      <w:pPr>
        <w:pStyle w:val="Questionstyle"/>
        <w:numPr>
          <w:ilvl w:val="0"/>
          <w:numId w:val="17"/>
        </w:numPr>
        <w:spacing w:after="250" w:line="276" w:lineRule="auto"/>
      </w:pPr>
      <w:r>
        <w:t>: In your views, are there risks other than the one mentioned in MiFID II or impacts on market structure developments due to market electronification/ algorithmic trading that would deserve further regulatory attention? Please elaborate.</w:t>
      </w:r>
    </w:p>
    <w:p w14:paraId="0A392255" w14:textId="77777777" w:rsidR="00F43578" w:rsidRDefault="00F43578" w:rsidP="00F43578">
      <w:r>
        <w:t>&lt;ESMA_QUESTION_ALGO_2&gt;</w:t>
      </w:r>
    </w:p>
    <w:p w14:paraId="4CE6CA77" w14:textId="582AF3C3" w:rsidR="00F43578" w:rsidRDefault="00957358" w:rsidP="00F43578">
      <w:permStart w:id="1917137949" w:edGrp="everyone"/>
      <w:r>
        <w:t>No comment</w:t>
      </w:r>
    </w:p>
    <w:permEnd w:id="1917137949"/>
    <w:p w14:paraId="4CF22689" w14:textId="77777777" w:rsidR="00F43578" w:rsidRDefault="00F43578" w:rsidP="00F43578">
      <w:r>
        <w:t>&lt;ESMA_QUESTION_ALGO_2&gt;</w:t>
      </w:r>
    </w:p>
    <w:p w14:paraId="00BD3C20" w14:textId="77777777" w:rsidR="00F43578" w:rsidRDefault="00F43578" w:rsidP="00F43578"/>
    <w:p w14:paraId="76B84FBE" w14:textId="77777777" w:rsidR="00F43578" w:rsidRDefault="00F43578" w:rsidP="00F43578">
      <w:pPr>
        <w:pStyle w:val="Questionstyle"/>
        <w:numPr>
          <w:ilvl w:val="0"/>
          <w:numId w:val="17"/>
        </w:numPr>
        <w:spacing w:after="250" w:line="276" w:lineRule="auto"/>
      </w:pPr>
      <w:r>
        <w:t>: Do you consider that the potential risks attached to algorithmic trading should also be given consideration in other trading areas? Please elaborate.</w:t>
      </w:r>
    </w:p>
    <w:p w14:paraId="17D82E1A" w14:textId="77777777" w:rsidR="00F43578" w:rsidRDefault="00F43578" w:rsidP="00F43578">
      <w:r>
        <w:t>&lt;ESMA_QUESTION_ALGO_3&gt;</w:t>
      </w:r>
    </w:p>
    <w:p w14:paraId="5B6D670C" w14:textId="01C96384" w:rsidR="00F43578" w:rsidRDefault="00570DE3" w:rsidP="00F43578">
      <w:permStart w:id="1761220304" w:edGrp="everyone"/>
      <w:r>
        <w:t>No  comment</w:t>
      </w:r>
    </w:p>
    <w:permEnd w:id="1761220304"/>
    <w:p w14:paraId="0F171BC4" w14:textId="77777777" w:rsidR="00F43578" w:rsidRDefault="00F43578" w:rsidP="00F43578">
      <w:r>
        <w:t>&lt;ESMA_QUESTION_ALGO_3&gt;</w:t>
      </w:r>
    </w:p>
    <w:p w14:paraId="0490F0F8" w14:textId="77777777" w:rsidR="00F43578" w:rsidRDefault="00F43578" w:rsidP="00F43578"/>
    <w:p w14:paraId="47790780" w14:textId="77777777" w:rsidR="00F43578" w:rsidRDefault="00F43578" w:rsidP="00F43578">
      <w:pPr>
        <w:pStyle w:val="Questionstyle"/>
        <w:numPr>
          <w:ilvl w:val="0"/>
          <w:numId w:val="17"/>
        </w:numPr>
        <w:spacing w:after="250" w:line="276" w:lineRule="auto"/>
      </w:pPr>
      <w:r>
        <w:t>: Do you agree with this analysis? If not, please explain why.</w:t>
      </w:r>
    </w:p>
    <w:p w14:paraId="09219631" w14:textId="77777777" w:rsidR="00F43578" w:rsidRDefault="00F43578" w:rsidP="00F43578">
      <w:r>
        <w:t>&lt;ESMA_QUESTION_ALGO_4&gt;</w:t>
      </w:r>
    </w:p>
    <w:p w14:paraId="688B7D5C" w14:textId="29BA5B12" w:rsidR="00F43578" w:rsidRDefault="00570DE3" w:rsidP="00F43578">
      <w:permStart w:id="1759576576" w:edGrp="everyone"/>
      <w:r>
        <w:t>No comment</w:t>
      </w:r>
    </w:p>
    <w:permEnd w:id="1759576576"/>
    <w:p w14:paraId="4A552F07" w14:textId="77777777" w:rsidR="00F43578" w:rsidRDefault="00F43578" w:rsidP="00F43578">
      <w:r>
        <w:t>&lt;ESMA_QUESTION_ALGO_4&gt;</w:t>
      </w:r>
    </w:p>
    <w:p w14:paraId="40F9FC01" w14:textId="77777777" w:rsidR="00F43578" w:rsidRDefault="00F43578" w:rsidP="00F43578"/>
    <w:p w14:paraId="514591BF" w14:textId="77777777" w:rsidR="00F43578" w:rsidRDefault="00F43578" w:rsidP="00F43578">
      <w:pPr>
        <w:pStyle w:val="Questionstyle"/>
        <w:numPr>
          <w:ilvl w:val="0"/>
          <w:numId w:val="17"/>
        </w:numPr>
        <w:spacing w:after="250" w:line="276" w:lineRule="auto"/>
      </w:pPr>
      <w:r>
        <w:t>: Did you encounter any specific issue with the definition of HFT? Do you consider that the definition should be amended? Do you have any suggestion to replace the high message intraday rates with other criteria or amend the thresholds currently set in Level 2? Please elaborate and provide data supporting your response where available.</w:t>
      </w:r>
    </w:p>
    <w:p w14:paraId="74F52EFD" w14:textId="77777777" w:rsidR="00F43578" w:rsidRDefault="00F43578" w:rsidP="00F43578">
      <w:r>
        <w:t>&lt;ESMA_QUESTION_ALGO_5&gt;</w:t>
      </w:r>
    </w:p>
    <w:p w14:paraId="7D18A19C" w14:textId="61E160C3" w:rsidR="00F43578" w:rsidRDefault="00570DE3" w:rsidP="00F43578">
      <w:permStart w:id="471091368" w:edGrp="everyone"/>
      <w:r>
        <w:t>No comment</w:t>
      </w:r>
    </w:p>
    <w:permEnd w:id="471091368"/>
    <w:p w14:paraId="34FCC7B2" w14:textId="77777777" w:rsidR="00F43578" w:rsidRDefault="00F43578" w:rsidP="00F43578">
      <w:r>
        <w:t>&lt;ESMA_QUESTION_ALGO_5&gt;</w:t>
      </w:r>
    </w:p>
    <w:p w14:paraId="6085D267" w14:textId="77777777" w:rsidR="00F43578" w:rsidRDefault="00F43578" w:rsidP="00F43578"/>
    <w:p w14:paraId="08E591FD" w14:textId="77777777" w:rsidR="00F43578" w:rsidRDefault="00F43578" w:rsidP="00F43578">
      <w:pPr>
        <w:pStyle w:val="Questionstyle"/>
        <w:numPr>
          <w:ilvl w:val="0"/>
          <w:numId w:val="17"/>
        </w:numPr>
        <w:spacing w:after="250" w:line="276" w:lineRule="auto"/>
      </w:pPr>
      <w:r>
        <w:t>: Based on your experience, is sub-delegation of DMA access a frequent practice? In which circumstances? Which benefits does it provide to the DEA user and to the sub-delegatees? Are you aware of sub delegation arrangements in the context of Sponsored access? If so, please elaborate.</w:t>
      </w:r>
    </w:p>
    <w:p w14:paraId="6A1E3ED8" w14:textId="77777777" w:rsidR="00F43578" w:rsidRDefault="00F43578" w:rsidP="00F43578">
      <w:r>
        <w:t>&lt;ESMA_QUESTION_ALGO_6&gt;</w:t>
      </w:r>
    </w:p>
    <w:p w14:paraId="255DDD8E" w14:textId="1F387E7E" w:rsidR="00F43578" w:rsidRDefault="00570DE3" w:rsidP="00F43578">
      <w:permStart w:id="139352066" w:edGrp="everyone"/>
      <w:r>
        <w:t xml:space="preserve"> No comment</w:t>
      </w:r>
    </w:p>
    <w:permEnd w:id="139352066"/>
    <w:p w14:paraId="1D095872" w14:textId="77777777" w:rsidR="00F43578" w:rsidRDefault="00F43578" w:rsidP="00F43578">
      <w:r>
        <w:lastRenderedPageBreak/>
        <w:t>&lt;ESMA_QUESTION_ALGO_6&gt;</w:t>
      </w:r>
    </w:p>
    <w:p w14:paraId="0A92C850" w14:textId="77777777" w:rsidR="00F43578" w:rsidRDefault="00F43578" w:rsidP="00F43578"/>
    <w:p w14:paraId="3C1B4FB3" w14:textId="77777777" w:rsidR="00F43578" w:rsidRDefault="00F43578" w:rsidP="00F43578">
      <w:pPr>
        <w:pStyle w:val="Questionstyle"/>
        <w:numPr>
          <w:ilvl w:val="0"/>
          <w:numId w:val="17"/>
        </w:numPr>
        <w:spacing w:after="250" w:line="276" w:lineRule="auto"/>
      </w:pPr>
      <w:r>
        <w:t>: (for DEA Tier 1clients) Do you sub-delegate direct electronic access? If so, are your Tier 2 clients typically regulated entities/investment firms? Are they EU-based or third country based?</w:t>
      </w:r>
    </w:p>
    <w:p w14:paraId="7ECD4710" w14:textId="77777777" w:rsidR="00F43578" w:rsidRDefault="00F43578" w:rsidP="00F43578">
      <w:r>
        <w:t>&lt;ESMA_QUESTION_ALGO_7&gt;</w:t>
      </w:r>
    </w:p>
    <w:p w14:paraId="242C2421" w14:textId="0C9C89BC" w:rsidR="00F43578" w:rsidRDefault="00570DE3" w:rsidP="00F43578">
      <w:permStart w:id="1646090751" w:edGrp="everyone"/>
      <w:r>
        <w:t xml:space="preserve"> No comment</w:t>
      </w:r>
    </w:p>
    <w:permEnd w:id="1646090751"/>
    <w:p w14:paraId="4C72CE72" w14:textId="77777777" w:rsidR="00F43578" w:rsidRDefault="00F43578" w:rsidP="00F43578">
      <w:r>
        <w:t>&lt;ESMA_QUESTION_ALGO_7&gt;</w:t>
      </w:r>
    </w:p>
    <w:p w14:paraId="6B66B7B0" w14:textId="77777777" w:rsidR="00F43578" w:rsidRDefault="00F43578" w:rsidP="00F43578"/>
    <w:p w14:paraId="5EA1D7B1" w14:textId="77777777" w:rsidR="00F43578" w:rsidRDefault="00F43578" w:rsidP="00F43578">
      <w:pPr>
        <w:pStyle w:val="Questionstyle"/>
        <w:numPr>
          <w:ilvl w:val="0"/>
          <w:numId w:val="17"/>
        </w:numPr>
        <w:spacing w:after="250" w:line="276" w:lineRule="auto"/>
      </w:pPr>
      <w:r>
        <w:t>: Do you agree with this analysis? If not, please explain why. Do you consider that further clarification is needed in this area? If so, what would you suggest?</w:t>
      </w:r>
    </w:p>
    <w:p w14:paraId="01DC8BC7" w14:textId="77777777" w:rsidR="00F43578" w:rsidRDefault="00F43578" w:rsidP="00F43578">
      <w:r>
        <w:t>&lt;ESMA_QUESTION_ALGO_8&gt;</w:t>
      </w:r>
    </w:p>
    <w:p w14:paraId="04EB090B" w14:textId="5612A2DE" w:rsidR="00F43578" w:rsidRDefault="00570DE3" w:rsidP="00F43578">
      <w:permStart w:id="1735736236" w:edGrp="everyone"/>
      <w:r>
        <w:t xml:space="preserve"> No comment</w:t>
      </w:r>
    </w:p>
    <w:permEnd w:id="1735736236"/>
    <w:p w14:paraId="47C6A3DE" w14:textId="77777777" w:rsidR="00F43578" w:rsidRDefault="00F43578" w:rsidP="00F43578">
      <w:r>
        <w:t>&lt;ESMA_QUESTION_ALGO_8&gt;</w:t>
      </w:r>
    </w:p>
    <w:p w14:paraId="2A896750" w14:textId="77777777" w:rsidR="00F43578" w:rsidRDefault="00F43578" w:rsidP="00F43578"/>
    <w:p w14:paraId="744D334A" w14:textId="77777777" w:rsidR="00F43578" w:rsidRDefault="00F43578" w:rsidP="00F43578">
      <w:pPr>
        <w:pStyle w:val="Questionstyle"/>
        <w:numPr>
          <w:ilvl w:val="0"/>
          <w:numId w:val="17"/>
        </w:numPr>
        <w:spacing w:after="250" w:line="276" w:lineRule="auto"/>
      </w:pPr>
      <w:r>
        <w:t>: Do you agree with ESMA’s proposal? If so, do you consider that the requirements considered above relevant? Should there be additional ones? If you disagree with ESMA’s proposal, please explain why.</w:t>
      </w:r>
    </w:p>
    <w:p w14:paraId="50B585CF" w14:textId="77777777" w:rsidR="00F43578" w:rsidRDefault="00F43578" w:rsidP="00F43578">
      <w:r>
        <w:t>&lt;ESMA_QUESTION_ALGO_9&gt;</w:t>
      </w:r>
    </w:p>
    <w:p w14:paraId="5EDB2DA4" w14:textId="1C773125" w:rsidR="00F43578" w:rsidRPr="006655D8" w:rsidRDefault="00F95000" w:rsidP="00F43578">
      <w:pPr>
        <w:rPr>
          <w:lang w:eastAsia="en-US"/>
        </w:rPr>
      </w:pPr>
      <w:permStart w:id="714028646" w:edGrp="everyone"/>
      <w:r>
        <w:t xml:space="preserve"> </w:t>
      </w:r>
      <w:r w:rsidRPr="00F95000">
        <w:t>A</w:t>
      </w:r>
      <w:r w:rsidR="00425990">
        <w:t>PT agrees</w:t>
      </w:r>
      <w:r w:rsidRPr="00F95000">
        <w:t xml:space="preserve"> there is merit in extending the definition of algorithmic trading to trading in financial instruments OTC by S</w:t>
      </w:r>
      <w:r w:rsidR="00570DE3">
        <w:t>I's</w:t>
      </w:r>
      <w:r w:rsidR="00425990">
        <w:t xml:space="preserve">, </w:t>
      </w:r>
      <w:r w:rsidRPr="00F95000">
        <w:t>where quotes are electronically executable similar to activity on a trading venue. While SI</w:t>
      </w:r>
      <w:r w:rsidR="00BC2DA8">
        <w:t>'</w:t>
      </w:r>
      <w:r w:rsidRPr="00F95000">
        <w:t>s are not trading venues, they can enable algorithmic executions systematically</w:t>
      </w:r>
      <w:r w:rsidR="00425990">
        <w:t>.</w:t>
      </w:r>
    </w:p>
    <w:permEnd w:id="714028646"/>
    <w:p w14:paraId="1972C572" w14:textId="77777777" w:rsidR="00F43578" w:rsidRDefault="00F43578" w:rsidP="00F43578">
      <w:r>
        <w:t>&lt;ESMA_QUESTION_ALGO_9&gt;</w:t>
      </w:r>
    </w:p>
    <w:p w14:paraId="630D6A39" w14:textId="77777777" w:rsidR="00F43578" w:rsidRDefault="00F43578" w:rsidP="00F43578"/>
    <w:p w14:paraId="14B0F54F" w14:textId="77777777" w:rsidR="00F43578" w:rsidRDefault="00F43578" w:rsidP="00F43578">
      <w:pPr>
        <w:pStyle w:val="Questionstyle"/>
        <w:numPr>
          <w:ilvl w:val="0"/>
          <w:numId w:val="17"/>
        </w:numPr>
        <w:spacing w:after="250" w:line="276" w:lineRule="auto"/>
      </w:pPr>
      <w:r>
        <w:t>: Do you agree with ESMA’s proposals above? Please elaborate.</w:t>
      </w:r>
    </w:p>
    <w:p w14:paraId="63BFA10D" w14:textId="77777777" w:rsidR="00F43578" w:rsidRDefault="00F43578" w:rsidP="00F43578">
      <w:r>
        <w:t>&lt;ESMA_QUESTION_ALGO_10&gt;</w:t>
      </w:r>
    </w:p>
    <w:p w14:paraId="49926942" w14:textId="2A2A4DE3" w:rsidR="00F43578" w:rsidRDefault="00570DE3" w:rsidP="00F43578">
      <w:permStart w:id="1286567615" w:edGrp="everyone"/>
      <w:r>
        <w:t xml:space="preserve"> No comment</w:t>
      </w:r>
    </w:p>
    <w:permEnd w:id="1286567615"/>
    <w:p w14:paraId="10DCD448" w14:textId="77777777" w:rsidR="00F43578" w:rsidRDefault="00F43578" w:rsidP="00F43578">
      <w:r>
        <w:t>&lt;ESMA_QUESTION_ALGO_10&gt;</w:t>
      </w:r>
    </w:p>
    <w:p w14:paraId="02C896B1" w14:textId="77777777" w:rsidR="00F43578" w:rsidRDefault="00F43578" w:rsidP="00F43578"/>
    <w:p w14:paraId="6449B12E" w14:textId="77777777" w:rsidR="00F43578" w:rsidRDefault="00F43578" w:rsidP="00F43578">
      <w:pPr>
        <w:pStyle w:val="Questionstyle"/>
        <w:numPr>
          <w:ilvl w:val="0"/>
          <w:numId w:val="17"/>
        </w:numPr>
        <w:spacing w:after="250" w:line="276" w:lineRule="auto"/>
      </w:pPr>
      <w:r>
        <w:t>: Do you agree with ESMA’s proposal? Please elaborate.</w:t>
      </w:r>
    </w:p>
    <w:p w14:paraId="7A1F2A58" w14:textId="77777777" w:rsidR="00F43578" w:rsidRDefault="00F43578" w:rsidP="00F43578">
      <w:r>
        <w:t>&lt;ESMA_QUESTION_ALGO_11&gt;</w:t>
      </w:r>
    </w:p>
    <w:p w14:paraId="18A873BF" w14:textId="11F92AA2" w:rsidR="00F43578" w:rsidRDefault="00570DE3" w:rsidP="00F43578">
      <w:permStart w:id="1274354294" w:edGrp="everyone"/>
      <w:r>
        <w:t xml:space="preserve">No comment </w:t>
      </w:r>
    </w:p>
    <w:permEnd w:id="1274354294"/>
    <w:p w14:paraId="116D30F2" w14:textId="77777777" w:rsidR="00F43578" w:rsidRDefault="00F43578" w:rsidP="00F43578">
      <w:r>
        <w:t>&lt;ESMA_QUESTION_ALGO_11&gt;</w:t>
      </w:r>
    </w:p>
    <w:p w14:paraId="24FB5D20" w14:textId="77777777" w:rsidR="00F43578" w:rsidRDefault="00F43578" w:rsidP="00F43578"/>
    <w:p w14:paraId="5A306AB7" w14:textId="77777777" w:rsidR="00F43578" w:rsidRDefault="00F43578" w:rsidP="00F43578">
      <w:pPr>
        <w:pStyle w:val="Questionstyle"/>
        <w:numPr>
          <w:ilvl w:val="0"/>
          <w:numId w:val="17"/>
        </w:numPr>
        <w:spacing w:after="250" w:line="276" w:lineRule="auto"/>
      </w:pPr>
      <w:r>
        <w:t xml:space="preserve">: Do you see merit in ESMA developing a template for notifications to NCAs under Articles 17(2) and 17(5) of MiFID II? If not, please justify your position.  </w:t>
      </w:r>
    </w:p>
    <w:p w14:paraId="0E7AE35F" w14:textId="77777777" w:rsidR="00F43578" w:rsidRDefault="00F43578" w:rsidP="00F43578">
      <w:r>
        <w:t>&lt;ESMA_QUESTION_ALGO_12&gt;</w:t>
      </w:r>
    </w:p>
    <w:p w14:paraId="1B7174C7" w14:textId="47BFAFFE" w:rsidR="00F43578" w:rsidRDefault="00570DE3" w:rsidP="00F43578">
      <w:permStart w:id="1308445152" w:edGrp="everyone"/>
      <w:r>
        <w:t xml:space="preserve"> No comment</w:t>
      </w:r>
    </w:p>
    <w:permEnd w:id="1308445152"/>
    <w:p w14:paraId="6A99B1C9" w14:textId="77777777" w:rsidR="00F43578" w:rsidRDefault="00F43578" w:rsidP="00F43578">
      <w:r>
        <w:t>&lt;ESMA_QUESTION_ALGO_12&gt;</w:t>
      </w:r>
    </w:p>
    <w:p w14:paraId="25464E67" w14:textId="77777777" w:rsidR="00F43578" w:rsidRDefault="00F43578" w:rsidP="00F43578"/>
    <w:p w14:paraId="153A8BDA" w14:textId="77777777" w:rsidR="00F43578" w:rsidRDefault="00F43578" w:rsidP="00F43578">
      <w:pPr>
        <w:pStyle w:val="Questionstyle"/>
      </w:pPr>
    </w:p>
    <w:p w14:paraId="0213FA26" w14:textId="77777777" w:rsidR="00F43578" w:rsidRDefault="00F43578" w:rsidP="00F43578">
      <w:r>
        <w:t>&lt;ESMA_QUESTION_ALGO_0&gt;</w:t>
      </w:r>
    </w:p>
    <w:p w14:paraId="53703003" w14:textId="1CDF9671" w:rsidR="00F43578" w:rsidRDefault="00570DE3" w:rsidP="00F43578">
      <w:permStart w:id="1961237178" w:edGrp="everyone"/>
      <w:r>
        <w:lastRenderedPageBreak/>
        <w:t xml:space="preserve"> No comment</w:t>
      </w:r>
    </w:p>
    <w:permEnd w:id="1961237178"/>
    <w:p w14:paraId="11EEC361" w14:textId="77777777" w:rsidR="00F43578" w:rsidRDefault="00F43578" w:rsidP="00F43578">
      <w:r>
        <w:t>&lt;ESMA_QUESTION_ALGO_0&gt;</w:t>
      </w:r>
    </w:p>
    <w:p w14:paraId="0FCA1404" w14:textId="77777777" w:rsidR="00F43578" w:rsidRDefault="00F43578" w:rsidP="00F43578"/>
    <w:p w14:paraId="566EA4A2" w14:textId="77777777" w:rsidR="00F43578" w:rsidRDefault="00F43578" w:rsidP="00F43578">
      <w:pPr>
        <w:pStyle w:val="Questionstyle"/>
        <w:numPr>
          <w:ilvl w:val="0"/>
          <w:numId w:val="17"/>
        </w:numPr>
        <w:spacing w:after="250" w:line="276" w:lineRule="auto"/>
        <w:rPr>
          <w:color w:val="000000"/>
        </w:rPr>
      </w:pPr>
      <w:r>
        <w:t>: Do you agree that it would be useful to clarify that notifications should be done ‘without undue delay’?</w:t>
      </w:r>
      <w:r>
        <w:rPr>
          <w:color w:val="000000"/>
        </w:rPr>
        <w:t xml:space="preserve"> </w:t>
      </w:r>
    </w:p>
    <w:p w14:paraId="6DAECA1E" w14:textId="77777777" w:rsidR="00F43578" w:rsidRDefault="00F43578" w:rsidP="00F43578">
      <w:pPr>
        <w:rPr>
          <w:rFonts w:cstheme="minorBidi"/>
        </w:rPr>
      </w:pPr>
      <w:r>
        <w:t>&lt;ESMA_QUESTION_ALGO_13&gt;</w:t>
      </w:r>
    </w:p>
    <w:p w14:paraId="658CD6FC" w14:textId="70875F05" w:rsidR="00F43578" w:rsidRDefault="00570DE3" w:rsidP="00F43578">
      <w:permStart w:id="1436643470" w:edGrp="everyone"/>
      <w:r>
        <w:t xml:space="preserve"> No comment</w:t>
      </w:r>
    </w:p>
    <w:permEnd w:id="1436643470"/>
    <w:p w14:paraId="67206593" w14:textId="77777777" w:rsidR="00F43578" w:rsidRDefault="00F43578" w:rsidP="00F43578">
      <w:r>
        <w:t>&lt;ESMA_QUESTION_ALGO_13&gt;</w:t>
      </w:r>
    </w:p>
    <w:p w14:paraId="60E5A50C" w14:textId="77777777" w:rsidR="00F43578" w:rsidRDefault="00F43578" w:rsidP="00F43578"/>
    <w:p w14:paraId="64F9A5BC" w14:textId="77777777" w:rsidR="00F43578" w:rsidRDefault="00F43578" w:rsidP="00F43578">
      <w:pPr>
        <w:pStyle w:val="Questionstyle"/>
        <w:numPr>
          <w:ilvl w:val="0"/>
          <w:numId w:val="17"/>
        </w:numPr>
        <w:spacing w:after="250" w:line="276" w:lineRule="auto"/>
      </w:pPr>
      <w:r>
        <w:t>: Do you agree with ESMA’s approach for the exchange of information between NCAs? If not, please justify your position.</w:t>
      </w:r>
    </w:p>
    <w:p w14:paraId="5857F81C" w14:textId="77777777" w:rsidR="00F43578" w:rsidRDefault="00F43578" w:rsidP="00F43578">
      <w:r>
        <w:t>&lt;ESMA_QUESTION_ALGO_14&gt;</w:t>
      </w:r>
    </w:p>
    <w:p w14:paraId="41D629B5" w14:textId="7B21B8E6" w:rsidR="00F43578" w:rsidRDefault="00570DE3" w:rsidP="00F43578">
      <w:permStart w:id="892417975" w:edGrp="everyone"/>
      <w:r>
        <w:t xml:space="preserve">No comment </w:t>
      </w:r>
    </w:p>
    <w:permEnd w:id="892417975"/>
    <w:p w14:paraId="500ACEEF" w14:textId="77777777" w:rsidR="00F43578" w:rsidRDefault="00F43578" w:rsidP="00F43578">
      <w:r>
        <w:t>&lt;ESMA_QUESTION_ALGO_14&gt;</w:t>
      </w:r>
    </w:p>
    <w:p w14:paraId="49B179EB" w14:textId="77777777" w:rsidR="00F43578" w:rsidRDefault="00F43578" w:rsidP="00F43578"/>
    <w:p w14:paraId="389F1712" w14:textId="77777777" w:rsidR="00F43578" w:rsidRDefault="00F43578" w:rsidP="00F43578">
      <w:pPr>
        <w:pStyle w:val="Questionstyle"/>
        <w:numPr>
          <w:ilvl w:val="0"/>
          <w:numId w:val="17"/>
        </w:numPr>
        <w:spacing w:after="250" w:line="276" w:lineRule="auto"/>
      </w:pPr>
      <w:r>
        <w:t>: What is your view on clarifying the definition of algorithmic trading? If you deem it beneficial to refine the definition and account for further types of algorithms or algorithmic trading strategies, please provide your suggestion as well as underlying rationale.</w:t>
      </w:r>
    </w:p>
    <w:p w14:paraId="4A44DA31" w14:textId="77777777" w:rsidR="00F43578" w:rsidRDefault="00F43578" w:rsidP="00F43578">
      <w:r>
        <w:t>&lt;ESMA_QUESTION_ALGO_15&gt;</w:t>
      </w:r>
    </w:p>
    <w:p w14:paraId="4E735CAC" w14:textId="36546494" w:rsidR="00F43578" w:rsidRPr="00425990" w:rsidRDefault="00425990" w:rsidP="00F43578">
      <w:pPr>
        <w:rPr>
          <w:lang w:val="en-US" w:eastAsia="en-US"/>
        </w:rPr>
      </w:pPr>
      <w:permStart w:id="1585009624" w:edGrp="everyone"/>
      <w:r>
        <w:t xml:space="preserve"> </w:t>
      </w:r>
      <w:r w:rsidRPr="00425990">
        <w:t>The definition of algorithmic trading (focusing on executions) is sufficiently clear and does not require further clarification</w:t>
      </w:r>
      <w:r>
        <w:t>.</w:t>
      </w:r>
    </w:p>
    <w:permEnd w:id="1585009624"/>
    <w:p w14:paraId="3AB70847" w14:textId="77777777" w:rsidR="00F43578" w:rsidRDefault="00F43578" w:rsidP="00F43578">
      <w:r>
        <w:t>&lt;ESMA_QUESTION_ALGO_15&gt;</w:t>
      </w:r>
    </w:p>
    <w:p w14:paraId="1AC564CF" w14:textId="77777777" w:rsidR="00F43578" w:rsidRDefault="00F43578" w:rsidP="00F43578"/>
    <w:p w14:paraId="21B92AF3" w14:textId="77777777" w:rsidR="00F43578" w:rsidRDefault="00F43578" w:rsidP="00F43578">
      <w:pPr>
        <w:pStyle w:val="Questionstyle"/>
        <w:numPr>
          <w:ilvl w:val="0"/>
          <w:numId w:val="17"/>
        </w:numPr>
        <w:spacing w:after="250" w:line="276" w:lineRule="auto"/>
      </w:pPr>
      <w:r>
        <w:t>: Do you think there should be specific requirements for different type of algorithms or algorithmic trading strategies in RTS 6? Please explain.</w:t>
      </w:r>
    </w:p>
    <w:p w14:paraId="57B16645" w14:textId="77777777" w:rsidR="00F43578" w:rsidRDefault="00F43578" w:rsidP="00F43578">
      <w:r>
        <w:t>&lt;ESMA_QUESTION_ALGO_16&gt;</w:t>
      </w:r>
    </w:p>
    <w:p w14:paraId="4BAD5589" w14:textId="1206326A" w:rsidR="00F43578" w:rsidRPr="00425990" w:rsidRDefault="00425990" w:rsidP="00F43578">
      <w:pPr>
        <w:rPr>
          <w:lang w:val="en-US" w:eastAsia="en-US"/>
        </w:rPr>
      </w:pPr>
      <w:permStart w:id="1815021170" w:edGrp="everyone"/>
      <w:r>
        <w:t xml:space="preserve"> </w:t>
      </w:r>
      <w:r w:rsidRPr="00425990">
        <w:t>Specific requirements for different types of algo</w:t>
      </w:r>
      <w:r w:rsidR="006975A5">
        <w:t>rithms</w:t>
      </w:r>
      <w:r w:rsidRPr="00425990">
        <w:t xml:space="preserve"> or algo</w:t>
      </w:r>
      <w:r w:rsidR="006975A5">
        <w:t>rithmic</w:t>
      </w:r>
      <w:r w:rsidRPr="00425990">
        <w:t xml:space="preserve"> trading strategies would only increase levels of complexity </w:t>
      </w:r>
      <w:r>
        <w:t xml:space="preserve">and are </w:t>
      </w:r>
      <w:r w:rsidRPr="00425990">
        <w:t>not needed</w:t>
      </w:r>
      <w:r>
        <w:t>.</w:t>
      </w:r>
    </w:p>
    <w:permEnd w:id="1815021170"/>
    <w:p w14:paraId="53B734E5" w14:textId="77777777" w:rsidR="00F43578" w:rsidRDefault="00F43578" w:rsidP="00F43578">
      <w:r>
        <w:t>&lt;ESMA_QUESTION_ALGO_16&gt;</w:t>
      </w:r>
    </w:p>
    <w:p w14:paraId="36752403" w14:textId="77777777" w:rsidR="00F43578" w:rsidRDefault="00F43578" w:rsidP="00F43578"/>
    <w:p w14:paraId="46F3535E" w14:textId="77777777" w:rsidR="00F43578" w:rsidRDefault="00F43578" w:rsidP="00F43578">
      <w:pPr>
        <w:pStyle w:val="Questionstyle"/>
        <w:numPr>
          <w:ilvl w:val="0"/>
          <w:numId w:val="17"/>
        </w:numPr>
        <w:spacing w:after="250" w:line="276" w:lineRule="auto"/>
      </w:pPr>
      <w:r>
        <w:t>: What is your experience with testing environments? Are they used frequently? If not, why? Do you see a need for any improvements?</w:t>
      </w:r>
    </w:p>
    <w:p w14:paraId="7FD2138A" w14:textId="77777777" w:rsidR="00F43578" w:rsidRDefault="00F43578" w:rsidP="00F43578">
      <w:r>
        <w:t>&lt;ESMA_QUESTION_ALGO_17&gt;</w:t>
      </w:r>
    </w:p>
    <w:p w14:paraId="7FDD17EE" w14:textId="1DF1E6E6" w:rsidR="00DC21FB" w:rsidRDefault="00DC21FB" w:rsidP="00DC21FB">
      <w:permStart w:id="80092231" w:edGrp="everyone"/>
      <w:r w:rsidRPr="00DC21FB">
        <w:rPr>
          <w:rFonts w:eastAsia="MS Mincho"/>
        </w:rPr>
        <w:t>Article 7</w:t>
      </w:r>
      <w:r>
        <w:rPr>
          <w:rFonts w:eastAsia="MS Mincho"/>
        </w:rPr>
        <w:t xml:space="preserve"> of RTS 6 on </w:t>
      </w:r>
      <w:r w:rsidRPr="00DC21FB">
        <w:rPr>
          <w:rFonts w:eastAsia="MS Mincho"/>
        </w:rPr>
        <w:t>Testing Environments stipulates that a testing environment needs to be separated from production. While it is clear that no testing should ever impact production environments, it is not realistic to expect that robust testing can occur in an environment that has no links whatsoever to production, as defined in the second paragraph of Article 7.1. This is not necessary, impractical and ‘overshoots’.</w:t>
      </w:r>
      <w:r w:rsidR="00BC2DA8">
        <w:rPr>
          <w:rFonts w:eastAsia="MS Mincho"/>
        </w:rPr>
        <w:t xml:space="preserve"> </w:t>
      </w:r>
      <w:r w:rsidRPr="00DC21FB">
        <w:rPr>
          <w:rFonts w:eastAsia="MS Mincho"/>
        </w:rPr>
        <w:t>Article 7.1 could thus be amended as follows: “An investment firm shall ensure that testing of compliance with the criteria laid down in Article 5(4)(a), (b) and (d) is undertaken in an environment that does not impact its production environment. " This would mean deleting: "that is used specifically for the testing and development of algorithmic trading systems and trading algorithms.”</w:t>
      </w:r>
      <w:r w:rsidRPr="00DC21FB">
        <w:t xml:space="preserve"> </w:t>
      </w:r>
    </w:p>
    <w:p w14:paraId="79F8DB3A" w14:textId="77777777" w:rsidR="00DC21FB" w:rsidRDefault="00DC21FB" w:rsidP="00DC21FB"/>
    <w:p w14:paraId="39447F88" w14:textId="0AE0052D" w:rsidR="00F43578" w:rsidRDefault="00DC21FB" w:rsidP="00F43578">
      <w:r>
        <w:lastRenderedPageBreak/>
        <w:t>Furthermore, t</w:t>
      </w:r>
      <w:r w:rsidRPr="00DC21FB">
        <w:t>o ensure the proper functioning of algorithms within the trading system, trading venues should be encouraged to provide more realistic simulation environments under RTS 7 Article 10(2)(a). These environments should mimic what goes on in the production environment and be available for more hours of the day than is currently the case. Ideally, trading venues would offer, without additional charge, a private and programmable test environment, per member, with an API that allows to start and stop programmatically. A private UAT is not impacted by other users and allows firms greater flexibility to test. Trading venues’ UATs may provide services such as a simulated matching engine failure or trade cancellations. However, if a firm does not know in advance when these events occur, firms test such as order-add-and-delete, could fail. In a programmable test environment, firms could request such events on demand, and venues could add events like "stress test" which would send X messages per second. This would help to make clear what stress testing means, and make it easier for members  to verify that a stress test has passed.</w:t>
      </w:r>
    </w:p>
    <w:permEnd w:id="80092231"/>
    <w:p w14:paraId="13DD5B8D" w14:textId="77777777" w:rsidR="00F43578" w:rsidRDefault="00F43578" w:rsidP="00F43578">
      <w:r>
        <w:t>&lt;ESMA_QUESTION_ALGO_17&gt;</w:t>
      </w:r>
    </w:p>
    <w:p w14:paraId="2E0DED37" w14:textId="77777777" w:rsidR="00F43578" w:rsidRDefault="00F43578" w:rsidP="00F43578"/>
    <w:p w14:paraId="67522B46" w14:textId="77777777" w:rsidR="00F43578" w:rsidRDefault="00F43578" w:rsidP="00F43578">
      <w:pPr>
        <w:pStyle w:val="Questionstyle"/>
        <w:numPr>
          <w:ilvl w:val="0"/>
          <w:numId w:val="17"/>
        </w:numPr>
        <w:spacing w:after="250" w:line="276" w:lineRule="auto"/>
      </w:pPr>
      <w:r>
        <w:t>: Do you agree that the definition of “disorderly trading conditions” should be clarified? If yes, how would you define such trading conditions?</w:t>
      </w:r>
    </w:p>
    <w:p w14:paraId="56530388" w14:textId="77777777" w:rsidR="00F43578" w:rsidRDefault="00F43578" w:rsidP="00F43578">
      <w:r>
        <w:t>&lt;ESMA_QUESTION_ALGO_18&gt;</w:t>
      </w:r>
    </w:p>
    <w:p w14:paraId="49BB4FD9" w14:textId="676E877C" w:rsidR="00F43578" w:rsidRDefault="00425990" w:rsidP="00F43578">
      <w:permStart w:id="935476495" w:edGrp="everyone"/>
      <w:r>
        <w:t xml:space="preserve"> The d</w:t>
      </w:r>
      <w:r w:rsidRPr="00425990">
        <w:t>efinition of disorderly trading does not require further clarification</w:t>
      </w:r>
      <w:r>
        <w:t>.</w:t>
      </w:r>
    </w:p>
    <w:permEnd w:id="935476495"/>
    <w:p w14:paraId="31F310B3" w14:textId="77777777" w:rsidR="00F43578" w:rsidRDefault="00F43578" w:rsidP="00F43578">
      <w:r>
        <w:t>&lt;ESMA_QUESTION_ALGO_18&gt;</w:t>
      </w:r>
    </w:p>
    <w:p w14:paraId="54D466D6" w14:textId="77777777" w:rsidR="00F43578" w:rsidRDefault="00F43578" w:rsidP="00F43578"/>
    <w:p w14:paraId="737A0857" w14:textId="77777777" w:rsidR="00F43578" w:rsidRDefault="00F43578" w:rsidP="00F43578">
      <w:pPr>
        <w:pStyle w:val="Questionstyle"/>
        <w:numPr>
          <w:ilvl w:val="0"/>
          <w:numId w:val="17"/>
        </w:numPr>
        <w:spacing w:after="250" w:line="276" w:lineRule="auto"/>
      </w:pPr>
      <w:r>
        <w:t>: Do you agree that ESMA should provide additional guidance on the expectations concerning the checks and testing to be done, in particular for testing on disorderly trading conditions?</w:t>
      </w:r>
    </w:p>
    <w:p w14:paraId="2B9EE153" w14:textId="77777777" w:rsidR="00F43578" w:rsidRDefault="00F43578" w:rsidP="00F43578">
      <w:r>
        <w:t>&lt;ESMA_QUESTION_ALGO_19&gt;</w:t>
      </w:r>
    </w:p>
    <w:p w14:paraId="09370067" w14:textId="718676EC" w:rsidR="00F43578" w:rsidRPr="00425990" w:rsidRDefault="00425990" w:rsidP="00425990">
      <w:pPr>
        <w:pStyle w:val="Lijstalinea"/>
        <w:numPr>
          <w:ilvl w:val="0"/>
          <w:numId w:val="0"/>
        </w:numPr>
        <w:rPr>
          <w:lang w:val="en-US" w:eastAsia="en-US"/>
        </w:rPr>
      </w:pPr>
      <w:permStart w:id="91701692" w:edGrp="everyone"/>
      <w:r>
        <w:t xml:space="preserve"> </w:t>
      </w:r>
      <w:r w:rsidRPr="00425990">
        <w:t xml:space="preserve">Additional guidance for testing on disorderly conditions </w:t>
      </w:r>
      <w:r>
        <w:t xml:space="preserve">are </w:t>
      </w:r>
      <w:r w:rsidRPr="00425990">
        <w:t>not necessary</w:t>
      </w:r>
      <w:r>
        <w:t xml:space="preserve">. </w:t>
      </w:r>
      <w:r w:rsidRPr="00425990">
        <w:t>Investment firms already carry out extensive testing of their algorithms and systems</w:t>
      </w:r>
      <w:r>
        <w:t>.</w:t>
      </w:r>
    </w:p>
    <w:permEnd w:id="91701692"/>
    <w:p w14:paraId="1E171B54" w14:textId="77777777" w:rsidR="00F43578" w:rsidRDefault="00F43578" w:rsidP="00F43578">
      <w:r>
        <w:t>&lt;ESMA_QUESTION_ALGO_19&gt;</w:t>
      </w:r>
    </w:p>
    <w:p w14:paraId="778029EC" w14:textId="77777777" w:rsidR="00F43578" w:rsidRDefault="00F43578" w:rsidP="00F43578"/>
    <w:p w14:paraId="0AD53CB9" w14:textId="77777777" w:rsidR="00F43578" w:rsidRDefault="00F43578" w:rsidP="00F43578">
      <w:pPr>
        <w:pStyle w:val="Questionstyle"/>
        <w:numPr>
          <w:ilvl w:val="0"/>
          <w:numId w:val="17"/>
        </w:numPr>
        <w:spacing w:after="250" w:line="276" w:lineRule="auto"/>
      </w:pPr>
      <w:r>
        <w:t>: Would you agree that it could be beneficial if ESMA develops a prescribed format for the self-assessment foreseen in Article 9 of RTS 6?</w:t>
      </w:r>
    </w:p>
    <w:p w14:paraId="31872D98" w14:textId="77777777" w:rsidR="00F43578" w:rsidRDefault="00F43578" w:rsidP="00F43578">
      <w:r>
        <w:t>&lt;ESMA_QUESTION_ALGO_20&gt;</w:t>
      </w:r>
    </w:p>
    <w:p w14:paraId="29ECF663" w14:textId="5604F9FE" w:rsidR="00F43578" w:rsidRPr="00425990" w:rsidRDefault="00425990" w:rsidP="00F43578">
      <w:pPr>
        <w:rPr>
          <w:lang w:val="en-US" w:eastAsia="en-US"/>
        </w:rPr>
      </w:pPr>
      <w:permStart w:id="830364215" w:edGrp="everyone"/>
      <w:r>
        <w:t xml:space="preserve"> </w:t>
      </w:r>
      <w:r w:rsidRPr="00425990">
        <w:t>High level principles</w:t>
      </w:r>
      <w:r>
        <w:t xml:space="preserve"> are</w:t>
      </w:r>
      <w:r w:rsidRPr="00425990">
        <w:t xml:space="preserve"> better than </w:t>
      </w:r>
      <w:r>
        <w:t xml:space="preserve">a </w:t>
      </w:r>
      <w:r w:rsidRPr="00425990">
        <w:t>prescribed format</w:t>
      </w:r>
      <w:r>
        <w:t xml:space="preserve">. In case </w:t>
      </w:r>
      <w:r w:rsidRPr="00425990">
        <w:t>ESMA determines that a prescribed format is required then we would suggest the</w:t>
      </w:r>
      <w:r>
        <w:t xml:space="preserve"> one use</w:t>
      </w:r>
      <w:r w:rsidR="00A860B2">
        <w:t>d</w:t>
      </w:r>
      <w:r>
        <w:t xml:space="preserve"> by the</w:t>
      </w:r>
      <w:r w:rsidRPr="00425990">
        <w:t xml:space="preserve"> AFM</w:t>
      </w:r>
      <w:r>
        <w:t>.</w:t>
      </w:r>
    </w:p>
    <w:permEnd w:id="830364215"/>
    <w:p w14:paraId="02B50976" w14:textId="77777777" w:rsidR="00F43578" w:rsidRDefault="00F43578" w:rsidP="00F43578">
      <w:r>
        <w:t>&lt;ESMA_QUESTION_ALGO_20&gt;</w:t>
      </w:r>
    </w:p>
    <w:p w14:paraId="7638B101" w14:textId="77777777" w:rsidR="00F43578" w:rsidRDefault="00F43578" w:rsidP="00F43578"/>
    <w:p w14:paraId="77EB7BF5" w14:textId="77777777" w:rsidR="00F43578" w:rsidRDefault="00F43578" w:rsidP="00F43578">
      <w:pPr>
        <w:pStyle w:val="Questionstyle"/>
        <w:numPr>
          <w:ilvl w:val="0"/>
          <w:numId w:val="17"/>
        </w:numPr>
        <w:spacing w:after="250" w:line="276" w:lineRule="auto"/>
      </w:pPr>
      <w:r>
        <w:t>: Do you agree with the changes proposed to the self-assessment of Article 9 of RTS 6?</w:t>
      </w:r>
    </w:p>
    <w:p w14:paraId="1FFF5BDE" w14:textId="77777777" w:rsidR="00F43578" w:rsidRDefault="00F43578" w:rsidP="00F43578">
      <w:r>
        <w:t>&lt;ESMA_QUESTION_ALGO_21&gt;</w:t>
      </w:r>
    </w:p>
    <w:p w14:paraId="227422DA" w14:textId="1CD4FFED" w:rsidR="00F43578" w:rsidRPr="00425990" w:rsidRDefault="00425990" w:rsidP="00F43578">
      <w:pPr>
        <w:rPr>
          <w:lang w:val="en-US" w:eastAsia="en-US"/>
        </w:rPr>
      </w:pPr>
      <w:permStart w:id="1799384931" w:edGrp="everyone"/>
      <w:r>
        <w:t xml:space="preserve"> APT ag</w:t>
      </w:r>
      <w:r w:rsidRPr="00425990">
        <w:t>ree</w:t>
      </w:r>
      <w:r>
        <w:t>s with the proposal that</w:t>
      </w:r>
      <w:r w:rsidRPr="00425990">
        <w:t xml:space="preserve"> self-assessment should be every 2 years</w:t>
      </w:r>
      <w:r>
        <w:t>.</w:t>
      </w:r>
    </w:p>
    <w:permEnd w:id="1799384931"/>
    <w:p w14:paraId="5C69B872" w14:textId="77777777" w:rsidR="00F43578" w:rsidRDefault="00F43578" w:rsidP="00F43578">
      <w:r>
        <w:t>&lt;ESMA_QUESTION_ALGO_21&gt;</w:t>
      </w:r>
    </w:p>
    <w:p w14:paraId="5ED5D08B" w14:textId="77777777" w:rsidR="00F43578" w:rsidRDefault="00F43578" w:rsidP="00F43578"/>
    <w:p w14:paraId="4BAE4A40" w14:textId="77777777" w:rsidR="00F43578" w:rsidRDefault="00F43578" w:rsidP="00F43578">
      <w:pPr>
        <w:pStyle w:val="Questionstyle"/>
        <w:numPr>
          <w:ilvl w:val="0"/>
          <w:numId w:val="17"/>
        </w:numPr>
        <w:spacing w:after="250" w:line="276" w:lineRule="auto"/>
      </w:pPr>
      <w:r>
        <w:t>: Would you propose any other targeted legislative amendments to RTS 6? Please include a detailed explanation of the proposed amendment and of the underlying issue that this amendment would aim to tackle.</w:t>
      </w:r>
    </w:p>
    <w:p w14:paraId="78634659" w14:textId="77777777" w:rsidR="00F43578" w:rsidRDefault="00F43578" w:rsidP="00F43578">
      <w:r>
        <w:lastRenderedPageBreak/>
        <w:t>&lt;ESMA_QUESTION_ALGO_22&gt;</w:t>
      </w:r>
    </w:p>
    <w:p w14:paraId="68710486" w14:textId="0707E071" w:rsidR="001C556D" w:rsidRPr="001C556D" w:rsidRDefault="001C556D" w:rsidP="001C556D">
      <w:permStart w:id="818891985" w:edGrp="everyone"/>
      <w:r w:rsidRPr="001C556D">
        <w:t>On a number of points RTS 6 could be made more practical</w:t>
      </w:r>
      <w:r w:rsidR="00DC21FB">
        <w:t>.</w:t>
      </w:r>
      <w:r w:rsidRPr="001C556D">
        <w:br/>
      </w:r>
    </w:p>
    <w:p w14:paraId="52C7843C" w14:textId="0B7702FD" w:rsidR="001C556D" w:rsidRPr="001C556D" w:rsidRDefault="001C556D" w:rsidP="001C556D">
      <w:pPr>
        <w:rPr>
          <w:rFonts w:eastAsia="MS Mincho"/>
        </w:rPr>
      </w:pPr>
      <w:r w:rsidRPr="001C556D">
        <w:rPr>
          <w:rFonts w:eastAsia="MS Mincho"/>
        </w:rPr>
        <w:t>Article 7 (Testing Environments) stipulates that a testing environment needs to be separated from production. While it is clear that no testing should ever impact production environments, it is not realistic to expect that robust testing can occur in an environment that has no links whatsoever to production, as defined in the second paragraph of Article 7.1. This is not necessary, impractical and ‘overshoots’.</w:t>
      </w:r>
      <w:r w:rsidRPr="001C556D">
        <w:rPr>
          <w:rFonts w:eastAsia="MS Mincho"/>
        </w:rPr>
        <w:br/>
      </w:r>
      <w:r w:rsidRPr="001C556D">
        <w:rPr>
          <w:rFonts w:eastAsia="MS Mincho"/>
        </w:rPr>
        <w:br/>
        <w:t>Article 7.1 could thus be amended as follows: “An investment firm shall ensure that testing of compliance with the criteria laid down in Article 5(4)(a), (b) and (d) is undertaken in an environment that does not impact its production environment</w:t>
      </w:r>
      <w:r w:rsidR="00DC21FB">
        <w:rPr>
          <w:rFonts w:eastAsia="MS Mincho"/>
        </w:rPr>
        <w:t>. "</w:t>
      </w:r>
      <w:r w:rsidRPr="001C556D">
        <w:rPr>
          <w:rFonts w:eastAsia="MS Mincho"/>
        </w:rPr>
        <w:t xml:space="preserve"> </w:t>
      </w:r>
      <w:r w:rsidR="00DC21FB">
        <w:rPr>
          <w:rFonts w:eastAsia="MS Mincho"/>
        </w:rPr>
        <w:t>This would mean deleting:</w:t>
      </w:r>
      <w:r w:rsidRPr="001C556D">
        <w:rPr>
          <w:rFonts w:eastAsia="MS Mincho"/>
        </w:rPr>
        <w:t xml:space="preserve"> </w:t>
      </w:r>
      <w:r w:rsidR="00DC21FB">
        <w:rPr>
          <w:rFonts w:eastAsia="MS Mincho"/>
        </w:rPr>
        <w:t>"</w:t>
      </w:r>
      <w:r w:rsidRPr="001C556D">
        <w:rPr>
          <w:rFonts w:eastAsia="MS Mincho"/>
        </w:rPr>
        <w:t xml:space="preserve">that is used specifically for the testing and development of algorithmic trading systems and trading algorithms.” </w:t>
      </w:r>
      <w:r w:rsidRPr="001C556D">
        <w:rPr>
          <w:rFonts w:eastAsia="MS Mincho"/>
        </w:rPr>
        <w:br/>
      </w:r>
    </w:p>
    <w:p w14:paraId="4B28DFCB" w14:textId="4BE3DE65" w:rsidR="001C556D" w:rsidRPr="001C556D" w:rsidRDefault="001C556D" w:rsidP="001C556D">
      <w:r w:rsidRPr="001C556D">
        <w:t>Article 10 (Stress Testing) contains a significant amount of prescriptive detail. Investment firms have struggled with how to implement this requirement, as it is not always clear how and sometimes fully impractical to implement stress tests for all the procedures and controls referred to in Articles 12 to 18 of RTS7. It would be practical to make this a more principle based requirement, to be designed by firms based on their knowledge of their systems and the nature, scale and complexity of their business.</w:t>
      </w:r>
      <w:r w:rsidR="00DC21FB">
        <w:t xml:space="preserve"> </w:t>
      </w:r>
      <w:r w:rsidRPr="001C556D">
        <w:t xml:space="preserve">Those tests should comprise: (a) testing if the algorithm does what it is predetermined to do, even in stressed circumstances and (b) testing if the trading system has enough capacity to take higher volumes and prices, increased order flows and/or market stress. </w:t>
      </w:r>
      <w:r w:rsidRPr="001C556D">
        <w:br/>
      </w:r>
    </w:p>
    <w:p w14:paraId="7A1E3B18" w14:textId="77777777" w:rsidR="001C556D" w:rsidRPr="001C556D" w:rsidRDefault="001C556D" w:rsidP="001C556D">
      <w:r w:rsidRPr="001C556D">
        <w:t xml:space="preserve">Sometimes Article 16.2 (Real time monitoring) is interpreted that real-time monitoring should be done by the trader in charge AND by the risk management function or by an independent risk control function. The Risk department and/or the independent risk control function have a useful role as a second line of </w:t>
      </w:r>
      <w:proofErr w:type="spellStart"/>
      <w:r w:rsidRPr="001C556D">
        <w:t>defense</w:t>
      </w:r>
      <w:proofErr w:type="spellEnd"/>
      <w:r w:rsidRPr="001C556D">
        <w:t xml:space="preserve">, but primary responsibility should always rest with the trader in charge, as traders have market specific knowledge, tools and experience to most quickly identify and mitigate disorderly trading of the algorithm. In practice, traders are always the first line of </w:t>
      </w:r>
      <w:proofErr w:type="spellStart"/>
      <w:r w:rsidRPr="001C556D">
        <w:t>defense</w:t>
      </w:r>
      <w:proofErr w:type="spellEnd"/>
      <w:r w:rsidRPr="001C556D">
        <w:t xml:space="preserve"> for algorithmic trading. </w:t>
      </w:r>
      <w:r w:rsidRPr="001C556D">
        <w:br/>
      </w:r>
      <w:r w:rsidRPr="001C556D">
        <w:br/>
        <w:t>The first sentence of Article 16.2 should therefore read: “The real-time monitoring of algorithmic trading activity shall be undertaken by the trader in charge of the trading algorithm or algorithmic trading strategy, in cooperation with the risk management function or an independent risk control function established for the purpose of this provision.”</w:t>
      </w:r>
      <w:r w:rsidRPr="001C556D">
        <w:br/>
      </w:r>
    </w:p>
    <w:p w14:paraId="138EC104" w14:textId="6179F624" w:rsidR="00F43578" w:rsidRPr="006655D8" w:rsidRDefault="001C556D" w:rsidP="00F43578">
      <w:pPr>
        <w:rPr>
          <w:lang w:val="en-US"/>
        </w:rPr>
      </w:pPr>
      <w:r w:rsidRPr="001C556D">
        <w:t xml:space="preserve">With regard to reconciliation post trade, we suggest to shift to reconciling based on trades/positions, with an independent view on exposure, which is how the market generally operates. </w:t>
      </w:r>
      <w:r w:rsidRPr="001C556D">
        <w:br/>
      </w:r>
      <w:r w:rsidRPr="001C556D">
        <w:br/>
        <w:t>We propose the following change in the text of Article 17(3):“The investment firm shall reconcile its own electronic trading logs with an external view of its trades and positions [</w:t>
      </w:r>
      <w:r w:rsidR="00DC21FB">
        <w:t>delete: "</w:t>
      </w:r>
      <w:r w:rsidRPr="001C556D">
        <w:t>information about its outstanding orders and risk exposures</w:t>
      </w:r>
      <w:r w:rsidR="00DC21FB">
        <w:t>"</w:t>
      </w:r>
      <w:r w:rsidRPr="001C556D">
        <w:t xml:space="preserve">] as provided by the trading venues to which it sends orders, by its brokers or DEA providers, by its clearing members or central counterparties and by its data providers or other relevant business partners. Reconciliation shall be made in real-time where the aforementioned market participants provide the information in real-time. An investment firm shall have the capability </w:t>
      </w:r>
      <w:r w:rsidRPr="001C556D">
        <w:lastRenderedPageBreak/>
        <w:t>to calculate in real time its outstanding exposure and that of its traders and clients.”</w:t>
      </w:r>
      <w:r w:rsidR="00F95000">
        <w:t xml:space="preserve"> </w:t>
      </w:r>
      <w:r w:rsidR="00F95000">
        <w:br/>
      </w:r>
      <w:r w:rsidR="00F95000">
        <w:br/>
        <w:t>T</w:t>
      </w:r>
      <w:r w:rsidR="00F95000" w:rsidRPr="00F95000">
        <w:t>h</w:t>
      </w:r>
      <w:r w:rsidR="006655D8">
        <w:t>is is outside RTS6, but there</w:t>
      </w:r>
      <w:r w:rsidR="00F95000" w:rsidRPr="00F95000">
        <w:t xml:space="preserve"> are a few places in MiFID2 (MIFID2 Delegated Regulation: Article 76(10), MIFID2 Delegated Regulation: Section 8, Article 72(1)) that require firms to retain electronic records (email storage namely) in a format that cannot be altered or deleted (i.e. WORM format). WORM format is seen as an outdated standard that makes compliance either very expensive/burdensome or nearly impossible, based on contemporary technology standards. In the US, industry associations have appealed to the SEC to modernize this requirement. We should suggest also in Europe that it is sufficient to show that access to stored records is restricted only to a minimum number of staff responsible for recordkeeping within the firm, and that will strict WORM format (like in the US) is not required. Electronic recordkeeping standards with principles-based requirements based on a technology-neutral approach will allow investment firms to ensure the integrity of all regulatory records using the latest technology.</w:t>
      </w:r>
    </w:p>
    <w:permEnd w:id="818891985"/>
    <w:p w14:paraId="668F7385" w14:textId="77777777" w:rsidR="00F43578" w:rsidRDefault="00F43578" w:rsidP="00F43578">
      <w:r>
        <w:t>&lt;ESMA_QUESTION_ALGO_22&gt;</w:t>
      </w:r>
    </w:p>
    <w:p w14:paraId="284F9095" w14:textId="77777777" w:rsidR="00F43578" w:rsidRDefault="00F43578" w:rsidP="00F43578"/>
    <w:p w14:paraId="0F6A60C0" w14:textId="77777777" w:rsidR="00F43578" w:rsidRDefault="00F43578" w:rsidP="00F43578">
      <w:pPr>
        <w:pStyle w:val="Questionstyle"/>
        <w:numPr>
          <w:ilvl w:val="0"/>
          <w:numId w:val="17"/>
        </w:numPr>
        <w:spacing w:after="250" w:line="276" w:lineRule="auto"/>
      </w:pPr>
      <w:r>
        <w:t>: Do you agree with ESMA’s proposal to harmonize and create a clear structure for the performance of the self-assessment?</w:t>
      </w:r>
    </w:p>
    <w:p w14:paraId="7F0E5733" w14:textId="77777777" w:rsidR="00F43578" w:rsidRDefault="00F43578" w:rsidP="00F43578">
      <w:r>
        <w:t>&lt;ESMA_QUESTION_ALGO_23&gt;</w:t>
      </w:r>
    </w:p>
    <w:p w14:paraId="64343B3B" w14:textId="61F54AB0" w:rsidR="00F43578" w:rsidRPr="004F1B12" w:rsidRDefault="004F1B12" w:rsidP="00F43578">
      <w:pPr>
        <w:rPr>
          <w:lang w:val="en-US" w:eastAsia="en-US"/>
        </w:rPr>
      </w:pPr>
      <w:permStart w:id="400963781" w:edGrp="everyone"/>
      <w:r>
        <w:t xml:space="preserve"> No comment</w:t>
      </w:r>
    </w:p>
    <w:permEnd w:id="400963781"/>
    <w:p w14:paraId="42D14271" w14:textId="77777777" w:rsidR="00F43578" w:rsidRDefault="00F43578" w:rsidP="00F43578">
      <w:r>
        <w:t>&lt;ESMA_QUESTION_ALGO_23&gt;</w:t>
      </w:r>
    </w:p>
    <w:p w14:paraId="70EEB420" w14:textId="77777777" w:rsidR="00F43578" w:rsidRDefault="00F43578" w:rsidP="00F43578"/>
    <w:p w14:paraId="10812FFB" w14:textId="77777777" w:rsidR="00F43578" w:rsidRDefault="00F43578" w:rsidP="00F43578">
      <w:pPr>
        <w:pStyle w:val="Questionstyle"/>
        <w:numPr>
          <w:ilvl w:val="0"/>
          <w:numId w:val="17"/>
        </w:numPr>
        <w:spacing w:after="250" w:line="276" w:lineRule="auto"/>
      </w:pPr>
      <w:r>
        <w:t>: Do you agree with limiting the self-assessment to every two years and to require trading venues to share it with their relevant NCA?</w:t>
      </w:r>
    </w:p>
    <w:p w14:paraId="471A6981" w14:textId="77777777" w:rsidR="00F43578" w:rsidRDefault="00F43578" w:rsidP="00F43578">
      <w:r>
        <w:t>&lt;ESMA_QUESTION_ALGO_24&gt;</w:t>
      </w:r>
    </w:p>
    <w:p w14:paraId="5B4E51FA" w14:textId="1E659AFB" w:rsidR="00F43578" w:rsidRDefault="004F1B12" w:rsidP="00F43578">
      <w:permStart w:id="1148655378" w:edGrp="everyone"/>
      <w:r>
        <w:t>No comment</w:t>
      </w:r>
    </w:p>
    <w:permEnd w:id="1148655378"/>
    <w:p w14:paraId="66ABD509" w14:textId="77777777" w:rsidR="00F43578" w:rsidRDefault="00F43578" w:rsidP="00F43578">
      <w:r>
        <w:t>&lt;ESMA_QUESTION_ALGO_24&gt;</w:t>
      </w:r>
    </w:p>
    <w:p w14:paraId="6918A5B7" w14:textId="77777777" w:rsidR="00F43578" w:rsidRDefault="00F43578" w:rsidP="00F43578"/>
    <w:p w14:paraId="719A4973" w14:textId="16E8AD6F" w:rsidR="00F43578" w:rsidRDefault="00F43578" w:rsidP="00F43578">
      <w:pPr>
        <w:pStyle w:val="Questionstyle"/>
        <w:numPr>
          <w:ilvl w:val="0"/>
          <w:numId w:val="17"/>
        </w:numPr>
        <w:spacing w:after="250" w:line="276" w:lineRule="auto"/>
      </w:pPr>
      <w:r>
        <w:t>: Do you agree with ESMA</w:t>
      </w:r>
      <w:r w:rsidR="000E23ED">
        <w:t>’s</w:t>
      </w:r>
      <w:r>
        <w:t xml:space="preserve"> analysis</w:t>
      </w:r>
      <w:r w:rsidR="000E23ED">
        <w:t xml:space="preserve"> about the</w:t>
      </w:r>
      <w:r>
        <w:t xml:space="preserve"> overlapping requirements between RTS 6 and 7? Are </w:t>
      </w:r>
      <w:r w:rsidR="000E23ED">
        <w:t>those overlaps considered beneficial, should they be removed or are there any gaps? Are there</w:t>
      </w:r>
      <w:r>
        <w:t xml:space="preserve"> any further points that should be clarified?</w:t>
      </w:r>
    </w:p>
    <w:p w14:paraId="4700B72A" w14:textId="77777777" w:rsidR="00F43578" w:rsidRDefault="00F43578" w:rsidP="00F43578">
      <w:r>
        <w:t>&lt;ESMA_QUESTION_ALGO_25&gt;</w:t>
      </w:r>
    </w:p>
    <w:p w14:paraId="4AF9800F" w14:textId="77777777" w:rsidR="00DC21FB" w:rsidRPr="00DC21FB" w:rsidRDefault="00DC21FB" w:rsidP="00DC21FB">
      <w:permStart w:id="1410487780" w:edGrp="everyone"/>
      <w:r>
        <w:t xml:space="preserve"> </w:t>
      </w:r>
      <w:r w:rsidRPr="00DC21FB">
        <w:t xml:space="preserve">To strengthen the resilience and proper functioning of trading systems and prevent unnecessarily high burdens for its members and participants (‘members’), we suggest that responsibilities of trading venues, which have complete oversight of trading activity and the systems and capabilities to harmonize certain functions, are enhanced along the following lines:  </w:t>
      </w:r>
      <w:r w:rsidRPr="00DC21FB">
        <w:br/>
      </w:r>
    </w:p>
    <w:p w14:paraId="60B2A8F2" w14:textId="77777777" w:rsidR="00DC21FB" w:rsidRPr="00DC21FB" w:rsidRDefault="00DC21FB" w:rsidP="00DC21FB">
      <w:pPr>
        <w:rPr>
          <w:rFonts w:eastAsia="MS Mincho"/>
        </w:rPr>
      </w:pPr>
      <w:r w:rsidRPr="00DC21FB">
        <w:rPr>
          <w:rFonts w:eastAsia="MS Mincho"/>
        </w:rPr>
        <w:t xml:space="preserve">As prerequisite, to prevent new requirements becoming a business model for venues and to ensure that obligations rest where they are best suited, a clarification in RTS7 is needed that venues </w:t>
      </w:r>
      <w:r w:rsidRPr="00DC21FB">
        <w:t>may not charge for RTS7 compliance functionality or other functionality facilitating compliance with RTS6 (cf. algorithmic testing under RTS 7 Article 10) and should not pass through RTS7 requirements to members, effectively shifting the compliance requirement of venues to members.</w:t>
      </w:r>
      <w:r w:rsidRPr="00DC21FB">
        <w:rPr>
          <w:rStyle w:val="Voetnootmarkering"/>
        </w:rPr>
        <w:footnoteReference w:id="2"/>
      </w:r>
      <w:r w:rsidRPr="00DC21FB">
        <w:t xml:space="preserve">  </w:t>
      </w:r>
    </w:p>
    <w:p w14:paraId="41084287" w14:textId="77777777" w:rsidR="00DC21FB" w:rsidRPr="00DC21FB" w:rsidRDefault="00DC21FB" w:rsidP="00DC21FB">
      <w:pPr>
        <w:rPr>
          <w:rFonts w:eastAsia="MS Mincho"/>
        </w:rPr>
      </w:pPr>
    </w:p>
    <w:p w14:paraId="3302CEE7" w14:textId="77777777" w:rsidR="00BC2DA8" w:rsidRDefault="00DC21FB" w:rsidP="00DC21FB">
      <w:bookmarkStart w:id="3" w:name="_Hlk57794379"/>
      <w:r w:rsidRPr="00DC21FB">
        <w:t xml:space="preserve">To ensure the proper functioning of algorithms within the trading system, trading venues should be encouraged to provide more realistic simulation environments under RTS 7 Article 10(2)(a). These environments should mimic what goes on in the production environment and be available for more hours of the day than is currently the case. </w:t>
      </w:r>
    </w:p>
    <w:p w14:paraId="55B57BAB" w14:textId="77777777" w:rsidR="00BC2DA8" w:rsidRDefault="00BC2DA8" w:rsidP="00DC21FB"/>
    <w:p w14:paraId="74ECFD1F" w14:textId="0DC83C14" w:rsidR="00DC21FB" w:rsidRPr="00DC21FB" w:rsidRDefault="00DC21FB" w:rsidP="00DC21FB">
      <w:r w:rsidRPr="00DC21FB">
        <w:t xml:space="preserve">Ideally, trading venues would offer, without additional charge, a private and programmable test environment, per member, with an API that allows to start and stop programmatically. A private UAT is not impacted by other users and allows firms greater flexibility to test. Trading venues’ UATs may provide services such as a simulated matching engine failure or trade cancellations. </w:t>
      </w:r>
      <w:bookmarkEnd w:id="3"/>
      <w:r w:rsidRPr="00DC21FB">
        <w:t>However, if a firm does not know in advance when these events occur, firms test such as order-add-and-delete, could fail. In a programmable test environment, firms could request such events on demand, and venues could add events like "stress test" which would send X messages per second. This would help to make clear what stress testing means, and make it easier for members  to verify that a stress test has passed.</w:t>
      </w:r>
    </w:p>
    <w:p w14:paraId="42B7846C" w14:textId="77777777" w:rsidR="00DC21FB" w:rsidRPr="00DC21FB" w:rsidRDefault="00DC21FB" w:rsidP="00DC21FB">
      <w:pPr>
        <w:rPr>
          <w:rFonts w:eastAsia="MS Mincho"/>
        </w:rPr>
      </w:pPr>
    </w:p>
    <w:p w14:paraId="15600E4F" w14:textId="77777777" w:rsidR="00DC21FB" w:rsidRPr="00DC21FB" w:rsidRDefault="00DC21FB" w:rsidP="00DC21FB">
      <w:r w:rsidRPr="00DC21FB">
        <w:t>To stimulate fair and orderly trading we suggest the following:</w:t>
      </w:r>
    </w:p>
    <w:p w14:paraId="2111B5D5" w14:textId="7A4796A4" w:rsidR="00DC21FB" w:rsidRPr="00DC21FB" w:rsidRDefault="00DC21FB" w:rsidP="00DC21FB">
      <w:r>
        <w:t>(</w:t>
      </w:r>
      <w:proofErr w:type="spellStart"/>
      <w:r>
        <w:t>i</w:t>
      </w:r>
      <w:proofErr w:type="spellEnd"/>
      <w:r>
        <w:t xml:space="preserve">) </w:t>
      </w:r>
      <w:r w:rsidRPr="00DC21FB">
        <w:t>All trading venues should offer self-match protection, with a choice of logic to cancel either the existing or newest order (without additional latency). Sufficient granularity should be applied in order for members to allow matching for orders sent by independent units/strategies within the member firm. This functionality ensures RTS6 compliance, but is not yet provided free of charge at all venues.</w:t>
      </w:r>
    </w:p>
    <w:p w14:paraId="4A1011C2" w14:textId="77777777" w:rsidR="00DC21FB" w:rsidRDefault="00DC21FB" w:rsidP="00DC21FB">
      <w:r>
        <w:t xml:space="preserve">(ii) </w:t>
      </w:r>
      <w:r w:rsidRPr="00DC21FB">
        <w:t>In order to reduce exposure in case of any connectivity interruption, all trading venues should offer cancel on disconnect functionality that automatically removes any open orders from the order book.</w:t>
      </w:r>
    </w:p>
    <w:p w14:paraId="2FFD139C" w14:textId="22735006" w:rsidR="00DC21FB" w:rsidRPr="00DC21FB" w:rsidRDefault="00DC21FB" w:rsidP="00DC21FB">
      <w:r>
        <w:t xml:space="preserve">(iii) </w:t>
      </w:r>
      <w:r w:rsidRPr="00DC21FB">
        <w:t>To help understand and recover more swiftly from technical “glitches”, we recommend introducing more detailed standards on reporting technology issues by trading venues. Article 8 of RTS 7 lists requirements around the testing of trading systems, but there is no guidance on disclosure/ communication in case of incidents. This contrasts with the US, which in 2015 adopted Regulation Systems Compliance and Integrity (‘Reg SCI’), defining three types of events with distinct reporting obligations and escalation requirements.</w:t>
      </w:r>
    </w:p>
    <w:p w14:paraId="4267F1B1" w14:textId="77777777" w:rsidR="00DC21FB" w:rsidRDefault="00DC21FB" w:rsidP="00DC21FB"/>
    <w:p w14:paraId="06DD5014" w14:textId="34447C79" w:rsidR="00DC21FB" w:rsidRPr="00DC21FB" w:rsidRDefault="00DC21FB" w:rsidP="00DC21FB">
      <w:r w:rsidRPr="00DC21FB">
        <w:t xml:space="preserve">In order for all parties involved in the post trade process (cf. Article 20 RTS 7) to map transactions to the corresponding message and for a reconciliation process after outages to run smoothly, trading venues should publish aligned references to the fill confirmation and the drop copy to members, the transaction confirmation to the Clearing Firms and to the Clearing House.   </w:t>
      </w:r>
      <w:r w:rsidRPr="00DC21FB">
        <w:br/>
      </w:r>
    </w:p>
    <w:p w14:paraId="7355D2A0" w14:textId="77777777" w:rsidR="00DC21FB" w:rsidRPr="00DC21FB" w:rsidRDefault="00DC21FB" w:rsidP="00DC21FB">
      <w:r w:rsidRPr="00DC21FB">
        <w:t xml:space="preserve">Article 7 of RTS 7 prescribes trading venues perform annual due diligence on members. We see a wide array of formats and delivery methods, which results in an administrative burden. To consolidate and strengthen the process in line with regulatory standards, we would be strong advocates of a standardized template for due diligence, either by ESMA or the industry. </w:t>
      </w:r>
      <w:r w:rsidRPr="00DC21FB">
        <w:br/>
      </w:r>
    </w:p>
    <w:p w14:paraId="3E7E2947" w14:textId="77777777" w:rsidR="00DC21FB" w:rsidRPr="00DC21FB" w:rsidRDefault="00DC21FB" w:rsidP="00DC21FB">
      <w:pPr>
        <w:rPr>
          <w:rFonts w:eastAsia="MS Mincho"/>
        </w:rPr>
      </w:pPr>
      <w:r w:rsidRPr="00DC21FB">
        <w:rPr>
          <w:rFonts w:eastAsia="MS Mincho"/>
        </w:rPr>
        <w:t xml:space="preserve">Article 26 </w:t>
      </w:r>
      <w:proofErr w:type="spellStart"/>
      <w:r w:rsidRPr="00DC21FB">
        <w:rPr>
          <w:rFonts w:eastAsia="MS Mincho"/>
        </w:rPr>
        <w:t>MiFIR</w:t>
      </w:r>
      <w:proofErr w:type="spellEnd"/>
      <w:r w:rsidRPr="00DC21FB">
        <w:rPr>
          <w:rFonts w:eastAsia="MS Mincho"/>
        </w:rPr>
        <w:t xml:space="preserve"> states that investment firms that execute transactions shall report complete and accurate details of such transactions to the NCA as quickly as possible. Where an investment firm conducts trading activity in a DEAL (Principal) capacity and provides short code information on orders going into the market, trading venues already have all information </w:t>
      </w:r>
      <w:r w:rsidRPr="00DC21FB">
        <w:rPr>
          <w:rFonts w:eastAsia="MS Mincho"/>
        </w:rPr>
        <w:lastRenderedPageBreak/>
        <w:t>required to generate such transaction reports. Venues also have transaction reporting obligations and processes in place to report on behalf of third country firms.</w:t>
      </w:r>
    </w:p>
    <w:p w14:paraId="09026B07" w14:textId="77777777" w:rsidR="00DC21FB" w:rsidRPr="00DC21FB" w:rsidRDefault="00DC21FB" w:rsidP="00DC21FB">
      <w:pPr>
        <w:rPr>
          <w:rFonts w:eastAsia="MS Mincho"/>
        </w:rPr>
      </w:pPr>
    </w:p>
    <w:p w14:paraId="3CD0A40A" w14:textId="77777777" w:rsidR="00DC21FB" w:rsidRPr="00DC21FB" w:rsidRDefault="00DC21FB" w:rsidP="00DC21FB">
      <w:pPr>
        <w:rPr>
          <w:rFonts w:eastAsia="MS Mincho"/>
        </w:rPr>
      </w:pPr>
      <w:r w:rsidRPr="00DC21FB">
        <w:rPr>
          <w:rFonts w:eastAsia="MS Mincho"/>
        </w:rPr>
        <w:t>Taking this into account and with the aim to minimize reporting errors across the market and relieve reporting/ processing burden on NCA’s and smaller members, we suggest that trading venues generate transaction reports for DEAL participants on their order book and send these reports to required NCA’s.</w:t>
      </w:r>
    </w:p>
    <w:p w14:paraId="2B31EBD3" w14:textId="77777777" w:rsidR="00DC21FB" w:rsidRPr="00DC21FB" w:rsidRDefault="00DC21FB" w:rsidP="00DC21FB"/>
    <w:p w14:paraId="017F9FCD" w14:textId="515A4FAC" w:rsidR="00F43578" w:rsidRDefault="00DC21FB" w:rsidP="00F43578">
      <w:r w:rsidRPr="00DC21FB">
        <w:t xml:space="preserve">Under Art. 25(2) of </w:t>
      </w:r>
      <w:proofErr w:type="spellStart"/>
      <w:r w:rsidRPr="00DC21FB">
        <w:t>MiFIR</w:t>
      </w:r>
      <w:proofErr w:type="spellEnd"/>
      <w:r w:rsidRPr="00DC21FB">
        <w:t xml:space="preserve"> and Article 2 of RTS 24, trading venues shall keep at the disposal of their NCAs relevant data to identify members as well as the persons within the member that is responsible for an order decision. In order to comply, each venue needs to obtain additional data from members. This led to the so-called ‘Short Code Solution’ where members should assign artificial short codes to identify persons responsible. Short codes have to be sent in every order/quote message. This requirement includes passing on passport or National ID for natural persons and results in transferring privacy sensitive data on a daily basis. The intention is identifying the trader behind the order, but the result is a huge privacy </w:t>
      </w:r>
      <w:proofErr w:type="spellStart"/>
      <w:r w:rsidRPr="00DC21FB">
        <w:t>challenge.Suggested</w:t>
      </w:r>
      <w:proofErr w:type="spellEnd"/>
      <w:r w:rsidRPr="00DC21FB">
        <w:t xml:space="preserve"> alternatives are : (1) linking the identity of the trader to the session, instead of the individual update/insert/delete or (2) providing identification upon request of the NCA</w:t>
      </w:r>
      <w:r>
        <w:t>.</w:t>
      </w:r>
    </w:p>
    <w:permEnd w:id="1410487780"/>
    <w:p w14:paraId="18223146" w14:textId="77777777" w:rsidR="00F43578" w:rsidRDefault="00F43578" w:rsidP="00F43578">
      <w:r>
        <w:t>&lt;ESMA_QUESTION_ALGO_25&gt;</w:t>
      </w:r>
    </w:p>
    <w:p w14:paraId="72C90DF0" w14:textId="77777777" w:rsidR="00F43578" w:rsidRDefault="00F43578" w:rsidP="00F43578"/>
    <w:p w14:paraId="2628AEC8" w14:textId="77777777" w:rsidR="00F43578" w:rsidRDefault="00F43578" w:rsidP="00F43578">
      <w:pPr>
        <w:pStyle w:val="Questionstyle"/>
        <w:numPr>
          <w:ilvl w:val="0"/>
          <w:numId w:val="17"/>
        </w:numPr>
        <w:spacing w:after="250" w:line="276" w:lineRule="auto"/>
      </w:pPr>
      <w:r>
        <w:t xml:space="preserve">: What is your view with regards to the testing of algorithms requirements? Do you agree that more robust testing scenarios should be set? </w:t>
      </w:r>
    </w:p>
    <w:p w14:paraId="01C5F0D2" w14:textId="77777777" w:rsidR="00F43578" w:rsidRDefault="00F43578" w:rsidP="00F43578">
      <w:r>
        <w:t>&lt;ESMA_QUESTION_ALGO_26&gt;</w:t>
      </w:r>
    </w:p>
    <w:p w14:paraId="21B46AAD" w14:textId="5063237C" w:rsidR="00F43578" w:rsidRPr="004F1B12" w:rsidRDefault="004F1B12" w:rsidP="004F1B12">
      <w:pPr>
        <w:pStyle w:val="Lijstalinea"/>
        <w:numPr>
          <w:ilvl w:val="0"/>
          <w:numId w:val="0"/>
        </w:numPr>
        <w:rPr>
          <w:lang w:val="en-US" w:eastAsia="en-US"/>
        </w:rPr>
      </w:pPr>
      <w:permStart w:id="1397362070" w:edGrp="everyone"/>
      <w:r>
        <w:t xml:space="preserve">In  our view, it's not necessary for </w:t>
      </w:r>
      <w:r w:rsidRPr="004F1B12">
        <w:t xml:space="preserve">ESMA </w:t>
      </w:r>
      <w:r>
        <w:t xml:space="preserve">to </w:t>
      </w:r>
      <w:r w:rsidRPr="004F1B12">
        <w:t>provide specific test scenarios</w:t>
      </w:r>
      <w:r>
        <w:t xml:space="preserve">. The </w:t>
      </w:r>
      <w:r w:rsidRPr="004F1B12">
        <w:t>diversity among algo</w:t>
      </w:r>
      <w:r>
        <w:t xml:space="preserve">rithms is </w:t>
      </w:r>
      <w:r w:rsidRPr="004F1B12">
        <w:t>too large</w:t>
      </w:r>
      <w:r>
        <w:t xml:space="preserve">. It </w:t>
      </w:r>
      <w:r w:rsidRPr="004F1B12">
        <w:t>would not help to prevent disorderly trading conditions</w:t>
      </w:r>
      <w:r>
        <w:t>.</w:t>
      </w:r>
    </w:p>
    <w:permEnd w:id="1397362070"/>
    <w:p w14:paraId="216D4625" w14:textId="77777777" w:rsidR="00F43578" w:rsidRDefault="00F43578" w:rsidP="00F43578">
      <w:r>
        <w:t>&lt;ESMA_QUESTION_ALGO_26&gt;</w:t>
      </w:r>
    </w:p>
    <w:p w14:paraId="7828B502" w14:textId="77777777" w:rsidR="00F43578" w:rsidRDefault="00F43578" w:rsidP="00F43578"/>
    <w:p w14:paraId="4CB4F713" w14:textId="77777777" w:rsidR="00F43578" w:rsidRDefault="00F43578" w:rsidP="00F43578">
      <w:pPr>
        <w:pStyle w:val="Questionstyle"/>
        <w:numPr>
          <w:ilvl w:val="0"/>
          <w:numId w:val="17"/>
        </w:numPr>
        <w:spacing w:after="250" w:line="276" w:lineRule="auto"/>
      </w:pPr>
      <w:r>
        <w:t>: Are the testing environments available for the testing of algorithms appropriate for this purpose?</w:t>
      </w:r>
    </w:p>
    <w:p w14:paraId="55777CBA" w14:textId="77777777" w:rsidR="00F43578" w:rsidRDefault="00F43578" w:rsidP="00F43578">
      <w:r>
        <w:t>&lt;ESMA_QUESTION_ALGO_27&gt;</w:t>
      </w:r>
    </w:p>
    <w:p w14:paraId="5D62843E" w14:textId="77777777" w:rsidR="009D1D59" w:rsidRDefault="009D1D59" w:rsidP="009D1D59">
      <w:permStart w:id="136737856" w:edGrp="everyone"/>
      <w:r>
        <w:t xml:space="preserve"> </w:t>
      </w:r>
      <w:r w:rsidRPr="009D1D59">
        <w:rPr>
          <w:rFonts w:eastAsia="MS Mincho"/>
        </w:rPr>
        <w:t>Article 7 of RTS 6 on Testing Environments stipulates that a testing environment needs to be separated from production. While it is clear that no testing should ever impact production environments, it is not realistic to expect that robust testing can occur in an environment that has no links whatsoever to production, as defined in the second paragraph of Article 7.1. This is not necessary, impractical and ‘</w:t>
      </w:r>
      <w:proofErr w:type="spellStart"/>
      <w:r w:rsidRPr="009D1D59">
        <w:rPr>
          <w:rFonts w:eastAsia="MS Mincho"/>
        </w:rPr>
        <w:t>overshoots’.Article</w:t>
      </w:r>
      <w:proofErr w:type="spellEnd"/>
      <w:r w:rsidRPr="009D1D59">
        <w:rPr>
          <w:rFonts w:eastAsia="MS Mincho"/>
        </w:rPr>
        <w:t xml:space="preserve"> 7.1 could thus be amended as follows: “An investment firm shall ensure that testing of compliance with the criteria laid down in Article 5(4)(a), (b) and (d) is undertaken in an environment that does not impact its production environment. " This would mean deleting: "that is used specifically for the testing and development of algorithmic trading systems and trading algorithms.”</w:t>
      </w:r>
      <w:r w:rsidRPr="00DC21FB">
        <w:t xml:space="preserve"> </w:t>
      </w:r>
    </w:p>
    <w:p w14:paraId="277821A8" w14:textId="77777777" w:rsidR="009D1D59" w:rsidRDefault="009D1D59" w:rsidP="009D1D59"/>
    <w:p w14:paraId="63F8C9D4" w14:textId="572D3793" w:rsidR="00F43578" w:rsidRDefault="009D1D59" w:rsidP="009D1D59">
      <w:r>
        <w:t>Furthermore, t</w:t>
      </w:r>
      <w:r w:rsidRPr="00DC21FB">
        <w:t xml:space="preserve">o ensure the proper functioning of algorithms within the trading system, trading venues should be encouraged to provide more realistic simulation environments under RTS 7 Article 10(2)(a). These environments should mimic what goes on in the production environment and be available for more hours of the day than is currently the case. Ideally, trading venues would offer, without additional charge, a private and programmable test environment, per member, with an API that allows to start and stop programmatically. A </w:t>
      </w:r>
      <w:r w:rsidRPr="00DC21FB">
        <w:lastRenderedPageBreak/>
        <w:t>private UAT is not impacted by other users and allows firms greater flexibility to test. Trading venues’ UATs may provide services such as a simulated matching engine failure or trade cancellations. However, if a firm does not know in advance when these events occur, firms test such as order-add-and-delete, could fail. In a programmable test environment, firms could request such events on demand, and venues could add events like "stress test" which would send X messages per second. This would help to make clear what stress testing means, and make it easier for members  to verify that a stress test has passed</w:t>
      </w:r>
      <w:r>
        <w:t>.</w:t>
      </w:r>
    </w:p>
    <w:permEnd w:id="136737856"/>
    <w:p w14:paraId="5A63B72F" w14:textId="77777777" w:rsidR="00F43578" w:rsidRDefault="00F43578" w:rsidP="00F43578">
      <w:r>
        <w:t>&lt;ESMA_QUESTION_ALGO_27&gt;</w:t>
      </w:r>
    </w:p>
    <w:p w14:paraId="3E7778DD" w14:textId="77777777" w:rsidR="00F43578" w:rsidRDefault="00F43578" w:rsidP="00F43578"/>
    <w:p w14:paraId="08649A9E" w14:textId="77777777" w:rsidR="00F43578" w:rsidRDefault="00F43578" w:rsidP="00F43578">
      <w:pPr>
        <w:pStyle w:val="Questionstyle"/>
        <w:numPr>
          <w:ilvl w:val="0"/>
          <w:numId w:val="17"/>
        </w:numPr>
        <w:spacing w:after="250" w:line="276" w:lineRule="auto"/>
      </w:pPr>
      <w:r>
        <w:t xml:space="preserve">: Do you agree with ESMA’s analysis that the circuit breaker mechanism achieved its objective to avoid significant disruptions to the orderliness of trading? </w:t>
      </w:r>
    </w:p>
    <w:p w14:paraId="168C5B32" w14:textId="77777777" w:rsidR="00F43578" w:rsidRDefault="00F43578" w:rsidP="00F43578">
      <w:r>
        <w:t>&lt;ESMA_QUESTION_ALGO_28&gt;</w:t>
      </w:r>
    </w:p>
    <w:p w14:paraId="21933EB2" w14:textId="7A4DDB45" w:rsidR="00F43578" w:rsidRDefault="004F1B12" w:rsidP="00F43578">
      <w:permStart w:id="524302610" w:edGrp="everyone"/>
      <w:r>
        <w:t>No comment</w:t>
      </w:r>
    </w:p>
    <w:permEnd w:id="524302610"/>
    <w:p w14:paraId="28D8E89D" w14:textId="77777777" w:rsidR="00F43578" w:rsidRDefault="00F43578" w:rsidP="00F43578">
      <w:r>
        <w:t>&lt;ESMA_QUESTION_ALGO_28&gt;</w:t>
      </w:r>
    </w:p>
    <w:p w14:paraId="2460A07C" w14:textId="77777777" w:rsidR="00F43578" w:rsidRDefault="00F43578" w:rsidP="00F43578"/>
    <w:p w14:paraId="29F97988" w14:textId="77777777" w:rsidR="00F43578" w:rsidRDefault="00F43578" w:rsidP="00F43578">
      <w:pPr>
        <w:pStyle w:val="Questionstyle"/>
        <w:numPr>
          <w:ilvl w:val="0"/>
          <w:numId w:val="17"/>
        </w:numPr>
        <w:spacing w:after="250" w:line="276" w:lineRule="auto"/>
      </w:pPr>
      <w:r>
        <w:t>: Do you agree that the requirements under Article 48(5) of MiFID II complemented by RTS 7 and the guidelines on the calibration of circuit breakers and publication of trading halts under MiFID II remain appropriate? If not, what regulatory changes do you deem necessary?</w:t>
      </w:r>
    </w:p>
    <w:p w14:paraId="62B830FE" w14:textId="77777777" w:rsidR="00F43578" w:rsidRDefault="00F43578" w:rsidP="00F43578">
      <w:r>
        <w:t>&lt;ESMA_QUESTION_ALGO_29&gt;</w:t>
      </w:r>
    </w:p>
    <w:p w14:paraId="4F3C7144" w14:textId="50E40ACD" w:rsidR="00F43578" w:rsidRDefault="004F1B12" w:rsidP="00F43578">
      <w:permStart w:id="2087265348" w:edGrp="everyone"/>
      <w:r>
        <w:t>No comment</w:t>
      </w:r>
    </w:p>
    <w:permEnd w:id="2087265348"/>
    <w:p w14:paraId="5CD2143E" w14:textId="77777777" w:rsidR="00F43578" w:rsidRDefault="00F43578" w:rsidP="00F43578">
      <w:r>
        <w:t>&lt;ESMA_QUESTION_ALGO_29&gt;</w:t>
      </w:r>
    </w:p>
    <w:p w14:paraId="025F86DD" w14:textId="77777777" w:rsidR="00F43578" w:rsidRDefault="00F43578" w:rsidP="00F43578"/>
    <w:p w14:paraId="25C574D3" w14:textId="77777777" w:rsidR="00F43578" w:rsidRDefault="00F43578" w:rsidP="00F43578">
      <w:pPr>
        <w:pStyle w:val="Questionstyle"/>
        <w:numPr>
          <w:ilvl w:val="0"/>
          <w:numId w:val="17"/>
        </w:numPr>
        <w:spacing w:after="250" w:line="276" w:lineRule="auto"/>
      </w:pPr>
      <w:r>
        <w:t>: Do you agree that the co-location services and fees structures are fair and non-discriminatory? Please elaborate.</w:t>
      </w:r>
    </w:p>
    <w:p w14:paraId="231F8066" w14:textId="77777777" w:rsidR="00F43578" w:rsidRDefault="00F43578" w:rsidP="00F43578">
      <w:r>
        <w:t>&lt;ESMA_QUESTION_ALGO_30&gt;</w:t>
      </w:r>
    </w:p>
    <w:p w14:paraId="0A8D86F3" w14:textId="4D85F0B4" w:rsidR="00F43578" w:rsidRDefault="004F1B12" w:rsidP="00F43578">
      <w:permStart w:id="40969141" w:edGrp="everyone"/>
      <w:r>
        <w:t>No comment</w:t>
      </w:r>
    </w:p>
    <w:permEnd w:id="40969141"/>
    <w:p w14:paraId="727ECD19" w14:textId="77777777" w:rsidR="00F43578" w:rsidRDefault="00F43578" w:rsidP="00F43578">
      <w:r>
        <w:t>&lt;ESMA_QUESTION_ALGO_30&gt;</w:t>
      </w:r>
    </w:p>
    <w:p w14:paraId="058F3A76" w14:textId="77777777" w:rsidR="00F43578" w:rsidRDefault="00F43578" w:rsidP="00F43578"/>
    <w:p w14:paraId="62C27670" w14:textId="77777777" w:rsidR="00F43578" w:rsidRDefault="00F43578" w:rsidP="00F43578">
      <w:pPr>
        <w:pStyle w:val="Questionstyle"/>
        <w:numPr>
          <w:ilvl w:val="0"/>
          <w:numId w:val="17"/>
        </w:numPr>
        <w:spacing w:after="250" w:line="276" w:lineRule="auto"/>
      </w:pPr>
      <w:r>
        <w:t>: Do you think that the disclosures under RTS 10 made by the trading venues are sufficient or should they be harmonized among the different entities? Please explain.</w:t>
      </w:r>
    </w:p>
    <w:p w14:paraId="5946A205" w14:textId="77777777" w:rsidR="00F43578" w:rsidRDefault="00F43578" w:rsidP="00F43578">
      <w:r>
        <w:t>&lt;ESMA_QUESTION_ALGO_31&gt;</w:t>
      </w:r>
    </w:p>
    <w:p w14:paraId="05C272E9" w14:textId="0520837A" w:rsidR="00F43578" w:rsidRDefault="004F1B12" w:rsidP="00F43578">
      <w:permStart w:id="1697211100" w:edGrp="everyone"/>
      <w:r>
        <w:t>No comment</w:t>
      </w:r>
    </w:p>
    <w:permEnd w:id="1697211100"/>
    <w:p w14:paraId="0FBF0700" w14:textId="77777777" w:rsidR="00F43578" w:rsidRDefault="00F43578" w:rsidP="00F43578">
      <w:r>
        <w:t>&lt;ESMA_QUESTION_ALGO_31&gt;</w:t>
      </w:r>
    </w:p>
    <w:p w14:paraId="2E7C40E0" w14:textId="77777777" w:rsidR="00F43578" w:rsidRDefault="00F43578" w:rsidP="00F43578"/>
    <w:p w14:paraId="6FD19BDA" w14:textId="77777777" w:rsidR="00F43578" w:rsidRDefault="00F43578" w:rsidP="00F43578">
      <w:pPr>
        <w:pStyle w:val="Questionstyle"/>
        <w:numPr>
          <w:ilvl w:val="0"/>
          <w:numId w:val="17"/>
        </w:numPr>
        <w:spacing w:after="250" w:line="276" w:lineRule="auto"/>
      </w:pPr>
      <w:r>
        <w:t>: Do you agree with ESMA’s proposal to set out the maximum OTR ratio, calibrated per asset class?</w:t>
      </w:r>
    </w:p>
    <w:p w14:paraId="5754E92A" w14:textId="77777777" w:rsidR="00F43578" w:rsidRDefault="00F43578" w:rsidP="00F43578">
      <w:r>
        <w:t>&lt;ESMA_QUESTION_ALGO_32&gt;</w:t>
      </w:r>
    </w:p>
    <w:p w14:paraId="6F81CA8B" w14:textId="01112E47" w:rsidR="00F43578" w:rsidRDefault="004F1B12" w:rsidP="00F43578">
      <w:permStart w:id="1506355568" w:edGrp="everyone"/>
      <w:r>
        <w:t xml:space="preserve"> No comment</w:t>
      </w:r>
    </w:p>
    <w:permEnd w:id="1506355568"/>
    <w:p w14:paraId="614431FA" w14:textId="77777777" w:rsidR="00F43578" w:rsidRDefault="00F43578" w:rsidP="00F43578">
      <w:r>
        <w:t>&lt;ESMA_QUESTION_ALGO_32&gt;</w:t>
      </w:r>
    </w:p>
    <w:p w14:paraId="103E2ADA" w14:textId="77777777" w:rsidR="00F43578" w:rsidRDefault="00F43578" w:rsidP="00F43578"/>
    <w:p w14:paraId="3BFE974E" w14:textId="77777777" w:rsidR="00F43578" w:rsidRDefault="00F43578" w:rsidP="00F43578">
      <w:pPr>
        <w:pStyle w:val="Questionstyle"/>
        <w:numPr>
          <w:ilvl w:val="0"/>
          <w:numId w:val="17"/>
        </w:numPr>
        <w:spacing w:after="250" w:line="276" w:lineRule="auto"/>
      </w:pPr>
      <w:r>
        <w:lastRenderedPageBreak/>
        <w:t xml:space="preserve">Q33: Do you agree that the maximum limits are not frequently exceeded? Please explain any potential underlying issues in this respect that should be recognised. </w:t>
      </w:r>
    </w:p>
    <w:p w14:paraId="30FF6853" w14:textId="77777777" w:rsidR="00F43578" w:rsidRDefault="00F43578" w:rsidP="00F43578">
      <w:r>
        <w:t>&lt;ESMA_QUESTION_ALGO_33&gt;</w:t>
      </w:r>
    </w:p>
    <w:p w14:paraId="5151FB96" w14:textId="4D7BA2D0" w:rsidR="00F43578" w:rsidRDefault="004F1B12" w:rsidP="00F43578">
      <w:permStart w:id="1441803238" w:edGrp="everyone"/>
      <w:r>
        <w:t xml:space="preserve"> </w:t>
      </w:r>
      <w:r w:rsidRPr="004F1B12">
        <w:t>No comment</w:t>
      </w:r>
    </w:p>
    <w:permEnd w:id="1441803238"/>
    <w:p w14:paraId="512D959D" w14:textId="77777777" w:rsidR="00F43578" w:rsidRDefault="00F43578" w:rsidP="00F43578">
      <w:r>
        <w:t>&lt;ESMA_QUESTION_ALGO_33&gt;</w:t>
      </w:r>
    </w:p>
    <w:p w14:paraId="5CD185FE" w14:textId="77777777" w:rsidR="00F43578" w:rsidRDefault="00F43578" w:rsidP="00F43578"/>
    <w:p w14:paraId="6D0E58EE" w14:textId="77777777" w:rsidR="00F43578" w:rsidRDefault="00F43578" w:rsidP="00F43578">
      <w:pPr>
        <w:pStyle w:val="Questionstyle"/>
        <w:numPr>
          <w:ilvl w:val="0"/>
          <w:numId w:val="17"/>
        </w:numPr>
        <w:spacing w:after="250" w:line="276" w:lineRule="auto"/>
      </w:pPr>
      <w:r>
        <w:t>: Do you agree with the consequences as described of exceeding the maximum limits or should there be a more convergent approach? Please provide any comment or suggestion regarding the procedures in place by trading venues in case of a member exceeding the prescribed limit.</w:t>
      </w:r>
    </w:p>
    <w:p w14:paraId="5A76A5BC" w14:textId="77777777" w:rsidR="00F43578" w:rsidRDefault="00F43578" w:rsidP="00F43578">
      <w:r>
        <w:t>&lt;ESMA_QUESTION_ALGO_34&gt;</w:t>
      </w:r>
    </w:p>
    <w:p w14:paraId="14C10021" w14:textId="305E7B09" w:rsidR="00F43578" w:rsidRDefault="004F1B12" w:rsidP="00F43578">
      <w:permStart w:id="2142314160" w:edGrp="everyone"/>
      <w:r>
        <w:t xml:space="preserve"> </w:t>
      </w:r>
      <w:r w:rsidRPr="004F1B12">
        <w:t>No comment</w:t>
      </w:r>
    </w:p>
    <w:permEnd w:id="2142314160"/>
    <w:p w14:paraId="4B2EBBDE" w14:textId="77777777" w:rsidR="00F43578" w:rsidRDefault="00F43578" w:rsidP="00F43578">
      <w:r>
        <w:t>&lt;ESMA_QUESTION_ALGO_34&gt;</w:t>
      </w:r>
    </w:p>
    <w:p w14:paraId="5AEA113C" w14:textId="77777777" w:rsidR="00F43578" w:rsidRDefault="00F43578" w:rsidP="00F43578"/>
    <w:p w14:paraId="60A3FF9D" w14:textId="77777777" w:rsidR="00F43578" w:rsidRDefault="00F43578" w:rsidP="00F43578">
      <w:pPr>
        <w:pStyle w:val="Questionstyle"/>
        <w:numPr>
          <w:ilvl w:val="0"/>
          <w:numId w:val="17"/>
        </w:numPr>
        <w:spacing w:after="250" w:line="276" w:lineRule="auto"/>
      </w:pPr>
      <w:r>
        <w:t xml:space="preserve">: Do you agree with the need to improve the notification process in case of IT incidents and system outages? Beyond the notification process between NCAs and ESMA, which improvements could be done regarding communication of incidents to the public?  </w:t>
      </w:r>
    </w:p>
    <w:p w14:paraId="0E921B8E" w14:textId="77777777" w:rsidR="00F43578" w:rsidRDefault="00F43578" w:rsidP="00F43578">
      <w:r>
        <w:t>&lt;ESMA_QUESTION_ALGO_35&gt;</w:t>
      </w:r>
    </w:p>
    <w:p w14:paraId="16F95F84" w14:textId="7B240C37" w:rsidR="00BC2DA8" w:rsidRPr="00BC2DA8" w:rsidRDefault="004F1B12" w:rsidP="00BC2DA8">
      <w:pPr>
        <w:pStyle w:val="Questionstyle"/>
        <w:numPr>
          <w:ilvl w:val="0"/>
          <w:numId w:val="0"/>
        </w:numPr>
      </w:pPr>
      <w:permStart w:id="1081607916" w:edGrp="everyone"/>
      <w:r>
        <w:t xml:space="preserve"> </w:t>
      </w:r>
      <w:r w:rsidR="006F6FE1" w:rsidRPr="006F6FE1">
        <w:t>APT believes that communication from trading venues to the market at large in the case of system or trading outages must be improved, also because European exchanges continue to consolidate, which leads to more widespread effects of an outage. Trading outages in 2020 and previously, highlighted varied communication protocols and standards from different exchanges, which further exacerbated the disruption caused by the outage. We do not believe in one prescriptive communication format, but in a set of minimum standards for all trading venues for handling and communicating a trading outage, including the following items:</w:t>
      </w:r>
    </w:p>
    <w:p w14:paraId="325AAA35" w14:textId="77777777" w:rsidR="006F6FE1" w:rsidRPr="006F6FE1" w:rsidRDefault="006F6FE1" w:rsidP="006F6FE1">
      <w:pPr>
        <w:rPr>
          <w:lang w:val="en-US"/>
        </w:rPr>
      </w:pPr>
      <w:r w:rsidRPr="006F6FE1">
        <w:t>- Crisis management team at each trading venue, responsible for communications around outages as well as maintaining the venue’s outage playbook.</w:t>
      </w:r>
    </w:p>
    <w:p w14:paraId="5B407C15" w14:textId="77777777" w:rsidR="006F6FE1" w:rsidRPr="006F6FE1" w:rsidRDefault="006F6FE1" w:rsidP="006F6FE1">
      <w:r w:rsidRPr="006F6FE1">
        <w:t>- Outage playbook, which identifies mechanisms and locations/websites for information on outages, what information channels will include and in what format, in addition to protocols for identifying, diagnosing and resolving issues and halting and restarting trading.</w:t>
      </w:r>
    </w:p>
    <w:p w14:paraId="53E520BF" w14:textId="59E9663B" w:rsidR="006F6FE1" w:rsidRPr="006F6FE1" w:rsidRDefault="006F6FE1" w:rsidP="006F6FE1">
      <w:r w:rsidRPr="006F6FE1">
        <w:t>- All communications on health of a venue’s trading system and details on outages are made publicly available in a central location/webpage, which is updated on a fixed schedule, such as every 30 minutes, giving a status update, even if the update is “no update”, including any planned re-opening times</w:t>
      </w:r>
      <w:r w:rsidR="00BC2DA8">
        <w:t xml:space="preserve">. </w:t>
      </w:r>
      <w:r w:rsidRPr="006F6FE1">
        <w:t xml:space="preserve"> </w:t>
      </w:r>
    </w:p>
    <w:p w14:paraId="1826278A" w14:textId="77777777" w:rsidR="006F6FE1" w:rsidRPr="006F6FE1" w:rsidRDefault="006F6FE1" w:rsidP="006F6FE1">
      <w:r w:rsidRPr="006F6FE1">
        <w:t xml:space="preserve">- Communications regarding market status in given in a machine readable format, ideally available on exchange connectivity and market data protocols, so that trading systems can automatically incorporate these notifications. </w:t>
      </w:r>
    </w:p>
    <w:p w14:paraId="0AC79F0B" w14:textId="77777777" w:rsidR="006F6FE1" w:rsidRPr="006F6FE1" w:rsidRDefault="006F6FE1" w:rsidP="006F6FE1">
      <w:r w:rsidRPr="006F6FE1">
        <w:t>- Communications must be accurate and consistent during an outage.</w:t>
      </w:r>
    </w:p>
    <w:p w14:paraId="272D2E88" w14:textId="77777777" w:rsidR="006F6FE1" w:rsidRPr="006F6FE1" w:rsidRDefault="006F6FE1" w:rsidP="006F6FE1">
      <w:r w:rsidRPr="006F6FE1">
        <w:t>- Trading venues (1) are proactive and clear in their communications, giving stakeholders as much detail as is known, as soon as it is known, without speculation, (2) provide publicly the specific times stamp at what point orders were cleared and/or rejected and which trades were considered valid and (3) provide all stakeholders and members with a comprehensive post-mortem analysis and follow up points after any major incident, including disclosure of the root cause and the steps taken to rectify and prevent recurrence.</w:t>
      </w:r>
    </w:p>
    <w:p w14:paraId="1637D12F" w14:textId="6F4372DA" w:rsidR="00F43578" w:rsidRDefault="006F6FE1" w:rsidP="00F43578">
      <w:r w:rsidRPr="006F6FE1">
        <w:lastRenderedPageBreak/>
        <w:t>Ideally, these communication standards would be applied to cases where an incident affects trading as well as cases where it does not but could have had a large impact. We believe that, ideally, the industry would come together to self-implement these minimum standards for communication.</w:t>
      </w:r>
    </w:p>
    <w:permEnd w:id="1081607916"/>
    <w:p w14:paraId="7660AD32" w14:textId="77777777" w:rsidR="00F43578" w:rsidRDefault="00F43578" w:rsidP="00F43578">
      <w:r>
        <w:t>&lt;ESMA_QUESTION_ALGO_35&gt;</w:t>
      </w:r>
    </w:p>
    <w:p w14:paraId="75E14F0C" w14:textId="77777777" w:rsidR="00F43578" w:rsidRDefault="00F43578" w:rsidP="00F43578"/>
    <w:p w14:paraId="5FA2712D" w14:textId="77777777" w:rsidR="00F43578" w:rsidRDefault="00F43578" w:rsidP="00F43578">
      <w:pPr>
        <w:pStyle w:val="Questionstyle"/>
        <w:numPr>
          <w:ilvl w:val="0"/>
          <w:numId w:val="17"/>
        </w:numPr>
        <w:spacing w:after="250" w:line="276" w:lineRule="auto"/>
      </w:pPr>
      <w:r>
        <w:t>: Do you believe any initiative should be put forward to ensure there is more continuity on trading in case of an outage on the main market, e.g. by requiring algo traders to use more than one reference data point?</w:t>
      </w:r>
    </w:p>
    <w:p w14:paraId="75DCA1E3" w14:textId="77777777" w:rsidR="00F43578" w:rsidRDefault="00F43578" w:rsidP="00F43578">
      <w:r>
        <w:t>&lt;ESMA_QUESTION_ALGO_36&gt;</w:t>
      </w:r>
    </w:p>
    <w:p w14:paraId="2C3B79CD" w14:textId="4A0AB6F2" w:rsidR="00F43578" w:rsidRDefault="004F1B12" w:rsidP="00F43578">
      <w:permStart w:id="1046965136" w:edGrp="everyone"/>
      <w:r>
        <w:t xml:space="preserve"> </w:t>
      </w:r>
      <w:r w:rsidR="006F6FE1" w:rsidRPr="006F6FE1">
        <w:t>APT believes that industry-led initiatives to can ensure continuity of trading in case of a technical outage on the primary market, together with targeted, focusses regulatory intervention to (1) remove hurdles to resilient trading and (2) ensure that any outage is contained to the venue on which the outage occurred.</w:t>
      </w:r>
      <w:r w:rsidR="006F6FE1" w:rsidRPr="006F6FE1">
        <w:br/>
        <w:t xml:space="preserve">- Regulators would be in the best position to mandate the minimum standards of communication. </w:t>
      </w:r>
      <w:r w:rsidR="006F6FE1" w:rsidRPr="006F6FE1">
        <w:br/>
        <w:t>-Remove the pressure for trading venues to re-open in a certain arbitrary, fixed time period, and instead allowing operators and their members to take the time needed to solve the underlying issues and reopen in an orderly, controlled fashion. IT incidents take time to assess and resolve. The nature or cause of an incident is often not apparent from its initial symptoms. In order to solve any incident, a careful analysis must be taken, followed by an orderly fix. Only then should trading be restarted, which must also occur simultaneously with the restart of members’ trading systems. The market is best served by improved resilience across the system, rather than a focus on restart times.</w:t>
      </w:r>
      <w:r w:rsidR="006F6FE1" w:rsidRPr="006F6FE1">
        <w:br/>
        <w:t xml:space="preserve">- Regulators are in the best place to ensure that there is always a robust settlement price mechanism in place. The closing auction - and the critically important daily settlement price – must be performed every day. It is crucial for regulators to act here because the closing auction as well as all settlement related trading is a monopoly held by the listing venues and the settlement price it produces is of critical importance to the orderly functioning of the entire European equity, ETF, fund, and equity derivatives markets, as well as to index and benchmark providers. </w:t>
      </w:r>
      <w:r w:rsidR="006F6FE1" w:rsidRPr="006F6FE1">
        <w:br/>
        <w:t xml:space="preserve">- In case of outage on a primary market, preventing orderly settlement price formation for </w:t>
      </w:r>
      <w:proofErr w:type="spellStart"/>
      <w:r w:rsidR="006F6FE1" w:rsidRPr="006F6FE1">
        <w:t>f.e</w:t>
      </w:r>
      <w:proofErr w:type="spellEnd"/>
      <w:r w:rsidR="006F6FE1" w:rsidRPr="006F6FE1">
        <w:t xml:space="preserve">. a benchmark index future or at a stock options expiration, there is no clear replacement mechanism for settlement. The knock-on effects to the entire financial system could be severe. Other regions have clear and robust fallback mechanisms in place. Europe would benefit from implementing such a fallback mechanisms.  This could be achieved by: </w:t>
      </w:r>
      <w:r w:rsidR="006F6FE1" w:rsidRPr="006F6FE1">
        <w:br/>
        <w:t xml:space="preserve">(1) Regulatory defined secondary venue, such as an alternate primary listing market or MTF, for handling the closing auction within a set period prior to the close, ensuring the continuity of settlement prices, to be extended to any major settlement procedure, such as those that occur intra-day during benchmark index futures and options expirations. </w:t>
      </w:r>
      <w:r w:rsidR="006F6FE1" w:rsidRPr="006F6FE1">
        <w:br/>
        <w:t xml:space="preserve">(2) Regulatory stimulus of full post trade interoperability, which ensures that post trade does not pose a challenge for participants to route flow to alternative venues. APT considers full interoperability to be a prerequisite to building true resilience and holding a closing auction on an alternate venue, in  the absence of which participants and their clearing firms face major operational hurdles to consolidate trades and positions after trading in an alternative close. Only a handful of interoperability agreements between CCPs exist in 2021, as CCPs are not incentivized to allow for interoperability, which significantly increases the hurdles for trading on alternative venues. The lack of full interoperability ensures participants remain captive, </w:t>
      </w:r>
      <w:r w:rsidR="006F6FE1" w:rsidRPr="006F6FE1">
        <w:lastRenderedPageBreak/>
        <w:t xml:space="preserve">exclusive members of primary markets. Full interoperability between post trade systems. </w:t>
      </w:r>
      <w:r w:rsidR="006F6FE1" w:rsidRPr="006F6FE1">
        <w:br/>
        <w:t xml:space="preserve">(3) Regulatory stimulus of post trade consolidated tape, </w:t>
      </w:r>
      <w:r w:rsidR="00957358">
        <w:t xml:space="preserve">as close to real-time as possible, </w:t>
      </w:r>
      <w:r w:rsidR="006F6FE1" w:rsidRPr="006F6FE1">
        <w:t>which can replace the primary market/most relevant market as the main benchmark reference feed used in by trading participants across venues and would not be reliant upon any one trading venue operating.</w:t>
      </w:r>
    </w:p>
    <w:permEnd w:id="1046965136"/>
    <w:p w14:paraId="00BC7C87" w14:textId="77777777" w:rsidR="00F43578" w:rsidRDefault="00F43578" w:rsidP="00F43578">
      <w:r>
        <w:t>&lt;ESMA_QUESTION_ALGO_36&gt;</w:t>
      </w:r>
    </w:p>
    <w:p w14:paraId="5A01EC5B" w14:textId="77777777" w:rsidR="00F43578" w:rsidRDefault="00F43578" w:rsidP="00F43578"/>
    <w:p w14:paraId="16D54A6F" w14:textId="77777777" w:rsidR="00F43578" w:rsidRDefault="00F43578" w:rsidP="00F43578">
      <w:pPr>
        <w:pStyle w:val="Questionstyle"/>
        <w:numPr>
          <w:ilvl w:val="0"/>
          <w:numId w:val="17"/>
        </w:numPr>
        <w:spacing w:after="250" w:line="276" w:lineRule="auto"/>
      </w:pPr>
      <w:r>
        <w:t>: Do you agree with the view that the tick size regime had overall a positive effect on market depth and transaction costs?</w:t>
      </w:r>
    </w:p>
    <w:p w14:paraId="0F954E6E" w14:textId="77777777" w:rsidR="00F43578" w:rsidRDefault="00F43578" w:rsidP="00F43578">
      <w:r>
        <w:t>&lt;ESMA_QUESTION_ALGO_37&gt;</w:t>
      </w:r>
    </w:p>
    <w:p w14:paraId="6DEE9E16" w14:textId="09614BB1" w:rsidR="00F43578" w:rsidRDefault="004F1B12" w:rsidP="00F43578">
      <w:permStart w:id="1180910868" w:edGrp="everyone"/>
      <w:r>
        <w:t xml:space="preserve"> </w:t>
      </w:r>
      <w:r w:rsidRPr="004F1B12">
        <w:t>No comment</w:t>
      </w:r>
    </w:p>
    <w:permEnd w:id="1180910868"/>
    <w:p w14:paraId="7633A0CF" w14:textId="77777777" w:rsidR="00F43578" w:rsidRDefault="00F43578" w:rsidP="00F43578">
      <w:r>
        <w:t>&lt;ESMA_QUESTION_ALGO_37&gt;</w:t>
      </w:r>
    </w:p>
    <w:p w14:paraId="35AD17EA" w14:textId="77777777" w:rsidR="00F43578" w:rsidRDefault="00F43578" w:rsidP="00F43578"/>
    <w:p w14:paraId="4C7B4971" w14:textId="77777777" w:rsidR="00F43578" w:rsidRDefault="00F43578" w:rsidP="00F43578">
      <w:pPr>
        <w:pStyle w:val="Questionstyle"/>
        <w:numPr>
          <w:ilvl w:val="0"/>
          <w:numId w:val="17"/>
        </w:numPr>
        <w:spacing w:after="250" w:line="276" w:lineRule="auto"/>
      </w:pPr>
      <w:r>
        <w:t>: Is there any further issue you would like to highlight regarding tick size regime?</w:t>
      </w:r>
    </w:p>
    <w:p w14:paraId="30BD614C" w14:textId="77777777" w:rsidR="00F43578" w:rsidRDefault="00F43578" w:rsidP="00F43578">
      <w:r>
        <w:t>&lt;ESMA_QUESTION_ALGO_38&gt;</w:t>
      </w:r>
    </w:p>
    <w:p w14:paraId="6C4A7401" w14:textId="637DFAB5" w:rsidR="00F43578" w:rsidRDefault="004F1B12" w:rsidP="00F43578">
      <w:permStart w:id="2294546" w:edGrp="everyone"/>
      <w:r>
        <w:t xml:space="preserve"> </w:t>
      </w:r>
      <w:r w:rsidRPr="004F1B12">
        <w:t>No comment</w:t>
      </w:r>
    </w:p>
    <w:permEnd w:id="2294546"/>
    <w:p w14:paraId="7F512A91" w14:textId="77777777" w:rsidR="00F43578" w:rsidRDefault="00F43578" w:rsidP="00F43578">
      <w:r>
        <w:t>&lt;ESMA_QUESTION_ALGO_38&gt;</w:t>
      </w:r>
    </w:p>
    <w:p w14:paraId="67DB0591" w14:textId="77777777" w:rsidR="00F43578" w:rsidRDefault="00F43578" w:rsidP="00F43578"/>
    <w:p w14:paraId="5871867B" w14:textId="77777777" w:rsidR="00F43578" w:rsidRDefault="00F43578" w:rsidP="00F43578">
      <w:pPr>
        <w:pStyle w:val="Questionstyle"/>
        <w:numPr>
          <w:ilvl w:val="0"/>
          <w:numId w:val="17"/>
        </w:numPr>
        <w:spacing w:after="250" w:line="276" w:lineRule="auto"/>
      </w:pPr>
      <w:r>
        <w:t>: Do You agree with the proposal not to amend the tick size regime for third country shares? Please explain.</w:t>
      </w:r>
    </w:p>
    <w:p w14:paraId="164111B9" w14:textId="77777777" w:rsidR="00F43578" w:rsidRDefault="00F43578" w:rsidP="00F43578">
      <w:r>
        <w:t>&lt;ESMA_QUESTION_ALGO_39&gt;</w:t>
      </w:r>
    </w:p>
    <w:p w14:paraId="5951B568" w14:textId="642AE52E" w:rsidR="00F43578" w:rsidRDefault="004F1B12" w:rsidP="00F43578">
      <w:permStart w:id="39611011" w:edGrp="everyone"/>
      <w:r>
        <w:t xml:space="preserve"> </w:t>
      </w:r>
      <w:r w:rsidRPr="004F1B12">
        <w:t>No comment</w:t>
      </w:r>
    </w:p>
    <w:permEnd w:id="39611011"/>
    <w:p w14:paraId="2EA93066" w14:textId="77777777" w:rsidR="00F43578" w:rsidRDefault="00F43578" w:rsidP="00F43578">
      <w:r>
        <w:t>&lt;ESMA_QUESTION_ALGO_39&gt;</w:t>
      </w:r>
    </w:p>
    <w:p w14:paraId="2BB275D3" w14:textId="77777777" w:rsidR="00F43578" w:rsidRDefault="00F43578" w:rsidP="00F43578"/>
    <w:p w14:paraId="785EDF0A" w14:textId="77777777" w:rsidR="00F43578" w:rsidRDefault="00F43578" w:rsidP="00F43578">
      <w:pPr>
        <w:pStyle w:val="Questionstyle"/>
        <w:numPr>
          <w:ilvl w:val="0"/>
          <w:numId w:val="17"/>
        </w:numPr>
        <w:spacing w:after="250" w:line="276" w:lineRule="auto"/>
      </w:pPr>
      <w:r>
        <w:t>: Do you agree with the proposal to widen the scope of the tick size regime to all ETFs? Would this pose challenges in your view? Please explain.</w:t>
      </w:r>
    </w:p>
    <w:p w14:paraId="6A9F7618" w14:textId="77777777" w:rsidR="00F43578" w:rsidRDefault="00F43578" w:rsidP="00F43578">
      <w:r>
        <w:t>&lt;ESMA_QUESTION_ALGO_40&gt;</w:t>
      </w:r>
    </w:p>
    <w:p w14:paraId="0282737A" w14:textId="3CFCEB42" w:rsidR="00F43578" w:rsidRDefault="004F1B12" w:rsidP="00F43578">
      <w:permStart w:id="1982406894" w:edGrp="everyone"/>
      <w:r>
        <w:t xml:space="preserve"> </w:t>
      </w:r>
      <w:r w:rsidRPr="004F1B12">
        <w:t>No comment</w:t>
      </w:r>
    </w:p>
    <w:permEnd w:id="1982406894"/>
    <w:p w14:paraId="6194D35A" w14:textId="77777777" w:rsidR="00F43578" w:rsidRDefault="00F43578" w:rsidP="00F43578">
      <w:r>
        <w:t>&lt;ESMA_QUESTION_ALGO_40&gt;</w:t>
      </w:r>
    </w:p>
    <w:p w14:paraId="257D2134" w14:textId="77777777" w:rsidR="00F43578" w:rsidRDefault="00F43578" w:rsidP="00F43578"/>
    <w:p w14:paraId="4C6F9BE3" w14:textId="77777777" w:rsidR="00F43578" w:rsidRDefault="00F43578" w:rsidP="00F43578">
      <w:pPr>
        <w:pStyle w:val="Questionstyle"/>
        <w:numPr>
          <w:ilvl w:val="0"/>
          <w:numId w:val="17"/>
        </w:numPr>
        <w:spacing w:after="250" w:line="276" w:lineRule="auto"/>
      </w:pPr>
      <w:r>
        <w:t>: Do you agree with the proposal not to widen the scope of the tick size regime to non-equity instruments? Please explain.</w:t>
      </w:r>
    </w:p>
    <w:p w14:paraId="70BC1EB1" w14:textId="77777777" w:rsidR="00F43578" w:rsidRDefault="00F43578" w:rsidP="00F43578">
      <w:r>
        <w:t>&lt;ESMA_QUESTION_ALGO_41&gt;</w:t>
      </w:r>
    </w:p>
    <w:p w14:paraId="7BF25439" w14:textId="66FD8348" w:rsidR="00F43578" w:rsidRDefault="004F1B12" w:rsidP="00F43578">
      <w:permStart w:id="788939487" w:edGrp="everyone"/>
      <w:r>
        <w:t xml:space="preserve"> </w:t>
      </w:r>
      <w:r w:rsidRPr="004F1B12">
        <w:t>No comment</w:t>
      </w:r>
    </w:p>
    <w:permEnd w:id="788939487"/>
    <w:p w14:paraId="1A960C84" w14:textId="77777777" w:rsidR="00F43578" w:rsidRDefault="00F43578" w:rsidP="00F43578">
      <w:r>
        <w:t>&lt;ESMA_QUESTION_ALGO_41&gt;</w:t>
      </w:r>
    </w:p>
    <w:p w14:paraId="096AD689" w14:textId="77777777" w:rsidR="00F43578" w:rsidRDefault="00F43578" w:rsidP="00F43578"/>
    <w:p w14:paraId="62B4EA2F" w14:textId="77777777" w:rsidR="00F43578" w:rsidRDefault="00F43578" w:rsidP="00F43578">
      <w:pPr>
        <w:pStyle w:val="Questionstyle"/>
        <w:numPr>
          <w:ilvl w:val="0"/>
          <w:numId w:val="17"/>
        </w:numPr>
        <w:spacing w:after="250" w:line="276" w:lineRule="auto"/>
      </w:pPr>
      <w:r>
        <w:t xml:space="preserve">: Do you agree with ESMA findings and assessment of the current MiFID II market making regime? </w:t>
      </w:r>
    </w:p>
    <w:p w14:paraId="5188F18D" w14:textId="77777777" w:rsidR="00F43578" w:rsidRDefault="00F43578" w:rsidP="00F43578">
      <w:r>
        <w:t>&lt;ESMA_QUESTION_ALGO_42&gt;</w:t>
      </w:r>
    </w:p>
    <w:p w14:paraId="0DA79E52" w14:textId="17F77AD7" w:rsidR="00F43578" w:rsidRPr="00676A7F" w:rsidRDefault="004F1B12" w:rsidP="00F43578">
      <w:permStart w:id="201994906" w:edGrp="everyone"/>
      <w:r>
        <w:t xml:space="preserve"> </w:t>
      </w:r>
      <w:r w:rsidR="00676A7F">
        <w:t>Members of APT</w:t>
      </w:r>
      <w:r w:rsidR="00C8406D">
        <w:t xml:space="preserve"> that are market makers</w:t>
      </w:r>
      <w:r w:rsidR="00676A7F">
        <w:t xml:space="preserve"> are </w:t>
      </w:r>
      <w:r w:rsidR="00676A7F" w:rsidRPr="00D74586">
        <w:t>committed to continuously provid</w:t>
      </w:r>
      <w:r w:rsidR="00676A7F">
        <w:t>ing</w:t>
      </w:r>
      <w:r w:rsidR="00676A7F" w:rsidRPr="00D74586">
        <w:t xml:space="preserve"> liquidity to the markets in which we are active, in both normal and stressed market conditions</w:t>
      </w:r>
      <w:r w:rsidR="00676A7F" w:rsidRPr="004F1B12">
        <w:t xml:space="preserve"> </w:t>
      </w:r>
      <w:r w:rsidRPr="004F1B12">
        <w:t xml:space="preserve">Trading venues are best placed to set, monitor and manage the RTS 8 market making </w:t>
      </w:r>
      <w:proofErr w:type="spellStart"/>
      <w:r w:rsidRPr="004F1B12">
        <w:t>process</w:t>
      </w:r>
      <w:r w:rsidR="00676A7F">
        <w:t>,as</w:t>
      </w:r>
      <w:proofErr w:type="spellEnd"/>
      <w:r w:rsidR="00676A7F">
        <w:t xml:space="preserve"> t</w:t>
      </w:r>
      <w:r w:rsidRPr="004F1B12">
        <w:t>hey have a natural incentive to attract liquidity</w:t>
      </w:r>
      <w:r w:rsidR="00C8406D">
        <w:t>.</w:t>
      </w:r>
    </w:p>
    <w:permEnd w:id="201994906"/>
    <w:p w14:paraId="72715912" w14:textId="77777777" w:rsidR="00F43578" w:rsidRDefault="00F43578" w:rsidP="00F43578">
      <w:r>
        <w:lastRenderedPageBreak/>
        <w:t>&lt;ESMA_QUESTION_ALGO_42&gt;</w:t>
      </w:r>
    </w:p>
    <w:p w14:paraId="01730AF8" w14:textId="77777777" w:rsidR="00F43578" w:rsidRDefault="00F43578" w:rsidP="00F43578"/>
    <w:p w14:paraId="35787049" w14:textId="77777777" w:rsidR="00F43578" w:rsidRDefault="00F43578" w:rsidP="00F43578">
      <w:pPr>
        <w:pStyle w:val="Questionstyle"/>
        <w:numPr>
          <w:ilvl w:val="0"/>
          <w:numId w:val="17"/>
        </w:numPr>
        <w:spacing w:after="250" w:line="276" w:lineRule="auto"/>
      </w:pPr>
      <w:r>
        <w:t>: What do you think of ESMA proposals and suggested amendments to RTS 8? In your view, what other aspects of the market making regime require to be amended and how?</w:t>
      </w:r>
    </w:p>
    <w:p w14:paraId="68787018" w14:textId="77777777" w:rsidR="00F43578" w:rsidRDefault="00F43578" w:rsidP="00F43578">
      <w:r>
        <w:t>&lt;ESMA_QUESTION_ALGO_43&gt;</w:t>
      </w:r>
    </w:p>
    <w:p w14:paraId="6F712A46" w14:textId="3DF26DB1" w:rsidR="00F43578" w:rsidRPr="00F15105" w:rsidRDefault="004F1B12" w:rsidP="00F15105">
      <w:pPr>
        <w:pStyle w:val="Lijstalinea"/>
        <w:numPr>
          <w:ilvl w:val="0"/>
          <w:numId w:val="0"/>
        </w:numPr>
        <w:rPr>
          <w:lang w:val="en-US" w:eastAsia="en-US"/>
        </w:rPr>
      </w:pPr>
      <w:permStart w:id="508756802" w:edGrp="everyone"/>
      <w:r>
        <w:t xml:space="preserve"> </w:t>
      </w:r>
      <w:r w:rsidR="00676A7F" w:rsidRPr="00676A7F">
        <w:t xml:space="preserve">We support proposal </w:t>
      </w:r>
      <w:r w:rsidR="00676A7F">
        <w:t xml:space="preserve">(a) </w:t>
      </w:r>
      <w:r w:rsidR="00676A7F" w:rsidRPr="00676A7F">
        <w:t>to limit application of scope of Articles 1 and 2 to continuous trading order books,</w:t>
      </w:r>
      <w:r w:rsidR="00676A7F">
        <w:t xml:space="preserve"> </w:t>
      </w:r>
      <w:r w:rsidR="00676A7F" w:rsidRPr="00676A7F">
        <w:t>as this is a useful clarification of the scope of these Articles.</w:t>
      </w:r>
      <w:r w:rsidR="00676A7F">
        <w:br/>
        <w:t>We</w:t>
      </w:r>
      <w:r w:rsidR="00676A7F" w:rsidRPr="00676A7F">
        <w:t xml:space="preserve"> do not support the proposal</w:t>
      </w:r>
      <w:r w:rsidR="00C8406D">
        <w:t xml:space="preserve">s </w:t>
      </w:r>
      <w:r w:rsidR="00676A7F" w:rsidRPr="00676A7F">
        <w:t xml:space="preserve">to broaden the obligation to market making schemes </w:t>
      </w:r>
      <w:r w:rsidR="00C8406D">
        <w:t xml:space="preserve">and </w:t>
      </w:r>
      <w:r w:rsidR="00676A7F" w:rsidRPr="00676A7F">
        <w:t>to require the establishment of monetary incentives</w:t>
      </w:r>
      <w:r w:rsidR="00C8406D">
        <w:t>, as tr</w:t>
      </w:r>
      <w:r w:rsidR="00C8406D" w:rsidRPr="00D74586">
        <w:t xml:space="preserve">ading venues are best positioned to set </w:t>
      </w:r>
      <w:r w:rsidR="00C8406D">
        <w:t xml:space="preserve">such </w:t>
      </w:r>
      <w:r w:rsidR="00C8406D" w:rsidRPr="00D74586">
        <w:t>requirements and schemes that meet the needs of their</w:t>
      </w:r>
      <w:r w:rsidR="00C8406D">
        <w:t xml:space="preserve"> particular </w:t>
      </w:r>
      <w:r w:rsidR="00C8406D" w:rsidRPr="00D74586">
        <w:t>markets</w:t>
      </w:r>
      <w:r w:rsidR="00C8406D">
        <w:t>.</w:t>
      </w:r>
    </w:p>
    <w:permEnd w:id="508756802"/>
    <w:p w14:paraId="636FAC4C" w14:textId="77777777" w:rsidR="00F43578" w:rsidRDefault="00F43578" w:rsidP="00F43578">
      <w:r>
        <w:t>&lt;ESMA_QUESTION_ALGO_43&gt;</w:t>
      </w:r>
    </w:p>
    <w:p w14:paraId="4E31DCF7" w14:textId="77777777" w:rsidR="00F43578" w:rsidRDefault="00F43578" w:rsidP="00F43578"/>
    <w:p w14:paraId="69F6C526" w14:textId="77777777" w:rsidR="00F43578" w:rsidRDefault="00F43578" w:rsidP="00F43578">
      <w:pPr>
        <w:pStyle w:val="Questionstyle"/>
        <w:numPr>
          <w:ilvl w:val="0"/>
          <w:numId w:val="17"/>
        </w:numPr>
        <w:spacing w:after="250" w:line="276" w:lineRule="auto"/>
      </w:pPr>
      <w:r>
        <w:t xml:space="preserve">: What are market participants views regarding the flexibility left in the MiFID II market making regime? Would you agree with ESMA further clarifying certain relevant concepts? If yes, which ones? </w:t>
      </w:r>
    </w:p>
    <w:p w14:paraId="3AF61F57" w14:textId="77777777" w:rsidR="00F43578" w:rsidRDefault="00F43578" w:rsidP="00F43578">
      <w:r>
        <w:t>&lt;ESMA_QUESTION_ALGO_44&gt;</w:t>
      </w:r>
    </w:p>
    <w:p w14:paraId="0F1D32F6" w14:textId="6F1D656E" w:rsidR="00F43578" w:rsidRPr="00C8406D" w:rsidRDefault="004F1B12" w:rsidP="00F43578">
      <w:permStart w:id="1520175509" w:edGrp="everyone"/>
      <w:r>
        <w:t xml:space="preserve"> We </w:t>
      </w:r>
      <w:r w:rsidRPr="004F1B12">
        <w:t>support trading venues having the flexibility to design market making agreements and incentive programs suitable for their markets</w:t>
      </w:r>
      <w:r>
        <w:t>.</w:t>
      </w:r>
      <w:r w:rsidR="006975A5" w:rsidRPr="006975A5">
        <w:t xml:space="preserve"> </w:t>
      </w:r>
      <w:r w:rsidR="00BF76EF" w:rsidRPr="00D74586">
        <w:t xml:space="preserve">Trading venues are best placed to define the content of a market making program such that it meets the needs of their own markets. </w:t>
      </w:r>
      <w:r w:rsidR="006975A5">
        <w:t xml:space="preserve">We </w:t>
      </w:r>
      <w:r w:rsidR="00BF76EF">
        <w:t xml:space="preserve">share the </w:t>
      </w:r>
      <w:r w:rsidR="006975A5" w:rsidRPr="00D74586">
        <w:t>observation on the unequal application of stressed market conditions across trading venues during the</w:t>
      </w:r>
      <w:r w:rsidR="00C8406D">
        <w:t xml:space="preserve"> start of the</w:t>
      </w:r>
      <w:r w:rsidR="006975A5" w:rsidRPr="00D74586">
        <w:t xml:space="preserve"> Co</w:t>
      </w:r>
      <w:r w:rsidR="00C8406D">
        <w:t>rona</w:t>
      </w:r>
      <w:r w:rsidR="006975A5" w:rsidRPr="00D74586">
        <w:t xml:space="preserve"> crisis in March 2020.</w:t>
      </w:r>
      <w:r w:rsidR="00C8406D">
        <w:t xml:space="preserve"> It would be helpful if ESMA </w:t>
      </w:r>
      <w:r w:rsidR="00313CEE">
        <w:t xml:space="preserve">could clarify the concept </w:t>
      </w:r>
      <w:r w:rsidR="00C8406D">
        <w:t>of "</w:t>
      </w:r>
      <w:r w:rsidR="006975A5" w:rsidRPr="00D74586">
        <w:t>stressed markets</w:t>
      </w:r>
      <w:r w:rsidR="00C8406D">
        <w:t xml:space="preserve">", </w:t>
      </w:r>
      <w:r w:rsidR="00313CEE" w:rsidRPr="00D74586">
        <w:t xml:space="preserve">whilst </w:t>
      </w:r>
      <w:r w:rsidR="00313CEE">
        <w:t xml:space="preserve">still </w:t>
      </w:r>
      <w:r w:rsidR="00313CEE" w:rsidRPr="00D74586">
        <w:t xml:space="preserve">allowing trading venues </w:t>
      </w:r>
      <w:r w:rsidR="00313CEE">
        <w:t xml:space="preserve">discretion </w:t>
      </w:r>
      <w:r w:rsidR="00313CEE" w:rsidRPr="00D74586">
        <w:t xml:space="preserve">to </w:t>
      </w:r>
      <w:r w:rsidR="00313CEE">
        <w:t>develop their own</w:t>
      </w:r>
      <w:r w:rsidR="00313CEE" w:rsidRPr="00D74586">
        <w:t xml:space="preserve"> </w:t>
      </w:r>
      <w:r w:rsidR="00313CEE">
        <w:t xml:space="preserve">criteria appropriate to </w:t>
      </w:r>
      <w:r w:rsidR="00313CEE" w:rsidRPr="00D74586">
        <w:t>their own market and ensuring their respective methodology is available to participants</w:t>
      </w:r>
      <w:r w:rsidR="00313CEE">
        <w:t>.</w:t>
      </w:r>
    </w:p>
    <w:permEnd w:id="1520175509"/>
    <w:p w14:paraId="6E38BF7C" w14:textId="77777777" w:rsidR="00F43578" w:rsidRDefault="00F43578" w:rsidP="00F43578">
      <w:r>
        <w:t>&lt;ESMA_QUESTION_ALGO_44&gt;</w:t>
      </w:r>
    </w:p>
    <w:p w14:paraId="1216FA20" w14:textId="77777777" w:rsidR="00F43578" w:rsidRDefault="00F43578" w:rsidP="00F43578"/>
    <w:p w14:paraId="16865DB1" w14:textId="77777777" w:rsidR="00F43578" w:rsidRDefault="00F43578" w:rsidP="00F43578">
      <w:pPr>
        <w:pStyle w:val="Questionstyle"/>
        <w:numPr>
          <w:ilvl w:val="0"/>
          <w:numId w:val="17"/>
        </w:numPr>
        <w:spacing w:after="250" w:line="276" w:lineRule="auto"/>
      </w:pPr>
      <w:r>
        <w:t xml:space="preserve">: Could you please describe how Primary Dealers agreements are designed (number of designated Primary Dealers, transparency about investment firms having signed such agreements, typical obligations contained, etc…). Do you consider that Primary Dealers should be exempted from the Article 1 of RTS 8? Do you consider that this can introduce a regulatory loophole? </w:t>
      </w:r>
    </w:p>
    <w:p w14:paraId="3BC50E64" w14:textId="77777777" w:rsidR="00F43578" w:rsidRDefault="00F43578" w:rsidP="00F43578">
      <w:r>
        <w:t>&lt;ESMA_QUESTION_ALGO_45&gt;</w:t>
      </w:r>
    </w:p>
    <w:p w14:paraId="11C5E9EC" w14:textId="6C76A51F" w:rsidR="00F43578" w:rsidRDefault="00570DE3" w:rsidP="00F43578">
      <w:permStart w:id="263281226" w:edGrp="everyone"/>
      <w:r>
        <w:t>No comment</w:t>
      </w:r>
    </w:p>
    <w:permEnd w:id="263281226"/>
    <w:p w14:paraId="70ABC32C" w14:textId="77777777" w:rsidR="00F43578" w:rsidRDefault="00F43578" w:rsidP="00F43578">
      <w:r>
        <w:t>&lt;ESMA_QUESTION_ALGO_45&gt;</w:t>
      </w:r>
    </w:p>
    <w:p w14:paraId="086B50EB" w14:textId="77777777" w:rsidR="00F43578" w:rsidRDefault="00F43578" w:rsidP="00F43578"/>
    <w:p w14:paraId="180C0A6F" w14:textId="77777777" w:rsidR="00F43578" w:rsidRDefault="00F43578" w:rsidP="00F43578">
      <w:pPr>
        <w:pStyle w:val="Questionstyle"/>
        <w:numPr>
          <w:ilvl w:val="0"/>
          <w:numId w:val="17"/>
        </w:numPr>
        <w:spacing w:after="250" w:line="276" w:lineRule="auto"/>
      </w:pPr>
      <w:r>
        <w:t xml:space="preserve">: Do you think that venues which introduced asymmetric speedbumps provide enough information regarding the mechanism used? If not, what additional information would be useful to disclose to market participants? </w:t>
      </w:r>
    </w:p>
    <w:p w14:paraId="20F90D9B" w14:textId="77777777" w:rsidR="00F43578" w:rsidRDefault="00F43578" w:rsidP="00F43578">
      <w:r>
        <w:t>&lt;ESMA_QUESTION_ALGO_46&gt;</w:t>
      </w:r>
    </w:p>
    <w:p w14:paraId="0D8BBF84" w14:textId="6AD9D9E2" w:rsidR="00F43578" w:rsidRDefault="00570DE3" w:rsidP="00F43578">
      <w:permStart w:id="132985251" w:edGrp="everyone"/>
      <w:r>
        <w:t xml:space="preserve"> No comment</w:t>
      </w:r>
    </w:p>
    <w:permEnd w:id="132985251"/>
    <w:p w14:paraId="453ED404" w14:textId="77777777" w:rsidR="00F43578" w:rsidRDefault="00F43578" w:rsidP="00F43578">
      <w:r>
        <w:t>&lt;ESMA_QUESTION_ALGO_46&gt;</w:t>
      </w:r>
    </w:p>
    <w:p w14:paraId="1658659D" w14:textId="77777777" w:rsidR="00F43578" w:rsidRDefault="00F43578" w:rsidP="00F43578"/>
    <w:p w14:paraId="583EE870" w14:textId="77777777" w:rsidR="00F43578" w:rsidRDefault="00F43578" w:rsidP="00F43578">
      <w:pPr>
        <w:pStyle w:val="Questionstyle"/>
        <w:numPr>
          <w:ilvl w:val="0"/>
          <w:numId w:val="17"/>
        </w:numPr>
        <w:spacing w:after="250" w:line="276" w:lineRule="auto"/>
      </w:pPr>
      <w:r>
        <w:t xml:space="preserve">: Reflecting on those mechanisms which allow liquidity providers to provide quotes that can be filled only against retail order flow, do you think that such </w:t>
      </w:r>
      <w:r>
        <w:lastRenderedPageBreak/>
        <w:t>mechanisms are beneficial in terms of market quality? Is there any specific aspect that you think should be further taken into account, also considering the type of instruments traded? Please specify the venue of reference and the type of arrangement discussed.</w:t>
      </w:r>
    </w:p>
    <w:p w14:paraId="0067F791" w14:textId="77777777" w:rsidR="00F43578" w:rsidRDefault="00F43578" w:rsidP="00F43578">
      <w:r>
        <w:t>&lt;ESMA_QUESTION_ALGO_47&gt;</w:t>
      </w:r>
    </w:p>
    <w:p w14:paraId="2F913837" w14:textId="6F5AC897" w:rsidR="00F43578" w:rsidRDefault="00570DE3" w:rsidP="00F43578">
      <w:permStart w:id="1058354567" w:edGrp="everyone"/>
      <w:r>
        <w:t xml:space="preserve"> No comment</w:t>
      </w:r>
    </w:p>
    <w:permEnd w:id="1058354567"/>
    <w:p w14:paraId="712654D8" w14:textId="77777777" w:rsidR="00F43578" w:rsidRDefault="00F43578" w:rsidP="00F43578">
      <w:r>
        <w:t>&lt;ESMA_QUESTION_ALGO_47&gt;</w:t>
      </w:r>
    </w:p>
    <w:p w14:paraId="6691D9E7" w14:textId="77777777" w:rsidR="00F43578" w:rsidRDefault="00F43578" w:rsidP="00F43578"/>
    <w:p w14:paraId="04616171" w14:textId="77777777" w:rsidR="00F43578" w:rsidRDefault="00F43578" w:rsidP="00F43578">
      <w:pPr>
        <w:pStyle w:val="Questionstyle"/>
        <w:numPr>
          <w:ilvl w:val="0"/>
          <w:numId w:val="17"/>
        </w:numPr>
        <w:spacing w:after="250" w:line="276" w:lineRule="auto"/>
      </w:pPr>
      <w:bookmarkStart w:id="4" w:name="_Hlk65589991"/>
      <w:r>
        <w:t>: Do you think that venues which introduce asymmetric speedbumps should set tighter market making requirements? Please explain why and how tight those new requirements should be.</w:t>
      </w:r>
    </w:p>
    <w:p w14:paraId="26E3DC75" w14:textId="77777777" w:rsidR="00F43578" w:rsidRDefault="00F43578" w:rsidP="00F43578">
      <w:r>
        <w:t>&lt;ESMA_QUESTION_ALGO_48&gt;</w:t>
      </w:r>
    </w:p>
    <w:p w14:paraId="0E8D3505" w14:textId="163022E1" w:rsidR="00F43578" w:rsidRDefault="003D46C0" w:rsidP="00F43578">
      <w:permStart w:id="304307406" w:edGrp="everyone"/>
      <w:r>
        <w:t xml:space="preserve">This should be decided by exchanges on a case by case basis. </w:t>
      </w:r>
      <w:r w:rsidR="009D1D59">
        <w:t xml:space="preserve">As pointed out in our Paper </w:t>
      </w:r>
      <w:r w:rsidR="009D1D59" w:rsidRPr="00FC6591">
        <w:t>'Dutch proprietary trading industry views on speed bumps that aim to improve liquidity provision'</w:t>
      </w:r>
      <w:r w:rsidR="009D1D59">
        <w:t xml:space="preserve"> </w:t>
      </w:r>
      <w:r w:rsidR="009D1D59" w:rsidRPr="00FC6591">
        <w:t>of 15 October 2019, published as pos</w:t>
      </w:r>
      <w:r w:rsidR="009D1D59">
        <w:t>i</w:t>
      </w:r>
      <w:r w:rsidR="009D1D59" w:rsidRPr="00FC6591">
        <w:t>tion on our website</w:t>
      </w:r>
      <w:r w:rsidR="009D1D59">
        <w:t xml:space="preserve">, in case trading venues want to encompass </w:t>
      </w:r>
      <w:r w:rsidR="009D1D59" w:rsidRPr="00276EC4">
        <w:t>speed bumps into the exchange structure</w:t>
      </w:r>
      <w:r w:rsidR="009D1D59">
        <w:t xml:space="preserve"> this </w:t>
      </w:r>
      <w:r w:rsidR="009D1D59" w:rsidRPr="00276EC4">
        <w:t>should be based on data collection on the impact of market microstructure pilots, compared against a control group</w:t>
      </w:r>
      <w:r w:rsidR="009D1D59">
        <w:t xml:space="preserve"> </w:t>
      </w:r>
      <w:r w:rsidR="009D1D59" w:rsidRPr="00276EC4">
        <w:t>to ascertain if speed bumps indeed achieve their stated objective</w:t>
      </w:r>
      <w:r w:rsidR="009D1D59">
        <w:t xml:space="preserve">. </w:t>
      </w:r>
      <w:proofErr w:type="spellStart"/>
      <w:r w:rsidR="009D1D59">
        <w:t>f.e</w:t>
      </w:r>
      <w:proofErr w:type="spellEnd"/>
      <w:r w:rsidR="009D1D59">
        <w:t xml:space="preserve">. </w:t>
      </w:r>
      <w:r w:rsidR="009D1D59" w:rsidRPr="00276EC4">
        <w:t>that liquidity provision</w:t>
      </w:r>
      <w:r w:rsidR="009D1D59">
        <w:t xml:space="preserve"> and/or </w:t>
      </w:r>
      <w:r w:rsidR="009D1D59" w:rsidRPr="00276EC4">
        <w:t>the heterogeneity of the market has improved,</w:t>
      </w:r>
      <w:r w:rsidR="009D1D59">
        <w:t xml:space="preserve"> </w:t>
      </w:r>
      <w:r w:rsidR="009D1D59" w:rsidRPr="00276EC4">
        <w:t>order books have become more attractive for the investing public and traded volumes have gone up.</w:t>
      </w:r>
      <w:r w:rsidR="009D1D59">
        <w:t xml:space="preserve"> </w:t>
      </w:r>
      <w:r w:rsidR="009D1D59" w:rsidRPr="00276EC4">
        <w:t xml:space="preserve">We believe </w:t>
      </w:r>
      <w:r w:rsidR="009D1D59">
        <w:t xml:space="preserve">this should </w:t>
      </w:r>
      <w:r w:rsidR="009D1D59" w:rsidRPr="00276EC4">
        <w:t>first be studied in depth before possible governmental intervention in this field is considered</w:t>
      </w:r>
      <w:r w:rsidR="009D1D59">
        <w:t>,</w:t>
      </w:r>
      <w:r w:rsidR="009D1D59" w:rsidRPr="00276EC4">
        <w:t xml:space="preserve"> as each venue and product has a very specific set of conditions</w:t>
      </w:r>
      <w:r w:rsidR="009D1D59" w:rsidRPr="004F1B12">
        <w:t>.</w:t>
      </w:r>
    </w:p>
    <w:permEnd w:id="304307406"/>
    <w:p w14:paraId="5A37C35A" w14:textId="77777777" w:rsidR="00F43578" w:rsidRDefault="00F43578" w:rsidP="00F43578">
      <w:r>
        <w:t>&lt;ESMA_QUESTION_ALGO_48&gt;</w:t>
      </w:r>
    </w:p>
    <w:p w14:paraId="284E38ED" w14:textId="77777777" w:rsidR="00F43578" w:rsidRDefault="00F43578" w:rsidP="00F43578"/>
    <w:p w14:paraId="5BEA9EC8" w14:textId="77777777" w:rsidR="00F43578" w:rsidRDefault="00F43578" w:rsidP="00F43578">
      <w:pPr>
        <w:pStyle w:val="Questionstyle"/>
        <w:numPr>
          <w:ilvl w:val="0"/>
          <w:numId w:val="17"/>
        </w:numPr>
        <w:spacing w:after="250" w:line="276" w:lineRule="auto"/>
      </w:pPr>
      <w:r>
        <w:t>: Do you agree on the conclusion that speedbumps might not be a well-suited arrangement for equity markets? If yes, do you think that such arrangements for equities should be prohibited in Level 1? Please explain.</w:t>
      </w:r>
    </w:p>
    <w:p w14:paraId="52DA51D2" w14:textId="77777777" w:rsidR="00F43578" w:rsidRDefault="00F43578" w:rsidP="00F43578">
      <w:r>
        <w:t>&lt;ESMA_QUESTION_ALGO_49&gt;</w:t>
      </w:r>
    </w:p>
    <w:p w14:paraId="029E371F" w14:textId="7BB4A7CF" w:rsidR="003D46C0" w:rsidRDefault="004F1B12" w:rsidP="00FC6591">
      <w:permStart w:id="542050027" w:edGrp="everyone"/>
      <w:r>
        <w:t xml:space="preserve"> </w:t>
      </w:r>
      <w:r w:rsidR="008A12B7">
        <w:t xml:space="preserve">More in general, as set out in our Paper </w:t>
      </w:r>
      <w:r w:rsidR="008A12B7" w:rsidRPr="008A12B7">
        <w:t>'Dutch proprietary trading industry views on speed bumps that aim to improve liquidity provision' of 15 October 201</w:t>
      </w:r>
      <w:r w:rsidR="008A12B7">
        <w:t xml:space="preserve">9, </w:t>
      </w:r>
      <w:r w:rsidR="008A12B7" w:rsidRPr="008A12B7">
        <w:t>published as position on our website</w:t>
      </w:r>
      <w:r w:rsidR="008A12B7">
        <w:t>, v</w:t>
      </w:r>
      <w:r w:rsidR="003D46C0" w:rsidRPr="003D46C0">
        <w:t>iews differ within in APT on speed bump</w:t>
      </w:r>
      <w:r w:rsidR="008A12B7">
        <w:t>s</w:t>
      </w:r>
      <w:r w:rsidR="003D46C0" w:rsidRPr="003D46C0">
        <w:t xml:space="preserve">. Some argue that market making liquidity providers are more at risk than liquidity takers. Multiple liquidity takers can target liquidity via multiple paths at minimal risk if they fail. The provider, on the other hand, is alone and at risk of adverse selection if they fail to pull their quote in time. A market maker who is unable to adjust sufficiently to this risk will either widen their spread, show less liquidity or exit the market which is detrimental to market diversity. Speed bumps could lower these adverse selection costs, by decreasing the gap between faster liquidity providers and liquidity providers with a speed disadvantage. On the other hand, others argue that speedbumps positively facilitate ‘quote fade’; fleeting, illusory or “phantom” liquidity. An asymmetric speedbump can provide for a misleading impression of available liquidity in the market, which is undesirable from a pre-trade transparency perspective. Market participants including makers also supply liquidity to the market when taking. Asymmetric speed bumps discriminate against liquidity takers and indirectly impact market makers ability to hedge (perhaps in an alternative product that is subject to speedbump) or unwind risk.  </w:t>
      </w:r>
    </w:p>
    <w:p w14:paraId="1C81C619" w14:textId="4FB6DDDD" w:rsidR="00F43578" w:rsidRDefault="00494FCB" w:rsidP="003D46C0">
      <w:r>
        <w:t xml:space="preserve">While we believe </w:t>
      </w:r>
      <w:r w:rsidRPr="00D74586">
        <w:t xml:space="preserve">speedbumps </w:t>
      </w:r>
      <w:r>
        <w:t xml:space="preserve">might </w:t>
      </w:r>
      <w:r w:rsidRPr="00D74586">
        <w:t>serve a purpose in options markets</w:t>
      </w:r>
      <w:r>
        <w:t xml:space="preserve">, </w:t>
      </w:r>
      <w:r w:rsidR="003D46C0">
        <w:t>w</w:t>
      </w:r>
      <w:r w:rsidR="008A12B7">
        <w:t>e</w:t>
      </w:r>
      <w:r w:rsidR="004F1B12">
        <w:t xml:space="preserve"> a</w:t>
      </w:r>
      <w:r w:rsidR="004F1B12" w:rsidRPr="004F1B12">
        <w:t xml:space="preserve">gree </w:t>
      </w:r>
      <w:r w:rsidR="004F1B12">
        <w:t xml:space="preserve">that the </w:t>
      </w:r>
      <w:r w:rsidR="004F1B12" w:rsidRPr="004F1B12">
        <w:t xml:space="preserve">equities market </w:t>
      </w:r>
      <w:r w:rsidR="00F15105">
        <w:t>does not seem to</w:t>
      </w:r>
      <w:r w:rsidR="004F1B12">
        <w:t xml:space="preserve"> </w:t>
      </w:r>
      <w:r w:rsidR="00F15105">
        <w:t>be</w:t>
      </w:r>
      <w:r w:rsidR="004F1B12" w:rsidRPr="004F1B12">
        <w:t xml:space="preserve"> </w:t>
      </w:r>
      <w:r w:rsidR="00FC6591">
        <w:t xml:space="preserve">very </w:t>
      </w:r>
      <w:r w:rsidR="004F1B12" w:rsidRPr="004F1B12">
        <w:t>well-suited for speedbump</w:t>
      </w:r>
      <w:r w:rsidR="00276EC4">
        <w:t>s</w:t>
      </w:r>
      <w:r w:rsidR="004F1B12">
        <w:t>. However, we do</w:t>
      </w:r>
      <w:r w:rsidR="004F1B12" w:rsidRPr="004F1B12">
        <w:t xml:space="preserve"> not </w:t>
      </w:r>
      <w:r w:rsidR="004F1B12" w:rsidRPr="004F1B12">
        <w:lastRenderedPageBreak/>
        <w:t>recommend express prohibition</w:t>
      </w:r>
      <w:r w:rsidR="00E64F65">
        <w:t xml:space="preserve"> of the use of speedbumps in equities markets</w:t>
      </w:r>
      <w:r w:rsidR="00F15105">
        <w:t xml:space="preserve">, </w:t>
      </w:r>
      <w:r w:rsidR="004F1B12">
        <w:t xml:space="preserve">but </w:t>
      </w:r>
      <w:r w:rsidR="00F15105">
        <w:t xml:space="preserve">careful </w:t>
      </w:r>
      <w:r w:rsidR="004F1B12" w:rsidRPr="004F1B12">
        <w:t>consideratio</w:t>
      </w:r>
      <w:r w:rsidR="00F15105">
        <w:t>n by trading venues.</w:t>
      </w:r>
    </w:p>
    <w:permEnd w:id="542050027"/>
    <w:p w14:paraId="39997AA2" w14:textId="77777777" w:rsidR="00F43578" w:rsidRDefault="00F43578" w:rsidP="00F43578">
      <w:r>
        <w:t>&lt;ESMA_QUESTION_ALGO_49&gt;</w:t>
      </w:r>
    </w:p>
    <w:p w14:paraId="5002729D" w14:textId="77777777" w:rsidR="00F43578" w:rsidRDefault="00F43578" w:rsidP="00F43578"/>
    <w:p w14:paraId="08F3E21B" w14:textId="77777777" w:rsidR="00F43578" w:rsidRDefault="00F43578" w:rsidP="00F43578">
      <w:pPr>
        <w:pStyle w:val="Questionstyle"/>
        <w:numPr>
          <w:ilvl w:val="0"/>
          <w:numId w:val="17"/>
        </w:numPr>
        <w:spacing w:after="250" w:line="276" w:lineRule="auto"/>
      </w:pPr>
      <w:r>
        <w:t xml:space="preserve">: Do you think that the introduction and functioning of speedbumps should be further regulated? If yes, which specific requirements would you like to be included in EU legislation?  </w:t>
      </w:r>
    </w:p>
    <w:p w14:paraId="0F35DCF6" w14:textId="77777777" w:rsidR="00F43578" w:rsidRDefault="00F43578" w:rsidP="00F43578">
      <w:r>
        <w:t>&lt;ESMA_QUESTION_ALGO_50&gt;</w:t>
      </w:r>
    </w:p>
    <w:p w14:paraId="5469C66B" w14:textId="7747CD4A" w:rsidR="00276EC4" w:rsidRDefault="004F1B12" w:rsidP="00FC6591">
      <w:permStart w:id="930559500" w:edGrp="everyone"/>
      <w:r>
        <w:t xml:space="preserve"> </w:t>
      </w:r>
      <w:r w:rsidR="00494FCB">
        <w:t>R</w:t>
      </w:r>
      <w:r w:rsidR="00494FCB" w:rsidRPr="00D74586">
        <w:t xml:space="preserve">egulating the functioning of speedbumps will increase the complexity and </w:t>
      </w:r>
      <w:r w:rsidR="00494FCB">
        <w:t xml:space="preserve">might have </w:t>
      </w:r>
      <w:r w:rsidR="00494FCB" w:rsidRPr="00D74586">
        <w:t xml:space="preserve">a detrimental effect on the market. </w:t>
      </w:r>
      <w:r w:rsidR="00494FCB">
        <w:t xml:space="preserve">It's </w:t>
      </w:r>
      <w:r w:rsidR="00494FCB" w:rsidRPr="00D74586">
        <w:t>the best interest of trading venues to introduce speedbumps with functionality that has a positive effect on market quality</w:t>
      </w:r>
      <w:r w:rsidR="009B5C5E">
        <w:t>. E</w:t>
      </w:r>
      <w:r w:rsidR="00494FCB" w:rsidRPr="00D74586">
        <w:t xml:space="preserve">xchanges should have discretion of the market structure and functionality changes they want to introduce. Further regulation is </w:t>
      </w:r>
      <w:r w:rsidR="009B5C5E">
        <w:t xml:space="preserve">therefore </w:t>
      </w:r>
      <w:r w:rsidR="00494FCB" w:rsidRPr="00D74586">
        <w:t xml:space="preserve">not </w:t>
      </w:r>
      <w:r w:rsidR="009B5C5E">
        <w:t>desired</w:t>
      </w:r>
      <w:r w:rsidR="003D46C0">
        <w:t xml:space="preserve"> at this stage. </w:t>
      </w:r>
      <w:r w:rsidR="0040056B">
        <w:br/>
      </w:r>
      <w:r w:rsidR="0040056B">
        <w:br/>
      </w:r>
      <w:bookmarkStart w:id="5" w:name="_Hlk66097554"/>
      <w:r w:rsidR="00FC6591">
        <w:t xml:space="preserve">As pointed out in our Paper </w:t>
      </w:r>
      <w:r w:rsidR="00FC6591" w:rsidRPr="00FC6591">
        <w:t>'Dutch proprietary trading industry views on speed bumps that aim to improve liquidity provision'</w:t>
      </w:r>
      <w:r w:rsidR="00FC6591">
        <w:t xml:space="preserve"> </w:t>
      </w:r>
      <w:r w:rsidR="00FC6591" w:rsidRPr="00FC6591">
        <w:t>of 15 October 2019, published as pos</w:t>
      </w:r>
      <w:r w:rsidR="003D46C0">
        <w:t>i</w:t>
      </w:r>
      <w:r w:rsidR="00FC6591" w:rsidRPr="00FC6591">
        <w:t>tion on our website</w:t>
      </w:r>
      <w:r w:rsidR="003D46C0">
        <w:t xml:space="preserve">, </w:t>
      </w:r>
      <w:r w:rsidR="00FC6591">
        <w:t>i</w:t>
      </w:r>
      <w:r w:rsidR="00276EC4">
        <w:t xml:space="preserve">n case trading venues want to encompass </w:t>
      </w:r>
      <w:r w:rsidR="00276EC4" w:rsidRPr="00276EC4">
        <w:t>speed bumps into the exchange structure</w:t>
      </w:r>
      <w:r w:rsidR="003D46C0">
        <w:t xml:space="preserve"> </w:t>
      </w:r>
      <w:r w:rsidR="00276EC4">
        <w:t xml:space="preserve">this </w:t>
      </w:r>
      <w:r w:rsidR="00276EC4" w:rsidRPr="00276EC4">
        <w:t>should be based on data collection on the impact of market microstructure pilots, compared against a control group</w:t>
      </w:r>
      <w:r w:rsidR="003D46C0">
        <w:t xml:space="preserve"> </w:t>
      </w:r>
      <w:r w:rsidR="00276EC4" w:rsidRPr="00276EC4">
        <w:t>to ascertain if speed bumps indeed achieve their stated objective</w:t>
      </w:r>
      <w:r w:rsidR="003D46C0">
        <w:t xml:space="preserve">. </w:t>
      </w:r>
      <w:proofErr w:type="spellStart"/>
      <w:r w:rsidR="003D46C0">
        <w:t>f.e</w:t>
      </w:r>
      <w:proofErr w:type="spellEnd"/>
      <w:r w:rsidR="003D46C0">
        <w:t xml:space="preserve">. </w:t>
      </w:r>
      <w:r w:rsidR="00276EC4" w:rsidRPr="00276EC4">
        <w:t>that liquidity provision</w:t>
      </w:r>
      <w:r w:rsidR="003D46C0">
        <w:t xml:space="preserve"> and/or </w:t>
      </w:r>
      <w:r w:rsidR="00276EC4" w:rsidRPr="00276EC4">
        <w:t>the heterogeneity of the market has improved,</w:t>
      </w:r>
      <w:r w:rsidR="00F15105">
        <w:t xml:space="preserve"> </w:t>
      </w:r>
      <w:r w:rsidR="00276EC4" w:rsidRPr="00276EC4">
        <w:t>order books have become more attractive for the investing public and traded volumes have gone up.</w:t>
      </w:r>
      <w:r w:rsidR="00276EC4">
        <w:t xml:space="preserve"> </w:t>
      </w:r>
      <w:r w:rsidR="00276EC4" w:rsidRPr="00276EC4">
        <w:t xml:space="preserve">We believe </w:t>
      </w:r>
      <w:r w:rsidR="009B5C5E">
        <w:t xml:space="preserve">this should </w:t>
      </w:r>
      <w:r w:rsidR="00276EC4" w:rsidRPr="00276EC4">
        <w:t>first be studied in depth before possible governmental intervention in this field is considered</w:t>
      </w:r>
      <w:r w:rsidR="003D46C0">
        <w:t>,</w:t>
      </w:r>
      <w:r w:rsidR="00276EC4" w:rsidRPr="00276EC4">
        <w:t xml:space="preserve"> as each venue and product has a very specific set of conditions</w:t>
      </w:r>
      <w:r w:rsidRPr="004F1B12">
        <w:t>.</w:t>
      </w:r>
      <w:bookmarkEnd w:id="5"/>
    </w:p>
    <w:permEnd w:id="930559500"/>
    <w:p w14:paraId="2E7850D6" w14:textId="77777777" w:rsidR="00F43578" w:rsidRDefault="00F43578" w:rsidP="00F43578">
      <w:r>
        <w:t>&lt;ESMA_QUESTION_ALGO_50&gt;</w:t>
      </w:r>
    </w:p>
    <w:p w14:paraId="58C1DBF6" w14:textId="77777777" w:rsidR="00F43578" w:rsidRDefault="00F43578" w:rsidP="00F43578"/>
    <w:p w14:paraId="20204B61" w14:textId="77777777" w:rsidR="00F43578" w:rsidRDefault="00F43578" w:rsidP="00F43578">
      <w:pPr>
        <w:pStyle w:val="Questionstyle"/>
        <w:numPr>
          <w:ilvl w:val="0"/>
          <w:numId w:val="17"/>
        </w:numPr>
        <w:spacing w:after="250" w:line="276" w:lineRule="auto"/>
      </w:pPr>
      <w:r>
        <w:t>: Is there any specific issue you would like to highlight about speedbumps?</w:t>
      </w:r>
    </w:p>
    <w:p w14:paraId="11F88801" w14:textId="77777777" w:rsidR="00F43578" w:rsidRDefault="00F43578" w:rsidP="00F43578">
      <w:r>
        <w:t>&lt;ESMA_QUESTION_ALGO_51&gt;</w:t>
      </w:r>
    </w:p>
    <w:p w14:paraId="6AE8A0A0" w14:textId="7540E012" w:rsidR="00F43578" w:rsidRDefault="00F15105" w:rsidP="00F43578">
      <w:permStart w:id="1034885085" w:edGrp="everyone"/>
      <w:r>
        <w:t>No commen</w:t>
      </w:r>
      <w:r w:rsidR="00570DE3">
        <w:t>t.</w:t>
      </w:r>
      <w:r>
        <w:br/>
      </w:r>
      <w:permEnd w:id="1034885085"/>
      <w:r w:rsidR="00F43578">
        <w:t>&lt;ESMA_QUESTION_ALGO_51&gt;</w:t>
      </w:r>
    </w:p>
    <w:bookmarkEnd w:id="4"/>
    <w:p w14:paraId="7966FF6D" w14:textId="77777777" w:rsidR="00F43578" w:rsidRDefault="00F43578" w:rsidP="00F43578"/>
    <w:p w14:paraId="7F61E89D" w14:textId="77777777" w:rsidR="00F43578" w:rsidRDefault="00F43578" w:rsidP="00F43578">
      <w:pPr>
        <w:pStyle w:val="Questionstyle"/>
        <w:numPr>
          <w:ilvl w:val="0"/>
          <w:numId w:val="17"/>
        </w:numPr>
        <w:spacing w:after="250" w:line="276" w:lineRule="auto"/>
      </w:pPr>
      <w:r>
        <w:t>: What are your views on the relative timing of private fill confirmations and public trade messages? If you are a trading venue, please provide in your answer an explanation of the model you have in place.</w:t>
      </w:r>
    </w:p>
    <w:p w14:paraId="6A25BE27" w14:textId="77777777" w:rsidR="00F43578" w:rsidRDefault="00F43578" w:rsidP="00F43578">
      <w:r>
        <w:t>&lt;ESMA_QUESTION_ALGO_52&gt;</w:t>
      </w:r>
    </w:p>
    <w:p w14:paraId="44FCC665" w14:textId="04E3DEAB" w:rsidR="00F43578" w:rsidRPr="00F15105" w:rsidRDefault="00F15105" w:rsidP="00F15105">
      <w:permStart w:id="1102984687" w:edGrp="everyone"/>
      <w:r w:rsidRPr="00F15105">
        <w:t xml:space="preserve"> </w:t>
      </w:r>
      <w:r>
        <w:t>For members</w:t>
      </w:r>
      <w:r w:rsidRPr="00F15105">
        <w:t xml:space="preserve"> </w:t>
      </w:r>
      <w:r w:rsidR="00EF758A">
        <w:t xml:space="preserve">of </w:t>
      </w:r>
      <w:r w:rsidRPr="00F15105">
        <w:t>APT, a level playing field is</w:t>
      </w:r>
      <w:r w:rsidR="00570DE3">
        <w:t xml:space="preserve"> important</w:t>
      </w:r>
      <w:r w:rsidRPr="00F15105">
        <w:t>.</w:t>
      </w:r>
      <w:r w:rsidR="00EF758A">
        <w:t xml:space="preserve"> </w:t>
      </w:r>
      <w:r w:rsidR="00F7413A">
        <w:t xml:space="preserve">We believe it is important that </w:t>
      </w:r>
      <w:r w:rsidRPr="00F15105">
        <w:t xml:space="preserve">all market parties </w:t>
      </w:r>
      <w:r>
        <w:t xml:space="preserve">are </w:t>
      </w:r>
      <w:r w:rsidRPr="00F15105">
        <w:t>informed about transactions at the same time, whether or not they are party to the transaction</w:t>
      </w:r>
      <w:r w:rsidR="0040056B">
        <w:t>.</w:t>
      </w:r>
    </w:p>
    <w:permEnd w:id="1102984687"/>
    <w:p w14:paraId="3053DD92" w14:textId="77777777" w:rsidR="00F43578" w:rsidRDefault="00F43578" w:rsidP="00F43578">
      <w:r>
        <w:t>&lt;ESMA_QUESTION_ALGO_52&gt;</w:t>
      </w:r>
    </w:p>
    <w:p w14:paraId="1C67EB74" w14:textId="77777777" w:rsidR="00F43578" w:rsidRDefault="00F43578" w:rsidP="00F43578"/>
    <w:p w14:paraId="59C08A92" w14:textId="77777777" w:rsidR="00F43578" w:rsidRDefault="00F43578" w:rsidP="00F43578">
      <w:pPr>
        <w:pStyle w:val="Questionstyle"/>
        <w:numPr>
          <w:ilvl w:val="0"/>
          <w:numId w:val="17"/>
        </w:numPr>
        <w:spacing w:after="250" w:line="276" w:lineRule="auto"/>
      </w:pPr>
      <w:r>
        <w:t>: Do you consider information on the sequencing of these two feeds at trading venues to be easily available? If you are a trading venue, please provide a link to where this information can be found publicly.</w:t>
      </w:r>
    </w:p>
    <w:p w14:paraId="4A90DD2D" w14:textId="77777777" w:rsidR="00F43578" w:rsidRDefault="00F43578" w:rsidP="00F43578">
      <w:r>
        <w:t>&lt;ESMA_QUESTION_ALGO_53&gt;</w:t>
      </w:r>
    </w:p>
    <w:p w14:paraId="3281F4E5" w14:textId="62355766" w:rsidR="00F43578" w:rsidRDefault="00F15105" w:rsidP="00F43578">
      <w:permStart w:id="503073787" w:edGrp="everyone"/>
      <w:r>
        <w:t>No comment</w:t>
      </w:r>
    </w:p>
    <w:permEnd w:id="503073787"/>
    <w:p w14:paraId="3E9CBE19" w14:textId="77777777" w:rsidR="00F43578" w:rsidRDefault="00F43578" w:rsidP="00F43578">
      <w:r>
        <w:t>&lt;ESMA_QUESTION_ALGO_53&gt;</w:t>
      </w:r>
    </w:p>
    <w:p w14:paraId="1E3594CF" w14:textId="77777777" w:rsidR="00F43578" w:rsidRDefault="00F43578" w:rsidP="00F43578"/>
    <w:p w14:paraId="089A86DE" w14:textId="77777777" w:rsidR="00F43578" w:rsidRDefault="00F43578" w:rsidP="00F43578">
      <w:pPr>
        <w:pStyle w:val="Questionstyle"/>
        <w:numPr>
          <w:ilvl w:val="0"/>
          <w:numId w:val="17"/>
        </w:numPr>
        <w:spacing w:after="250" w:line="276" w:lineRule="auto"/>
      </w:pPr>
      <w:r>
        <w:t xml:space="preserve">: Do you think there should be any legislative amendments or policy measures in respect of these feed dynamics? </w:t>
      </w:r>
    </w:p>
    <w:p w14:paraId="2B34B8EF" w14:textId="77777777" w:rsidR="00F43578" w:rsidRDefault="00F43578" w:rsidP="00F43578">
      <w:r>
        <w:t>&lt;ESMA_QUESTION_ALGO_54&gt;</w:t>
      </w:r>
    </w:p>
    <w:p w14:paraId="20A76AD7" w14:textId="4BC03C0B" w:rsidR="00F43578" w:rsidRDefault="00F15105" w:rsidP="00F43578">
      <w:permStart w:id="2073040423" w:edGrp="everyone"/>
      <w:r>
        <w:t>No comment</w:t>
      </w:r>
    </w:p>
    <w:permEnd w:id="2073040423"/>
    <w:p w14:paraId="51BA6E8E" w14:textId="77777777" w:rsidR="00F43578" w:rsidRDefault="00F43578" w:rsidP="00F43578">
      <w:r>
        <w:t>&lt;ESMA_QUESTION_ALGO_54&gt;</w:t>
      </w:r>
    </w:p>
    <w:p w14:paraId="78301D1E" w14:textId="77777777" w:rsidR="00F43578" w:rsidRDefault="00F43578" w:rsidP="00F43578"/>
    <w:p w14:paraId="68D9F870" w14:textId="77777777" w:rsidR="00F43578" w:rsidRDefault="00F43578" w:rsidP="00F43578"/>
    <w:p w14:paraId="1806E325" w14:textId="77777777" w:rsidR="00F43578" w:rsidRDefault="00F43578" w:rsidP="00C1698A">
      <w:pPr>
        <w:spacing w:line="276" w:lineRule="auto"/>
        <w:rPr>
          <w:rFonts w:asciiTheme="minorHAnsi" w:hAnsiTheme="minorHAnsi" w:cstheme="minorHAnsi"/>
          <w:b/>
          <w:sz w:val="28"/>
          <w:szCs w:val="28"/>
        </w:rPr>
      </w:pPr>
    </w:p>
    <w:sectPr w:rsidR="00F4357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8E8EA" w14:textId="77777777" w:rsidR="00CE6CAD" w:rsidRDefault="00CE6CAD" w:rsidP="007E7997">
      <w:r>
        <w:separator/>
      </w:r>
    </w:p>
  </w:endnote>
  <w:endnote w:type="continuationSeparator" w:id="0">
    <w:p w14:paraId="1EE910C0" w14:textId="77777777" w:rsidR="00CE6CAD" w:rsidRDefault="00CE6CAD" w:rsidP="007E7997">
      <w:r>
        <w:continuationSeparator/>
      </w:r>
    </w:p>
  </w:endnote>
  <w:endnote w:type="continuationNotice" w:id="1">
    <w:p w14:paraId="67B62A0F" w14:textId="77777777" w:rsidR="00CE6CAD" w:rsidRDefault="00CE6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E36813" w:rsidRDefault="00E36813">
        <w:pPr>
          <w:pStyle w:val="Voettekst"/>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3DD69B4E" w:rsidR="00E36813" w:rsidRDefault="00E36813" w:rsidP="007A160F">
    <w:pPr>
      <w:pStyle w:val="Voettekst"/>
    </w:pPr>
    <w:r>
      <w:rPr>
        <w:rFonts w:asciiTheme="majorHAnsi" w:hAnsiTheme="majorHAnsi"/>
        <w:color w:val="FFFFFF" w:themeColor="background1"/>
      </w:rPr>
      <w:tab/>
    </w:r>
    <w:r>
      <w:rPr>
        <w:rFonts w:asciiTheme="majorHAnsi" w:hAnsiTheme="majorHAnsi"/>
        <w:color w:val="FFFFFF" w:themeColor="background1"/>
      </w:rPr>
      <w:tab/>
    </w:r>
    <w:r w:rsidR="00607CC8">
      <w:rPr>
        <w:rFonts w:asciiTheme="majorHAnsi" w:hAnsiTheme="majorHAnsi"/>
        <w:color w:val="FFFFFF" w:themeColor="background1"/>
      </w:rPr>
      <w:t>18</w:t>
    </w:r>
    <w:r w:rsidR="00E35FC3" w:rsidRPr="0004778B">
      <w:rPr>
        <w:rFonts w:asciiTheme="majorHAnsi" w:hAnsiTheme="majorHAnsi"/>
        <w:color w:val="FFFFFF" w:themeColor="background1"/>
      </w:rPr>
      <w:t xml:space="preserve"> </w:t>
    </w:r>
    <w:r w:rsidR="00607CC8">
      <w:rPr>
        <w:rFonts w:asciiTheme="majorHAnsi" w:hAnsiTheme="majorHAnsi"/>
        <w:color w:val="FFFFFF" w:themeColor="background1"/>
      </w:rPr>
      <w:t xml:space="preserve">December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hyperlink>
    <w:permStart w:id="1090334507" w:edGrp="everyone"/>
    <w:permEnd w:id="1090334507"/>
    <w:r w:rsidR="00005CEE">
      <w:rPr>
        <w:rFonts w:asciiTheme="majorHAnsi" w:hAnsiTheme="majorHAnsi"/>
        <w:color w:val="FFFFFF" w:themeColor="background1"/>
      </w:rPr>
      <w:t>4086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E36813" w:rsidRDefault="00E36813">
        <w:pPr>
          <w:pStyle w:val="Voettekst"/>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56DFD" w14:textId="77777777" w:rsidR="00CE6CAD" w:rsidRDefault="00CE6CAD" w:rsidP="007E7997">
      <w:r>
        <w:separator/>
      </w:r>
    </w:p>
  </w:footnote>
  <w:footnote w:type="continuationSeparator" w:id="0">
    <w:p w14:paraId="111FC97D" w14:textId="77777777" w:rsidR="00CE6CAD" w:rsidRDefault="00CE6CAD" w:rsidP="007E7997">
      <w:r>
        <w:continuationSeparator/>
      </w:r>
    </w:p>
  </w:footnote>
  <w:footnote w:type="continuationNotice" w:id="1">
    <w:p w14:paraId="7F7E6630" w14:textId="77777777" w:rsidR="00CE6CAD" w:rsidRDefault="00CE6CAD"/>
  </w:footnote>
  <w:footnote w:id="2">
    <w:p w14:paraId="4DD98281" w14:textId="77777777" w:rsidR="00DC21FB" w:rsidRPr="00E7620B" w:rsidRDefault="00DC21FB" w:rsidP="00DC21FB">
      <w:pPr>
        <w:pStyle w:val="Voetnoottekst"/>
        <w:rPr>
          <w:rFonts w:cstheme="minorHAnsi"/>
          <w:sz w:val="14"/>
          <w:szCs w:val="14"/>
          <w:lang w:val="en-US"/>
        </w:rPr>
      </w:pPr>
      <w:r w:rsidRPr="00E7620B">
        <w:rPr>
          <w:rStyle w:val="Voetnootmarkering"/>
          <w:rFonts w:cstheme="minorHAnsi"/>
          <w:sz w:val="14"/>
          <w:szCs w:val="14"/>
        </w:rPr>
        <w:footnoteRef/>
      </w:r>
      <w:r w:rsidRPr="00E7620B">
        <w:rPr>
          <w:rFonts w:cstheme="minorHAnsi"/>
          <w:sz w:val="14"/>
          <w:szCs w:val="14"/>
        </w:rPr>
        <w:t xml:space="preserve"> </w:t>
      </w:r>
      <w:r w:rsidRPr="00E7620B">
        <w:rPr>
          <w:rFonts w:cstheme="minorHAnsi"/>
          <w:sz w:val="14"/>
          <w:szCs w:val="14"/>
          <w:lang w:val="en-US"/>
        </w:rPr>
        <w:t>As is, for example, the case with venues that pass down their requirement to generate transaction reporting on behalf of third country firms to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E36813" w:rsidRDefault="00E36813">
    <w:pPr>
      <w:pStyle w:val="Koptekst"/>
    </w:pPr>
  </w:p>
  <w:p w14:paraId="59FA3C9D" w14:textId="77777777" w:rsidR="00E36813" w:rsidRDefault="00E368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E36813" w:rsidRDefault="00E36813">
    <w:pPr>
      <w:pStyle w:val="Koptekst"/>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E36813" w:rsidRDefault="00E36813" w:rsidP="00B50534">
    <w:pPr>
      <w:pStyle w:val="Koptekst"/>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1C7F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Koptekst"/>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Koptekst"/>
      <w:jc w:val="right"/>
      <w:rPr>
        <w:color w:val="2F5496" w:themeColor="accent5" w:themeShade="BF"/>
        <w:sz w:val="20"/>
      </w:rPr>
    </w:pPr>
  </w:p>
  <w:p w14:paraId="5EAB6EC6" w14:textId="77777777" w:rsidR="00E36813" w:rsidRPr="00B50534" w:rsidRDefault="00E36813" w:rsidP="00B50534">
    <w:pPr>
      <w:pStyle w:val="Koptekst"/>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B39FA"/>
    <w:multiLevelType w:val="hybridMultilevel"/>
    <w:tmpl w:val="192E584C"/>
    <w:lvl w:ilvl="0" w:tplc="B4A470A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42874"/>
    <w:multiLevelType w:val="hybridMultilevel"/>
    <w:tmpl w:val="69E4A692"/>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631AD9"/>
    <w:multiLevelType w:val="hybridMultilevel"/>
    <w:tmpl w:val="421A71FC"/>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Kop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jstalinea"/>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B3C30"/>
    <w:multiLevelType w:val="hybridMultilevel"/>
    <w:tmpl w:val="38BE23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941842"/>
    <w:multiLevelType w:val="hybridMultilevel"/>
    <w:tmpl w:val="9A227B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BAD1101"/>
    <w:multiLevelType w:val="multilevel"/>
    <w:tmpl w:val="766C753E"/>
    <w:lvl w:ilvl="0">
      <w:start w:val="1"/>
      <w:numFmt w:val="upperRoman"/>
      <w:pStyle w:val="Kop1"/>
      <w:lvlText w:val="%1."/>
      <w:lvlJc w:val="righ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CF7202"/>
    <w:multiLevelType w:val="hybridMultilevel"/>
    <w:tmpl w:val="0F94E10E"/>
    <w:lvl w:ilvl="0" w:tplc="04130001">
      <w:start w:val="1"/>
      <w:numFmt w:val="bullet"/>
      <w:lvlText w:val=""/>
      <w:lvlJc w:val="left"/>
      <w:pPr>
        <w:ind w:left="360" w:hanging="360"/>
      </w:pPr>
      <w:rPr>
        <w:rFonts w:ascii="Symbol" w:hAnsi="Symbol" w:hint="default"/>
        <w:color w:val="auto"/>
        <w:sz w:val="22"/>
      </w:rPr>
    </w:lvl>
    <w:lvl w:ilvl="1" w:tplc="F0660154">
      <w:start w:val="1"/>
      <w:numFmt w:val="bullet"/>
      <w:lvlText w:val="o"/>
      <w:lvlJc w:val="left"/>
      <w:pPr>
        <w:ind w:left="786" w:hanging="360"/>
      </w:pPr>
      <w:rPr>
        <w:rFonts w:ascii="Courier New" w:hAnsi="Courier New" w:cs="Courier New" w:hint="default"/>
        <w:color w:val="000000" w:themeColor="text1"/>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282935"/>
    <w:multiLevelType w:val="hybridMultilevel"/>
    <w:tmpl w:val="387A2A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A35227A"/>
    <w:multiLevelType w:val="hybridMultilevel"/>
    <w:tmpl w:val="4BB60F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14"/>
  </w:num>
  <w:num w:numId="4">
    <w:abstractNumId w:val="4"/>
  </w:num>
  <w:num w:numId="5">
    <w:abstractNumId w:val="11"/>
  </w:num>
  <w:num w:numId="6">
    <w:abstractNumId w:val="17"/>
  </w:num>
  <w:num w:numId="7">
    <w:abstractNumId w:val="10"/>
  </w:num>
  <w:num w:numId="8">
    <w:abstractNumId w:val="5"/>
  </w:num>
  <w:num w:numId="9">
    <w:abstractNumId w:val="9"/>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2"/>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0"/>
  </w:num>
  <w:num w:numId="21">
    <w:abstractNumId w:val="2"/>
  </w:num>
  <w:num w:numId="22">
    <w:abstractNumId w:val="1"/>
  </w:num>
  <w:num w:numId="23">
    <w:abstractNumId w:val="20"/>
  </w:num>
  <w:num w:numId="24">
    <w:abstractNumId w:val="8"/>
  </w:num>
  <w:num w:numId="25">
    <w:abstractNumId w:val="1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attachedTemplate r:id="rId1"/>
  <w:documentProtection w:edit="readOnly" w:formatting="1" w:enforcement="1" w:cryptProviderType="rsaAES" w:cryptAlgorithmClass="hash" w:cryptAlgorithmType="typeAny" w:cryptAlgorithmSid="14" w:cryptSpinCount="100000" w:hash="mDfid5YmJFki/ybI/oZGxzVWAcweG5j+TuADAIfwg7jmmSMOCud3eKDYYRy07RzdmCaaKuknz0bgxwCrY07jgA==" w:salt="x08ROO9ExtbacuumAJqfH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C6D"/>
    <w:rsid w:val="0000380B"/>
    <w:rsid w:val="00005505"/>
    <w:rsid w:val="00005CEE"/>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502"/>
    <w:rsid w:val="000C0CE0"/>
    <w:rsid w:val="000C2400"/>
    <w:rsid w:val="000C299C"/>
    <w:rsid w:val="000C5ACC"/>
    <w:rsid w:val="000D0293"/>
    <w:rsid w:val="000D0850"/>
    <w:rsid w:val="000D1038"/>
    <w:rsid w:val="000D11A9"/>
    <w:rsid w:val="000D2D7B"/>
    <w:rsid w:val="000E2232"/>
    <w:rsid w:val="000E23ED"/>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56D"/>
    <w:rsid w:val="001C56C3"/>
    <w:rsid w:val="001C5D8C"/>
    <w:rsid w:val="001C7E0A"/>
    <w:rsid w:val="001D0112"/>
    <w:rsid w:val="001D19F5"/>
    <w:rsid w:val="001D385A"/>
    <w:rsid w:val="001D6A72"/>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19DB"/>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76EC4"/>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3CEE"/>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4F25"/>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46C0"/>
    <w:rsid w:val="003D7C07"/>
    <w:rsid w:val="003E13FD"/>
    <w:rsid w:val="003E1C24"/>
    <w:rsid w:val="003E61FC"/>
    <w:rsid w:val="003E77BC"/>
    <w:rsid w:val="003F0EDF"/>
    <w:rsid w:val="003F20C7"/>
    <w:rsid w:val="003F39B1"/>
    <w:rsid w:val="003F56B0"/>
    <w:rsid w:val="0040056B"/>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5990"/>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4FCB"/>
    <w:rsid w:val="004950B7"/>
    <w:rsid w:val="00497FEA"/>
    <w:rsid w:val="004A711D"/>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1B12"/>
    <w:rsid w:val="004F28FA"/>
    <w:rsid w:val="004F5740"/>
    <w:rsid w:val="004F58C9"/>
    <w:rsid w:val="005028B9"/>
    <w:rsid w:val="00505E17"/>
    <w:rsid w:val="00511A59"/>
    <w:rsid w:val="00511C3B"/>
    <w:rsid w:val="00514440"/>
    <w:rsid w:val="005166C3"/>
    <w:rsid w:val="00520F7C"/>
    <w:rsid w:val="00522B70"/>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0DE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07CC8"/>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016B"/>
    <w:rsid w:val="00661766"/>
    <w:rsid w:val="00662882"/>
    <w:rsid w:val="0066298C"/>
    <w:rsid w:val="00663008"/>
    <w:rsid w:val="00663093"/>
    <w:rsid w:val="006655D8"/>
    <w:rsid w:val="00665A7C"/>
    <w:rsid w:val="00665B0B"/>
    <w:rsid w:val="006705CD"/>
    <w:rsid w:val="00671363"/>
    <w:rsid w:val="00672780"/>
    <w:rsid w:val="00672842"/>
    <w:rsid w:val="00676A7F"/>
    <w:rsid w:val="00676CFC"/>
    <w:rsid w:val="00677133"/>
    <w:rsid w:val="00681482"/>
    <w:rsid w:val="00687BF0"/>
    <w:rsid w:val="006904CF"/>
    <w:rsid w:val="006912FB"/>
    <w:rsid w:val="00695AF2"/>
    <w:rsid w:val="00696A2B"/>
    <w:rsid w:val="00696BD5"/>
    <w:rsid w:val="006975A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4783"/>
    <w:rsid w:val="006F53E8"/>
    <w:rsid w:val="006F5FB8"/>
    <w:rsid w:val="006F6FE1"/>
    <w:rsid w:val="0070017B"/>
    <w:rsid w:val="0070427E"/>
    <w:rsid w:val="00704D53"/>
    <w:rsid w:val="007056C3"/>
    <w:rsid w:val="00706072"/>
    <w:rsid w:val="00713644"/>
    <w:rsid w:val="00721256"/>
    <w:rsid w:val="007217AD"/>
    <w:rsid w:val="00723BA1"/>
    <w:rsid w:val="00724A1B"/>
    <w:rsid w:val="00726637"/>
    <w:rsid w:val="00730C44"/>
    <w:rsid w:val="0073173E"/>
    <w:rsid w:val="007319C3"/>
    <w:rsid w:val="0073454F"/>
    <w:rsid w:val="00735C00"/>
    <w:rsid w:val="007364C6"/>
    <w:rsid w:val="00740BF3"/>
    <w:rsid w:val="00741D5C"/>
    <w:rsid w:val="0074352F"/>
    <w:rsid w:val="00747818"/>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2868"/>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8764C"/>
    <w:rsid w:val="0089075A"/>
    <w:rsid w:val="00890F80"/>
    <w:rsid w:val="00892BFD"/>
    <w:rsid w:val="0089338A"/>
    <w:rsid w:val="00894199"/>
    <w:rsid w:val="008948BE"/>
    <w:rsid w:val="008A12B7"/>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35C1E"/>
    <w:rsid w:val="0094008E"/>
    <w:rsid w:val="00941C0C"/>
    <w:rsid w:val="009423AB"/>
    <w:rsid w:val="009437F2"/>
    <w:rsid w:val="0094528B"/>
    <w:rsid w:val="00957358"/>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5C5E"/>
    <w:rsid w:val="009B7B79"/>
    <w:rsid w:val="009C0383"/>
    <w:rsid w:val="009C145B"/>
    <w:rsid w:val="009C223D"/>
    <w:rsid w:val="009C3E04"/>
    <w:rsid w:val="009C4FB0"/>
    <w:rsid w:val="009C5A71"/>
    <w:rsid w:val="009C75D1"/>
    <w:rsid w:val="009C7694"/>
    <w:rsid w:val="009D0570"/>
    <w:rsid w:val="009D1D59"/>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60B2"/>
    <w:rsid w:val="00A870EE"/>
    <w:rsid w:val="00A91D91"/>
    <w:rsid w:val="00A96F81"/>
    <w:rsid w:val="00A9709D"/>
    <w:rsid w:val="00AA054E"/>
    <w:rsid w:val="00AA0A10"/>
    <w:rsid w:val="00AA2094"/>
    <w:rsid w:val="00AA2947"/>
    <w:rsid w:val="00AA4D70"/>
    <w:rsid w:val="00AA7860"/>
    <w:rsid w:val="00AB1894"/>
    <w:rsid w:val="00AB22DF"/>
    <w:rsid w:val="00AB30EA"/>
    <w:rsid w:val="00AB458B"/>
    <w:rsid w:val="00AB45E4"/>
    <w:rsid w:val="00AB6157"/>
    <w:rsid w:val="00AB7542"/>
    <w:rsid w:val="00AC022D"/>
    <w:rsid w:val="00AC0629"/>
    <w:rsid w:val="00AC46B6"/>
    <w:rsid w:val="00AC70C7"/>
    <w:rsid w:val="00AC79E0"/>
    <w:rsid w:val="00AD32CE"/>
    <w:rsid w:val="00AD5187"/>
    <w:rsid w:val="00AD6B11"/>
    <w:rsid w:val="00AD6B34"/>
    <w:rsid w:val="00AD6F90"/>
    <w:rsid w:val="00AE0286"/>
    <w:rsid w:val="00AE247F"/>
    <w:rsid w:val="00AE4A24"/>
    <w:rsid w:val="00AE4FC7"/>
    <w:rsid w:val="00AF01E3"/>
    <w:rsid w:val="00AF22CC"/>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5B2B"/>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1B34"/>
    <w:rsid w:val="00BB449C"/>
    <w:rsid w:val="00BB44D7"/>
    <w:rsid w:val="00BC2561"/>
    <w:rsid w:val="00BC2DA8"/>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BF76EF"/>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06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13A9"/>
    <w:rsid w:val="00CD47B2"/>
    <w:rsid w:val="00CD5AFD"/>
    <w:rsid w:val="00CD74EB"/>
    <w:rsid w:val="00CE49F8"/>
    <w:rsid w:val="00CE4E1E"/>
    <w:rsid w:val="00CE66B5"/>
    <w:rsid w:val="00CE6CAD"/>
    <w:rsid w:val="00CF52DF"/>
    <w:rsid w:val="00CF5832"/>
    <w:rsid w:val="00CF5911"/>
    <w:rsid w:val="00CF7221"/>
    <w:rsid w:val="00CF724E"/>
    <w:rsid w:val="00D059F5"/>
    <w:rsid w:val="00D117F5"/>
    <w:rsid w:val="00D13661"/>
    <w:rsid w:val="00D142BD"/>
    <w:rsid w:val="00D146DE"/>
    <w:rsid w:val="00D17E64"/>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21FB"/>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4F65"/>
    <w:rsid w:val="00E6699F"/>
    <w:rsid w:val="00E67B40"/>
    <w:rsid w:val="00E703AE"/>
    <w:rsid w:val="00E72373"/>
    <w:rsid w:val="00E76AF9"/>
    <w:rsid w:val="00E824DB"/>
    <w:rsid w:val="00E83E8C"/>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EF758A"/>
    <w:rsid w:val="00F03FA7"/>
    <w:rsid w:val="00F048EF"/>
    <w:rsid w:val="00F06AAD"/>
    <w:rsid w:val="00F146BE"/>
    <w:rsid w:val="00F15105"/>
    <w:rsid w:val="00F22013"/>
    <w:rsid w:val="00F22356"/>
    <w:rsid w:val="00F226E0"/>
    <w:rsid w:val="00F2522F"/>
    <w:rsid w:val="00F30180"/>
    <w:rsid w:val="00F31A29"/>
    <w:rsid w:val="00F3279A"/>
    <w:rsid w:val="00F36791"/>
    <w:rsid w:val="00F37236"/>
    <w:rsid w:val="00F43578"/>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413A"/>
    <w:rsid w:val="00F77851"/>
    <w:rsid w:val="00F80FAB"/>
    <w:rsid w:val="00F81E3B"/>
    <w:rsid w:val="00F827E1"/>
    <w:rsid w:val="00F927B5"/>
    <w:rsid w:val="00F94BD0"/>
    <w:rsid w:val="00F9500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552D"/>
    <w:rsid w:val="00FC6591"/>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Kop1">
    <w:name w:val="heading 1"/>
    <w:basedOn w:val="Standaard"/>
    <w:next w:val="Standaard"/>
    <w:link w:val="Kop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Kop3">
    <w:name w:val="heading 3"/>
    <w:basedOn w:val="Standaard"/>
    <w:next w:val="Standaard"/>
    <w:link w:val="Kop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Kop4">
    <w:name w:val="heading 4"/>
    <w:basedOn w:val="Standaard"/>
    <w:next w:val="Standaard"/>
    <w:link w:val="Kop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Kop5">
    <w:name w:val="heading 5"/>
    <w:basedOn w:val="Standaard"/>
    <w:next w:val="Standaard"/>
    <w:link w:val="Kop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Kop6">
    <w:name w:val="heading 6"/>
    <w:basedOn w:val="Standaard"/>
    <w:next w:val="Standaard"/>
    <w:link w:val="Kop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B6B12"/>
    <w:pPr>
      <w:spacing w:after="0" w:line="240" w:lineRule="auto"/>
    </w:pPr>
    <w:rPr>
      <w:lang w:val="en-GB"/>
    </w:rPr>
  </w:style>
  <w:style w:type="character" w:customStyle="1" w:styleId="Kop4Char">
    <w:name w:val="Kop 4 Char"/>
    <w:basedOn w:val="Standaardalinea-lettertype"/>
    <w:link w:val="Kop4"/>
    <w:rsid w:val="00020300"/>
    <w:rPr>
      <w:rFonts w:asciiTheme="majorHAnsi" w:eastAsiaTheme="majorEastAsia" w:hAnsiTheme="majorHAnsi" w:cstheme="majorBidi"/>
      <w:sz w:val="24"/>
      <w:szCs w:val="22"/>
      <w:lang w:val="en-GB" w:eastAsia="en-GB"/>
    </w:rPr>
  </w:style>
  <w:style w:type="character" w:customStyle="1" w:styleId="Kop3Char">
    <w:name w:val="Kop 3 Char"/>
    <w:basedOn w:val="Standaardalinea-lettertype"/>
    <w:link w:val="Kop3"/>
    <w:rsid w:val="00020300"/>
    <w:rPr>
      <w:rFonts w:asciiTheme="majorHAnsi" w:eastAsiaTheme="majorEastAsia" w:hAnsiTheme="majorHAnsi" w:cstheme="majorBidi"/>
      <w:sz w:val="24"/>
      <w:szCs w:val="24"/>
      <w:lang w:val="en-GB" w:eastAsia="en-GB"/>
    </w:rPr>
  </w:style>
  <w:style w:type="character" w:customStyle="1" w:styleId="Kop1Char">
    <w:name w:val="Kop 1 Char"/>
    <w:basedOn w:val="Standaardalinea-lettertype"/>
    <w:link w:val="Kop1"/>
    <w:rsid w:val="00FE0BD8"/>
    <w:rPr>
      <w:rFonts w:asciiTheme="majorHAnsi" w:eastAsiaTheme="majorEastAsia" w:hAnsiTheme="majorHAnsi" w:cstheme="majorBidi"/>
      <w:b/>
      <w:sz w:val="32"/>
      <w:szCs w:val="32"/>
      <w:lang w:val="en-GB" w:eastAsia="en-GB"/>
    </w:rPr>
  </w:style>
  <w:style w:type="character" w:customStyle="1" w:styleId="Kop2Char">
    <w:name w:val="Kop 2 Char"/>
    <w:basedOn w:val="Standaardalinea-lettertype"/>
    <w:link w:val="Kop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ard"/>
    <w:link w:val="Subtitle1Char"/>
    <w:autoRedefine/>
    <w:rsid w:val="003C4EB5"/>
    <w:pPr>
      <w:tabs>
        <w:tab w:val="left" w:pos="414"/>
      </w:tabs>
    </w:pPr>
    <w:rPr>
      <w:b/>
    </w:rPr>
  </w:style>
  <w:style w:type="character" w:customStyle="1" w:styleId="Subtitle1Char">
    <w:name w:val="Subtitle1 Char"/>
    <w:basedOn w:val="Standaardalinea-lettertype"/>
    <w:link w:val="Subtitle1"/>
    <w:rsid w:val="003C4EB5"/>
    <w:rPr>
      <w:rFonts w:cs="Times New Roman"/>
      <w:b/>
      <w:sz w:val="20"/>
      <w:szCs w:val="24"/>
      <w:lang w:val="en-GB" w:eastAsia="de-DE"/>
    </w:rPr>
  </w:style>
  <w:style w:type="paragraph" w:customStyle="1" w:styleId="Title1">
    <w:name w:val="Title 1"/>
    <w:basedOn w:val="Lijstalinea"/>
    <w:link w:val="Title1Char"/>
    <w:autoRedefine/>
    <w:rsid w:val="002574D1"/>
    <w:pPr>
      <w:numPr>
        <w:numId w:val="2"/>
      </w:numPr>
    </w:pPr>
    <w:rPr>
      <w:b/>
      <w:sz w:val="28"/>
    </w:rPr>
  </w:style>
  <w:style w:type="character" w:customStyle="1" w:styleId="Title1Char">
    <w:name w:val="Title 1 Char"/>
    <w:basedOn w:val="Standaardalinea-lettertype"/>
    <w:link w:val="Title1"/>
    <w:rsid w:val="003C4EB5"/>
    <w:rPr>
      <w:rFonts w:eastAsiaTheme="majorEastAsia" w:cstheme="minorHAnsi"/>
      <w:b/>
      <w:sz w:val="28"/>
      <w:szCs w:val="22"/>
      <w:lang w:val="en-GB" w:eastAsia="en-GB"/>
    </w:rPr>
  </w:style>
  <w:style w:type="paragraph" w:styleId="Lijstalinea">
    <w:name w:val="List Paragraph"/>
    <w:aliases w:val="Paragraphe EI,Paragraphe de liste1,EC,Paragraphe de liste,Normal Nivel 1,List Paragraph Main,List first level,List Paragraph_Sections"/>
    <w:basedOn w:val="Standaard"/>
    <w:link w:val="Lijstalinea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jstalinea"/>
    <w:link w:val="Title3Char"/>
    <w:autoRedefine/>
    <w:rsid w:val="002574D1"/>
    <w:pPr>
      <w:numPr>
        <w:ilvl w:val="3"/>
        <w:numId w:val="2"/>
      </w:numPr>
    </w:pPr>
  </w:style>
  <w:style w:type="character" w:customStyle="1" w:styleId="Title3Char">
    <w:name w:val="Title 3 Char"/>
    <w:basedOn w:val="Standaardalinea-lettertype"/>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Standaardalinea-lettertype"/>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ardalinea-lettertype"/>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Standaardalinea-lettertype"/>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Standaardalinea-lettertype"/>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Standaardalinea-lettertype"/>
    <w:link w:val="Introductionheading"/>
    <w:rsid w:val="00044C5A"/>
    <w:rPr>
      <w:rFonts w:ascii="Arial" w:eastAsia="Times New Roman" w:hAnsi="Arial" w:cs="Times New Roman"/>
      <w:b/>
      <w:sz w:val="28"/>
      <w:szCs w:val="24"/>
      <w:lang w:val="en-GB" w:eastAsia="de-DE"/>
    </w:rPr>
  </w:style>
  <w:style w:type="character" w:customStyle="1" w:styleId="Kop5Char">
    <w:name w:val="Kop 5 Char"/>
    <w:basedOn w:val="Standaardalinea-lettertype"/>
    <w:link w:val="Kop5"/>
    <w:uiPriority w:val="9"/>
    <w:rsid w:val="007E7997"/>
    <w:rPr>
      <w:rFonts w:asciiTheme="majorHAnsi" w:eastAsiaTheme="majorEastAsia" w:hAnsiTheme="majorHAnsi" w:cstheme="majorBidi"/>
      <w:sz w:val="24"/>
      <w:szCs w:val="22"/>
      <w:lang w:val="en-GB" w:eastAsia="en-GB"/>
    </w:rPr>
  </w:style>
  <w:style w:type="paragraph" w:styleId="Plattetekst">
    <w:name w:val="Body Text"/>
    <w:basedOn w:val="Standaard"/>
    <w:link w:val="PlattetekstChar"/>
    <w:uiPriority w:val="99"/>
    <w:semiHidden/>
    <w:unhideWhenUsed/>
    <w:rsid w:val="00044C5A"/>
  </w:style>
  <w:style w:type="character" w:customStyle="1" w:styleId="PlattetekstChar">
    <w:name w:val="Platte tekst Char"/>
    <w:basedOn w:val="Standaardalinea-lettertype"/>
    <w:link w:val="Plattetekst"/>
    <w:uiPriority w:val="99"/>
    <w:semiHidden/>
    <w:rsid w:val="00044C5A"/>
    <w:rPr>
      <w:rFonts w:ascii="Arial" w:eastAsiaTheme="minorEastAsia" w:hAnsi="Arial"/>
    </w:rPr>
  </w:style>
  <w:style w:type="paragraph" w:styleId="Platteteksteersteinspringing">
    <w:name w:val="Body Text First Indent"/>
    <w:basedOn w:val="Plattetekst"/>
    <w:link w:val="PlatteteksteersteinspringingChar"/>
    <w:uiPriority w:val="99"/>
    <w:semiHidden/>
    <w:unhideWhenUsed/>
    <w:rsid w:val="00044C5A"/>
    <w:pPr>
      <w:ind w:firstLine="360"/>
    </w:pPr>
  </w:style>
  <w:style w:type="character" w:customStyle="1" w:styleId="PlatteteksteersteinspringingChar">
    <w:name w:val="Platte tekst eerste inspringing Char"/>
    <w:basedOn w:val="PlattetekstChar"/>
    <w:link w:val="Platteteksteersteinspringing"/>
    <w:uiPriority w:val="99"/>
    <w:semiHidden/>
    <w:rsid w:val="00044C5A"/>
    <w:rPr>
      <w:rFonts w:ascii="Arial" w:eastAsiaTheme="minorEastAsia" w:hAnsi="Arial"/>
    </w:rPr>
  </w:style>
  <w:style w:type="character" w:customStyle="1" w:styleId="Kop6Char">
    <w:name w:val="Kop 6 Char"/>
    <w:basedOn w:val="Standaardalinea-lettertype"/>
    <w:link w:val="Kop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ard"/>
    <w:next w:val="Standaard"/>
    <w:link w:val="Titel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Char">
    <w:name w:val="Titel Char"/>
    <w:basedOn w:val="Standaardalinea-lettertype"/>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Ondertitel">
    <w:name w:val="Subtitle"/>
    <w:basedOn w:val="Standaard"/>
    <w:next w:val="Standaard"/>
    <w:link w:val="OndertitelChar"/>
    <w:uiPriority w:val="11"/>
    <w:qFormat/>
    <w:rsid w:val="00366D42"/>
    <w:pPr>
      <w:numPr>
        <w:ilvl w:val="1"/>
      </w:numPr>
    </w:pPr>
    <w:rPr>
      <w:rFonts w:asciiTheme="majorHAnsi" w:eastAsiaTheme="majorEastAsia" w:hAnsiTheme="majorHAnsi" w:cstheme="majorBidi"/>
      <w:b/>
      <w:sz w:val="28"/>
    </w:rPr>
  </w:style>
  <w:style w:type="character" w:customStyle="1" w:styleId="OndertitelChar">
    <w:name w:val="Ondertitel Char"/>
    <w:basedOn w:val="Standaardalinea-lettertype"/>
    <w:link w:val="Ondertitel"/>
    <w:uiPriority w:val="11"/>
    <w:rsid w:val="00366D42"/>
    <w:rPr>
      <w:rFonts w:asciiTheme="majorHAnsi" w:eastAsiaTheme="majorEastAsia" w:hAnsiTheme="majorHAnsi" w:cstheme="majorBidi"/>
      <w:b/>
      <w:sz w:val="28"/>
      <w:szCs w:val="24"/>
      <w:lang w:val="en-GB"/>
    </w:rPr>
  </w:style>
  <w:style w:type="character" w:customStyle="1" w:styleId="Kop7Char">
    <w:name w:val="Kop 7 Char"/>
    <w:basedOn w:val="Standaardalinea-lettertype"/>
    <w:link w:val="Kop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Kop8Char">
    <w:name w:val="Kop 8 Char"/>
    <w:basedOn w:val="Standaardalinea-lettertype"/>
    <w:link w:val="Kop8"/>
    <w:rsid w:val="00AA054E"/>
    <w:rPr>
      <w:rFonts w:asciiTheme="majorHAnsi" w:eastAsiaTheme="majorEastAsia" w:hAnsiTheme="majorHAnsi" w:cstheme="majorBidi"/>
      <w:b/>
      <w:bCs/>
      <w:color w:val="44546A" w:themeColor="text2"/>
      <w:sz w:val="24"/>
      <w:szCs w:val="24"/>
      <w:lang w:val="en-GB" w:eastAsia="en-GB"/>
    </w:rPr>
  </w:style>
  <w:style w:type="character" w:customStyle="1" w:styleId="Kop9Char">
    <w:name w:val="Kop 9 Char"/>
    <w:basedOn w:val="Standaardalinea-lettertype"/>
    <w:link w:val="Kop9"/>
    <w:rsid w:val="00AA054E"/>
    <w:rPr>
      <w:rFonts w:asciiTheme="majorHAnsi" w:eastAsiaTheme="majorEastAsia" w:hAnsiTheme="majorHAnsi" w:cstheme="majorBidi"/>
      <w:b/>
      <w:bCs/>
      <w:i/>
      <w:iCs/>
      <w:color w:val="44546A" w:themeColor="text2"/>
      <w:sz w:val="24"/>
      <w:szCs w:val="24"/>
      <w:lang w:val="en-GB" w:eastAsia="en-GB"/>
    </w:rPr>
  </w:style>
  <w:style w:type="paragraph" w:styleId="Bijschrift">
    <w:name w:val="caption"/>
    <w:basedOn w:val="Standaard"/>
    <w:next w:val="Standaard"/>
    <w:uiPriority w:val="35"/>
    <w:semiHidden/>
    <w:unhideWhenUsed/>
    <w:qFormat/>
    <w:rsid w:val="00AA054E"/>
    <w:rPr>
      <w:b/>
      <w:bCs/>
      <w:smallCaps/>
      <w:color w:val="595959" w:themeColor="text1" w:themeTint="A6"/>
      <w:spacing w:val="6"/>
    </w:rPr>
  </w:style>
  <w:style w:type="character" w:styleId="Zwaar">
    <w:name w:val="Strong"/>
    <w:basedOn w:val="Standaardalinea-lettertype"/>
    <w:uiPriority w:val="22"/>
    <w:qFormat/>
    <w:rsid w:val="00AA054E"/>
    <w:rPr>
      <w:b/>
      <w:bCs/>
    </w:rPr>
  </w:style>
  <w:style w:type="character" w:styleId="Nadruk">
    <w:name w:val="Emphasis"/>
    <w:basedOn w:val="Standaardalinea-lettertype"/>
    <w:uiPriority w:val="20"/>
    <w:qFormat/>
    <w:rsid w:val="00AA054E"/>
    <w:rPr>
      <w:i/>
      <w:iCs/>
    </w:rPr>
  </w:style>
  <w:style w:type="paragraph" w:styleId="Citaat">
    <w:name w:val="Quote"/>
    <w:basedOn w:val="Standaard"/>
    <w:next w:val="Standaard"/>
    <w:link w:val="CitaatChar"/>
    <w:uiPriority w:val="29"/>
    <w:qFormat/>
    <w:rsid w:val="00AA054E"/>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AA054E"/>
    <w:rPr>
      <w:i/>
      <w:iCs/>
      <w:color w:val="404040" w:themeColor="text1" w:themeTint="BF"/>
    </w:rPr>
  </w:style>
  <w:style w:type="paragraph" w:styleId="Duidelijkcitaat">
    <w:name w:val="Intense Quote"/>
    <w:basedOn w:val="Standaard"/>
    <w:next w:val="Standaard"/>
    <w:link w:val="Duidelijkcitaat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AA054E"/>
    <w:rPr>
      <w:rFonts w:asciiTheme="majorHAnsi" w:eastAsiaTheme="majorEastAsia" w:hAnsiTheme="majorHAnsi" w:cstheme="majorBidi"/>
      <w:color w:val="5B9BD5" w:themeColor="accent1"/>
      <w:sz w:val="28"/>
      <w:szCs w:val="28"/>
    </w:rPr>
  </w:style>
  <w:style w:type="character" w:styleId="Subtielebenadrukking">
    <w:name w:val="Subtle Emphasis"/>
    <w:aliases w:val="Text,Emphase pâle,Diskret betoning"/>
    <w:basedOn w:val="Standaardalinea-lettertype"/>
    <w:uiPriority w:val="19"/>
    <w:qFormat/>
    <w:rsid w:val="00287C8F"/>
    <w:rPr>
      <w:rFonts w:asciiTheme="majorHAnsi" w:hAnsiTheme="majorHAnsi"/>
      <w:i/>
      <w:iCs/>
      <w:color w:val="auto"/>
      <w:sz w:val="22"/>
    </w:rPr>
  </w:style>
  <w:style w:type="character" w:styleId="Intensievebenadrukking">
    <w:name w:val="Intense Emphasis"/>
    <w:basedOn w:val="Standaardalinea-lettertype"/>
    <w:uiPriority w:val="21"/>
    <w:qFormat/>
    <w:rsid w:val="00AA054E"/>
    <w:rPr>
      <w:b/>
      <w:bCs/>
      <w:i/>
      <w:iCs/>
    </w:rPr>
  </w:style>
  <w:style w:type="character" w:styleId="Subtieleverwijzing">
    <w:name w:val="Subtle Reference"/>
    <w:basedOn w:val="Standaardalinea-lettertype"/>
    <w:uiPriority w:val="31"/>
    <w:qFormat/>
    <w:rsid w:val="00AA054E"/>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AA054E"/>
    <w:rPr>
      <w:b/>
      <w:bCs/>
      <w:smallCaps/>
      <w:spacing w:val="5"/>
      <w:u w:val="single"/>
    </w:rPr>
  </w:style>
  <w:style w:type="character" w:styleId="Titelvanboek">
    <w:name w:val="Book Title"/>
    <w:basedOn w:val="Standaardalinea-lettertype"/>
    <w:uiPriority w:val="33"/>
    <w:qFormat/>
    <w:rsid w:val="00AA054E"/>
    <w:rPr>
      <w:b/>
      <w:bCs/>
      <w:smallCaps/>
    </w:rPr>
  </w:style>
  <w:style w:type="paragraph" w:styleId="Kopvaninhoudsopgave">
    <w:name w:val="TOC Heading"/>
    <w:basedOn w:val="Kop1"/>
    <w:next w:val="Standaard"/>
    <w:uiPriority w:val="39"/>
    <w:unhideWhenUsed/>
    <w:qFormat/>
    <w:rsid w:val="00AA054E"/>
    <w:pPr>
      <w:outlineLvl w:val="9"/>
    </w:pPr>
  </w:style>
  <w:style w:type="character" w:customStyle="1" w:styleId="GeenafstandChar">
    <w:name w:val="Geen afstand Char"/>
    <w:basedOn w:val="Standaardalinea-lettertype"/>
    <w:link w:val="Geenafstand"/>
    <w:uiPriority w:val="1"/>
    <w:rsid w:val="005B6B12"/>
    <w:rPr>
      <w:lang w:val="en-GB"/>
    </w:rPr>
  </w:style>
  <w:style w:type="paragraph" w:styleId="Koptekst">
    <w:name w:val="header"/>
    <w:basedOn w:val="Standaard"/>
    <w:link w:val="KoptekstChar"/>
    <w:unhideWhenUsed/>
    <w:rsid w:val="007E7997"/>
    <w:pPr>
      <w:tabs>
        <w:tab w:val="center" w:pos="4536"/>
        <w:tab w:val="right" w:pos="9072"/>
      </w:tabs>
    </w:pPr>
  </w:style>
  <w:style w:type="character" w:customStyle="1" w:styleId="KoptekstChar">
    <w:name w:val="Koptekst Char"/>
    <w:basedOn w:val="Standaardalinea-lettertype"/>
    <w:link w:val="Koptekst"/>
    <w:uiPriority w:val="99"/>
    <w:rsid w:val="007E7997"/>
    <w:rPr>
      <w:sz w:val="22"/>
    </w:rPr>
  </w:style>
  <w:style w:type="paragraph" w:styleId="Voettekst">
    <w:name w:val="footer"/>
    <w:basedOn w:val="Standaard"/>
    <w:link w:val="VoettekstChar"/>
    <w:uiPriority w:val="99"/>
    <w:unhideWhenUsed/>
    <w:rsid w:val="007E7997"/>
    <w:pPr>
      <w:tabs>
        <w:tab w:val="center" w:pos="4536"/>
        <w:tab w:val="right" w:pos="9072"/>
      </w:tabs>
    </w:pPr>
  </w:style>
  <w:style w:type="character" w:customStyle="1" w:styleId="VoettekstChar">
    <w:name w:val="Voettekst Char"/>
    <w:basedOn w:val="Standaardalinea-lettertype"/>
    <w:link w:val="Voettekst"/>
    <w:uiPriority w:val="99"/>
    <w:rsid w:val="007E7997"/>
    <w:rPr>
      <w:sz w:val="22"/>
    </w:rPr>
  </w:style>
  <w:style w:type="paragraph" w:customStyle="1" w:styleId="00aPagenumber">
    <w:name w:val="00a_Page number"/>
    <w:basedOn w:val="Standaard"/>
    <w:rsid w:val="007E7997"/>
    <w:pPr>
      <w:spacing w:line="280" w:lineRule="atLeast"/>
      <w:jc w:val="right"/>
    </w:pPr>
    <w:rPr>
      <w:rFonts w:ascii="Georgia" w:hAnsi="Georgia"/>
      <w:color w:val="000000"/>
      <w:lang w:eastAsia="de-DE"/>
    </w:rPr>
  </w:style>
  <w:style w:type="paragraph" w:customStyle="1" w:styleId="02Date">
    <w:name w:val="02_Date"/>
    <w:basedOn w:val="Standaard"/>
    <w:rsid w:val="00636E02"/>
    <w:pPr>
      <w:spacing w:line="220" w:lineRule="exact"/>
    </w:pPr>
    <w:rPr>
      <w:rFonts w:ascii="Georgia" w:hAnsi="Georgia"/>
      <w:sz w:val="17"/>
      <w:lang w:eastAsia="de-DE"/>
    </w:rPr>
  </w:style>
  <w:style w:type="paragraph" w:styleId="Inhopg1">
    <w:name w:val="toc 1"/>
    <w:basedOn w:val="Standaard"/>
    <w:next w:val="Standaard"/>
    <w:autoRedefine/>
    <w:uiPriority w:val="39"/>
    <w:unhideWhenUsed/>
    <w:rsid w:val="00B81A44"/>
    <w:pPr>
      <w:tabs>
        <w:tab w:val="left" w:pos="440"/>
        <w:tab w:val="right" w:leader="dot" w:pos="9062"/>
      </w:tabs>
      <w:spacing w:after="100"/>
    </w:pPr>
  </w:style>
  <w:style w:type="paragraph" w:styleId="Inhopg2">
    <w:name w:val="toc 2"/>
    <w:basedOn w:val="Standaard"/>
    <w:next w:val="Standaard"/>
    <w:autoRedefine/>
    <w:uiPriority w:val="39"/>
    <w:unhideWhenUsed/>
    <w:rsid w:val="00BC422A"/>
    <w:pPr>
      <w:spacing w:after="100"/>
      <w:ind w:left="220"/>
    </w:pPr>
  </w:style>
  <w:style w:type="paragraph" w:styleId="Inhopg3">
    <w:name w:val="toc 3"/>
    <w:basedOn w:val="Standaard"/>
    <w:next w:val="Standaard"/>
    <w:autoRedefine/>
    <w:uiPriority w:val="39"/>
    <w:unhideWhenUsed/>
    <w:rsid w:val="00BC422A"/>
    <w:pPr>
      <w:spacing w:after="100"/>
      <w:ind w:left="440"/>
    </w:pPr>
  </w:style>
  <w:style w:type="character" w:styleId="Hyperlink">
    <w:name w:val="Hyperlink"/>
    <w:basedOn w:val="Standaardalinea-lettertype"/>
    <w:uiPriority w:val="99"/>
    <w:unhideWhenUsed/>
    <w:rsid w:val="00BC422A"/>
    <w:rPr>
      <w:color w:val="0563C1" w:themeColor="hyperlink"/>
      <w:u w:val="single"/>
    </w:rPr>
  </w:style>
  <w:style w:type="paragraph" w:customStyle="1" w:styleId="Questionstyle">
    <w:name w:val="Question style"/>
    <w:basedOn w:val="Standaard"/>
    <w:next w:val="Standa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Standaardalinea-lettertype"/>
    <w:link w:val="Questionstyle"/>
    <w:rsid w:val="00F77851"/>
    <w:rPr>
      <w:rFonts w:eastAsia="Times New Roman" w:cstheme="minorHAnsi"/>
      <w:sz w:val="22"/>
      <w:szCs w:val="22"/>
      <w:lang w:val="en-GB" w:eastAsia="en-GB"/>
    </w:rPr>
  </w:style>
  <w:style w:type="paragraph" w:customStyle="1" w:styleId="Listing2">
    <w:name w:val="Listing2"/>
    <w:basedOn w:val="Standaard"/>
    <w:link w:val="Listing2Char"/>
    <w:autoRedefine/>
    <w:rsid w:val="00DF3785"/>
  </w:style>
  <w:style w:type="character" w:customStyle="1" w:styleId="Listing2Char">
    <w:name w:val="Listing2 Char"/>
    <w:basedOn w:val="Standaardalinea-lettertype"/>
    <w:link w:val="Listing2"/>
    <w:rsid w:val="00DF3785"/>
    <w:rPr>
      <w:lang w:val="en-GB"/>
    </w:rPr>
  </w:style>
  <w:style w:type="table" w:styleId="Tabelraster">
    <w:name w:val="Table Grid"/>
    <w:basedOn w:val="Standaardtabe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B50534"/>
  </w:style>
  <w:style w:type="character" w:customStyle="1" w:styleId="EindnoottekstChar">
    <w:name w:val="Eindnoottekst Char"/>
    <w:basedOn w:val="Standaardalinea-lettertype"/>
    <w:link w:val="Eindnoottekst"/>
    <w:uiPriority w:val="99"/>
    <w:semiHidden/>
    <w:rsid w:val="00B50534"/>
    <w:rPr>
      <w:lang w:val="en-GB"/>
    </w:rPr>
  </w:style>
  <w:style w:type="character" w:styleId="Eindnootmarkering">
    <w:name w:val="endnote reference"/>
    <w:basedOn w:val="Standaardalinea-lettertype"/>
    <w:uiPriority w:val="99"/>
    <w:semiHidden/>
    <w:unhideWhenUsed/>
    <w:rsid w:val="00B50534"/>
    <w:rPr>
      <w:vertAlign w:val="superscript"/>
    </w:rPr>
  </w:style>
  <w:style w:type="paragraph" w:styleId="Voetnoottekst">
    <w:name w:val="footnote text"/>
    <w:basedOn w:val="Standaard"/>
    <w:link w:val="VoetnoottekstChar"/>
    <w:autoRedefine/>
    <w:uiPriority w:val="99"/>
    <w:semiHidden/>
    <w:unhideWhenUsed/>
    <w:qFormat/>
    <w:rsid w:val="006F53E8"/>
    <w:rPr>
      <w:sz w:val="16"/>
    </w:rPr>
  </w:style>
  <w:style w:type="character" w:customStyle="1" w:styleId="VoetnoottekstChar">
    <w:name w:val="Voetnoottekst Char"/>
    <w:basedOn w:val="Standaardalinea-lettertype"/>
    <w:link w:val="Voetnoottekst"/>
    <w:uiPriority w:val="99"/>
    <w:semiHidden/>
    <w:rsid w:val="006F53E8"/>
    <w:rPr>
      <w:sz w:val="16"/>
      <w:lang w:val="en-GB"/>
    </w:rPr>
  </w:style>
  <w:style w:type="character" w:styleId="Voetnootmarkering">
    <w:name w:val="footnote reference"/>
    <w:aliases w:val="SUPERS,Footnote reference number,Footnote symbol,note TESI,-E Fußnotenzeichen,number,BVI fnr,Footnote Reference Superscript,(Footnote Reference),EN Footnote Reference,Voetnootverwijzing,Times 10 Point,Exposant 3 Poi,16 Point, BVI fnr"/>
    <w:basedOn w:val="Standaardalinea-lettertype"/>
    <w:uiPriority w:val="99"/>
    <w:unhideWhenUsed/>
    <w:qFormat/>
    <w:rsid w:val="00A91D91"/>
    <w:rPr>
      <w:rFonts w:asciiTheme="majorHAnsi" w:hAnsiTheme="majorHAnsi"/>
      <w:sz w:val="16"/>
      <w:vertAlign w:val="superscript"/>
    </w:rPr>
  </w:style>
  <w:style w:type="paragraph" w:customStyle="1" w:styleId="Footnote">
    <w:name w:val="Footnote"/>
    <w:basedOn w:val="Voetnoottekst"/>
    <w:link w:val="FootnoteChar"/>
    <w:rsid w:val="00B50534"/>
    <w:rPr>
      <w:lang w:val="nl-BE"/>
    </w:rPr>
  </w:style>
  <w:style w:type="character" w:customStyle="1" w:styleId="FootnoteChar">
    <w:name w:val="Footnote Char"/>
    <w:basedOn w:val="VoetnoottekstChar"/>
    <w:link w:val="Footnote"/>
    <w:rsid w:val="00B50534"/>
    <w:rPr>
      <w:sz w:val="16"/>
      <w:lang w:val="en-GB"/>
    </w:rPr>
  </w:style>
  <w:style w:type="table" w:customStyle="1" w:styleId="GridTable4-Accent11">
    <w:name w:val="Grid Table 4 - Accent 11"/>
    <w:basedOn w:val="Standaardtabe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ard"/>
    <w:rsid w:val="00287C8F"/>
    <w:pPr>
      <w:numPr>
        <w:numId w:val="5"/>
      </w:numPr>
      <w:tabs>
        <w:tab w:val="clear" w:pos="284"/>
        <w:tab w:val="num" w:pos="567"/>
      </w:tabs>
      <w:ind w:left="567" w:hanging="454"/>
    </w:pPr>
    <w:rPr>
      <w:rFonts w:ascii="Georgia" w:hAnsi="Georgia"/>
      <w:sz w:val="20"/>
      <w:lang w:eastAsia="de-DE"/>
    </w:rPr>
  </w:style>
  <w:style w:type="paragraph" w:styleId="Ballontekst">
    <w:name w:val="Balloon Text"/>
    <w:basedOn w:val="Standaard"/>
    <w:link w:val="BallontekstChar"/>
    <w:uiPriority w:val="99"/>
    <w:semiHidden/>
    <w:unhideWhenUsed/>
    <w:rsid w:val="003C167E"/>
    <w:rPr>
      <w:rFonts w:ascii="Tahoma" w:hAnsi="Tahoma" w:cs="Tahoma"/>
      <w:sz w:val="16"/>
      <w:szCs w:val="16"/>
    </w:rPr>
  </w:style>
  <w:style w:type="character" w:customStyle="1" w:styleId="BallontekstChar">
    <w:name w:val="Ballontekst Char"/>
    <w:basedOn w:val="Standaardalinea-lettertype"/>
    <w:link w:val="Ballontekst"/>
    <w:uiPriority w:val="99"/>
    <w:semiHidden/>
    <w:rsid w:val="003C167E"/>
    <w:rPr>
      <w:rFonts w:ascii="Tahoma" w:hAnsi="Tahoma" w:cs="Tahoma"/>
      <w:sz w:val="16"/>
      <w:szCs w:val="16"/>
      <w:lang w:val="en-GB"/>
    </w:rPr>
  </w:style>
  <w:style w:type="character" w:styleId="Verwijzingopmerking">
    <w:name w:val="annotation reference"/>
    <w:basedOn w:val="Standaardalinea-lettertype"/>
    <w:uiPriority w:val="99"/>
    <w:semiHidden/>
    <w:unhideWhenUsed/>
    <w:rsid w:val="00FA2400"/>
    <w:rPr>
      <w:sz w:val="16"/>
      <w:szCs w:val="16"/>
    </w:rPr>
  </w:style>
  <w:style w:type="paragraph" w:styleId="Tekstopmerking">
    <w:name w:val="annotation text"/>
    <w:basedOn w:val="Standaard"/>
    <w:link w:val="TekstopmerkingChar"/>
    <w:uiPriority w:val="99"/>
    <w:unhideWhenUsed/>
    <w:rsid w:val="00FA2400"/>
    <w:rPr>
      <w:sz w:val="20"/>
    </w:rPr>
  </w:style>
  <w:style w:type="character" w:customStyle="1" w:styleId="TekstopmerkingChar">
    <w:name w:val="Tekst opmerking Char"/>
    <w:basedOn w:val="Standaardalinea-lettertype"/>
    <w:link w:val="Tekstopmerking"/>
    <w:uiPriority w:val="99"/>
    <w:rsid w:val="00FA2400"/>
    <w:rPr>
      <w:lang w:val="en-GB"/>
    </w:rPr>
  </w:style>
  <w:style w:type="paragraph" w:styleId="Onderwerpvanopmerking">
    <w:name w:val="annotation subject"/>
    <w:basedOn w:val="Tekstopmerking"/>
    <w:next w:val="Tekstopmerking"/>
    <w:link w:val="OnderwerpvanopmerkingChar"/>
    <w:uiPriority w:val="99"/>
    <w:semiHidden/>
    <w:unhideWhenUsed/>
    <w:rsid w:val="00FA2400"/>
    <w:rPr>
      <w:b/>
      <w:bCs/>
    </w:rPr>
  </w:style>
  <w:style w:type="character" w:customStyle="1" w:styleId="OnderwerpvanopmerkingChar">
    <w:name w:val="Onderwerp van opmerking Char"/>
    <w:basedOn w:val="TekstopmerkingChar"/>
    <w:link w:val="Onderwerpvanopmerking"/>
    <w:uiPriority w:val="99"/>
    <w:semiHidden/>
    <w:rsid w:val="00FA2400"/>
    <w:rPr>
      <w:b/>
      <w:bCs/>
      <w:lang w:val="en-GB"/>
    </w:rPr>
  </w:style>
  <w:style w:type="paragraph" w:styleId="Revisi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GevolgdeHyperlink">
    <w:name w:val="FollowedHyperlink"/>
    <w:basedOn w:val="Standaardalinea-lettertype"/>
    <w:uiPriority w:val="99"/>
    <w:semiHidden/>
    <w:unhideWhenUsed/>
    <w:rsid w:val="007B354B"/>
    <w:rPr>
      <w:color w:val="954F72" w:themeColor="followedHyperlink"/>
      <w:u w:val="single"/>
    </w:rPr>
  </w:style>
  <w:style w:type="paragraph" w:styleId="Normaalweb">
    <w:name w:val="Normal (Web)"/>
    <w:basedOn w:val="Standaard"/>
    <w:uiPriority w:val="99"/>
    <w:semiHidden/>
    <w:unhideWhenUsed/>
    <w:rsid w:val="00B424F5"/>
    <w:pPr>
      <w:spacing w:before="100" w:beforeAutospacing="1" w:after="100" w:afterAutospacing="1"/>
    </w:pPr>
  </w:style>
  <w:style w:type="character" w:customStyle="1" w:styleId="outputecliaff">
    <w:name w:val="outputecliaff"/>
    <w:basedOn w:val="Standaardalinea-lettertype"/>
    <w:rsid w:val="00595F08"/>
  </w:style>
  <w:style w:type="paragraph" w:customStyle="1" w:styleId="05HeadlinenoIndex">
    <w:name w:val="05_Headline no Index"/>
    <w:basedOn w:val="Standaard"/>
    <w:rsid w:val="005C7E1F"/>
    <w:pPr>
      <w:spacing w:after="250" w:line="300" w:lineRule="exact"/>
      <w:jc w:val="both"/>
    </w:pPr>
    <w:rPr>
      <w:rFonts w:ascii="Georgia" w:hAnsi="Georgia"/>
      <w:b/>
      <w:lang w:eastAsia="de-DE"/>
    </w:rPr>
  </w:style>
  <w:style w:type="paragraph" w:customStyle="1" w:styleId="04BodyText">
    <w:name w:val="04_Body Text"/>
    <w:basedOn w:val="Standa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Standaardtabel"/>
    <w:next w:val="Tabel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ardtabel"/>
    <w:next w:val="Tabel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Paragraphe EI Char,Paragraphe de liste1 Char,EC Char,Paragraphe de liste Char,Normal Nivel 1 Char,List Paragraph Main Char,List first level Char,List Paragraph_Sections Char"/>
    <w:basedOn w:val="Standaardalinea-lettertype"/>
    <w:link w:val="Lijstalinea"/>
    <w:uiPriority w:val="34"/>
    <w:rsid w:val="00695AF2"/>
    <w:rPr>
      <w:rFonts w:eastAsiaTheme="majorEastAsia" w:cstheme="minorHAnsi"/>
      <w:sz w:val="22"/>
      <w:szCs w:val="22"/>
      <w:lang w:val="en-GB" w:eastAsia="en-GB"/>
    </w:rPr>
  </w:style>
  <w:style w:type="table" w:customStyle="1" w:styleId="TableGrid3">
    <w:name w:val="Table Grid3"/>
    <w:basedOn w:val="Standaardtabe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ardtabel"/>
    <w:next w:val="Tabel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0386691">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221605781">
      <w:bodyDiv w:val="1"/>
      <w:marLeft w:val="0"/>
      <w:marRight w:val="0"/>
      <w:marTop w:val="0"/>
      <w:marBottom w:val="0"/>
      <w:divBdr>
        <w:top w:val="none" w:sz="0" w:space="0" w:color="auto"/>
        <w:left w:val="none" w:sz="0" w:space="0" w:color="auto"/>
        <w:bottom w:val="none" w:sz="0" w:space="0" w:color="auto"/>
        <w:right w:val="none" w:sz="0" w:space="0" w:color="auto"/>
      </w:divBdr>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353456197">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56074728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92741167">
      <w:bodyDiv w:val="1"/>
      <w:marLeft w:val="0"/>
      <w:marRight w:val="0"/>
      <w:marTop w:val="0"/>
      <w:marBottom w:val="0"/>
      <w:divBdr>
        <w:top w:val="none" w:sz="0" w:space="0" w:color="auto"/>
        <w:left w:val="none" w:sz="0" w:space="0" w:color="auto"/>
        <w:bottom w:val="none" w:sz="0" w:space="0" w:color="auto"/>
        <w:right w:val="none" w:sz="0" w:space="0" w:color="auto"/>
      </w:divBdr>
    </w:div>
    <w:div w:id="922446375">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74303168">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197546361">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1057028">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43050882">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62263933">
      <w:bodyDiv w:val="1"/>
      <w:marLeft w:val="0"/>
      <w:marRight w:val="0"/>
      <w:marTop w:val="0"/>
      <w:marBottom w:val="0"/>
      <w:divBdr>
        <w:top w:val="none" w:sz="0" w:space="0" w:color="auto"/>
        <w:left w:val="none" w:sz="0" w:space="0" w:color="auto"/>
        <w:bottom w:val="none" w:sz="0" w:space="0" w:color="auto"/>
        <w:right w:val="none" w:sz="0" w:space="0" w:color="auto"/>
      </w:divBdr>
    </w:div>
    <w:div w:id="1904097106">
      <w:bodyDiv w:val="1"/>
      <w:marLeft w:val="0"/>
      <w:marRight w:val="0"/>
      <w:marTop w:val="0"/>
      <w:marBottom w:val="0"/>
      <w:divBdr>
        <w:top w:val="none" w:sz="0" w:space="0" w:color="auto"/>
        <w:left w:val="none" w:sz="0" w:space="0" w:color="auto"/>
        <w:bottom w:val="none" w:sz="0" w:space="0" w:color="auto"/>
        <w:right w:val="none" w:sz="0" w:space="0" w:color="auto"/>
      </w:divBdr>
    </w:div>
    <w:div w:id="1979411223">
      <w:bodyDiv w:val="1"/>
      <w:marLeft w:val="0"/>
      <w:marRight w:val="0"/>
      <w:marTop w:val="0"/>
      <w:marBottom w:val="0"/>
      <w:divBdr>
        <w:top w:val="none" w:sz="0" w:space="0" w:color="auto"/>
        <w:left w:val="none" w:sz="0" w:space="0" w:color="auto"/>
        <w:bottom w:val="none" w:sz="0" w:space="0" w:color="auto"/>
        <w:right w:val="none" w:sz="0" w:space="0" w:color="auto"/>
      </w:divBdr>
    </w:div>
    <w:div w:id="2002654703">
      <w:bodyDiv w:val="1"/>
      <w:marLeft w:val="0"/>
      <w:marRight w:val="0"/>
      <w:marTop w:val="0"/>
      <w:marBottom w:val="0"/>
      <w:divBdr>
        <w:top w:val="none" w:sz="0" w:space="0" w:color="auto"/>
        <w:left w:val="none" w:sz="0" w:space="0" w:color="auto"/>
        <w:bottom w:val="none" w:sz="0" w:space="0" w:color="auto"/>
        <w:right w:val="none" w:sz="0" w:space="0" w:color="auto"/>
      </w:divBdr>
    </w:div>
    <w:div w:id="2034451786">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2676488">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 w:id="20890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ESMA70-156-4086</_dlc_DocId>
    <TaxCatchAll xmlns="20fbe147-bbda-4e53-b6b1-7e8bbff3fe19">
      <Value>91</Value>
      <Value>683</Value>
      <Value>25</Value>
      <Value>484</Value>
      <Value>434</Value>
    </TaxCatchAll>
    <_dlc_DocIdUrl xmlns="20fbe147-bbda-4e53-b6b1-7e8bbff3fe19">
      <Url>https://sherpa.esma.europa.eu/sites/MKT/SMK/_layouts/15/DocIdRedir.aspx?ID=ESMA70-156-4086</Url>
      <Description>ESMA70-156-4086</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90(1)(c) MiFID-Algo Trading</TermName>
          <TermId xmlns="http://schemas.microsoft.com/office/infopath/2007/PartnerControls">6bcad127-328d-46d3-a0b4-75f85de48412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9D418-30C7-4386-BAAC-364E6BED65CA}">
  <ds:schemaRefs>
    <ds:schemaRef ds:uri="http://schemas.openxmlformats.org/officeDocument/2006/bibliography"/>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321</TotalTime>
  <Pages>20</Pages>
  <Words>6740</Words>
  <Characters>37073</Characters>
  <Application>Microsoft Office Word</Application>
  <DocSecurity>8</DocSecurity>
  <Lines>308</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43726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Matthijs Pars</cp:lastModifiedBy>
  <cp:revision>18</cp:revision>
  <cp:lastPrinted>2017-07-24T14:47:00Z</cp:lastPrinted>
  <dcterms:created xsi:type="dcterms:W3CDTF">2021-03-02T10:42:00Z</dcterms:created>
  <dcterms:modified xsi:type="dcterms:W3CDTF">2021-03-10T11:44:00Z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84e10c94-b8a8-4ab1-8ca2-14d3437c0e27</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683;#MiFID reports - Article 90(1)(c) MiFID-Algo Trading|6bcad127-328d-46d3-a0b4-75f85de48412</vt:lpwstr>
  </property>
  <property fmtid="{D5CDD505-2E9C-101B-9397-08002B2CF9AE}" pid="18" name="TeamTopic">
    <vt:lpwstr>87;#Other Work|f1a52b52-917d-42ef-9667-945839604bb2</vt:lpwstr>
  </property>
</Properties>
</file>