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Oversk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29D8D21A" w:rsidR="00C85C8B" w:rsidRPr="00C85C8B" w:rsidRDefault="00DC0510" w:rsidP="00C85C8B">
            <w:pPr>
              <w:rPr>
                <w:rFonts w:ascii="Arial" w:hAnsi="Arial" w:cs="Arial"/>
                <w:color w:val="808080"/>
                <w:sz w:val="20"/>
                <w:lang w:eastAsia="de-DE"/>
              </w:rPr>
            </w:pPr>
            <w:r>
              <w:t>ACI - Financial Markets Association</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9755E99" w:rsidR="00C85C8B" w:rsidRPr="00C85C8B" w:rsidRDefault="00113D8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0510">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556D7A0" w:rsidR="00C85C8B" w:rsidRPr="00C85C8B" w:rsidRDefault="00DC051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9A91CA1" w:rsidR="00C85C8B" w:rsidRPr="00C85C8B" w:rsidRDefault="00DC0510"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6609637C" w14:textId="17697834" w:rsidR="00DC0510" w:rsidRDefault="00DC0510" w:rsidP="00DC0510">
      <w:pPr>
        <w:rPr>
          <w:lang w:eastAsia="en-US"/>
        </w:rPr>
      </w:pPr>
      <w:bookmarkStart w:id="1" w:name="_Hlk66452981"/>
      <w:bookmarkStart w:id="2" w:name="_Hlk66453949"/>
      <w:permStart w:id="885457707" w:edGrp="everyone"/>
      <w:r w:rsidRPr="00DC0510">
        <w:rPr>
          <w:lang w:eastAsia="en-US"/>
        </w:rPr>
        <w:t>ACI FMA´s response to ESMA’s consultation paper on the “MiFID II/</w:t>
      </w:r>
      <w:proofErr w:type="spellStart"/>
      <w:r w:rsidRPr="00DC0510">
        <w:rPr>
          <w:lang w:eastAsia="en-US"/>
        </w:rPr>
        <w:t>MiFIR</w:t>
      </w:r>
      <w:proofErr w:type="spellEnd"/>
      <w:r w:rsidRPr="00DC0510">
        <w:rPr>
          <w:lang w:eastAsia="en-US"/>
        </w:rPr>
        <w:t xml:space="preserve"> review report on Algorithmic Trading”</w:t>
      </w:r>
    </w:p>
    <w:p w14:paraId="4435117F" w14:textId="77777777" w:rsidR="00DC0510" w:rsidRPr="00DC0510" w:rsidRDefault="00DC0510" w:rsidP="00DC0510">
      <w:pPr>
        <w:rPr>
          <w:lang w:eastAsia="en-US"/>
        </w:rPr>
      </w:pPr>
    </w:p>
    <w:p w14:paraId="2A4AAFE7" w14:textId="2A61CF29" w:rsidR="00DC0510" w:rsidRPr="00DC0510" w:rsidRDefault="00DC0510" w:rsidP="00DC0510">
      <w:pPr>
        <w:rPr>
          <w:lang w:eastAsia="en-US"/>
        </w:rPr>
      </w:pPr>
      <w:r w:rsidRPr="00DC0510">
        <w:rPr>
          <w:lang w:eastAsia="en-US"/>
        </w:rPr>
        <w:t xml:space="preserve">ACI </w:t>
      </w:r>
      <w:r w:rsidR="00E36CE6">
        <w:t xml:space="preserve">- </w:t>
      </w:r>
      <w:r w:rsidRPr="00DC0510">
        <w:rPr>
          <w:lang w:eastAsia="en-US"/>
        </w:rPr>
        <w:t>Financial Markets Association (ACI FMA) is a leading global trade association representing the</w:t>
      </w:r>
      <w:r>
        <w:t xml:space="preserve"> </w:t>
      </w:r>
      <w:r w:rsidRPr="00DC0510">
        <w:rPr>
          <w:lang w:eastAsia="en-US"/>
        </w:rPr>
        <w:t>interests of the professional wholesale financial markets community. Established in 1955, ACI FMA is focused on enhancing best market practice and supporting Market Participants to adhere to</w:t>
      </w:r>
      <w:r>
        <w:t xml:space="preserve"> </w:t>
      </w:r>
      <w:r w:rsidRPr="00DC0510">
        <w:rPr>
          <w:lang w:eastAsia="en-US"/>
        </w:rPr>
        <w:t xml:space="preserve">principles of ethical conduct. </w:t>
      </w:r>
      <w:hyperlink r:id="rId20" w:history="1">
        <w:r w:rsidRPr="00DC0510">
          <w:rPr>
            <w:lang w:eastAsia="en-US"/>
          </w:rPr>
          <w:t>www.acifma.com</w:t>
        </w:r>
      </w:hyperlink>
    </w:p>
    <w:p w14:paraId="0E4B0344" w14:textId="77777777" w:rsidR="00DC0510" w:rsidRPr="00DC0510" w:rsidRDefault="00DC0510" w:rsidP="00DC0510">
      <w:pPr>
        <w:rPr>
          <w:lang w:eastAsia="en-US"/>
        </w:rPr>
      </w:pPr>
    </w:p>
    <w:p w14:paraId="6EC91314" w14:textId="77777777" w:rsidR="00DC0510" w:rsidRPr="00DC0510" w:rsidRDefault="00DC0510" w:rsidP="00DC0510">
      <w:pPr>
        <w:rPr>
          <w:lang w:eastAsia="en-US"/>
        </w:rPr>
      </w:pPr>
      <w:r w:rsidRPr="00DC0510">
        <w:rPr>
          <w:lang w:eastAsia="en-US"/>
        </w:rPr>
        <w:t>ACI FMA welcomes the opportunity to respond to ESMA’s consultation paper on the “MiFID II/</w:t>
      </w:r>
      <w:proofErr w:type="spellStart"/>
      <w:r w:rsidRPr="00DC0510">
        <w:rPr>
          <w:lang w:eastAsia="en-US"/>
        </w:rPr>
        <w:t>MiFIR</w:t>
      </w:r>
      <w:proofErr w:type="spellEnd"/>
      <w:r w:rsidRPr="00DC0510">
        <w:rPr>
          <w:lang w:eastAsia="en-US"/>
        </w:rPr>
        <w:t xml:space="preserve"> review report on Algorithmic trading”, which we hope ESMA will find thought-provoking, </w:t>
      </w:r>
      <w:proofErr w:type="gramStart"/>
      <w:r w:rsidRPr="00DC0510">
        <w:rPr>
          <w:lang w:eastAsia="en-US"/>
        </w:rPr>
        <w:t>useful</w:t>
      </w:r>
      <w:proofErr w:type="gramEnd"/>
      <w:r w:rsidRPr="00DC0510">
        <w:rPr>
          <w:lang w:eastAsia="en-US"/>
        </w:rPr>
        <w:t xml:space="preserve"> and informative. This response has been produced through the collaboration of the ACI FX Committee and the ACI Regulatory Working Group whose memberships encompass buy-side and sell-side investment firms, trading venues, and software and technology providers. While ACI members are engaged in financial trading or sales environments, in the global wholesale financial markets, representing a variety of asset classes including foreign exchange, interest rate products and other securities, banknotes, precious metals and commodities and derivatives from both a buy and sell-side perspective; </w:t>
      </w:r>
      <w:proofErr w:type="gramStart"/>
      <w:r w:rsidRPr="00DC0510">
        <w:rPr>
          <w:lang w:eastAsia="en-US"/>
        </w:rPr>
        <w:t>the majority of</w:t>
      </w:r>
      <w:proofErr w:type="gramEnd"/>
      <w:r w:rsidRPr="00DC0510">
        <w:rPr>
          <w:lang w:eastAsia="en-US"/>
        </w:rPr>
        <w:t xml:space="preserve"> the members are predominantly engaged in the FX Markets. Therefore, unless otherwise specified, ACI FMA’s responses to this consultation concerning Algorithmic trading, direct market access or high-frequency trading, etc. apply to the FX Markets. Additionally, while we acknowledge the comprehensive nature of the consultation questionnaire and will endeavour to respond accordingly, ACI FMA proposes to respond to the questions, which we believe have the most pertinence for the FX asset class</w:t>
      </w:r>
      <w:proofErr w:type="gramStart"/>
      <w:r w:rsidRPr="00DC0510">
        <w:rPr>
          <w:lang w:eastAsia="en-US"/>
        </w:rPr>
        <w:t>, in particular, FX</w:t>
      </w:r>
      <w:proofErr w:type="gramEnd"/>
      <w:r w:rsidRPr="00DC0510">
        <w:rPr>
          <w:lang w:eastAsia="en-US"/>
        </w:rPr>
        <w:t xml:space="preserve"> Derivatives, which are MiFID II financial instruments, while representing the broad spectrum of our members’ views. </w:t>
      </w:r>
    </w:p>
    <w:p w14:paraId="32EDDC21" w14:textId="77777777" w:rsidR="00DC0510" w:rsidRPr="00DC0510" w:rsidRDefault="00DC0510" w:rsidP="00DC0510">
      <w:pPr>
        <w:rPr>
          <w:lang w:val="en-US" w:eastAsia="en-US"/>
        </w:rPr>
      </w:pPr>
    </w:p>
    <w:p w14:paraId="6A22AD2F" w14:textId="77777777" w:rsidR="00DC0510" w:rsidRPr="00DC0510" w:rsidRDefault="00DC0510" w:rsidP="00DC0510">
      <w:pPr>
        <w:rPr>
          <w:lang w:val="en-US" w:eastAsia="en-US"/>
        </w:rPr>
      </w:pPr>
    </w:p>
    <w:p w14:paraId="4F5AE40D" w14:textId="1764CCAF" w:rsidR="00DC0510" w:rsidRDefault="00DC0510" w:rsidP="00DC0510">
      <w:pPr>
        <w:rPr>
          <w:lang w:eastAsia="en-US"/>
        </w:rPr>
      </w:pPr>
      <w:r w:rsidRPr="00DC0510">
        <w:rPr>
          <w:lang w:eastAsia="en-US"/>
        </w:rPr>
        <w:t>The scope of MiFID II</w:t>
      </w:r>
    </w:p>
    <w:p w14:paraId="110D25AE" w14:textId="77777777" w:rsidR="00DC0510" w:rsidRPr="00DC0510" w:rsidRDefault="00DC0510" w:rsidP="00DC0510">
      <w:pPr>
        <w:rPr>
          <w:lang w:eastAsia="en-US"/>
        </w:rPr>
      </w:pPr>
    </w:p>
    <w:p w14:paraId="6CEBA9DA" w14:textId="77777777" w:rsidR="00DC0510" w:rsidRPr="00DC0510" w:rsidRDefault="00DC0510" w:rsidP="00DC0510">
      <w:pPr>
        <w:rPr>
          <w:lang w:eastAsia="en-US"/>
        </w:rPr>
      </w:pPr>
      <w:r w:rsidRPr="00DC0510">
        <w:rPr>
          <w:lang w:eastAsia="en-US"/>
        </w:rPr>
        <w:t>In responding to this consultation, ACI FMA would like to affirm that the FX Market has a set of global principles specific to the market ecology laid out in the “FX Global Code” since May 2017. The foreign exchange is the largest financial market in the world with a daily volume of $ 6.6 trillion, according to the 2019 Triennial Central Bank Survey of FX and OTC derivatives markets, trading in the United Kingdom accounted for 43.1% of the total, making it by far the most important centre for foreign exchange trading globally.</w:t>
      </w:r>
      <w:r w:rsidRPr="00DC0510" w:rsidDel="00281E53">
        <w:rPr>
          <w:lang w:eastAsia="en-US"/>
        </w:rPr>
        <w:t xml:space="preserve"> </w:t>
      </w:r>
      <w:r w:rsidRPr="00DC0510">
        <w:rPr>
          <w:lang w:eastAsia="en-US"/>
        </w:rPr>
        <w:t xml:space="preserve">Although the “FX Global Code” does not impose legal or regulatory obligations, it does align with the typically OTC and ‘real-economy’ nature of the Market Participants. There is a concern that MiFID II with a strong alignment to the equity and exchange markets </w:t>
      </w:r>
      <w:proofErr w:type="gramStart"/>
      <w:r w:rsidRPr="00DC0510">
        <w:rPr>
          <w:lang w:eastAsia="en-US"/>
        </w:rPr>
        <w:t>actually weakens</w:t>
      </w:r>
      <w:proofErr w:type="gramEnd"/>
      <w:r w:rsidRPr="00DC0510">
        <w:rPr>
          <w:lang w:eastAsia="en-US"/>
        </w:rPr>
        <w:t xml:space="preserve"> the FX Market by setting standards that are typical of other markets. We strongly suggest that any legal or regulatory obligations for a market should be solidly aligned to avoid unintended consequences on a functioning market. Additionally, while the intention of regulating Algorithmic trading may be the risk mitigation to preclude market destabilisation or disruption, ACI FMA confirms that the bi-lateral nature of the FX transaction model does not fit the Algorithmic trading execution definition and </w:t>
      </w:r>
      <w:proofErr w:type="gramStart"/>
      <w:r w:rsidRPr="00DC0510">
        <w:rPr>
          <w:lang w:eastAsia="en-US"/>
        </w:rPr>
        <w:t>doesn’t</w:t>
      </w:r>
      <w:proofErr w:type="gramEnd"/>
      <w:r w:rsidRPr="00DC0510">
        <w:rPr>
          <w:lang w:eastAsia="en-US"/>
        </w:rPr>
        <w:t xml:space="preserve"> currently carry the same systemic risk or disruption potential as equity markets.</w:t>
      </w:r>
    </w:p>
    <w:p w14:paraId="27DFF5F3" w14:textId="77777777" w:rsidR="00DC0510" w:rsidRPr="00DC0510" w:rsidRDefault="00DC0510" w:rsidP="00DC0510"/>
    <w:p w14:paraId="55EB3887" w14:textId="77777777" w:rsidR="00DC0510" w:rsidRPr="00DC0510" w:rsidRDefault="00DC0510" w:rsidP="00DC0510">
      <w:r w:rsidRPr="00DC0510">
        <w:t xml:space="preserve">Furthermore, we would also draw ESMA’s attention to information requests and guidance to Market Participants by other trade organisations (IA) and international FX Committees (BIS) (GFXC) </w:t>
      </w:r>
      <w:proofErr w:type="gramStart"/>
      <w:r w:rsidRPr="00DC0510">
        <w:t>with regard to</w:t>
      </w:r>
      <w:proofErr w:type="gramEnd"/>
      <w:r w:rsidRPr="00DC0510">
        <w:t xml:space="preserve"> features, requirements, systems and controls for Algorithmic trading. The GFXC is currently engaging with all the Central Banks and Market Participants in a review of the 2017 FX Global Code with a particular intention of reviewing and expounding upon guidance on Algorithmic trading systems, </w:t>
      </w:r>
      <w:proofErr w:type="gramStart"/>
      <w:r w:rsidRPr="00DC0510">
        <w:t>controls</w:t>
      </w:r>
      <w:proofErr w:type="gramEnd"/>
      <w:r w:rsidRPr="00DC0510">
        <w:t xml:space="preserve"> and market conventions. The results of the FX Global Code review are intended for publication in Summer 2021. These endeavours are, in our opinion, good measures to further inform Market Participants and to ensure that products </w:t>
      </w:r>
      <w:proofErr w:type="gramStart"/>
      <w:r w:rsidRPr="00DC0510">
        <w:t>e.g.</w:t>
      </w:r>
      <w:proofErr w:type="gramEnd"/>
      <w:r w:rsidRPr="00DC0510">
        <w:t xml:space="preserve"> FX SPOT, not regarded as MiFID II financial instruments, are operated and effected in the FX Algorithmic space with the highest regard for transparency, fairness and good conduct for the benefit of stable markets. ACI FMA is fully supportive of such measures and a number of our members have and are still participating, supporting and informing such committees </w:t>
      </w:r>
      <w:proofErr w:type="gramStart"/>
      <w:r w:rsidRPr="00DC0510">
        <w:t>e.g.</w:t>
      </w:r>
      <w:proofErr w:type="gramEnd"/>
      <w:r w:rsidRPr="00DC0510">
        <w:t xml:space="preserve"> GFXC in the development and the upcoming review of the FX Global Code. Nevertheless, subsequent to previous and recent ESMA consultations (</w:t>
      </w:r>
      <w:proofErr w:type="gramStart"/>
      <w:r w:rsidRPr="00DC0510">
        <w:t>e.g.</w:t>
      </w:r>
      <w:proofErr w:type="gramEnd"/>
      <w:r w:rsidRPr="00DC0510">
        <w:t xml:space="preserve"> November 2019 - MAR refit), there has been significant financial markets ‘speculation’ regarding the potential for the extension of the scope of MiFID II to include products, which are currently included in the definition of a MiFID II Financial Instrument. We would encourage ESMA to consider the consequences on the rules for Algorithmic trading if additional products were in the scope and, the consequences for the markets which are not included today. A widening of the scope of EU </w:t>
      </w:r>
      <w:proofErr w:type="spellStart"/>
      <w:r w:rsidRPr="00DC0510">
        <w:t>regu-lations</w:t>
      </w:r>
      <w:proofErr w:type="spellEnd"/>
      <w:r w:rsidRPr="00DC0510">
        <w:t xml:space="preserve"> has already been suggested in relation to MAR, where it was proposed to include </w:t>
      </w:r>
      <w:proofErr w:type="spellStart"/>
      <w:r w:rsidRPr="00DC0510">
        <w:t>SpotFX</w:t>
      </w:r>
      <w:proofErr w:type="spellEnd"/>
      <w:r w:rsidRPr="00DC0510">
        <w:t xml:space="preserve">.  </w:t>
      </w:r>
    </w:p>
    <w:p w14:paraId="02AF2FF9" w14:textId="406B2EFF" w:rsidR="00C85C8B" w:rsidRPr="00DC0510" w:rsidRDefault="00DC0510" w:rsidP="00DC0510">
      <w:bookmarkStart w:id="3" w:name="_Hlk66455075"/>
      <w:r w:rsidRPr="00DC0510">
        <w:t>Please be fully aware that the “FX Global Code” is the only code that covers the Global FX Markets.</w:t>
      </w:r>
      <w:bookmarkEnd w:id="1"/>
      <w:bookmarkEnd w:id="2"/>
    </w:p>
    <w:bookmarkEnd w:id="3"/>
    <w:permEnd w:id="885457707"/>
    <w:p w14:paraId="15D00E65" w14:textId="223F7E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274C287C" w14:textId="77777777" w:rsidR="00DC0510" w:rsidRPr="00DC0510" w:rsidRDefault="00DC0510" w:rsidP="00DC0510">
      <w:pPr>
        <w:rPr>
          <w:lang w:eastAsia="en-US"/>
        </w:rPr>
      </w:pPr>
      <w:permStart w:id="286478064" w:edGrp="everyone"/>
      <w:r w:rsidRPr="00DC0510">
        <w:t xml:space="preserve">Financial markets have evolved over the past decade as new trading technologies have led to significant changes. Additionally, automation resulting from sophisticated Algorithmic trading has many benefits but also inherent risks. Therefore, it is logical that ESMA via an update or refitting of MiFID II (regarding Algorithmic trading, DEA, HFT) should effectively seek to keep pace with technological developments, aiming to address potential risks resulting from the increased use of technology, including Algorithmic trading, HFT or DEA. Nevertheless, ACI FMA would concur that since Algorithmic trading and HFT are extremely inclusive categories, mixing any proposed applicability of solutions on a </w:t>
      </w:r>
      <w:r w:rsidRPr="00DC0510">
        <w:rPr>
          <w:lang w:eastAsia="en-US"/>
        </w:rPr>
        <w:t xml:space="preserve">cross-asset class basis may generate more issues than resolution. One size does not fit all! ACI FMA would propose a need to differentiate the activity by asset class as different aspects may or may not be applicable in certain markets. Furthermore, </w:t>
      </w:r>
      <w:proofErr w:type="gramStart"/>
      <w:r w:rsidRPr="00DC0510">
        <w:rPr>
          <w:lang w:eastAsia="en-US"/>
        </w:rPr>
        <w:t>with regard to</w:t>
      </w:r>
      <w:proofErr w:type="gramEnd"/>
      <w:r w:rsidRPr="00DC0510">
        <w:rPr>
          <w:lang w:eastAsia="en-US"/>
        </w:rPr>
        <w:t xml:space="preserve"> the delineation/categorization of ‘Algorithmic trading’ and HFT, ACI FMA would advocate a more comprehensive definition of ‘Market making Algos’ and an ‘Execution Algo’ in the FX context. Therefore, we would advocate that there is not enough depth or precision in definition, much less differentiation or treatment of the algorithm used for proprietary trading versus the algorithm used for client execution. While appreciating the Regulators' desire for transparency and market stability, the RFQ process is a bi-lateral arrangement between the client and the financial institution and unless the client is solely reliant on the one institution, any deviation or mispricing does not have a market destabilising impact.</w:t>
      </w:r>
    </w:p>
    <w:p w14:paraId="2FB9EB0C" w14:textId="77777777" w:rsidR="00DC0510" w:rsidRPr="00DC0510" w:rsidRDefault="00DC0510" w:rsidP="00DC0510">
      <w:pPr>
        <w:rPr>
          <w:lang w:eastAsia="en-US"/>
        </w:rPr>
      </w:pPr>
    </w:p>
    <w:p w14:paraId="10E02C8B" w14:textId="0A7B0893" w:rsidR="00F43578" w:rsidRDefault="00DC0510" w:rsidP="00DC0510">
      <w:r w:rsidRPr="00DC0510">
        <w:rPr>
          <w:lang w:eastAsia="en-US"/>
        </w:rPr>
        <w:t xml:space="preserve">Furthermore, in reviewing the consultation questions, ACI FMA would propose as previously mentioned in the opening statement, this </w:t>
      </w:r>
      <w:proofErr w:type="gramStart"/>
      <w:r w:rsidRPr="00DC0510">
        <w:rPr>
          <w:lang w:eastAsia="en-US"/>
        </w:rPr>
        <w:t>question</w:t>
      </w:r>
      <w:proofErr w:type="gramEnd"/>
      <w:r w:rsidRPr="00DC0510">
        <w:rPr>
          <w:lang w:eastAsia="en-US"/>
        </w:rPr>
        <w:t xml:space="preserve"> and the majority of questions in this consultation have a strong connotation of equity and exchange markets and are really not applicable to the FX market instruments, regardless of whether the products are included in the MiFID II definition of a Financial Instrument.</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4DB6BC34" w:rsidR="00F43578" w:rsidRPr="00DC0510" w:rsidRDefault="00DC0510" w:rsidP="00F43578">
      <w:pPr>
        <w:rPr>
          <w:lang w:val="en-US" w:eastAsia="en-US"/>
        </w:rPr>
      </w:pPr>
      <w:bookmarkStart w:id="4" w:name="_Hlk66453724"/>
      <w:permStart w:id="1917137949" w:edGrp="everyone"/>
      <w:r w:rsidRPr="00DC0510">
        <w:rPr>
          <w:lang w:val="en-US" w:eastAsia="en-US"/>
        </w:rPr>
        <w:t xml:space="preserve">While </w:t>
      </w:r>
      <w:r w:rsidRPr="00DC0510">
        <w:t xml:space="preserve">Recital (62) of MiFID II notes that trading technology also gives rise to a number of potential risks such as an increased risk of the trading venue system overload through large order volumes, Algorithmic risk of generated duplicative/erroneous orders, system malfunction leading to disorderly markets, volatility and risk of market abuse behaviours through market overreaction, unlike equity markets, which are mainly trading ‘on the back’ of orders, the FX Market is still primarily trading on a disclosed / </w:t>
      </w:r>
      <w:r w:rsidRPr="00DC0510">
        <w:rPr>
          <w:lang w:val="en-US" w:eastAsia="en-US"/>
        </w:rPr>
        <w:t xml:space="preserve">principal based basis. This transaction model does not fit the Algorithmic trading execution definition and </w:t>
      </w:r>
      <w:proofErr w:type="gramStart"/>
      <w:r w:rsidRPr="00DC0510">
        <w:rPr>
          <w:lang w:val="en-US" w:eastAsia="en-US"/>
        </w:rPr>
        <w:t>doesn’t</w:t>
      </w:r>
      <w:proofErr w:type="gramEnd"/>
      <w:r w:rsidRPr="00DC0510">
        <w:rPr>
          <w:lang w:val="en-US" w:eastAsia="en-US"/>
        </w:rPr>
        <w:t xml:space="preserve"> currently carry the same systemic risk or disruption potential for MiFID FX instruments. Nevertheless, according to a recent study by (BIS) the Bank for International Settlements (30th October 2020), the growing popularity of execution algorithms (EA) is resulting in </w:t>
      </w:r>
      <w:r w:rsidRPr="00DC0510">
        <w:rPr>
          <w:lang w:val="en-US" w:eastAsia="en-US"/>
        </w:rPr>
        <w:lastRenderedPageBreak/>
        <w:t>thinner foreign exchange markets and undermines the ability of the market to absorb shocks but is not affecting adversely liquidity. Access to EAs also contributes to the ongoing changes in market structure, and with increasing scale of use, may give rise to new risks and challenges that warrant close monitoring. Therefore, Market Participants must continue to develop skills and tools and data access to enable appropriate evaluation of the risks and opportunities of this evolving FX Market. A further on-going consideration is the prevalence and risk of cyber-crime.</w:t>
      </w:r>
      <w:bookmarkEnd w:id="4"/>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326583EF" w:rsidR="00F43578" w:rsidRDefault="00DC0510" w:rsidP="00F43578">
      <w:permStart w:id="1761220304" w:edGrp="everyone"/>
      <w:r w:rsidRPr="00DC0510">
        <w:rPr>
          <w:lang w:eastAsia="en-US"/>
        </w:rPr>
        <w:t>ACI FMA proposes that such consideration should only be applied in as far as any potential risks prevalent in the Algorithmic trading environment might arise within an OTC automated trading environment and thereby be mollified through the application of defined risk mitigation obligations.</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65B0887D" w:rsidR="00F43578" w:rsidRDefault="00DC0510" w:rsidP="00F43578">
      <w:pPr>
        <w:rPr>
          <w:lang w:eastAsia="en-US"/>
        </w:rPr>
      </w:pPr>
      <w:bookmarkStart w:id="5" w:name="_Hlk66455465"/>
      <w:permStart w:id="1759576576" w:edGrp="everyone"/>
      <w:r w:rsidRPr="00DC0510">
        <w:rPr>
          <w:lang w:eastAsia="en-US"/>
        </w:rPr>
        <w:t>Please see Q 15 response.</w:t>
      </w:r>
      <w:bookmarkEnd w:id="5"/>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443F6815" w:rsidR="00F43578" w:rsidRDefault="00E60893" w:rsidP="00F43578">
      <w:permStart w:id="471091368" w:edGrp="everyone"/>
      <w:r w:rsidRPr="00E60893">
        <w:t xml:space="preserve">High-frequency trading is defined as an Algorithmic trading technique with specific characteristics, including high message intraday rates which constitute orders, </w:t>
      </w:r>
      <w:proofErr w:type="gramStart"/>
      <w:r w:rsidRPr="00E60893">
        <w:t>quotes</w:t>
      </w:r>
      <w:proofErr w:type="gramEnd"/>
      <w:r w:rsidRPr="00E60893">
        <w:t xml:space="preserve"> or cancellations. Criteria that define high message intraday rates are based on absolute quantitative thresholds that evidence the high frequency related trading activity of firms to competent authorities. In the calculation of high intraday message rates are included exclusively messages submitted for the purpose of dealing on own account and not on behalf of clients and messages for financial instruments for which there is a liquid market which is intertwined with the implementation of high-frequency Algorithmic trading strategies. Pursuant to the current provisions a high message intraday rate is defined as the submission on average of at least 2 messages per second for a single Financial Instrument on a trading venue or at least 4 messages per second with respect to all Financial Instruments. However, the extensive use of high-frequency Algorithmic trading or the ever-increasing speed of execution available to Market Participants might render an essential amendment to the thresholds and increase the number of messages per second currently set. In the context of the FX Markets, one needs to take into consideration that any market making activities in </w:t>
      </w:r>
      <w:proofErr w:type="gramStart"/>
      <w:r w:rsidRPr="00E60893">
        <w:t>FX  Derivatives</w:t>
      </w:r>
      <w:proofErr w:type="gramEnd"/>
      <w:r w:rsidRPr="00E60893">
        <w:t>/MiFID II  Financial instruments will fall into the HFT categorisation and that these ‘systems ‘are/form an extension of the FX Spot activity.</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01B0A71" w:rsidR="00F43578" w:rsidRDefault="00E60893" w:rsidP="00F43578">
      <w:pPr>
        <w:rPr>
          <w:lang w:eastAsia="en-US"/>
        </w:rPr>
      </w:pPr>
      <w:permStart w:id="139352066" w:edGrp="everyone"/>
      <w:r w:rsidRPr="00E60893">
        <w:rPr>
          <w:lang w:eastAsia="en-US"/>
        </w:rPr>
        <w:t>N/A</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1DC33FA0" w:rsidR="00F43578" w:rsidRDefault="00E60893" w:rsidP="00F43578">
      <w:pPr>
        <w:rPr>
          <w:lang w:eastAsia="en-US"/>
        </w:rPr>
      </w:pPr>
      <w:permStart w:id="1646090751" w:edGrp="everyone"/>
      <w:r w:rsidRPr="00E60893">
        <w:rPr>
          <w:lang w:eastAsia="en-US"/>
        </w:rPr>
        <w:t>N/A</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23ECBF27" w:rsidR="00F43578" w:rsidRDefault="00E60893" w:rsidP="00F43578">
      <w:pPr>
        <w:rPr>
          <w:lang w:eastAsia="en-US"/>
        </w:rPr>
      </w:pPr>
      <w:permStart w:id="1735736236" w:edGrp="everyone"/>
      <w:r w:rsidRPr="00E60893">
        <w:rPr>
          <w:lang w:eastAsia="en-US"/>
        </w:rPr>
        <w:t>N/A</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76E4CBCF" w14:textId="6DBACA53" w:rsidR="00E60893" w:rsidRDefault="00E60893" w:rsidP="00E60893">
      <w:permStart w:id="714028646" w:edGrp="everyone"/>
      <w:r w:rsidRPr="00E60893">
        <w:t>In reviewing this question, we would regard it as covering two topics:</w:t>
      </w:r>
    </w:p>
    <w:p w14:paraId="31F0CD69" w14:textId="77777777" w:rsidR="00E60893" w:rsidRPr="00E60893" w:rsidRDefault="00E60893" w:rsidP="00E60893"/>
    <w:p w14:paraId="426BCCDE" w14:textId="78498F45" w:rsidR="00E60893" w:rsidRPr="00E60893" w:rsidRDefault="00E60893" w:rsidP="00E60893">
      <w:pPr>
        <w:rPr>
          <w:lang w:eastAsia="en-US"/>
        </w:rPr>
      </w:pPr>
      <w:r>
        <w:t xml:space="preserve">1) </w:t>
      </w:r>
      <w:r w:rsidRPr="00E60893">
        <w:rPr>
          <w:lang w:eastAsia="en-US"/>
        </w:rPr>
        <w:t>Coverage of non-EU Algorithmic trading / HFT / DEA.</w:t>
      </w:r>
    </w:p>
    <w:p w14:paraId="3C9F467A" w14:textId="2F92D64F" w:rsidR="00E60893" w:rsidRPr="00E60893" w:rsidRDefault="00E60893" w:rsidP="00E60893">
      <w:pPr>
        <w:rPr>
          <w:lang w:eastAsia="en-US"/>
        </w:rPr>
      </w:pPr>
      <w:r>
        <w:t xml:space="preserve">2) </w:t>
      </w:r>
      <w:r w:rsidRPr="00E60893">
        <w:rPr>
          <w:lang w:eastAsia="en-US"/>
        </w:rPr>
        <w:t>Extension to OTC</w:t>
      </w:r>
    </w:p>
    <w:p w14:paraId="455F8A64" w14:textId="77777777" w:rsidR="00E60893" w:rsidRPr="00E60893" w:rsidRDefault="00E60893" w:rsidP="00E60893"/>
    <w:p w14:paraId="7D4CF085" w14:textId="77777777" w:rsidR="00E60893" w:rsidRPr="00E60893" w:rsidRDefault="00E60893" w:rsidP="00E60893">
      <w:r w:rsidRPr="00E60893">
        <w:t xml:space="preserve">ACI FMA would propose that MiFID II has generally provided a sound basis for addressing the potential risks arising from increased speed and sophistication in trading, which are prominent in multilateral trading venues. ESMA proposes amendments to the legal framework that are required to address non-level playing field issues. A harmonized EU regime should apply to EU and non-EU firms that have currently a competitive advantage since EU high frequency trading firms have to be authorized as an investment firm in the EU and are subject to a strict regulatory framework, while non-EU firms are only subject to the applicable </w:t>
      </w:r>
      <w:r w:rsidRPr="00E60893">
        <w:rPr>
          <w:lang w:eastAsia="en-US"/>
        </w:rPr>
        <w:t>national regime.</w:t>
      </w:r>
      <w:r w:rsidRPr="00E60893">
        <w:t xml:space="preserve"> </w:t>
      </w:r>
    </w:p>
    <w:p w14:paraId="0BB4287D" w14:textId="77777777" w:rsidR="00E60893" w:rsidRPr="00E60893" w:rsidRDefault="00E60893" w:rsidP="00E60893"/>
    <w:p w14:paraId="1981F4CA" w14:textId="77777777" w:rsidR="00E60893" w:rsidRPr="00E60893" w:rsidRDefault="00E60893" w:rsidP="00E60893">
      <w:pPr>
        <w:rPr>
          <w:lang w:eastAsia="en-US"/>
        </w:rPr>
      </w:pPr>
      <w:r w:rsidRPr="00E60893">
        <w:rPr>
          <w:lang w:eastAsia="en-US"/>
        </w:rPr>
        <w:t xml:space="preserve">The definition of Algorithmic trading should be refined to differentiate between proprietary Algorithmic trading and bi-lateral customer execution in OTC financial instruments and due to the increasing role played by systematic </w:t>
      </w:r>
      <w:proofErr w:type="spellStart"/>
      <w:r w:rsidRPr="00E60893">
        <w:rPr>
          <w:lang w:eastAsia="en-US"/>
        </w:rPr>
        <w:t>internalisers</w:t>
      </w:r>
      <w:proofErr w:type="spellEnd"/>
      <w:r w:rsidRPr="00E60893">
        <w:rPr>
          <w:lang w:eastAsia="en-US"/>
        </w:rPr>
        <w:t xml:space="preserve"> as execution venues, ESMA’s proposals generally aim at providing a simplified and more efficient framework for SIs, applying selectively some of the key requirements at SI level for OTC Algorithmic trading to </w:t>
      </w:r>
      <w:r w:rsidRPr="00E60893">
        <w:rPr>
          <w:lang w:eastAsia="en-US"/>
        </w:rPr>
        <w:lastRenderedPageBreak/>
        <w:t>minimize the risks arising. However, ACI FMA is of the opinion that SI should not be included under the definition of Algorithmic trading unless the SI is actively market making on a venue. Counterparties trade with SIs, not on them.</w:t>
      </w:r>
    </w:p>
    <w:p w14:paraId="2998B7C2" w14:textId="77777777" w:rsidR="00E60893" w:rsidRPr="00E60893" w:rsidRDefault="00E60893" w:rsidP="00E60893"/>
    <w:p w14:paraId="62CE672A" w14:textId="77777777" w:rsidR="00E60893" w:rsidRPr="00E60893" w:rsidRDefault="00E60893" w:rsidP="00E60893">
      <w:r w:rsidRPr="00E60893">
        <w:t>Therefore, we would not concur with any Level 1 amendments in relation to SIs.</w:t>
      </w:r>
    </w:p>
    <w:p w14:paraId="2358A05C" w14:textId="77777777" w:rsidR="00E60893" w:rsidRPr="00E60893" w:rsidRDefault="00E60893" w:rsidP="00E60893"/>
    <w:p w14:paraId="5EDB2DA4" w14:textId="1A0CA4B1" w:rsidR="00F43578" w:rsidRDefault="00E60893" w:rsidP="00E60893">
      <w:r w:rsidRPr="00E60893">
        <w:t xml:space="preserve">Furthermore, as previously mentioned this question has a strong connotation of equity and exchange markets and thus suggests this question’s scope is not </w:t>
      </w:r>
      <w:proofErr w:type="gramStart"/>
      <w:r w:rsidRPr="00E60893">
        <w:t>really applicable</w:t>
      </w:r>
      <w:proofErr w:type="gramEnd"/>
      <w:r w:rsidRPr="00E60893">
        <w:t xml:space="preserve"> or appropriate to the FX Markets which is global, OTC, predominantly bi-lateral, RFQ oriented and principles driven.</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41172C5C" w:rsidR="00F43578" w:rsidRDefault="00E60893" w:rsidP="00F43578">
      <w:permStart w:id="1286567615" w:edGrp="everyone"/>
      <w:r w:rsidRPr="00E60893">
        <w:t>ACI FMA supports ESMA's proposal to not maintain the authorisation requirements for clients of firms that provide direct electronic access. Investment firms that provide for DEA are already authorised and supervised themselves, and not maintaining this authorisation requirement could increase liquidity in the European markets. Although ACI FMA also supports maintaining the existing regime that requires authorisation for members of trading venues that provide DEA to clients but is not immediately supportive of including a definition of sub-DEA, thus requirements firms further down the chain to apply for authorisation. This could undermine the liquidity of the European markets. Such authorisation requirements would also not be necessary, in ACI FMA’s view, because the provider of DEA is already required to have in place effective systems and controls to ensure a proper assessment and review of the activities of the client using DEA. The focus should be on the supervision of trading on EU trading venues and that the relevant rules are adhered to and enforced, which requires supervision of the entry points to the markets. This could be either direct participation or DEA. That does not require (sub-) users of DEA further down the chain to be authorised.</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3942E2A3" w:rsidR="00F43578" w:rsidRDefault="00E60893" w:rsidP="00F43578">
      <w:pPr>
        <w:rPr>
          <w:lang w:eastAsia="en-US"/>
        </w:rPr>
      </w:pPr>
      <w:permStart w:id="1274354294" w:edGrp="everyone"/>
      <w:r w:rsidRPr="00E60893">
        <w:rPr>
          <w:lang w:eastAsia="en-US"/>
        </w:rPr>
        <w:t>See above Q 10.</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0CEA8AF2" w:rsidR="00F43578" w:rsidRDefault="00E60893" w:rsidP="00F43578">
      <w:permStart w:id="1308445152" w:edGrp="everyone"/>
      <w:r w:rsidRPr="00E60893">
        <w:t>ESMA has proposed developing notification templates within RTS 6 that investment firms would use, for the purpose of Articles 17(2) and 17(5) of MiFID II, to notify the NCAs of their home Member State and the NCAs of the trading venue at which they engage in Algorithmic trading. Therefore, ACI FMA would support the development of a template for notification to NCAs which contributes to greater harmonisation and is efficient for investment firms that need to notify more than one competent authority.</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680D2A9" w:rsidR="00F43578" w:rsidRDefault="00F21CFE" w:rsidP="00F43578">
      <w:permStart w:id="1961237178" w:edGrp="everyone"/>
      <w:r>
        <w:t xml:space="preserve"> See </w:t>
      </w:r>
      <w:r w:rsidR="00C13140">
        <w:t xml:space="preserve">other </w:t>
      </w:r>
      <w:proofErr w:type="gramStart"/>
      <w:r w:rsidR="00C13140">
        <w:t>answers</w:t>
      </w:r>
      <w:proofErr w:type="gramEnd"/>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02174F8" w:rsidR="00F43578" w:rsidRDefault="001A05FA" w:rsidP="00F43578">
      <w:pPr>
        <w:rPr>
          <w:lang w:eastAsia="en-US"/>
        </w:rPr>
      </w:pPr>
      <w:permStart w:id="1436643470" w:edGrp="everyone"/>
      <w:r w:rsidRPr="001A05FA">
        <w:rPr>
          <w:lang w:eastAsia="en-US"/>
        </w:rPr>
        <w:t>No. ACI FMA would be supportive of a more concrete timeline instead of a rather vague definition as 'without undue delay'. Should 'without undue delay' be adopted, ACI FMA would, in this instance, welcome further guidance as to what types of situations are still 'without undue delay' and when such a requirement would be violated.</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529EFEEF" w14:textId="77777777" w:rsidR="001A05FA" w:rsidRPr="001A05FA" w:rsidRDefault="001A05FA" w:rsidP="001A05FA">
      <w:permStart w:id="892417975" w:edGrp="everyone"/>
      <w:r w:rsidRPr="001A05FA">
        <w:t xml:space="preserve">While ESMA does not acknowledge a need to develop any template for the exchange of information between NCAs, it stands ready to make a proposal to facilitate the exchange of information, should there be a need in the future. In any case, the abovementioned template could also serve as a basis for sharing information with other NCAs in the case of cross-border requests for information.  </w:t>
      </w:r>
    </w:p>
    <w:p w14:paraId="41D629B5" w14:textId="4DAAAF9A" w:rsidR="00F43578" w:rsidRDefault="001A05FA" w:rsidP="00F43578">
      <w:r w:rsidRPr="001A05FA">
        <w:t>ACI FMA acknowledges the importance of the exchange of information between NCAs whenever required but proposes that the exact format should be determined by discussion and consensus between ESMA and the NCAs.</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615B30F5" w14:textId="77777777" w:rsidR="001A05FA" w:rsidRPr="001A05FA" w:rsidRDefault="001A05FA" w:rsidP="001A05FA">
      <w:permStart w:id="1585009624" w:edGrp="everyone"/>
      <w:r w:rsidRPr="001A05FA">
        <w:t>ESMA has provided guidance through Q&amp;As on the definition of Algorithms (Article 18 of the Commission Delegated Regulation (EU) 2017/565) clarifying for instance that the use of algorithms that only serve to inform a trader of a particular investment opportunity is not considered as Algorithmic trading, provided that the execution is not algorithmic. Therefore, one type of algorithm, which is excluded, is statistical that detects profitable trading opportunities based on the statistical analysis of historical time series data. The Algorithmic trading definition excludes investment decision algorithms and refers exclusively to the algorithmic execution that is characterized by an extremely high rate and speed of trade order executions, which can pose risks having substantial impact on the orderly functioning of the market. The definition could be further refined and possibly diversify the types of algorithms, accounting for simple Algorithmic trading strategies that have a limited market impact and should be subject to less strict requirements.</w:t>
      </w:r>
    </w:p>
    <w:p w14:paraId="02720425" w14:textId="77777777" w:rsidR="001A05FA" w:rsidRPr="001A05FA" w:rsidRDefault="001A05FA" w:rsidP="001A05FA"/>
    <w:p w14:paraId="4E735CAC" w14:textId="46FF7EAA" w:rsidR="00F43578" w:rsidRDefault="001A05FA" w:rsidP="001A05FA">
      <w:r w:rsidRPr="001A05FA">
        <w:lastRenderedPageBreak/>
        <w:t>ACI FMA would suggest that the Algorithmic trading definition could be less inclusive. In FX there is a clear distinction between ‘algo providers’ and ‘algo user (client)' for auto-execution onto liquidity services. ACI FMA proposes that it may be more sensible to gear the regulation towards the algo technology providers for this type of execution rather than the 'algo users'.  Currently, there is no distinction between ‘algo user or algo providers’ in the regulation. Because of this, the regulation could bring ‘algo users’ into scope when clearly the focus should be on the algo technology providers. Furthermore, the focus/definition of ‘Algorithmic trading’ should encapsulate any component that is programmed with logic to place orders on an external market, including SORs facilitating placement logic (slicing/repegging/holding)</w:t>
      </w:r>
      <w:r>
        <w:t>.</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F6F2DE4" w:rsidR="00F43578" w:rsidRDefault="001A05FA" w:rsidP="00F43578">
      <w:pPr>
        <w:rPr>
          <w:lang w:eastAsia="en-US"/>
        </w:rPr>
      </w:pPr>
      <w:permStart w:id="1815021170" w:edGrp="everyone"/>
      <w:r w:rsidRPr="001A05FA">
        <w:rPr>
          <w:lang w:eastAsia="en-US"/>
        </w:rPr>
        <w:t>RTS6 specifies the organizational requirements for investment firms that engage in Algorithmic trading. The requirements should be different depending on the type of algorithms. Algorithms that detect exclusively trading opportunities or investment ideas provided that the execution is not algorithmic should not be in scope and subject to strict system and risk controls. The same applies to simple Algorithmic trading strategies that could be excluded from the scope of provisions governing Algorithmic trading due to the relatively moderate market impact. The organizational and testing requirements pertinent to Algorithmic trading leading to order execution should be based on the potential impact that those algorithms may have on the overall fair and orderly functioning of the market. ACI FMA proposes that only ‘Algorithmic’ systems’ that place orders on exchange should be in scope.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41A09D4" w14:textId="77777777" w:rsidR="001A05FA" w:rsidRPr="001A05FA" w:rsidRDefault="001A05FA" w:rsidP="001A05FA">
      <w:pPr>
        <w:rPr>
          <w:lang w:eastAsia="en-US"/>
        </w:rPr>
      </w:pPr>
      <w:permStart w:id="80092231" w:edGrp="everyone"/>
      <w:r w:rsidRPr="001A05FA">
        <w:rPr>
          <w:lang w:eastAsia="en-US"/>
        </w:rPr>
        <w:t>With regard to Q 17-19, ACI FMA would reference RTS 7, as well as the FCA rule book referring to the EU Market Abuse Regulation (MAR 7A.3) Requirements for Algorithmic trading (</w:t>
      </w:r>
      <w:hyperlink r:id="rId21" w:tgtFrame="_blank" w:history="1">
        <w:r w:rsidRPr="001A05FA">
          <w:rPr>
            <w:lang w:eastAsia="en-US"/>
          </w:rPr>
          <w:t>https://www.handbook.fca.org.uk/handbook/MAR/7A/3.html</w:t>
        </w:r>
      </w:hyperlink>
      <w:r w:rsidRPr="001A05FA">
        <w:rPr>
          <w:lang w:eastAsia="en-US"/>
        </w:rPr>
        <w:t>) and the BOE/PRA Supervisory statement on Algorithmic trading June 2018, which prescribe the governance, algorithm approval process, testing and deployment, Inventories and documentation, risk management and other systems and controls functions. The BOE/PRA supervisory statement applies to firms that engage in Algorithmic trading and are subject to the rules in the Algorithmic Trading Part of the PRA Rulebook and Commission Delegated Regulation (EU) 2017/589. It also applies to all Algorithmic trading activities of a firm including in respect of unregulated financial instruments such as Spot foreign exchange (FX).</w:t>
      </w:r>
    </w:p>
    <w:p w14:paraId="65F7CC8D" w14:textId="77777777" w:rsidR="001A05FA" w:rsidRPr="001A05FA" w:rsidRDefault="001A05FA" w:rsidP="001A05FA">
      <w:pPr>
        <w:rPr>
          <w:lang w:eastAsia="en-US"/>
        </w:rPr>
      </w:pPr>
    </w:p>
    <w:p w14:paraId="6E6F2273" w14:textId="77777777" w:rsidR="001A05FA" w:rsidRPr="001A05FA" w:rsidRDefault="001A05FA" w:rsidP="001A05FA">
      <w:r w:rsidRPr="001A05FA">
        <w:t xml:space="preserve">ACI FMA would propose that testing environments are used frequently in our experience and are vital prior to implementation into a live environment - the testing environment must mirror the live environment 100 %. They must be used regularly/frequently to ensure the proper functioning of the existing trading environment especially after a change to the trading </w:t>
      </w:r>
      <w:r w:rsidRPr="001A05FA">
        <w:lastRenderedPageBreak/>
        <w:t>environment (</w:t>
      </w:r>
      <w:proofErr w:type="gramStart"/>
      <w:r w:rsidRPr="001A05FA">
        <w:t>e.g.</w:t>
      </w:r>
      <w:proofErr w:type="gramEnd"/>
      <w:r w:rsidRPr="001A05FA">
        <w:t xml:space="preserve"> implementation of a new function /change of an existing one/divestment of an existing one) and must be tailored to the Algorithmic trading environment.</w:t>
      </w:r>
    </w:p>
    <w:p w14:paraId="38897ED4" w14:textId="77777777" w:rsidR="001A05FA" w:rsidRPr="001A05FA" w:rsidRDefault="001A05FA" w:rsidP="001A05FA"/>
    <w:p w14:paraId="39447F88" w14:textId="6F546913" w:rsidR="00F43578" w:rsidRDefault="001A05FA" w:rsidP="00F43578">
      <w:r w:rsidRPr="001A05FA">
        <w:t xml:space="preserve">Testing environments should be used by a dedicated testing team, which performs tests according to the requirements stated. It can be problematic if tests are only performed by developers (developer in test) - </w:t>
      </w:r>
      <w:proofErr w:type="gramStart"/>
      <w:r w:rsidRPr="001A05FA">
        <w:t>i.e.</w:t>
      </w:r>
      <w:proofErr w:type="gramEnd"/>
      <w:r w:rsidRPr="001A05FA">
        <w:t xml:space="preserve"> the same person who writes the code according to the requirements - as they interpret the requirement. Furthermore, as the PRA/BOE prescribes this should be done by a competent team that was not involved in the development (including implementation) of the algorithmic code</w:t>
      </w:r>
      <w:r w:rsidRPr="001A05FA">
        <w:rPr>
          <w:lang w:eastAsia="en-US"/>
        </w:rPr>
        <w:t>.</w:t>
      </w:r>
      <w:r w:rsidRPr="001A05FA">
        <w:t xml:space="preserve">  Good practice would also support that controls regarding frequency of testing should be validated by compliance or a regulatory control team.</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024AEDC" w14:textId="77777777" w:rsidR="001A05FA" w:rsidRPr="001A05FA" w:rsidRDefault="001A05FA" w:rsidP="001A05FA">
      <w:pPr>
        <w:rPr>
          <w:lang w:eastAsia="en-US"/>
        </w:rPr>
      </w:pPr>
      <w:bookmarkStart w:id="6" w:name="_Hlk66456700"/>
      <w:permStart w:id="935476495" w:edGrp="everyone"/>
      <w:r w:rsidRPr="001A05FA">
        <w:rPr>
          <w:lang w:eastAsia="en-US"/>
        </w:rPr>
        <w:t xml:space="preserve">The FCA Handbook, in accordance with </w:t>
      </w:r>
      <w:r w:rsidRPr="001A05FA">
        <w:t>article 48(1),(4) and (6) of </w:t>
      </w:r>
      <w:hyperlink r:id="rId22" w:history="1">
        <w:r w:rsidRPr="001A05FA">
          <w:t>MiFID</w:t>
        </w:r>
      </w:hyperlink>
      <w:r w:rsidRPr="001A05FA">
        <w:t>, </w:t>
      </w:r>
      <w:hyperlink r:id="rId23" w:history="1">
        <w:r w:rsidRPr="001A05FA">
          <w:t>MiFID RTS 7</w:t>
        </w:r>
      </w:hyperlink>
      <w:r w:rsidRPr="001A05FA">
        <w:t>, </w:t>
      </w:r>
      <w:hyperlink r:id="rId24" w:history="1">
        <w:r w:rsidRPr="001A05FA">
          <w:t>MiFID RTS 9</w:t>
        </w:r>
      </w:hyperlink>
      <w:r w:rsidRPr="001A05FA">
        <w:t>, and </w:t>
      </w:r>
      <w:hyperlink r:id="rId25" w:history="1">
        <w:r w:rsidRPr="001A05FA">
          <w:t>MiFID RTS 11</w:t>
        </w:r>
      </w:hyperlink>
      <w:r w:rsidRPr="001A05FA">
        <w:rPr>
          <w:lang w:eastAsia="en-US"/>
        </w:rPr>
        <w:t xml:space="preserve">  prescribes under </w:t>
      </w:r>
      <w:r w:rsidRPr="001A05FA">
        <w:t>MAR 5.3A</w:t>
      </w:r>
      <w:r w:rsidRPr="001A05FA">
        <w:rPr>
          <w:lang w:eastAsia="en-US"/>
        </w:rPr>
        <w:t xml:space="preserve"> 2</w:t>
      </w:r>
      <w:r w:rsidRPr="001A05FA">
        <w:t xml:space="preserve"> Systems and controls for Algorithmic trading. This requires that </w:t>
      </w:r>
      <w:r w:rsidRPr="001A05FA">
        <w:rPr>
          <w:lang w:eastAsia="en-US"/>
        </w:rPr>
        <w:t>a firm’s systems and controls must ensure that </w:t>
      </w:r>
      <w:hyperlink r:id="rId26" w:history="1">
        <w:r w:rsidRPr="001A05FA">
          <w:rPr>
            <w:lang w:eastAsia="en-US"/>
          </w:rPr>
          <w:t>Algorithmic trading</w:t>
        </w:r>
      </w:hyperlink>
      <w:r w:rsidRPr="001A05FA">
        <w:rPr>
          <w:lang w:eastAsia="en-US"/>
        </w:rPr>
        <w:t> systems cannot create or contribute to disorderly trading conditions on a trading venue and that any disorderly trading conditions which do arise from the use of </w:t>
      </w:r>
      <w:hyperlink r:id="rId27" w:history="1">
        <w:r w:rsidRPr="001A05FA">
          <w:rPr>
            <w:lang w:eastAsia="en-US"/>
          </w:rPr>
          <w:t>Algorithmic trading</w:t>
        </w:r>
      </w:hyperlink>
      <w:r w:rsidRPr="001A05FA">
        <w:rPr>
          <w:lang w:eastAsia="en-US"/>
        </w:rPr>
        <w:t xml:space="preserve"> systems are capable of being managed. </w:t>
      </w:r>
    </w:p>
    <w:bookmarkEnd w:id="6"/>
    <w:p w14:paraId="5A550044" w14:textId="77777777" w:rsidR="001A05FA" w:rsidRPr="001A05FA" w:rsidRDefault="001A05FA" w:rsidP="001A05FA">
      <w:pPr>
        <w:rPr>
          <w:lang w:eastAsia="en-US"/>
        </w:rPr>
      </w:pPr>
    </w:p>
    <w:p w14:paraId="49BB4FD9" w14:textId="09F82273" w:rsidR="00F43578" w:rsidRDefault="001A05FA" w:rsidP="001A05FA">
      <w:r w:rsidRPr="001A05FA">
        <w:rPr>
          <w:lang w:eastAsia="en-US"/>
        </w:rPr>
        <w:t xml:space="preserve">ACI FMA would propose that precise definitions of disorderly trading are appropriate as, although there is some correlation between the MAR behavioural risks, which can contribute to disorderly markets, and the risks ‘flagged’ under the FCA FX remediation process, some risks are only applicable to the equity or exchange-traded markets. </w:t>
      </w:r>
      <w:proofErr w:type="gramStart"/>
      <w:r w:rsidRPr="001A05FA">
        <w:rPr>
          <w:lang w:eastAsia="en-US"/>
        </w:rPr>
        <w:t>With regard to</w:t>
      </w:r>
      <w:proofErr w:type="gramEnd"/>
      <w:r w:rsidRPr="001A05FA">
        <w:rPr>
          <w:lang w:eastAsia="en-US"/>
        </w:rPr>
        <w:t xml:space="preserve"> Algorithmic trading and disorderly trading events not necessarily related to Market Abuse, ACI FMA would propose the following risks: System outages, trading venue disconnection or outage, inability to access the system, orders stuck in the system, which cannot be executed or deleted.</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202696E" w:rsidR="00F43578" w:rsidRDefault="001A05FA" w:rsidP="00F43578">
      <w:pPr>
        <w:rPr>
          <w:lang w:eastAsia="en-US"/>
        </w:rPr>
      </w:pPr>
      <w:permStart w:id="91701692" w:edGrp="everyone"/>
      <w:r w:rsidRPr="001A05FA">
        <w:rPr>
          <w:lang w:eastAsia="en-US"/>
        </w:rPr>
        <w:t xml:space="preserve">As mentioned, the Regulators have prescribed systems, check and controls for testing of Algorithmic (trading) systems. However, ACI FMA does believe that Markets Participants should provide ESMA with information/practical examples concerning the checks and testing to be done to facilitate collation and further discussion. Nevertheless, hitherto printed regulation and guidance only mention stress testing/conformance testing /general methodology and testing and behavioural testing. Whereas it must be ensured that after the implementation of an algorithm/algorithms into an existing testing environment, regression testing must be performed as extensively as possible to check whether the existing environment is not affected adversely by the implementation(s). This </w:t>
      </w:r>
      <w:proofErr w:type="gramStart"/>
      <w:r w:rsidRPr="001A05FA">
        <w:rPr>
          <w:lang w:eastAsia="en-US"/>
        </w:rPr>
        <w:t>HAS to</w:t>
      </w:r>
      <w:proofErr w:type="gramEnd"/>
      <w:r w:rsidRPr="001A05FA">
        <w:rPr>
          <w:lang w:eastAsia="en-US"/>
        </w:rPr>
        <w:t xml:space="preserve"> be done in the testing environment that mirrors the live environment 100 % prior to implementation into the </w:t>
      </w:r>
      <w:r w:rsidRPr="001A05FA">
        <w:rPr>
          <w:lang w:eastAsia="en-US"/>
        </w:rPr>
        <w:lastRenderedPageBreak/>
        <w:t xml:space="preserve">live environment. Therefore, ACI FMA would propose that ESMA should provide additional guidance on the expectations concerning the checks and testing to be done, </w:t>
      </w:r>
      <w:proofErr w:type="gramStart"/>
      <w:r w:rsidRPr="001A05FA">
        <w:rPr>
          <w:lang w:eastAsia="en-US"/>
        </w:rPr>
        <w:t>in particular for</w:t>
      </w:r>
      <w:proofErr w:type="gramEnd"/>
      <w:r w:rsidRPr="001A05FA">
        <w:rPr>
          <w:lang w:eastAsia="en-US"/>
        </w:rPr>
        <w:t xml:space="preserve"> testing on disorderly trading conditions. However, as mentioned previously, ’One size does not fit all’ and we would advocate recognition and differentiation of the requirements of OTC, most particularly the FX Markets in this respect.</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4AAA8DB1" w:rsidR="00F43578" w:rsidRDefault="00B23B55" w:rsidP="00F43578">
      <w:pPr>
        <w:rPr>
          <w:lang w:eastAsia="en-US"/>
        </w:rPr>
      </w:pPr>
      <w:permStart w:id="830364215" w:edGrp="everyone"/>
      <w:r w:rsidRPr="00B23B55">
        <w:rPr>
          <w:lang w:eastAsia="en-US"/>
        </w:rPr>
        <w:t>Please refer to Q 19 response. Additionally, ’One size does not fit all’ and we would advocate recognition and differentiation of the requirements of OTC, most particularly the FX Markets in this respect. Furthermore, ACI FMA would not support an over-prescriptive format for self-assessment.</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680BE9A9" w:rsidR="00F43578" w:rsidRDefault="00B23B55" w:rsidP="00F43578">
      <w:pPr>
        <w:rPr>
          <w:lang w:eastAsia="en-US"/>
        </w:rPr>
      </w:pPr>
      <w:permStart w:id="1799384931" w:edGrp="everyone"/>
      <w:r w:rsidRPr="00B23B55">
        <w:rPr>
          <w:lang w:eastAsia="en-US"/>
        </w:rPr>
        <w:t>ACI FMA believes that investment firms should, as part of their compliance with risk mitigation systems and controls perform self–assessments and the relevant NCA should be prepared to request the provision of such self-assessments. However, we would not concur with ESMA prescriptive bi-annual self-assessment requirements; although the BoE/PRA Supervisory statement on Algorithmic trading June 2018 does prescribe under 5.2 that the inventories and documentation referred to in paragraph 5.1 should be reviewed at least annually and updated if necessary and are available to the PRA on request.</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4FA347EF" w:rsidR="00F43578" w:rsidRDefault="00B23B55" w:rsidP="00F43578">
      <w:pPr>
        <w:rPr>
          <w:lang w:eastAsia="en-US"/>
        </w:rPr>
      </w:pPr>
      <w:permStart w:id="818891985" w:edGrp="everyone"/>
      <w:r w:rsidRPr="00B23B55">
        <w:rPr>
          <w:lang w:eastAsia="en-US"/>
        </w:rPr>
        <w:t>ACI FMA would not propose any other targeted legislative amendments to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2EDBDC32" w:rsidR="00F43578" w:rsidRDefault="00B23B55" w:rsidP="00F43578">
      <w:pPr>
        <w:rPr>
          <w:lang w:eastAsia="en-US"/>
        </w:rPr>
      </w:pPr>
      <w:permStart w:id="400963781" w:edGrp="everyone"/>
      <w:r w:rsidRPr="00B23B55">
        <w:rPr>
          <w:lang w:eastAsia="en-US"/>
        </w:rPr>
        <w:t>No. ACI FMA would not concur that a harmonisation and clarification regarding a clear structure for the performance of self-assessment would be useful.</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lastRenderedPageBreak/>
        <w:t>&lt;ESMA_QUESTION_ALGO_24&gt;</w:t>
      </w:r>
    </w:p>
    <w:p w14:paraId="5B4E51FA" w14:textId="44E8D353" w:rsidR="00F43578" w:rsidRDefault="00B23B55" w:rsidP="00F43578">
      <w:pPr>
        <w:rPr>
          <w:lang w:eastAsia="en-US"/>
        </w:rPr>
      </w:pPr>
      <w:permStart w:id="1148655378" w:edGrp="everyone"/>
      <w:r w:rsidRPr="00B23B55">
        <w:rPr>
          <w:lang w:eastAsia="en-US"/>
        </w:rPr>
        <w:t>No. ACI FMA would not agree. We would advocate that submissions of self-assessments should be on a pertinent NCA request basis, as is prescribed, for example in the BoE/PRA Supervisory statement on Algorithmic Trading June 2018, rather than as an additional, burdensome regulatory reporting requirement.</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2A036CDA" w:rsidR="00F43578" w:rsidRDefault="00B23B55" w:rsidP="00F43578">
      <w:pPr>
        <w:rPr>
          <w:lang w:eastAsia="en-US"/>
        </w:rPr>
      </w:pPr>
      <w:permStart w:id="1410487780" w:edGrp="everyone"/>
      <w:r w:rsidRPr="00B23B55">
        <w:rPr>
          <w:lang w:eastAsia="en-US"/>
        </w:rPr>
        <w:t>ACI FMA regards the overlapping requirements between RTS 6 and 7 as beneficial and should not be removed.</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6C34093" w:rsidR="00F43578" w:rsidRDefault="00B23B55" w:rsidP="00F43578">
      <w:pPr>
        <w:rPr>
          <w:lang w:eastAsia="en-US"/>
        </w:rPr>
      </w:pPr>
      <w:permStart w:id="1397362070" w:edGrp="everyone"/>
      <w:r w:rsidRPr="00B23B55">
        <w:rPr>
          <w:lang w:eastAsia="en-US"/>
        </w:rPr>
        <w:t>Please refer to ACI FMA responses to Q 17-19.</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0C9EABD1" w:rsidR="00F43578" w:rsidRDefault="00B23B55" w:rsidP="00F43578">
      <w:pPr>
        <w:rPr>
          <w:lang w:eastAsia="en-US"/>
        </w:rPr>
      </w:pPr>
      <w:permStart w:id="136737856" w:edGrp="everyone"/>
      <w:r w:rsidRPr="00B23B55">
        <w:rPr>
          <w:lang w:eastAsia="en-US"/>
        </w:rPr>
        <w:t>Please refer to ACI FMA responses to Q 17-19.</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F8119C7" w:rsidR="00F43578" w:rsidRDefault="00B23B55" w:rsidP="00F43578">
      <w:pPr>
        <w:rPr>
          <w:lang w:eastAsia="en-US"/>
        </w:rPr>
      </w:pPr>
      <w:permStart w:id="524302610" w:edGrp="everyone"/>
      <w:r w:rsidRPr="00B23B55">
        <w:rPr>
          <w:lang w:eastAsia="en-US"/>
        </w:rPr>
        <w:t>As previously mentioned, this question has a strong connotation of equity and exchange markets and thus suggests this question’s scope be limited to non-FX instruments.</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AA853E5" w:rsidR="00F43578" w:rsidRDefault="00B23B55" w:rsidP="00F43578">
      <w:pPr>
        <w:rPr>
          <w:lang w:eastAsia="en-US"/>
        </w:rPr>
      </w:pPr>
      <w:permStart w:id="2087265348" w:edGrp="everyone"/>
      <w:r w:rsidRPr="00B23B55">
        <w:rPr>
          <w:lang w:eastAsia="en-US"/>
        </w:rPr>
        <w:t>N/A</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lastRenderedPageBreak/>
        <w:t>&lt;ESMA_QUESTION_ALGO_30&gt;</w:t>
      </w:r>
    </w:p>
    <w:p w14:paraId="0A8D86F3" w14:textId="7394556B" w:rsidR="00F43578" w:rsidRDefault="00B23B55" w:rsidP="00F43578">
      <w:pPr>
        <w:rPr>
          <w:lang w:eastAsia="en-US"/>
        </w:rPr>
      </w:pPr>
      <w:permStart w:id="40969141" w:edGrp="everyone"/>
      <w:r w:rsidRPr="00B23B55">
        <w:rPr>
          <w:lang w:eastAsia="en-US"/>
        </w:rPr>
        <w:t>As previously mentioned in the opening statement, this question has a strong connotation of equity and exchange markets and thus suggests this question’s scope be limited to non-FX instruments. However, we would comment that the co-location services and fees structures appear fair and non-discriminatory.</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2288F957" w:rsidR="00F43578" w:rsidRDefault="00B23B55" w:rsidP="00F43578">
      <w:pPr>
        <w:rPr>
          <w:lang w:eastAsia="en-US"/>
        </w:rPr>
      </w:pPr>
      <w:permStart w:id="1697211100" w:edGrp="everyone"/>
      <w:r w:rsidRPr="00B23B55">
        <w:rPr>
          <w:lang w:eastAsia="en-US"/>
        </w:rPr>
        <w:t>ACI FMA regards disclosures under RTS 10 made by the trading venues as sufficient.</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0F8519CC" w:rsidR="00F43578" w:rsidRDefault="00B23B55" w:rsidP="00F43578">
      <w:pPr>
        <w:rPr>
          <w:lang w:eastAsia="en-US"/>
        </w:rPr>
      </w:pPr>
      <w:permStart w:id="1506355568" w:edGrp="everyone"/>
      <w:r w:rsidRPr="00B23B55">
        <w:rPr>
          <w:lang w:eastAsia="en-US"/>
        </w:rPr>
        <w:t>No, ACI FMA would not concur with the proposal to introduce a level 1 amendment to set out RTS for the maximum OTR ratio, calibrated per asset class. This is neither necessary nor appropriate for the FX asset class.</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64D4E686" w:rsidR="00F43578" w:rsidRDefault="00B23B55" w:rsidP="00F43578">
      <w:pPr>
        <w:rPr>
          <w:lang w:eastAsia="en-US"/>
        </w:rPr>
      </w:pPr>
      <w:permStart w:id="1441803238" w:edGrp="everyone"/>
      <w:r w:rsidRPr="00B23B55">
        <w:rPr>
          <w:lang w:eastAsia="en-US"/>
        </w:rPr>
        <w:t>N/A</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50394922" w:rsidR="00F43578" w:rsidRDefault="00B23B55" w:rsidP="00F43578">
      <w:permStart w:id="2142314160" w:edGrp="everyone"/>
      <w:r w:rsidRPr="00B23B55">
        <w:rPr>
          <w:lang w:eastAsia="en-US"/>
        </w:rPr>
        <w:t>ACI FMA would see no value in a more convergent approach, current procedures are adequate.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38EFC577" w14:textId="77777777" w:rsidR="00B23B55" w:rsidRPr="00B23B55" w:rsidRDefault="00B23B55" w:rsidP="00B23B55">
      <w:permStart w:id="1081607916" w:edGrp="everyone"/>
      <w:r w:rsidRPr="00B23B55">
        <w:lastRenderedPageBreak/>
        <w:t xml:space="preserve">MiFID II and </w:t>
      </w:r>
      <w:proofErr w:type="spellStart"/>
      <w:r w:rsidRPr="00B23B55">
        <w:t>MiFIR</w:t>
      </w:r>
      <w:proofErr w:type="spellEnd"/>
      <w:r w:rsidRPr="00B23B55">
        <w:t xml:space="preserve"> ensure fairer, </w:t>
      </w:r>
      <w:proofErr w:type="gramStart"/>
      <w:r w:rsidRPr="00B23B55">
        <w:t>safer</w:t>
      </w:r>
      <w:proofErr w:type="gramEnd"/>
      <w:r w:rsidRPr="00B23B55">
        <w:t xml:space="preserve"> and more efficient markets and facilitate greater transparency for all participants. Algorithmic trading and high-frequency trading having as inherent characteristic the extremely high rate and speed of trade order executions render imperative the imminent notification of market participants of a system disruption or outage that can cause disorderly market conditions and pose a risk to the stability and liquidity of the foreign exchange market. </w:t>
      </w:r>
    </w:p>
    <w:p w14:paraId="61772638" w14:textId="77777777" w:rsidR="00B23B55" w:rsidRPr="00B23B55" w:rsidRDefault="00B23B55" w:rsidP="00B23B55"/>
    <w:p w14:paraId="330210D4" w14:textId="77777777" w:rsidR="00B23B55" w:rsidRPr="00B23B55" w:rsidRDefault="00B23B55" w:rsidP="00B23B55">
      <w:r w:rsidRPr="00B23B55">
        <w:t xml:space="preserve">ACI FMA, having polled our diverse membership, can confirm that customer communication from an FX Fintech/Platform/Venue perspective, particularly regarding incidents and outage, are a priority responsibility and are viewed as good compliance with market practice, </w:t>
      </w:r>
      <w:proofErr w:type="gramStart"/>
      <w:r w:rsidRPr="00B23B55">
        <w:t>systems</w:t>
      </w:r>
      <w:proofErr w:type="gramEnd"/>
      <w:r w:rsidRPr="00B23B55">
        <w:t xml:space="preserve"> and controls as well as a competitive, timely advantage of service. Public notifications are not </w:t>
      </w:r>
      <w:proofErr w:type="gramStart"/>
      <w:r w:rsidRPr="00B23B55">
        <w:t>really applicable</w:t>
      </w:r>
      <w:proofErr w:type="gramEnd"/>
      <w:r w:rsidRPr="00B23B55">
        <w:t xml:space="preserve"> to OTC markets. Therefore, ACI FMA regards the current notification process as sufficient.</w:t>
      </w:r>
    </w:p>
    <w:p w14:paraId="714C70BA" w14:textId="77777777" w:rsidR="00B23B55" w:rsidRPr="00B23B55" w:rsidRDefault="00B23B55" w:rsidP="00B23B55"/>
    <w:p w14:paraId="1C8D7600" w14:textId="77777777" w:rsidR="00B23B55" w:rsidRPr="00B23B55" w:rsidRDefault="00B23B55" w:rsidP="00B23B55">
      <w:r w:rsidRPr="00B23B55">
        <w:t>Furthermore, we would see no value in any Regulator imposing themselves between the platform, venue and Market Participant or customer.  One consideration would be a mechanism, which would facilitate</w:t>
      </w:r>
      <w:r w:rsidRPr="00B23B55">
        <w:rPr>
          <w:lang w:eastAsia="en-US"/>
        </w:rPr>
        <w:t xml:space="preserve"> Market Participants to subscribe to notifications and that those notifications come in a timely fashion.</w:t>
      </w:r>
    </w:p>
    <w:p w14:paraId="79F49D29" w14:textId="77777777" w:rsidR="00B23B55" w:rsidRPr="00B23B55" w:rsidRDefault="00B23B55" w:rsidP="00B23B55"/>
    <w:p w14:paraId="1637D12F" w14:textId="5A573AA5" w:rsidR="00F43578" w:rsidRDefault="00B23B55" w:rsidP="00F43578">
      <w:r w:rsidRPr="00B23B55">
        <w:t>Finally, any imposition should be proportionate and not establish a regulatory moat or barbican for the dominant players.</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5DFE8F4B" w14:textId="77777777" w:rsidR="00B23B55" w:rsidRPr="00B23B55" w:rsidRDefault="00B23B55" w:rsidP="00B23B55">
      <w:permStart w:id="1046965136" w:edGrp="everyone"/>
      <w:r w:rsidRPr="00B23B55">
        <w:t xml:space="preserve">If an outage suspends trading on the main market, it is important to be able to migrate to another trading venue for the use of reference data points to ensure that market liquidity is not affected, since the simultaneous suspension of Algorithmic trading by numerous market participants could result in high volatility and a drastic reduction in market liquidity. Nevertheless, having conferred with both FX Fintech members and active algo trading market participants, ACI FMA agrees with the potential for concern but disagrees with a mandatory, regulatory requirement to use more than one reference data point. </w:t>
      </w:r>
    </w:p>
    <w:p w14:paraId="09CC139B" w14:textId="77777777" w:rsidR="00B23B55" w:rsidRPr="00B23B55" w:rsidRDefault="00B23B55" w:rsidP="00B23B55"/>
    <w:p w14:paraId="2C3B79CD" w14:textId="2FEEA42F" w:rsidR="00F43578" w:rsidRDefault="00B23B55" w:rsidP="00F43578">
      <w:r w:rsidRPr="00B23B55">
        <w:t xml:space="preserve">From an FX Fintech/Platform/Venue perspective:  Innovation is a key driver of daily activities and a competitive advantage.  The engineering trade-off between a rich, robust, fast service delivered to a particular cost point is fundamental to individual companies positioning in a competitive marketplace. ACI FMA does not see any value in a Regulator imposing design constraints on innovation.   Finally, any imposition would need to be proportionate and not establish a regulatory moat or barbican for the dominant players. We would propose that Market Participant ‘Algorithmic traders’ are agile and adaptive </w:t>
      </w:r>
      <w:proofErr w:type="gramStart"/>
      <w:r w:rsidRPr="00B23B55">
        <w:t>with regard to</w:t>
      </w:r>
      <w:proofErr w:type="gramEnd"/>
      <w:r w:rsidRPr="00B23B55">
        <w:t xml:space="preserve"> seeking/accessing liquidity. Further consideration must be the cost/benefit analysis, which seems very limited. Cost: set-up reference points, monitoring/governance.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lastRenderedPageBreak/>
        <w:t>&lt;ESMA_QUESTION_ALGO_37&gt;</w:t>
      </w:r>
    </w:p>
    <w:p w14:paraId="6DEE9E16" w14:textId="08C7FCBA" w:rsidR="00F43578" w:rsidRDefault="002C2C5A" w:rsidP="00F43578">
      <w:permStart w:id="1180910868" w:edGrp="everyone"/>
      <w:r w:rsidRPr="002C2C5A">
        <w:t>As previously mentioned, this question has a strong connotation of equity and exchange markets and thus suggests this question’s scope be limited to non-FX instruments.</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4D12966C" w:rsidR="00F43578" w:rsidRDefault="002C2C5A" w:rsidP="00F43578">
      <w:permStart w:id="2294546" w:edGrp="everyone"/>
      <w:r w:rsidRPr="002C2C5A">
        <w:t>As previously mentioned, this question has a strong connotation of equity and exchange markets and thus suggests this question’s scope be limited to non-FX instruments.</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652B3B94" w:rsidR="00F43578" w:rsidRDefault="002C2C5A" w:rsidP="00F43578">
      <w:permStart w:id="39611011" w:edGrp="everyone"/>
      <w:r w:rsidRPr="002C2C5A">
        <w:t>As previously mentioned, this question has a strong connotation of equity and exchange markets and thus suggests this question’s scope be limited to non-FX instruments.</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43B4F948" w:rsidR="00F43578" w:rsidRDefault="002C2C5A" w:rsidP="00F43578">
      <w:permStart w:id="1982406894" w:edGrp="everyone"/>
      <w:r w:rsidRPr="002C2C5A">
        <w:t>As previously mentioned, this question has a strong connotation of equity and exchange markets and thus suggests this question’s scope be limited to non-FX instruments.</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35F6EF9E" w:rsidR="00F43578" w:rsidRDefault="002C2C5A" w:rsidP="00F43578">
      <w:permStart w:id="788939487" w:edGrp="everyone"/>
      <w:r w:rsidRPr="002C2C5A">
        <w:t>This question has a strong connotation of equity and exchange markets and thus suggests this question’s scope be limited to non-FX instruments.</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304A65D5" w:rsidR="00F43578" w:rsidRDefault="002C2C5A" w:rsidP="00F43578">
      <w:pPr>
        <w:rPr>
          <w:lang w:eastAsia="en-US"/>
        </w:rPr>
      </w:pPr>
      <w:permStart w:id="201994906" w:edGrp="everyone"/>
      <w:r w:rsidRPr="002C2C5A">
        <w:rPr>
          <w:lang w:eastAsia="en-US"/>
        </w:rPr>
        <w:t xml:space="preserve">ACI FMA would propose that more clarity is required </w:t>
      </w:r>
      <w:proofErr w:type="gramStart"/>
      <w:r w:rsidRPr="002C2C5A">
        <w:rPr>
          <w:lang w:eastAsia="en-US"/>
        </w:rPr>
        <w:t>with regard to</w:t>
      </w:r>
      <w:proofErr w:type="gramEnd"/>
      <w:r w:rsidRPr="002C2C5A">
        <w:rPr>
          <w:lang w:eastAsia="en-US"/>
        </w:rPr>
        <w:t xml:space="preserve"> the current MiFID II market</w:t>
      </w:r>
      <w:r>
        <w:t xml:space="preserve"> </w:t>
      </w:r>
      <w:r w:rsidRPr="002C2C5A">
        <w:rPr>
          <w:lang w:eastAsia="en-US"/>
        </w:rPr>
        <w:t xml:space="preserve">making regime. While applicability to the FX asset class is not as relevant, we cannot concur that more predictability </w:t>
      </w:r>
      <w:proofErr w:type="gramStart"/>
      <w:r w:rsidRPr="002C2C5A">
        <w:rPr>
          <w:lang w:eastAsia="en-US"/>
        </w:rPr>
        <w:t>with regard to</w:t>
      </w:r>
      <w:proofErr w:type="gramEnd"/>
      <w:r w:rsidRPr="002C2C5A">
        <w:rPr>
          <w:lang w:eastAsia="en-US"/>
        </w:rPr>
        <w:t xml:space="preserve"> the provision of liquidity has been attained.</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lastRenderedPageBreak/>
        <w:t>&lt;ESMA_QUESTION_ALGO_43&gt;</w:t>
      </w:r>
    </w:p>
    <w:p w14:paraId="6F712A46" w14:textId="6EC26EEE" w:rsidR="00F43578" w:rsidRDefault="002C2C5A" w:rsidP="00F43578">
      <w:permStart w:id="508756802" w:edGrp="everyone"/>
      <w:r w:rsidRPr="002C2C5A">
        <w:rPr>
          <w:lang w:eastAsia="en-US"/>
        </w:rPr>
        <w:t xml:space="preserve">With reference to the response to Q 42, ACI FMA would propose that clarification regarding the assertions of the text before Q42 is necessary </w:t>
      </w:r>
      <w:proofErr w:type="gramStart"/>
      <w:r w:rsidRPr="002C2C5A">
        <w:rPr>
          <w:lang w:eastAsia="en-US"/>
        </w:rPr>
        <w:t>i.e.</w:t>
      </w:r>
      <w:proofErr w:type="gramEnd"/>
      <w:r w:rsidRPr="002C2C5A">
        <w:rPr>
          <w:lang w:eastAsia="en-US"/>
        </w:rPr>
        <w:t xml:space="preserve"> “broaden to all instruments” before further amendments are made. </w:t>
      </w:r>
      <w:r w:rsidRPr="002C2C5A">
        <w:t>This question has a strong connotation of equity and exchange markets and thus suggests this question’s scope be limited to non-FX instruments.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66282CA9" w:rsidR="00F43578" w:rsidRDefault="002C2C5A" w:rsidP="00F43578">
      <w:pPr>
        <w:rPr>
          <w:lang w:eastAsia="en-US"/>
        </w:rPr>
      </w:pPr>
      <w:permStart w:id="1520175509" w:edGrp="everyone"/>
      <w:r w:rsidRPr="002C2C5A">
        <w:rPr>
          <w:lang w:eastAsia="en-US"/>
        </w:rPr>
        <w:t>ACI FMA would concur with ESMA’s statement that ‘discretion is beneficial to allow trading venues to adapt the rules to the nature and scale of their activity.</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24EA6572" w:rsidR="00F43578" w:rsidRDefault="002C2C5A" w:rsidP="00F43578">
      <w:pPr>
        <w:rPr>
          <w:lang w:eastAsia="en-US"/>
        </w:rPr>
      </w:pPr>
      <w:permStart w:id="263281226" w:edGrp="everyone"/>
      <w:r w:rsidRPr="002C2C5A">
        <w:rPr>
          <w:lang w:eastAsia="en-US"/>
        </w:rPr>
        <w:t>N/A for the FX markets.</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502D94E9" w:rsidR="00F43578" w:rsidRDefault="002C2C5A" w:rsidP="00F43578">
      <w:permStart w:id="132985251" w:edGrp="everyone"/>
      <w:r w:rsidRPr="002C2C5A">
        <w:t>This question has a strong connotation of equity and exchange markets and thus suggests this question’s scope be limited to non-FX instruments. </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E68046E" w:rsidR="00F43578" w:rsidRDefault="002C2C5A" w:rsidP="00F43578">
      <w:permStart w:id="1058354567" w:edGrp="everyone"/>
      <w:r w:rsidRPr="002C2C5A">
        <w:t>This question has a strong connotation of equity and exchange markets and thus suggests this question’s scope be limited to non-FX instruments.</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lastRenderedPageBreak/>
        <w:t>&lt;ESMA_QUESTION_ALGO_48&gt;</w:t>
      </w:r>
    </w:p>
    <w:p w14:paraId="0E8D3505" w14:textId="614F025D" w:rsidR="00F43578" w:rsidRDefault="002C2C5A" w:rsidP="00F43578">
      <w:permStart w:id="304307406" w:edGrp="everyone"/>
      <w:r w:rsidRPr="002C2C5A">
        <w:t>This question has a strong connotation of equity and exchange markets and thus suggests this question’s scope be limited to non-FX instruments.</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1568CB20" w:rsidR="00F43578" w:rsidRDefault="00C8289F" w:rsidP="00F43578">
      <w:permStart w:id="542050027" w:edGrp="everyone"/>
      <w:r w:rsidRPr="00C8289F">
        <w:t>This question has a strong connotation of equity and exchange markets and thus suggests this question’s scope be limited to non-FX instruments.</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3CDA297A" w:rsidR="00F43578" w:rsidRDefault="00C8289F" w:rsidP="00F43578">
      <w:permStart w:id="930559500" w:edGrp="everyone"/>
      <w:r w:rsidRPr="00C8289F">
        <w:t>This question has a strong connotation of equity and exchange markets and thus suggests this question’s scope be limited to non-FX instruments.</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3473316F" w:rsidR="00F43578" w:rsidRDefault="00C8289F" w:rsidP="00F43578">
      <w:permStart w:id="1034885085" w:edGrp="everyone"/>
      <w:r w:rsidRPr="00C8289F">
        <w:t>This question has a strong connotation of equity and exchange markets and thus suggests this question’s scope be limited to non-FX instruments.</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17232887" w:rsidR="00F43578" w:rsidRDefault="00C8289F" w:rsidP="00F43578">
      <w:permStart w:id="1102984687" w:edGrp="everyone"/>
      <w:r w:rsidRPr="00C8289F">
        <w:t>This question has a strong connotation of equity and exchange markets and thus suggests this question’s scope be limited to non-FX instruments.</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54B9536F" w:rsidR="00F43578" w:rsidRDefault="00C8289F" w:rsidP="00F43578">
      <w:permStart w:id="503073787" w:edGrp="everyone"/>
      <w:r w:rsidRPr="00C8289F">
        <w:t>This question has a strong connotation of equity and exchange markets and thus suggests this question’s scope be limited to non-FX instruments.</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lastRenderedPageBreak/>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4A641B72" w:rsidR="00F43578" w:rsidRDefault="00C8289F" w:rsidP="00F43578">
      <w:permStart w:id="2073040423" w:edGrp="everyone"/>
      <w:r w:rsidRPr="00C8289F">
        <w:t>This question has a strong connotation of equity and exchange markets and thus suggests this question’s scope be limited to non-FX instruments.</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Sidefod"/>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Sidefod"/>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Sidefod"/>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Sidehoved"/>
    </w:pPr>
  </w:p>
  <w:p w14:paraId="59FA3C9D" w14:textId="77777777" w:rsidR="00E36813" w:rsidRDefault="00E368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Sidehove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Sidehove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716F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Sidehove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Sidehoved"/>
      <w:jc w:val="right"/>
      <w:rPr>
        <w:color w:val="2F5496" w:themeColor="accent5" w:themeShade="BF"/>
        <w:sz w:val="20"/>
      </w:rPr>
    </w:pPr>
  </w:p>
  <w:p w14:paraId="5EAB6EC6" w14:textId="77777777" w:rsidR="00E36813" w:rsidRPr="00B50534" w:rsidRDefault="00E36813" w:rsidP="00B50534">
    <w:pPr>
      <w:pStyle w:val="Sidehove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01CB"/>
    <w:multiLevelType w:val="hybridMultilevel"/>
    <w:tmpl w:val="DAC8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eafsni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13D8A"/>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05F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0031"/>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2C5A"/>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2AE"/>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3B55"/>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140"/>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289F"/>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510"/>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36CE6"/>
    <w:rsid w:val="00E42382"/>
    <w:rsid w:val="00E603DF"/>
    <w:rsid w:val="00E60893"/>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1CF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6D6"/>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B6B12"/>
    <w:pPr>
      <w:spacing w:after="0" w:line="240" w:lineRule="auto"/>
    </w:pPr>
    <w:rPr>
      <w:lang w:val="en-GB"/>
    </w:rPr>
  </w:style>
  <w:style w:type="character" w:customStyle="1" w:styleId="Overskrift4Tegn">
    <w:name w:val="Overskrift 4 Tegn"/>
    <w:basedOn w:val="Standardskrifttypeiafsni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typeiafsni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typeiafsni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typeiafsni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typeiafsnit"/>
    <w:link w:val="Subtitle1"/>
    <w:rsid w:val="003C4EB5"/>
    <w:rPr>
      <w:rFonts w:cs="Times New Roman"/>
      <w:b/>
      <w:sz w:val="20"/>
      <w:szCs w:val="24"/>
      <w:lang w:val="en-GB" w:eastAsia="de-DE"/>
    </w:rPr>
  </w:style>
  <w:style w:type="paragraph" w:customStyle="1" w:styleId="Title1">
    <w:name w:val="Title 1"/>
    <w:basedOn w:val="Listeafsnit"/>
    <w:link w:val="Title1Char"/>
    <w:autoRedefine/>
    <w:rsid w:val="002574D1"/>
    <w:pPr>
      <w:numPr>
        <w:numId w:val="2"/>
      </w:numPr>
    </w:pPr>
    <w:rPr>
      <w:b/>
      <w:sz w:val="28"/>
    </w:rPr>
  </w:style>
  <w:style w:type="character" w:customStyle="1" w:styleId="Title1Char">
    <w:name w:val="Title 1 Char"/>
    <w:basedOn w:val="Standardskrifttypeiafsnit"/>
    <w:link w:val="Title1"/>
    <w:rsid w:val="003C4EB5"/>
    <w:rPr>
      <w:rFonts w:eastAsiaTheme="majorEastAsia" w:cstheme="minorHAnsi"/>
      <w:b/>
      <w:sz w:val="28"/>
      <w:szCs w:val="22"/>
      <w:lang w:val="en-GB" w:eastAsia="en-GB"/>
    </w:rPr>
  </w:style>
  <w:style w:type="paragraph" w:styleId="Listeafsnit">
    <w:name w:val="List Paragraph"/>
    <w:aliases w:val="Paragraphe EI,Paragraphe de liste1,EC,Paragraphe de liste,Normal Nivel 1,List Paragraph Main,List first level,List Paragraph_Sections"/>
    <w:basedOn w:val="Normal"/>
    <w:link w:val="Listeafsni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fsnit"/>
    <w:link w:val="Title3Char"/>
    <w:autoRedefine/>
    <w:rsid w:val="002574D1"/>
    <w:pPr>
      <w:numPr>
        <w:ilvl w:val="3"/>
        <w:numId w:val="2"/>
      </w:numPr>
    </w:pPr>
  </w:style>
  <w:style w:type="character" w:customStyle="1" w:styleId="Title3Char">
    <w:name w:val="Title 3 Char"/>
    <w:basedOn w:val="Standardskrifttypeiafsni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typeiafsni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typeiafsni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typeiafsni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typeiafsni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typeiafsni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typeiafsni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typeiafsnit"/>
    <w:link w:val="Brdtekst"/>
    <w:uiPriority w:val="99"/>
    <w:semiHidden/>
    <w:rsid w:val="00044C5A"/>
    <w:rPr>
      <w:rFonts w:ascii="Arial" w:eastAsiaTheme="minorEastAsia" w:hAnsi="Arial"/>
    </w:rPr>
  </w:style>
  <w:style w:type="paragraph" w:styleId="Brdtekst-frstelinjeindrykning1">
    <w:name w:val="Body Text First Indent"/>
    <w:basedOn w:val="Brdtekst"/>
    <w:link w:val="Brdtekst-frstelinjeindrykning1Tegn"/>
    <w:uiPriority w:val="99"/>
    <w:semiHidden/>
    <w:unhideWhenUsed/>
    <w:rsid w:val="00044C5A"/>
    <w:pPr>
      <w:ind w:firstLine="360"/>
    </w:pPr>
  </w:style>
  <w:style w:type="character" w:customStyle="1" w:styleId="Brdtekst-frstelinjeindrykning1Tegn">
    <w:name w:val="Brødtekst - førstelinjeindrykning 1 Tegn"/>
    <w:basedOn w:val="BrdtekstTegn"/>
    <w:link w:val="Brdtekst-frstelinjeindrykning1"/>
    <w:uiPriority w:val="99"/>
    <w:semiHidden/>
    <w:rsid w:val="00044C5A"/>
    <w:rPr>
      <w:rFonts w:ascii="Arial" w:eastAsiaTheme="minorEastAsia" w:hAnsi="Arial"/>
    </w:rPr>
  </w:style>
  <w:style w:type="character" w:customStyle="1" w:styleId="Overskrift6Tegn">
    <w:name w:val="Overskrift 6 Tegn"/>
    <w:basedOn w:val="Standardskrifttypeiafsni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Normal"/>
    <w:next w:val="Normal"/>
    <w:link w:val="Ti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gn">
    <w:name w:val="Titel Tegn"/>
    <w:basedOn w:val="Standardskrifttypeiafsni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el">
    <w:name w:val="Subtitle"/>
    <w:basedOn w:val="Normal"/>
    <w:next w:val="Normal"/>
    <w:link w:val="UndertitelTegn"/>
    <w:uiPriority w:val="11"/>
    <w:qFormat/>
    <w:rsid w:val="00366D42"/>
    <w:pPr>
      <w:numPr>
        <w:ilvl w:val="1"/>
      </w:numPr>
    </w:pPr>
    <w:rPr>
      <w:rFonts w:asciiTheme="majorHAnsi" w:eastAsiaTheme="majorEastAsia" w:hAnsiTheme="majorHAnsi" w:cstheme="majorBidi"/>
      <w:b/>
      <w:sz w:val="28"/>
    </w:rPr>
  </w:style>
  <w:style w:type="character" w:customStyle="1" w:styleId="UndertitelTegn">
    <w:name w:val="Undertitel Tegn"/>
    <w:basedOn w:val="Standardskrifttypeiafsnit"/>
    <w:link w:val="Underti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typeiafsni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typeiafsni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typeiafsni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ledtekst">
    <w:name w:val="caption"/>
    <w:basedOn w:val="Normal"/>
    <w:next w:val="Normal"/>
    <w:uiPriority w:val="35"/>
    <w:semiHidden/>
    <w:unhideWhenUsed/>
    <w:qFormat/>
    <w:rsid w:val="00AA054E"/>
    <w:rPr>
      <w:b/>
      <w:bCs/>
      <w:smallCaps/>
      <w:color w:val="595959" w:themeColor="text1" w:themeTint="A6"/>
      <w:spacing w:val="6"/>
    </w:rPr>
  </w:style>
  <w:style w:type="character" w:styleId="Strk">
    <w:name w:val="Strong"/>
    <w:basedOn w:val="Standardskrifttypeiafsnit"/>
    <w:uiPriority w:val="22"/>
    <w:qFormat/>
    <w:rsid w:val="00AA054E"/>
    <w:rPr>
      <w:b/>
      <w:bCs/>
    </w:rPr>
  </w:style>
  <w:style w:type="character" w:styleId="Fremhv">
    <w:name w:val="Emphasis"/>
    <w:basedOn w:val="Standardskrifttypeiafsnit"/>
    <w:uiPriority w:val="20"/>
    <w:qFormat/>
    <w:rsid w:val="00AA054E"/>
    <w:rPr>
      <w:i/>
      <w:iCs/>
    </w:rPr>
  </w:style>
  <w:style w:type="paragraph" w:styleId="Citat">
    <w:name w:val="Quote"/>
    <w:basedOn w:val="Normal"/>
    <w:next w:val="Normal"/>
    <w:link w:val="CitatTegn"/>
    <w:uiPriority w:val="29"/>
    <w:qFormat/>
    <w:rsid w:val="00AA054E"/>
    <w:pPr>
      <w:spacing w:before="160"/>
      <w:ind w:left="720" w:right="720"/>
    </w:pPr>
    <w:rPr>
      <w:i/>
      <w:iCs/>
      <w:color w:val="404040" w:themeColor="text1" w:themeTint="BF"/>
    </w:rPr>
  </w:style>
  <w:style w:type="character" w:customStyle="1" w:styleId="CitatTegn">
    <w:name w:val="Citat Tegn"/>
    <w:basedOn w:val="Standardskrifttypeiafsnit"/>
    <w:link w:val="Citat"/>
    <w:uiPriority w:val="29"/>
    <w:rsid w:val="00AA054E"/>
    <w:rPr>
      <w:i/>
      <w:iCs/>
      <w:color w:val="404040" w:themeColor="text1" w:themeTint="BF"/>
    </w:rPr>
  </w:style>
  <w:style w:type="paragraph" w:styleId="Strktcitat">
    <w:name w:val="Intense Quote"/>
    <w:basedOn w:val="Normal"/>
    <w:next w:val="Normal"/>
    <w:link w:val="Strktc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rktcitatTegn">
    <w:name w:val="Stærkt citat Tegn"/>
    <w:basedOn w:val="Standardskrifttypeiafsnit"/>
    <w:link w:val="Strktcitat"/>
    <w:uiPriority w:val="30"/>
    <w:rsid w:val="00AA054E"/>
    <w:rPr>
      <w:rFonts w:asciiTheme="majorHAnsi" w:eastAsiaTheme="majorEastAsia" w:hAnsiTheme="majorHAnsi" w:cstheme="majorBidi"/>
      <w:color w:val="5B9BD5" w:themeColor="accent1"/>
      <w:sz w:val="28"/>
      <w:szCs w:val="28"/>
    </w:rPr>
  </w:style>
  <w:style w:type="character" w:styleId="Svagfremhvning">
    <w:name w:val="Subtle Emphasis"/>
    <w:aliases w:val="Text,Emphase pâle,Diskret betoning"/>
    <w:basedOn w:val="Standardskrifttypeiafsnit"/>
    <w:uiPriority w:val="19"/>
    <w:qFormat/>
    <w:rsid w:val="00287C8F"/>
    <w:rPr>
      <w:rFonts w:asciiTheme="majorHAnsi" w:hAnsiTheme="majorHAnsi"/>
      <w:i/>
      <w:iCs/>
      <w:color w:val="auto"/>
      <w:sz w:val="22"/>
    </w:rPr>
  </w:style>
  <w:style w:type="character" w:styleId="Kraftigfremhvning">
    <w:name w:val="Intense Emphasis"/>
    <w:basedOn w:val="Standardskrifttypeiafsnit"/>
    <w:uiPriority w:val="21"/>
    <w:qFormat/>
    <w:rsid w:val="00AA054E"/>
    <w:rPr>
      <w:b/>
      <w:bCs/>
      <w:i/>
      <w:iCs/>
    </w:rPr>
  </w:style>
  <w:style w:type="character" w:styleId="Svaghenvisning">
    <w:name w:val="Subtle Reference"/>
    <w:basedOn w:val="Standardskrifttypeiafsnit"/>
    <w:uiPriority w:val="31"/>
    <w:qFormat/>
    <w:rsid w:val="00AA054E"/>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A054E"/>
    <w:rPr>
      <w:b/>
      <w:bCs/>
      <w:smallCaps/>
      <w:spacing w:val="5"/>
      <w:u w:val="single"/>
    </w:rPr>
  </w:style>
  <w:style w:type="character" w:styleId="Bogenstitel">
    <w:name w:val="Book Title"/>
    <w:basedOn w:val="Standardskrifttypeiafsnit"/>
    <w:uiPriority w:val="33"/>
    <w:qFormat/>
    <w:rsid w:val="00AA054E"/>
    <w:rPr>
      <w:b/>
      <w:bCs/>
      <w:smallCaps/>
    </w:rPr>
  </w:style>
  <w:style w:type="paragraph" w:styleId="Overskrift">
    <w:name w:val="TOC Heading"/>
    <w:basedOn w:val="Overskrift1"/>
    <w:next w:val="Normal"/>
    <w:uiPriority w:val="39"/>
    <w:unhideWhenUsed/>
    <w:qFormat/>
    <w:rsid w:val="00AA054E"/>
    <w:pPr>
      <w:outlineLvl w:val="9"/>
    </w:pPr>
  </w:style>
  <w:style w:type="character" w:customStyle="1" w:styleId="IngenafstandTegn">
    <w:name w:val="Ingen afstand Tegn"/>
    <w:basedOn w:val="Standardskrifttypeiafsnit"/>
    <w:link w:val="Ingenafstand"/>
    <w:uiPriority w:val="1"/>
    <w:rsid w:val="005B6B12"/>
    <w:rPr>
      <w:lang w:val="en-GB"/>
    </w:rPr>
  </w:style>
  <w:style w:type="paragraph" w:styleId="Sidehoved">
    <w:name w:val="header"/>
    <w:basedOn w:val="Normal"/>
    <w:link w:val="SidehovedTegn"/>
    <w:unhideWhenUsed/>
    <w:rsid w:val="007E7997"/>
    <w:pPr>
      <w:tabs>
        <w:tab w:val="center" w:pos="4536"/>
        <w:tab w:val="right" w:pos="9072"/>
      </w:tabs>
    </w:pPr>
  </w:style>
  <w:style w:type="character" w:customStyle="1" w:styleId="SidehovedTegn">
    <w:name w:val="Sidehoved Tegn"/>
    <w:basedOn w:val="Standardskrifttypeiafsnit"/>
    <w:link w:val="Sidehoved"/>
    <w:uiPriority w:val="99"/>
    <w:rsid w:val="007E7997"/>
    <w:rPr>
      <w:sz w:val="22"/>
    </w:rPr>
  </w:style>
  <w:style w:type="paragraph" w:styleId="Sidefod">
    <w:name w:val="footer"/>
    <w:basedOn w:val="Normal"/>
    <w:link w:val="SidefodTegn"/>
    <w:uiPriority w:val="99"/>
    <w:unhideWhenUsed/>
    <w:rsid w:val="007E7997"/>
    <w:pPr>
      <w:tabs>
        <w:tab w:val="center" w:pos="4536"/>
        <w:tab w:val="right" w:pos="9072"/>
      </w:tabs>
    </w:pPr>
  </w:style>
  <w:style w:type="character" w:customStyle="1" w:styleId="SidefodTegn">
    <w:name w:val="Sidefod Tegn"/>
    <w:basedOn w:val="Standardskrifttypeiafsnit"/>
    <w:link w:val="Sidefod"/>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dholdsfortegnelse1">
    <w:name w:val="toc 1"/>
    <w:basedOn w:val="Normal"/>
    <w:next w:val="Normal"/>
    <w:autoRedefine/>
    <w:uiPriority w:val="39"/>
    <w:unhideWhenUsed/>
    <w:rsid w:val="00B81A44"/>
    <w:pPr>
      <w:tabs>
        <w:tab w:val="left" w:pos="440"/>
        <w:tab w:val="right" w:leader="dot" w:pos="9062"/>
      </w:tabs>
      <w:spacing w:after="100"/>
    </w:pPr>
  </w:style>
  <w:style w:type="paragraph" w:styleId="Indholdsfortegnelse2">
    <w:name w:val="toc 2"/>
    <w:basedOn w:val="Normal"/>
    <w:next w:val="Normal"/>
    <w:autoRedefine/>
    <w:uiPriority w:val="39"/>
    <w:unhideWhenUsed/>
    <w:rsid w:val="00BC422A"/>
    <w:pPr>
      <w:spacing w:after="100"/>
      <w:ind w:left="220"/>
    </w:pPr>
  </w:style>
  <w:style w:type="paragraph" w:styleId="Indholdsfortegnelse3">
    <w:name w:val="toc 3"/>
    <w:basedOn w:val="Normal"/>
    <w:next w:val="Normal"/>
    <w:autoRedefine/>
    <w:uiPriority w:val="39"/>
    <w:unhideWhenUsed/>
    <w:rsid w:val="00BC422A"/>
    <w:pPr>
      <w:spacing w:after="100"/>
      <w:ind w:left="440"/>
    </w:pPr>
  </w:style>
  <w:style w:type="character" w:styleId="Hyperlink">
    <w:name w:val="Hyperlink"/>
    <w:basedOn w:val="Standardskrifttypeiafsni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krifttypeiafsni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typeiafsnit"/>
    <w:link w:val="Listing2"/>
    <w:rsid w:val="00DF3785"/>
    <w:rPr>
      <w:lang w:val="en-GB"/>
    </w:rPr>
  </w:style>
  <w:style w:type="table" w:styleId="Tabel-Gitter">
    <w:name w:val="Table Grid"/>
    <w:basedOn w:val="Tabel-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B50534"/>
  </w:style>
  <w:style w:type="character" w:customStyle="1" w:styleId="SlutnotetekstTegn">
    <w:name w:val="Slutnotetekst Tegn"/>
    <w:basedOn w:val="Standardskrifttypeiafsnit"/>
    <w:link w:val="Slutnotetekst"/>
    <w:uiPriority w:val="99"/>
    <w:semiHidden/>
    <w:rsid w:val="00B50534"/>
    <w:rPr>
      <w:lang w:val="en-GB"/>
    </w:rPr>
  </w:style>
  <w:style w:type="character" w:styleId="Slutnotehenvisning">
    <w:name w:val="endnote reference"/>
    <w:basedOn w:val="Standardskrifttypeiafsnit"/>
    <w:uiPriority w:val="99"/>
    <w:semiHidden/>
    <w:unhideWhenUsed/>
    <w:rsid w:val="00B50534"/>
    <w:rPr>
      <w:vertAlign w:val="superscript"/>
    </w:rPr>
  </w:style>
  <w:style w:type="paragraph" w:styleId="Fodnotetekst">
    <w:name w:val="footnote text"/>
    <w:basedOn w:val="Normal"/>
    <w:link w:val="FodnotetekstTegn"/>
    <w:autoRedefine/>
    <w:uiPriority w:val="99"/>
    <w:semiHidden/>
    <w:unhideWhenUsed/>
    <w:qFormat/>
    <w:rsid w:val="006F53E8"/>
    <w:rPr>
      <w:sz w:val="16"/>
    </w:rPr>
  </w:style>
  <w:style w:type="character" w:customStyle="1" w:styleId="FodnotetekstTegn">
    <w:name w:val="Fodnotetekst Tegn"/>
    <w:basedOn w:val="Standardskrifttypeiafsnit"/>
    <w:link w:val="Fodnotetekst"/>
    <w:uiPriority w:val="99"/>
    <w:semiHidden/>
    <w:rsid w:val="006F53E8"/>
    <w:rPr>
      <w:sz w:val="16"/>
      <w:lang w:val="en-GB"/>
    </w:rPr>
  </w:style>
  <w:style w:type="character" w:styleId="Fodnotehenvisn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typeiafsnit"/>
    <w:uiPriority w:val="99"/>
    <w:unhideWhenUsed/>
    <w:qFormat/>
    <w:rsid w:val="00A91D91"/>
    <w:rPr>
      <w:rFonts w:asciiTheme="majorHAnsi" w:hAnsiTheme="majorHAnsi"/>
      <w:sz w:val="16"/>
      <w:vertAlign w:val="superscript"/>
    </w:rPr>
  </w:style>
  <w:style w:type="paragraph" w:customStyle="1" w:styleId="Footnote">
    <w:name w:val="Footnote"/>
    <w:basedOn w:val="Fodnotetekst"/>
    <w:link w:val="FootnoteChar"/>
    <w:rsid w:val="00B50534"/>
    <w:rPr>
      <w:lang w:val="nl-BE"/>
    </w:rPr>
  </w:style>
  <w:style w:type="character" w:customStyle="1" w:styleId="FootnoteChar">
    <w:name w:val="Footnote Char"/>
    <w:basedOn w:val="FodnotetekstTegn"/>
    <w:link w:val="Footnote"/>
    <w:rsid w:val="00B50534"/>
    <w:rPr>
      <w:sz w:val="16"/>
      <w:lang w:val="en-GB"/>
    </w:rPr>
  </w:style>
  <w:style w:type="table" w:customStyle="1" w:styleId="GridTable4-Accent11">
    <w:name w:val="Grid Table 4 - Accent 11"/>
    <w:basedOn w:val="Tabel-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Markeringsbobletekst">
    <w:name w:val="Balloon Text"/>
    <w:basedOn w:val="Normal"/>
    <w:link w:val="MarkeringsbobletekstTegn"/>
    <w:uiPriority w:val="99"/>
    <w:semiHidden/>
    <w:unhideWhenUsed/>
    <w:rsid w:val="003C16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167E"/>
    <w:rPr>
      <w:rFonts w:ascii="Tahoma" w:hAnsi="Tahoma" w:cs="Tahoma"/>
      <w:sz w:val="16"/>
      <w:szCs w:val="16"/>
      <w:lang w:val="en-GB"/>
    </w:rPr>
  </w:style>
  <w:style w:type="character" w:styleId="Kommentarhenvisning">
    <w:name w:val="annotation reference"/>
    <w:basedOn w:val="Standardskrifttypeiafsnit"/>
    <w:uiPriority w:val="99"/>
    <w:semiHidden/>
    <w:unhideWhenUsed/>
    <w:rsid w:val="00FA2400"/>
    <w:rPr>
      <w:sz w:val="16"/>
      <w:szCs w:val="16"/>
    </w:rPr>
  </w:style>
  <w:style w:type="paragraph" w:styleId="Kommentartekst">
    <w:name w:val="annotation text"/>
    <w:basedOn w:val="Normal"/>
    <w:link w:val="KommentartekstTegn"/>
    <w:uiPriority w:val="99"/>
    <w:unhideWhenUsed/>
    <w:rsid w:val="00FA2400"/>
    <w:rPr>
      <w:sz w:val="20"/>
    </w:rPr>
  </w:style>
  <w:style w:type="character" w:customStyle="1" w:styleId="KommentartekstTegn">
    <w:name w:val="Kommentartekst Tegn"/>
    <w:basedOn w:val="Standardskrifttypeiafsnit"/>
    <w:link w:val="Kommentartekst"/>
    <w:uiPriority w:val="99"/>
    <w:rsid w:val="00FA2400"/>
    <w:rPr>
      <w:lang w:val="en-GB"/>
    </w:rPr>
  </w:style>
  <w:style w:type="paragraph" w:styleId="Kommentaremne">
    <w:name w:val="annotation subject"/>
    <w:basedOn w:val="Kommentartekst"/>
    <w:next w:val="Kommentartekst"/>
    <w:link w:val="KommentaremneTegn"/>
    <w:uiPriority w:val="99"/>
    <w:semiHidden/>
    <w:unhideWhenUsed/>
    <w:rsid w:val="00FA2400"/>
    <w:rPr>
      <w:b/>
      <w:bCs/>
    </w:rPr>
  </w:style>
  <w:style w:type="character" w:customStyle="1" w:styleId="KommentaremneTegn">
    <w:name w:val="Kommentaremne Tegn"/>
    <w:basedOn w:val="KommentartekstTegn"/>
    <w:link w:val="Kommentaremne"/>
    <w:uiPriority w:val="99"/>
    <w:semiHidden/>
    <w:rsid w:val="00FA2400"/>
    <w:rPr>
      <w:b/>
      <w:bCs/>
      <w:lang w:val="en-GB"/>
    </w:rPr>
  </w:style>
  <w:style w:type="paragraph" w:styleId="Korrektur">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gtLink">
    <w:name w:val="FollowedHyperlink"/>
    <w:basedOn w:val="Standardskrifttypeiafsni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typeiafsni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Paragraphe EI Tegn,Paragraphe de liste1 Tegn,EC Tegn,Paragraphe de liste Tegn,Normal Nivel 1 Tegn,List Paragraph Main Tegn,List first level Tegn,List Paragraph_Sections Tegn"/>
    <w:basedOn w:val="Standardskrifttypeiafsnit"/>
    <w:link w:val="Listeafsnit"/>
    <w:uiPriority w:val="34"/>
    <w:rsid w:val="00695AF2"/>
    <w:rPr>
      <w:rFonts w:eastAsiaTheme="majorEastAsia" w:cstheme="minorHAnsi"/>
      <w:sz w:val="22"/>
      <w:szCs w:val="22"/>
      <w:lang w:val="en-GB" w:eastAsia="en-GB"/>
    </w:rPr>
  </w:style>
  <w:style w:type="table" w:customStyle="1" w:styleId="TableGrid3">
    <w:name w:val="Table Grid3"/>
    <w:basedOn w:val="Tabel-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yperlink" Target="https://www.handbook.fca.org.uk/handbook/glossary/G3552a.html" TargetMode="External"/><Relationship Id="rId3" Type="http://schemas.openxmlformats.org/officeDocument/2006/relationships/customXml" Target="../customXml/item3.xml"/><Relationship Id="rId21" Type="http://schemas.openxmlformats.org/officeDocument/2006/relationships/hyperlink" Target="https://www.handbook.fca.org.uk/handbook/MAR/7A/3.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hyperlink" Target="https://www.handbook.fca.org.uk/handbook/glossary/G3571m.html"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acifma.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andbook.fca.org.uk/handbook/glossary/G3569m.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handbook.fca.org.uk/handbook/glossary/G3567m.ht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andbook.fca.org.uk/handbook/glossary/G1975.html" TargetMode="External"/><Relationship Id="rId27" Type="http://schemas.openxmlformats.org/officeDocument/2006/relationships/hyperlink" Target="https://www.handbook.fca.org.uk/handbook/glossary/G3552a.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21</Pages>
  <Words>6950</Words>
  <Characters>39619</Characters>
  <Application>Microsoft Office Word</Application>
  <DocSecurity>8</DocSecurity>
  <Lines>330</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Kim Winding Larsen</cp:lastModifiedBy>
  <cp:revision>2</cp:revision>
  <cp:lastPrinted>2017-07-24T14:47:00Z</cp:lastPrinted>
  <dcterms:created xsi:type="dcterms:W3CDTF">2021-03-12T16:04:00Z</dcterms:created>
  <dcterms:modified xsi:type="dcterms:W3CDTF">2021-03-12T16:04:00Z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