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5E63E4">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5E63E4">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86637A4" w:rsidR="00C85C8B" w:rsidRPr="00C85C8B" w:rsidRDefault="00FA5116" w:rsidP="00C85C8B">
                <w:pPr>
                  <w:rPr>
                    <w:rFonts w:ascii="Arial" w:hAnsi="Arial" w:cs="Arial"/>
                    <w:color w:val="808080"/>
                    <w:sz w:val="20"/>
                    <w:lang w:eastAsia="de-DE"/>
                  </w:rPr>
                </w:pPr>
                <w:r>
                  <w:t xml:space="preserve">Austrian Federal Economic Chamber, Division </w:t>
                </w:r>
                <w:proofErr w:type="gramStart"/>
                <w:r>
                  <w:t>Bank</w:t>
                </w:r>
                <w:proofErr w:type="gramEnd"/>
                <w:r>
                  <w:t xml:space="preserve"> and Insurance</w:t>
                </w:r>
              </w:p>
            </w:tc>
          </w:sdtContent>
        </w:sdt>
      </w:tr>
      <w:tr w:rsidR="00C85C8B" w:rsidRPr="00C85C8B" w14:paraId="216F3E57" w14:textId="77777777" w:rsidTr="005E63E4">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46C4882" w:rsidR="00C85C8B" w:rsidRPr="00C85C8B" w:rsidRDefault="0046043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5116">
                  <w:rPr>
                    <w:rFonts w:ascii="Arial" w:hAnsi="Arial" w:cs="Arial"/>
                    <w:sz w:val="20"/>
                    <w:lang w:eastAsia="de-DE"/>
                  </w:rPr>
                  <w:t>Banking sector</w:t>
                </w:r>
              </w:sdtContent>
            </w:sdt>
          </w:p>
        </w:tc>
      </w:tr>
      <w:tr w:rsidR="00C85C8B" w:rsidRPr="00C85C8B" w14:paraId="0D216581" w14:textId="77777777" w:rsidTr="005E63E4">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7938B32" w:rsidR="00C85C8B" w:rsidRPr="00C85C8B" w:rsidRDefault="00FA511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5E63E4">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4E1664F" w:rsidR="00C85C8B" w:rsidRPr="00C85C8B" w:rsidRDefault="00FA5116" w:rsidP="00C85C8B">
                <w:pPr>
                  <w:rPr>
                    <w:rFonts w:ascii="Arial" w:hAnsi="Arial" w:cs="Arial"/>
                    <w:sz w:val="20"/>
                    <w:lang w:eastAsia="de-DE"/>
                  </w:rPr>
                </w:pPr>
                <w:r>
                  <w:rPr>
                    <w:rFonts w:ascii="Arial" w:hAnsi="Arial" w:cs="Arial"/>
                    <w:sz w:val="20"/>
                    <w:lang w:eastAsia="de-DE"/>
                  </w:rPr>
                  <w:t>Austria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77777777" w:rsidR="00F43578" w:rsidRDefault="00F43578" w:rsidP="00F43578">
      <w:permStart w:id="286478064" w:edGrp="everyone"/>
      <w:r>
        <w:t>TYPE YOUR TEXT HERE</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0F171BC4" w14:textId="198DCDF4" w:rsidR="00F43578" w:rsidRDefault="00806197" w:rsidP="00F43578">
      <w:permStart w:id="1761220304" w:edGrp="everyone"/>
      <w:r>
        <w:t xml:space="preserve">We share ESMA's assessment that potential risks of algorithmic trading may primarily arise in </w:t>
      </w:r>
      <w:proofErr w:type="spellStart"/>
      <w:r>
        <w:t>multialteral</w:t>
      </w:r>
      <w:proofErr w:type="spellEnd"/>
      <w:r>
        <w:t xml:space="preserve"> trading. Currently we do not see the need to extend the application of algorithmic trading requirements to other trading areas</w:t>
      </w:r>
      <w:r w:rsidR="00D04E0A">
        <w:t xml:space="preserve"> outside of SI (see question 9</w:t>
      </w:r>
      <w:proofErr w:type="gramStart"/>
      <w:r w:rsidR="00D04E0A">
        <w:t>)</w:t>
      </w:r>
      <w:r>
        <w:t>.</w:t>
      </w:r>
      <w:permEnd w:id="1761220304"/>
      <w:r w:rsidR="00F43578">
        <w:t>&lt;</w:t>
      </w:r>
      <w:proofErr w:type="gramEnd"/>
      <w:r w:rsidR="00F43578">
        <w: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1A080C4D" w:rsidR="00F43578" w:rsidRDefault="00806197" w:rsidP="00F43578">
      <w:permStart w:id="1759576576" w:edGrp="everyone"/>
      <w:r>
        <w:t>Yes, we share ESMA's analysis.</w:t>
      </w:r>
      <w:r w:rsidR="002D0CA1" w:rsidRPr="002D0CA1">
        <w:t xml:space="preserve"> </w:t>
      </w:r>
      <w:r w:rsidR="002D0CA1">
        <w:t xml:space="preserve">In particular, </w:t>
      </w:r>
      <w:r w:rsidR="002D0CA1" w:rsidRPr="002D0CA1">
        <w:rPr>
          <w:rFonts w:eastAsiaTheme="minorEastAsia"/>
        </w:rPr>
        <w:t>the regulatory MIFID II framework should</w:t>
      </w:r>
      <w:r w:rsidR="002D0CA1">
        <w:rPr>
          <w:rFonts w:eastAsiaTheme="minorEastAsia"/>
        </w:rPr>
        <w:t xml:space="preserve"> continue to</w:t>
      </w:r>
      <w:r w:rsidR="002D0CA1" w:rsidRPr="002D0CA1">
        <w:rPr>
          <w:rFonts w:eastAsiaTheme="minorEastAsia"/>
        </w:rPr>
        <w:t xml:space="preserve"> differentiate materially between those market participants who develop and control the respective trading algorithms  and those who only make use of such trading algorithms</w:t>
      </w:r>
      <w:r w:rsidR="002D0CA1">
        <w:rPr>
          <w:rFonts w:eastAsiaTheme="minorEastAsia"/>
        </w:rPr>
        <w:t xml:space="preserve"> by routing orders to such brokers for execution</w:t>
      </w:r>
      <w:r w:rsidR="002D0CA1" w:rsidRPr="002D0CA1">
        <w:rPr>
          <w:rFonts w:eastAsiaTheme="minorEastAsia"/>
        </w:rPr>
        <w:t xml:space="preserve"> (so called "white labelled" algorithmic trading users).</w:t>
      </w:r>
      <w:r w:rsidR="002D0CA1">
        <w:t xml:space="preserve"> </w:t>
      </w:r>
      <w:r w:rsidR="002D0CA1" w:rsidRPr="002D0CA1">
        <w:rPr>
          <w:rFonts w:eastAsiaTheme="minorEastAsia"/>
        </w:rPr>
        <w:t xml:space="preserve">The latter form a substantial part of the market and most small or medium sized market participants make use of such "white label" trading solutions when making use of trading algorithms. It is evident to </w:t>
      </w:r>
      <w:proofErr w:type="spellStart"/>
      <w:proofErr w:type="gramStart"/>
      <w:r w:rsidR="002D0CA1" w:rsidRPr="002D0CA1">
        <w:rPr>
          <w:rFonts w:eastAsiaTheme="minorEastAsia"/>
        </w:rPr>
        <w:t>us,that</w:t>
      </w:r>
      <w:proofErr w:type="spellEnd"/>
      <w:proofErr w:type="gramEnd"/>
      <w:r w:rsidR="002D0CA1" w:rsidRPr="002D0CA1">
        <w:rPr>
          <w:rFonts w:eastAsiaTheme="minorEastAsia"/>
        </w:rPr>
        <w:t xml:space="preserve"> applying full scale of the current algorithmic trading regulatory framework also on these "white label" market participants will further accelerate the concentration of the market, as the regulatory burdens are crowding out smaller competitors. We perceive a substantial risk that maintaining a blanket "one-size-fits all approach" in this context </w:t>
      </w:r>
      <w:r w:rsidR="00441979">
        <w:rPr>
          <w:rFonts w:eastAsiaTheme="minorEastAsia"/>
        </w:rPr>
        <w:t>would</w:t>
      </w:r>
      <w:r w:rsidR="002D0CA1" w:rsidRPr="002D0CA1">
        <w:rPr>
          <w:rFonts w:eastAsiaTheme="minorEastAsia"/>
        </w:rPr>
        <w:t xml:space="preserve"> further cement the trend to selected view major market participants de facto controlling the algorithmic trading segment in the Common European Market.</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lastRenderedPageBreak/>
        <w:t>&lt;ESMA_QUESTION_ALGO_5&gt;</w:t>
      </w:r>
    </w:p>
    <w:p w14:paraId="7D18A19C" w14:textId="6EE26B4F" w:rsidR="00F43578" w:rsidRDefault="00806197" w:rsidP="00F43578">
      <w:permStart w:id="471091368" w:edGrp="everyone"/>
      <w:r>
        <w:t>The improvements of trading techniques and infrast</w:t>
      </w:r>
      <w:r w:rsidR="00C1722E">
        <w:t>ru</w:t>
      </w:r>
      <w:r>
        <w:t>cture warra</w:t>
      </w:r>
      <w:r w:rsidR="006A0AD9">
        <w:t>n</w:t>
      </w:r>
      <w:r>
        <w:t xml:space="preserve">t a </w:t>
      </w:r>
      <w:r w:rsidR="006A0AD9">
        <w:t xml:space="preserve">higher daily message rate than currently set. However, we </w:t>
      </w:r>
      <w:proofErr w:type="spellStart"/>
      <w:r w:rsidR="006A0AD9">
        <w:t>belive</w:t>
      </w:r>
      <w:proofErr w:type="spellEnd"/>
      <w:r w:rsidR="006A0AD9">
        <w:t xml:space="preserve"> that the technical improvements in low latency infrastructure and the importance of low latency for HFT rather give priority to reviewing the current definition of low latency infrastructure in Art 4 para 1 (40) MiFID II.</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1D095872" w14:textId="6A6BB42A" w:rsidR="00F43578" w:rsidRDefault="00277ADD" w:rsidP="00F43578">
      <w:permStart w:id="139352066" w:edGrp="everyone"/>
      <w:r>
        <w:rPr>
          <w:rFonts w:eastAsiaTheme="minorEastAsia"/>
        </w:rPr>
        <w:t>We share</w:t>
      </w:r>
      <w:r w:rsidRPr="00277ADD">
        <w:rPr>
          <w:rFonts w:eastAsiaTheme="minorEastAsia"/>
        </w:rPr>
        <w:t xml:space="preserve"> ESMA's perception that no firm is sub-delegating sponsored access. </w:t>
      </w:r>
      <w:r w:rsidR="00C1722E">
        <w:rPr>
          <w:rFonts w:eastAsiaTheme="minorEastAsia"/>
        </w:rPr>
        <w:t>E</w:t>
      </w:r>
      <w:r w:rsidRPr="00277ADD">
        <w:rPr>
          <w:rFonts w:eastAsiaTheme="minorEastAsia"/>
        </w:rPr>
        <w:t xml:space="preserve">xperience with sub-delegation of DMA access </w:t>
      </w:r>
      <w:r w:rsidR="00C1722E">
        <w:rPr>
          <w:rFonts w:eastAsiaTheme="minorEastAsia"/>
        </w:rPr>
        <w:t>has shown</w:t>
      </w:r>
      <w:r w:rsidRPr="00277ADD">
        <w:rPr>
          <w:rFonts w:eastAsiaTheme="minorEastAsia"/>
        </w:rPr>
        <w:t xml:space="preserve"> that such sub-delegation is relatively widespread and beneficial to all market participants: Sub-delegation of DMA access enables smaller market participants to directly access trading venues at comparably low costs. Thus, the sub-delegation enables greater access to the Common Market's trading venues by large variety of smaller market participants who simply cannot afford the costs and resources required for direct membership with said trading venues. This in return allows said smaller market participants to provide quick and efficient access to said trading venues when executing their own customers' orders, hereby ensuring greater choice for the Common Markets customers and thereby furthering and promoting fair competition therein. In this context, we would like to point out that it may be highly useful to consider establishing a </w:t>
      </w:r>
      <w:proofErr w:type="gramStart"/>
      <w:r w:rsidRPr="00277ADD">
        <w:rPr>
          <w:rFonts w:eastAsiaTheme="minorEastAsia"/>
        </w:rPr>
        <w:t>homogeneous  regulatory</w:t>
      </w:r>
      <w:proofErr w:type="gramEnd"/>
      <w:r w:rsidRPr="00277ADD">
        <w:rPr>
          <w:rFonts w:eastAsiaTheme="minorEastAsia"/>
        </w:rPr>
        <w:t xml:space="preserve"> framework for sub-delegation of DMA access within the Common Market given the current lack of standardization across the common market. Currently, every single trading venue imposes its own regulatory conditions in this aspect, </w:t>
      </w:r>
      <w:proofErr w:type="gramStart"/>
      <w:r w:rsidRPr="00277ADD">
        <w:rPr>
          <w:rFonts w:eastAsiaTheme="minorEastAsia"/>
        </w:rPr>
        <w:t>with  some</w:t>
      </w:r>
      <w:proofErr w:type="gramEnd"/>
      <w:r w:rsidRPr="00277ADD">
        <w:rPr>
          <w:rFonts w:eastAsiaTheme="minorEastAsia"/>
        </w:rPr>
        <w:t xml:space="preserve"> trading venues ban even banning sub-delegation of DMA outright. In view of the beneficial effects of such sub-delegation arrangements </w:t>
      </w:r>
      <w:proofErr w:type="gramStart"/>
      <w:r w:rsidRPr="00277ADD">
        <w:rPr>
          <w:rFonts w:eastAsiaTheme="minorEastAsia"/>
        </w:rPr>
        <w:t>a</w:t>
      </w:r>
      <w:proofErr w:type="gramEnd"/>
      <w:r w:rsidRPr="00277ADD">
        <w:rPr>
          <w:rFonts w:eastAsiaTheme="minorEastAsia"/>
        </w:rPr>
        <w:t xml:space="preserve"> EU wide standardized approach appears to be advisable</w:t>
      </w:r>
      <w:permEnd w:id="139352066"/>
      <w:r w:rsidR="00F43578">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44C246A7" w:rsidR="00F43578" w:rsidRDefault="00277ADD" w:rsidP="00F43578">
      <w:permStart w:id="1646090751" w:edGrp="everyone"/>
      <w:r>
        <w:t>In our e</w:t>
      </w:r>
      <w:r w:rsidRPr="00277ADD">
        <w:rPr>
          <w:rFonts w:eastAsiaTheme="minorEastAsia"/>
        </w:rPr>
        <w:t>xperience almost the entirety of the DEA Tier 2 clients are regulated entities/investment firms</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47C6A3DE" w14:textId="40EB9277" w:rsidR="00F43578" w:rsidRDefault="00277ADD" w:rsidP="00F43578">
      <w:permStart w:id="1735736236" w:edGrp="everyone"/>
      <w:r>
        <w:rPr>
          <w:rFonts w:eastAsiaTheme="minorEastAsia"/>
        </w:rPr>
        <w:t xml:space="preserve">We </w:t>
      </w:r>
      <w:r w:rsidRPr="00277ADD">
        <w:rPr>
          <w:rFonts w:eastAsiaTheme="minorEastAsia"/>
        </w:rPr>
        <w:t>agree with ESMA's analysis and takes the view that there is no further need for more clarification in this matter</w:t>
      </w:r>
      <w:r>
        <w:t xml:space="preserve"> </w:t>
      </w:r>
      <w:permEnd w:id="1735736236"/>
      <w:r w:rsidR="00F43578">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lastRenderedPageBreak/>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285EA597" w:rsidR="00F43578" w:rsidRDefault="00D04E0A" w:rsidP="00F43578">
      <w:permStart w:id="714028646" w:edGrp="everyone"/>
      <w:r>
        <w:t>We share ESMA's view that key requirements can also be applied to algorithmic SI trading. Such requirements should be less extensive than for multilateral trading due to the bilateral nature of SI trading and governed by the proportionality principle as the broad SI definition introduced by MiFID II caused that also smaller market participants qualify as SIs although their share of SI trading is not su</w:t>
      </w:r>
      <w:r w:rsidR="00C1722E">
        <w:t>b</w:t>
      </w:r>
      <w:r>
        <w:t>stantial.</w:t>
      </w:r>
      <w:r w:rsidR="00FB1743">
        <w:t xml:space="preserve"> In this context we want to highlight that rather simple algorithms are used for generating quotes by SIs reducing potential risks further.</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10DCD448" w14:textId="585269C4" w:rsidR="00F43578" w:rsidRDefault="00277ADD" w:rsidP="00F43578">
      <w:permStart w:id="1286567615" w:edGrp="everyone"/>
      <w:r>
        <w:rPr>
          <w:rFonts w:eastAsiaTheme="minorEastAsia"/>
        </w:rPr>
        <w:t xml:space="preserve">We </w:t>
      </w:r>
      <w:r w:rsidR="00F15204">
        <w:rPr>
          <w:rFonts w:eastAsiaTheme="minorEastAsia"/>
        </w:rPr>
        <w:t xml:space="preserve">fully </w:t>
      </w:r>
      <w:r w:rsidRPr="00277ADD">
        <w:rPr>
          <w:rFonts w:eastAsiaTheme="minorEastAsia"/>
        </w:rPr>
        <w:t xml:space="preserve">support ESMA's view regarding introducing a requirement for third-country firms qualifying as an HFT firm on an EU trading venue to be authorized as an investment firm. Equally, we feel that it may serve regulatory transparency if the requirement that DEA provides to be authorized as investment firms should be set out directly in the Article 1 of MIFID II. With regard to the suggestions of ESMA in lit. 68 of the consultation </w:t>
      </w:r>
      <w:proofErr w:type="gramStart"/>
      <w:r w:rsidRPr="00277ADD">
        <w:rPr>
          <w:rFonts w:eastAsiaTheme="minorEastAsia"/>
        </w:rPr>
        <w:t>paper</w:t>
      </w:r>
      <w:proofErr w:type="gramEnd"/>
      <w:r w:rsidRPr="00277ADD">
        <w:rPr>
          <w:rFonts w:eastAsiaTheme="minorEastAsia"/>
        </w:rPr>
        <w:t xml:space="preserve"> on the respective NCA's being provided with data on the DEA access, we advise that a calibrated approach is being taken in consideration of the practical aspects of such potential reporting requirements. We recommend that such reporting requirements of the DEA provider only encompass the first DEA-client and not Tier 2 </w:t>
      </w:r>
      <w:proofErr w:type="spellStart"/>
      <w:r w:rsidRPr="00277ADD">
        <w:rPr>
          <w:rFonts w:eastAsiaTheme="minorEastAsia"/>
        </w:rPr>
        <w:t>Dea</w:t>
      </w:r>
      <w:proofErr w:type="spellEnd"/>
      <w:r w:rsidRPr="00277ADD">
        <w:rPr>
          <w:rFonts w:eastAsiaTheme="minorEastAsia"/>
        </w:rPr>
        <w:t xml:space="preserve"> Clients (DEA Sub-</w:t>
      </w:r>
      <w:proofErr w:type="spellStart"/>
      <w:r w:rsidRPr="00277ADD">
        <w:rPr>
          <w:rFonts w:eastAsiaTheme="minorEastAsia"/>
        </w:rPr>
        <w:t>delegatees</w:t>
      </w:r>
      <w:proofErr w:type="spellEnd"/>
      <w:r w:rsidRPr="00277ADD">
        <w:rPr>
          <w:rFonts w:eastAsiaTheme="minorEastAsia"/>
        </w:rPr>
        <w:t>) for practical reasons. Otherwise we perceive a substantial risk for the DEA provider being saddled with an almost impossible obligation to obtain extensive reports and data from all participants in the respective reporting chains</w:t>
      </w:r>
      <w:permEnd w:id="1286567615"/>
      <w:r w:rsidR="00F43578">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454920A1" w14:textId="619F4062" w:rsidR="00D90861" w:rsidRDefault="00D90861" w:rsidP="00F43578">
      <w:permStart w:id="1308445152" w:edGrp="everyone"/>
      <w:r>
        <w:t>In our view there is no merit in a standardization of the notification. First, market participants are not overburden by the standards currentl</w:t>
      </w:r>
      <w:r w:rsidR="0046043A">
        <w:t>y</w:t>
      </w:r>
      <w:r>
        <w:t xml:space="preserve"> applied by the NCAs. Second, the NCAs are entitled to request further information from the market participants and, therefore, effective supervision is ensured. The template proposed by ESMA requires the submission of detailed information and, consequently, frequent updates to keep the information filed up to date. </w:t>
      </w:r>
      <w:proofErr w:type="spellStart"/>
      <w:r>
        <w:t>Algorithimic</w:t>
      </w:r>
      <w:proofErr w:type="spellEnd"/>
      <w:r>
        <w:t xml:space="preserve"> trading strategies and systems are subject to constant development </w:t>
      </w:r>
      <w:proofErr w:type="gramStart"/>
      <w:r>
        <w:t>and also</w:t>
      </w:r>
      <w:proofErr w:type="gramEnd"/>
      <w:r>
        <w:t xml:space="preserve"> the scope of strategies and financial </w:t>
      </w:r>
      <w:proofErr w:type="spellStart"/>
      <w:r>
        <w:t>instrumentes</w:t>
      </w:r>
      <w:proofErr w:type="spellEnd"/>
      <w:r>
        <w:t xml:space="preserve"> covered by these strategies is regularly undergoing changes. In essence, the content of the proposed template, its level of detail and the ensuing consequence of </w:t>
      </w:r>
      <w:proofErr w:type="spellStart"/>
      <w:r>
        <w:t>frequenct</w:t>
      </w:r>
      <w:proofErr w:type="spellEnd"/>
      <w:r>
        <w:t xml:space="preserve"> updates </w:t>
      </w:r>
      <w:r w:rsidR="0046043A">
        <w:t>would</w:t>
      </w:r>
      <w:r>
        <w:t xml:space="preserve"> lead to a bureaucratic burden for market participants and no material added value for the supervision efforts of NCAs. Algorithms </w:t>
      </w:r>
      <w:proofErr w:type="gramStart"/>
      <w:r>
        <w:lastRenderedPageBreak/>
        <w:t>have to</w:t>
      </w:r>
      <w:proofErr w:type="gramEnd"/>
      <w:r>
        <w:t xml:space="preserve"> notified to trading venues prior to deployment </w:t>
      </w:r>
      <w:r w:rsidR="00CA2D89">
        <w:t>to enable trading venues to flag algor</w:t>
      </w:r>
      <w:r w:rsidR="0046043A">
        <w:t>it</w:t>
      </w:r>
      <w:r w:rsidR="00CA2D89">
        <w:t xml:space="preserve">hms in accordance with </w:t>
      </w:r>
      <w:r w:rsidR="00CA2D89" w:rsidRPr="00CA2D89">
        <w:t>Article 48</w:t>
      </w:r>
      <w:r w:rsidR="00CA2D89">
        <w:t xml:space="preserve"> para </w:t>
      </w:r>
      <w:r w:rsidR="00CA2D89" w:rsidRPr="00CA2D89">
        <w:t>8 of MiFID II</w:t>
      </w:r>
      <w:r w:rsidR="00CA2D89">
        <w:t xml:space="preserve">. Therefore, NCAs have in addition to the notification under </w:t>
      </w:r>
      <w:r w:rsidR="00CA2D89" w:rsidRPr="00CA2D89">
        <w:t>Articles 17</w:t>
      </w:r>
      <w:r w:rsidR="00CA2D89">
        <w:t xml:space="preserve"> para </w:t>
      </w:r>
      <w:r w:rsidR="00CA2D89" w:rsidRPr="00CA2D89">
        <w:t>2 and 17</w:t>
      </w:r>
      <w:r w:rsidR="00CA2D89">
        <w:t xml:space="preserve"> para </w:t>
      </w:r>
      <w:r w:rsidR="00CA2D89" w:rsidRPr="00CA2D89">
        <w:t>5 of MiFID II</w:t>
      </w:r>
      <w:r w:rsidR="00CA2D89">
        <w:t xml:space="preserve"> another valuable source of information at their disposal, if </w:t>
      </w:r>
      <w:proofErr w:type="spellStart"/>
      <w:r w:rsidR="00CA2D89">
        <w:t>requried</w:t>
      </w:r>
      <w:proofErr w:type="spellEnd"/>
      <w:r w:rsidR="00CA2D89">
        <w:t xml:space="preserve"> for their supervision activities. Therefore, the introduction of a notification template for RTS 6 is not merited. </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8160944" w:rsidR="00F43578" w:rsidRDefault="00FB1743" w:rsidP="00F43578">
      <w:permStart w:id="1436643470" w:edGrp="everyone"/>
      <w:r>
        <w:t>No, we do not see a need for further clarification.</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43FB2E68" w:rsidR="00F43578" w:rsidRDefault="00CA2D89" w:rsidP="00F43578">
      <w:permStart w:id="1585009624" w:edGrp="everyone"/>
      <w:r>
        <w:t>In our view the definition is sufficiently clear.</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02626E42" w:rsidR="00F43578" w:rsidRDefault="00CA2D89" w:rsidP="00F43578">
      <w:permStart w:id="1815021170" w:edGrp="everyone"/>
      <w:r>
        <w:t xml:space="preserve">The proportionality principle should be applied to differentiate between quoting </w:t>
      </w:r>
      <w:r w:rsidRPr="00CA2D89">
        <w:t xml:space="preserve">algorithms </w:t>
      </w:r>
      <w:r>
        <w:t xml:space="preserve">and algorithms actively taking trading decisions. Quoting algorithms are from </w:t>
      </w:r>
      <w:proofErr w:type="spellStart"/>
      <w:r>
        <w:t>at</w:t>
      </w:r>
      <w:proofErr w:type="spellEnd"/>
      <w:r>
        <w:t xml:space="preserve"> technical perspective rather simple algorithms, require less sophisticated monitoring processes and pose a smaller risk to the fair and orderly functioning of markets. Consequently, this type of algorithms should be subject to less stringent requirements while the potential level of risks of </w:t>
      </w:r>
      <w:r w:rsidRPr="00CA2D89">
        <w:t>algorithms actively taking trading decisions</w:t>
      </w:r>
      <w:r>
        <w:t xml:space="preserve"> is </w:t>
      </w:r>
      <w:proofErr w:type="spellStart"/>
      <w:r>
        <w:t>typcially</w:t>
      </w:r>
      <w:proofErr w:type="spellEnd"/>
      <w:r>
        <w:t xml:space="preserve"> higher.</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lastRenderedPageBreak/>
        <w:t>&lt;ESMA_QUESTION_ALGO_17&gt;</w:t>
      </w:r>
    </w:p>
    <w:p w14:paraId="39447F88" w14:textId="27B7C0AE" w:rsidR="00F43578" w:rsidRDefault="00CA2D89" w:rsidP="00F43578">
      <w:permStart w:id="80092231" w:edGrp="everyone"/>
      <w:r>
        <w:t xml:space="preserve">In our experience the availability of suitable </w:t>
      </w:r>
      <w:r w:rsidR="006F0D6E">
        <w:t xml:space="preserve">testing environments provided by trading venues and </w:t>
      </w:r>
      <w:proofErr w:type="spellStart"/>
      <w:r w:rsidR="006F0D6E">
        <w:t>availbility</w:t>
      </w:r>
      <w:proofErr w:type="spellEnd"/>
      <w:r w:rsidR="006F0D6E">
        <w:t xml:space="preserve"> of open time slots for testing at such testing environments </w:t>
      </w:r>
      <w:r w:rsidR="0046043A">
        <w:t>c</w:t>
      </w:r>
      <w:r w:rsidR="006F0D6E">
        <w:t>ould be improved.</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5889C746" w14:textId="5D8ED408" w:rsidR="003A7DA0" w:rsidRPr="003A7DA0" w:rsidRDefault="003A7DA0" w:rsidP="003A7DA0">
      <w:permStart w:id="830364215" w:edGrp="everyone"/>
      <w:r w:rsidRPr="003A7DA0">
        <w:t xml:space="preserve">RTS 6 provides a comprehensive list of criteria to be considered </w:t>
      </w:r>
      <w:proofErr w:type="gramStart"/>
      <w:r w:rsidRPr="003A7DA0">
        <w:t>in the course of</w:t>
      </w:r>
      <w:proofErr w:type="gramEnd"/>
      <w:r w:rsidRPr="003A7DA0">
        <w:t xml:space="preserve"> a self-assessment. As the nature and scale of algorithmic trading activities significantly differs from firm to firm flexibility is necessary on the format of RTS 6. Therefore, the introduction of a standardized format </w:t>
      </w:r>
      <w:r w:rsidR="0046043A">
        <w:t>does</w:t>
      </w:r>
      <w:r w:rsidRPr="003A7DA0">
        <w:t xml:space="preserve"> not</w:t>
      </w:r>
      <w:r w:rsidR="0046043A">
        <w:t xml:space="preserve"> seem</w:t>
      </w:r>
      <w:r w:rsidRPr="003A7DA0">
        <w:t xml:space="preserve"> necessary.</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39CA60B8" w14:textId="77777777" w:rsidR="003A7DA0" w:rsidRPr="003A7DA0" w:rsidRDefault="003A7DA0" w:rsidP="003A7DA0">
      <w:permStart w:id="1799384931" w:edGrp="everyone"/>
      <w:r w:rsidRPr="003A7DA0">
        <w:t>ESMA’s proposal to extend the frequency of the RTS 6 assessment (except for annual stress testing) to two years is beneficial to decreasing the bureaucratic efforts required for documentation.</w:t>
      </w:r>
    </w:p>
    <w:p w14:paraId="23ED486A" w14:textId="77777777" w:rsidR="003A7DA0" w:rsidRPr="003A7DA0" w:rsidRDefault="003A7DA0" w:rsidP="003A7DA0">
      <w:r w:rsidRPr="003A7DA0">
        <w:t xml:space="preserve">In contrast, the proposal to have RTS 6 assessment to be submitted to the NCA for review is not supported. First, NCAs are competent to request such assessment and access to such information is ensured. Second, NCAs would need detailed technical information and expertise - in particular on technical details of the programming of algorithms, their functionalities as well as control processes – and would have to devote significant time to properly review the self-assessment and detect potential shortcomings. </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lastRenderedPageBreak/>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6D4625" w14:textId="4B691B29" w:rsidR="00F43578" w:rsidRDefault="00277ADD" w:rsidP="00F43578">
      <w:permStart w:id="1397362070" w:edGrp="everyone"/>
      <w:r>
        <w:rPr>
          <w:rFonts w:eastAsiaTheme="minorEastAsia"/>
        </w:rPr>
        <w:t xml:space="preserve">We </w:t>
      </w:r>
      <w:r w:rsidRPr="00277ADD">
        <w:rPr>
          <w:rFonts w:eastAsiaTheme="minorEastAsia"/>
        </w:rPr>
        <w:t xml:space="preserve">understand the necessity to provide a regulatory framework for the testing of algorithmic requirements. However, we would kindly ask to consider that the practical impact of testing should not be overestimated. </w:t>
      </w:r>
      <w:proofErr w:type="gramStart"/>
      <w:r w:rsidRPr="00277ADD">
        <w:rPr>
          <w:rFonts w:eastAsiaTheme="minorEastAsia"/>
        </w:rPr>
        <w:t>Unfortunately</w:t>
      </w:r>
      <w:proofErr w:type="gramEnd"/>
      <w:r w:rsidRPr="00277ADD">
        <w:rPr>
          <w:rFonts w:eastAsiaTheme="minorEastAsia"/>
        </w:rPr>
        <w:t xml:space="preserve"> no amount of testing can predict all contingencies that may occur once the respective system goes live. Hence, legislators and regulators should have a realistic approach on the de facto implications of regulatory amendments in this </w:t>
      </w:r>
      <w:proofErr w:type="gramStart"/>
      <w:r w:rsidRPr="00277ADD">
        <w:rPr>
          <w:rFonts w:eastAsiaTheme="minorEastAsia"/>
        </w:rPr>
        <w:t xml:space="preserve">particular </w:t>
      </w:r>
      <w:proofErr w:type="spellStart"/>
      <w:r w:rsidRPr="00277ADD">
        <w:rPr>
          <w:rFonts w:eastAsiaTheme="minorEastAsia"/>
        </w:rPr>
        <w:t>contex</w:t>
      </w:r>
      <w:permEnd w:id="1397362070"/>
      <w:proofErr w:type="spellEnd"/>
      <w:proofErr w:type="gramEnd"/>
      <w:r w:rsidR="00F43578">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3C5F4C0E" w:rsidR="00F43578" w:rsidRDefault="005A5872" w:rsidP="00F43578">
      <w:permStart w:id="136737856" w:edGrp="everyone"/>
      <w:r>
        <w:t>See answer to question 17</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lastRenderedPageBreak/>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51695271" w:rsidR="00F43578" w:rsidRDefault="00673B43" w:rsidP="00F43578">
      <w:permStart w:id="1506355568" w:edGrp="everyone"/>
      <w:r>
        <w:t>We appreciate a convergence of maximum OTRs based on the asset class allowing for a simpler approach to monitor compliance with OTR requirements.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3CC5D39" w:rsidR="00F43578" w:rsidRDefault="00770104" w:rsidP="00F43578">
      <w:permStart w:id="2142314160" w:edGrp="everyone"/>
      <w:r>
        <w:lastRenderedPageBreak/>
        <w:t xml:space="preserve">We believe that currently there is no need for harmonizing the processes taken by the trading venues. In our experience theses </w:t>
      </w:r>
      <w:proofErr w:type="spellStart"/>
      <w:r>
        <w:t>proceses</w:t>
      </w:r>
      <w:proofErr w:type="spellEnd"/>
      <w:r>
        <w:t xml:space="preserve"> ensure an effective supervision and enforcement. </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3C2E1288" w14:textId="1A43CF16" w:rsidR="005E63E4" w:rsidRPr="005E63E4" w:rsidRDefault="005E63E4" w:rsidP="005E63E4">
      <w:permStart w:id="1046965136" w:edGrp="everyone"/>
      <w:r w:rsidRPr="005E63E4">
        <w:t>We oppose this approach as the trading strategies of algorithmic traders are divers</w:t>
      </w:r>
      <w:r>
        <w:t>e</w:t>
      </w:r>
      <w:r w:rsidRPr="005E63E4">
        <w:t xml:space="preserve"> and the introduction of a general rule to be able to deploy a strategy on more than one market is for many strategies </w:t>
      </w:r>
      <w:r>
        <w:t xml:space="preserve">simply </w:t>
      </w:r>
      <w:r w:rsidRPr="005E63E4">
        <w:t xml:space="preserve">not feasible. In many cases a strategy is tailored to a specific financial instrument, trading mode or the trading rules of a particular trading venue. A migration of trading from one venue to the other is not possible at short notice. </w:t>
      </w:r>
      <w:proofErr w:type="gramStart"/>
      <w:r w:rsidRPr="005E63E4">
        <w:t>Also</w:t>
      </w:r>
      <w:proofErr w:type="gramEnd"/>
      <w:r w:rsidRPr="005E63E4">
        <w:t xml:space="preserve"> settlement problems might occur as not all trading venues on which a specific instrument is tradeable are linked to the same custodian requiring a costly (re-)delivery of instruments from one custodian to the other. Further, legal restrictions such as the notification of algorithmic trading to the competent authorities exist.</w:t>
      </w:r>
    </w:p>
    <w:p w14:paraId="4E89CD69" w14:textId="77777777" w:rsidR="005E63E4" w:rsidRPr="005E63E4" w:rsidRDefault="005E63E4" w:rsidP="005E63E4">
      <w:proofErr w:type="gramStart"/>
      <w:r w:rsidRPr="005E63E4">
        <w:t>In particular, algorithmic</w:t>
      </w:r>
      <w:proofErr w:type="gramEnd"/>
      <w:r w:rsidRPr="005E63E4">
        <w:t xml:space="preserve"> market makers must be exempted from such an obligation as </w:t>
      </w:r>
      <w:proofErr w:type="spellStart"/>
      <w:r w:rsidRPr="005E63E4">
        <w:t>the</w:t>
      </w:r>
      <w:proofErr w:type="spellEnd"/>
      <w:r w:rsidRPr="005E63E4">
        <w:t xml:space="preserve"> are obliged to enter into a market making agreement with the venue on which they are acting as market maker.</w:t>
      </w:r>
    </w:p>
    <w:p w14:paraId="2C3B79CD" w14:textId="0B0439E7" w:rsidR="00F43578" w:rsidRDefault="00F43578" w:rsidP="00F43578"/>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lastRenderedPageBreak/>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2422EEE3" w:rsidR="00F43578" w:rsidRDefault="005E63E4" w:rsidP="00F43578">
      <w:bookmarkStart w:id="1" w:name="_Hlk65418062"/>
      <w:permStart w:id="201994906" w:edGrp="everyone"/>
      <w:r>
        <w:t>We share ESMA's assessment of the status of the market making regime and underline that the current regime does not provide any incentive to act as a liquidity provider for less liquid instruments</w:t>
      </w:r>
      <w:r w:rsidR="00F1332B">
        <w:t xml:space="preserve"> or in highly volatile market conditions</w:t>
      </w:r>
      <w:bookmarkEnd w:id="1"/>
      <w:r w:rsidR="00F1332B">
        <w:t>.</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37B0BAA8" w14:textId="77777777" w:rsidR="00F1332B" w:rsidRPr="00F1332B" w:rsidRDefault="00F1332B" w:rsidP="00F1332B">
      <w:permStart w:id="508756802" w:edGrp="everyone"/>
      <w:r w:rsidRPr="00F1332B">
        <w:t>In our opinion only an attractive incentive scheme can successfully attract liquidity providers for illiquid instruments which go clearly beyond the current market standards for incentives such as fee rebates offered by trading venues. The other amendments proposed by ESMA will in our opinion not have a material effect.</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w:t>
      </w:r>
      <w:r>
        <w:lastRenderedPageBreak/>
        <w:t xml:space="preserve">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1584D8ED" w:rsidR="00F43578" w:rsidRDefault="00BA2953" w:rsidP="00BA2953">
      <w:permStart w:id="1058354567" w:edGrp="everyone"/>
      <w:r>
        <w:t xml:space="preserve">Regulating this topic seems complex. In general, such mechanism seems beneficial to the market </w:t>
      </w:r>
      <w:proofErr w:type="spellStart"/>
      <w:r>
        <w:t>makers's</w:t>
      </w:r>
      <w:proofErr w:type="spellEnd"/>
      <w:r>
        <w:t xml:space="preserve"> ability to provide ongoing quotes for retail flow. Non-retail flow can also contribute to market depth and quality but might also pose challenges for market makers (e.g. arbitrage). </w:t>
      </w:r>
      <w:proofErr w:type="gramStart"/>
      <w:r>
        <w:t>In particular, a</w:t>
      </w:r>
      <w:proofErr w:type="gramEnd"/>
      <w:r>
        <w:t xml:space="preserve"> level playing field for equities should be established to avoid unwanted market behaviour by professional </w:t>
      </w:r>
      <w:r w:rsidR="00A36F75">
        <w:t>market participants.</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366C34A4" w:rsidR="00F43578" w:rsidRDefault="00A36F75" w:rsidP="00F43578">
      <w:permStart w:id="304307406" w:edGrp="everyone"/>
      <w:r>
        <w:t xml:space="preserve">When a level playing field </w:t>
      </w:r>
      <w:proofErr w:type="spellStart"/>
      <w:r>
        <w:t>re</w:t>
      </w:r>
      <w:r w:rsidR="00277ADD">
        <w:t>garading</w:t>
      </w:r>
      <w:proofErr w:type="spellEnd"/>
      <w:r>
        <w:t xml:space="preserve"> latency is introduced, this would make the turnover-quality and market quality better. Tighter market making requirements </w:t>
      </w:r>
      <w:r w:rsidR="00277ADD">
        <w:t>are</w:t>
      </w:r>
      <w:r>
        <w:t xml:space="preserve"> not the answer, as margins </w:t>
      </w:r>
      <w:r w:rsidR="00277ADD">
        <w:t xml:space="preserve">for market makers </w:t>
      </w:r>
      <w:r>
        <w:t>are already rather low and costs (including market data costs) are rising.</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lastRenderedPageBreak/>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171EE821" w:rsidR="00F43578" w:rsidRDefault="00A36F75" w:rsidP="00F43578">
      <w:permStart w:id="1102984687" w:edGrp="everyone"/>
      <w:r>
        <w:t>There should be a consolidated tape but with reasonable timing, still considering large in scale orders.</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3A8C" w14:textId="77777777" w:rsidR="00FA7D0C" w:rsidRDefault="00FA7D0C" w:rsidP="007E7997">
      <w:r>
        <w:separator/>
      </w:r>
    </w:p>
  </w:endnote>
  <w:endnote w:type="continuationSeparator" w:id="0">
    <w:p w14:paraId="12ED5A21" w14:textId="77777777" w:rsidR="00FA7D0C" w:rsidRDefault="00FA7D0C" w:rsidP="007E7997">
      <w:r>
        <w:continuationSeparator/>
      </w:r>
    </w:p>
  </w:endnote>
  <w:endnote w:type="continuationNotice" w:id="1">
    <w:p w14:paraId="50261B9F" w14:textId="77777777" w:rsidR="00FA7D0C" w:rsidRDefault="00FA7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15DC" w14:textId="77777777" w:rsidR="005E63E4" w:rsidRDefault="005E63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5E63E4" w:rsidRDefault="005E63E4">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5E63E4" w:rsidRDefault="005E63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5E63E4" w:rsidRDefault="005E63E4" w:rsidP="007A160F">
    <w:pPr>
      <w:pStyle w:val="Fuzeile"/>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5E63E4" w:rsidRDefault="005E63E4">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5E63E4" w:rsidRDefault="005E63E4"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5EBC9" w14:textId="77777777" w:rsidR="00FA7D0C" w:rsidRDefault="00FA7D0C" w:rsidP="007E7997">
      <w:r>
        <w:separator/>
      </w:r>
    </w:p>
  </w:footnote>
  <w:footnote w:type="continuationSeparator" w:id="0">
    <w:p w14:paraId="1982BB81" w14:textId="77777777" w:rsidR="00FA7D0C" w:rsidRDefault="00FA7D0C" w:rsidP="007E7997">
      <w:r>
        <w:continuationSeparator/>
      </w:r>
    </w:p>
  </w:footnote>
  <w:footnote w:type="continuationNotice" w:id="1">
    <w:p w14:paraId="48A34AA3" w14:textId="77777777" w:rsidR="00FA7D0C" w:rsidRDefault="00FA7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CFBA" w14:textId="77777777" w:rsidR="005E63E4" w:rsidRDefault="005E63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5E63E4" w:rsidRDefault="005E63E4">
    <w:pPr>
      <w:pStyle w:val="Kopfzeile"/>
    </w:pPr>
  </w:p>
  <w:p w14:paraId="59FA3C9D" w14:textId="77777777" w:rsidR="005E63E4" w:rsidRDefault="005E63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5E63E4" w:rsidRDefault="005E63E4">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5E63E4" w:rsidRDefault="005E63E4"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9A57"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5E63E4" w:rsidRPr="00D13661" w:rsidRDefault="005E63E4"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5E63E4" w:rsidRPr="00C3170E" w:rsidRDefault="005E63E4" w:rsidP="00B50534">
    <w:pPr>
      <w:pStyle w:val="Kopfzeile"/>
      <w:jc w:val="right"/>
      <w:rPr>
        <w:color w:val="2F5496" w:themeColor="accent5" w:themeShade="BF"/>
        <w:sz w:val="20"/>
      </w:rPr>
    </w:pPr>
  </w:p>
  <w:p w14:paraId="5EAB6EC6" w14:textId="77777777" w:rsidR="005E63E4" w:rsidRPr="00B50534" w:rsidRDefault="005E63E4"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06FFE"/>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AD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0CA1"/>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A7DA0"/>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79"/>
    <w:rsid w:val="0044199E"/>
    <w:rsid w:val="0044206D"/>
    <w:rsid w:val="00444803"/>
    <w:rsid w:val="00445696"/>
    <w:rsid w:val="00446E5F"/>
    <w:rsid w:val="00450C4E"/>
    <w:rsid w:val="00455577"/>
    <w:rsid w:val="00456795"/>
    <w:rsid w:val="0046043A"/>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A5872"/>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63E4"/>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3B43"/>
    <w:rsid w:val="00676CFC"/>
    <w:rsid w:val="00677133"/>
    <w:rsid w:val="00681482"/>
    <w:rsid w:val="00687BF0"/>
    <w:rsid w:val="006904CF"/>
    <w:rsid w:val="006912FB"/>
    <w:rsid w:val="00695AF2"/>
    <w:rsid w:val="00696A2B"/>
    <w:rsid w:val="00696BD5"/>
    <w:rsid w:val="006A04AE"/>
    <w:rsid w:val="006A0AD9"/>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0D6E"/>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104"/>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2489"/>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197"/>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6F75"/>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2953"/>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22E"/>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6505"/>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2D8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4E0A"/>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0861"/>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13A"/>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332B"/>
    <w:rsid w:val="00F146BE"/>
    <w:rsid w:val="00F15204"/>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116"/>
    <w:rsid w:val="00FA55C8"/>
    <w:rsid w:val="00FA74C6"/>
    <w:rsid w:val="00FA7D0C"/>
    <w:rsid w:val="00FB1743"/>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ED9919-D0BE-495F-B1EC-61B3B3298933}">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15</Pages>
  <Words>3728</Words>
  <Characters>23493</Characters>
  <Application>Microsoft Office Word</Application>
  <DocSecurity>8</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Horvath Philipp, BSC, LL.M., LL.B., WKÖ BSBV</cp:lastModifiedBy>
  <cp:revision>7</cp:revision>
  <cp:lastPrinted>2017-07-24T14:47:00Z</cp:lastPrinted>
  <dcterms:created xsi:type="dcterms:W3CDTF">2021-03-08T16:13:00Z</dcterms:created>
  <dcterms:modified xsi:type="dcterms:W3CDTF">2021-03-08T16:25:00Z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y fmtid="{D5CDD505-2E9C-101B-9397-08002B2CF9AE}" pid="19" name="MSIP_Label_2a6524ed-fb1a-49fd-bafe-15c5e5ffd047_Enabled">
    <vt:lpwstr>true</vt:lpwstr>
  </property>
  <property fmtid="{D5CDD505-2E9C-101B-9397-08002B2CF9AE}" pid="20" name="MSIP_Label_2a6524ed-fb1a-49fd-bafe-15c5e5ffd047_SetDate">
    <vt:lpwstr>2021-02-28T13:55:27Z</vt:lpwstr>
  </property>
  <property fmtid="{D5CDD505-2E9C-101B-9397-08002B2CF9AE}" pid="21" name="MSIP_Label_2a6524ed-fb1a-49fd-bafe-15c5e5ffd047_Method">
    <vt:lpwstr>Privileged</vt:lpwstr>
  </property>
  <property fmtid="{D5CDD505-2E9C-101B-9397-08002B2CF9AE}" pid="22" name="MSIP_Label_2a6524ed-fb1a-49fd-bafe-15c5e5ffd047_Name">
    <vt:lpwstr>Internal</vt:lpwstr>
  </property>
  <property fmtid="{D5CDD505-2E9C-101B-9397-08002B2CF9AE}" pid="23" name="MSIP_Label_2a6524ed-fb1a-49fd-bafe-15c5e5ffd047_SiteId">
    <vt:lpwstr>9b511fda-f0b1-43a5-b06e-1e720f64520a</vt:lpwstr>
  </property>
  <property fmtid="{D5CDD505-2E9C-101B-9397-08002B2CF9AE}" pid="24" name="MSIP_Label_2a6524ed-fb1a-49fd-bafe-15c5e5ffd047_ActionId">
    <vt:lpwstr>baec6d95-53eb-460c-9fe9-20efbcc96952</vt:lpwstr>
  </property>
  <property fmtid="{D5CDD505-2E9C-101B-9397-08002B2CF9AE}" pid="25" name="MSIP_Label_2a6524ed-fb1a-49fd-bafe-15c5e5ffd047_ContentBits">
    <vt:lpwstr>0</vt:lpwstr>
  </property>
</Properties>
</file>