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47" w:rsidRPr="00562B09" w:rsidRDefault="00A51777" w:rsidP="00562B09">
      <w:pPr>
        <w:pStyle w:val="Heading1"/>
        <w:jc w:val="center"/>
        <w:rPr>
          <w:rFonts w:eastAsia="Times New Roman"/>
          <w:sz w:val="22"/>
          <w:szCs w:val="22"/>
        </w:rPr>
      </w:pPr>
      <w:r w:rsidRPr="00562B09">
        <w:rPr>
          <w:rFonts w:eastAsia="Times New Roman"/>
          <w:sz w:val="22"/>
          <w:szCs w:val="22"/>
        </w:rPr>
        <w:t>Virtu</w:t>
      </w:r>
      <w:r w:rsidR="00562B09">
        <w:rPr>
          <w:rFonts w:eastAsia="Times New Roman"/>
          <w:sz w:val="22"/>
          <w:szCs w:val="22"/>
        </w:rPr>
        <w:t xml:space="preserve"> Financial</w:t>
      </w:r>
      <w:r w:rsidRPr="00562B09">
        <w:rPr>
          <w:rFonts w:eastAsia="Times New Roman"/>
          <w:sz w:val="22"/>
          <w:szCs w:val="22"/>
        </w:rPr>
        <w:t xml:space="preserve"> Europe Response to ESMA Consultation Paper on the </w:t>
      </w:r>
      <w:r w:rsidR="00562B09" w:rsidRPr="00562B09">
        <w:rPr>
          <w:rFonts w:eastAsia="Times New Roman"/>
          <w:sz w:val="22"/>
          <w:szCs w:val="22"/>
        </w:rPr>
        <w:t>Guidelines</w:t>
      </w:r>
      <w:r w:rsidR="002A5248" w:rsidRPr="00562B09">
        <w:rPr>
          <w:rFonts w:eastAsia="Times New Roman"/>
          <w:sz w:val="22"/>
          <w:szCs w:val="22"/>
        </w:rPr>
        <w:t xml:space="preserve"> on the MiFID II/MiFIR obligations on market data (ESMA70-156-2477</w:t>
      </w:r>
      <w:r w:rsidRPr="00562B09">
        <w:rPr>
          <w:rFonts w:eastAsia="Times New Roman"/>
          <w:sz w:val="22"/>
          <w:szCs w:val="22"/>
        </w:rPr>
        <w:t>, the "CP")</w:t>
      </w:r>
    </w:p>
    <w:p w:rsidR="006B2E47" w:rsidRPr="00562B09" w:rsidRDefault="00A51777" w:rsidP="00562B09">
      <w:pPr>
        <w:pStyle w:val="Heading4"/>
        <w:jc w:val="both"/>
        <w:rPr>
          <w:rFonts w:eastAsia="Times New Roman"/>
          <w:sz w:val="22"/>
          <w:szCs w:val="22"/>
        </w:rPr>
      </w:pPr>
      <w:r w:rsidRPr="00562B09">
        <w:rPr>
          <w:rFonts w:eastAsia="Times New Roman"/>
          <w:sz w:val="22"/>
          <w:szCs w:val="22"/>
        </w:rPr>
        <w:t>Introduction</w:t>
      </w:r>
    </w:p>
    <w:p w:rsidR="004C2EFA" w:rsidRPr="004C2EFA" w:rsidRDefault="004C2EFA" w:rsidP="00562B09">
      <w:pPr>
        <w:spacing w:before="100" w:beforeAutospacing="1" w:after="100" w:afterAutospacing="1"/>
        <w:jc w:val="both"/>
        <w:rPr>
          <w:rFonts w:eastAsia="Times New Roman"/>
          <w:sz w:val="22"/>
          <w:szCs w:val="22"/>
        </w:rPr>
      </w:pPr>
      <w:r w:rsidRPr="004C2EFA">
        <w:rPr>
          <w:rFonts w:eastAsia="Times New Roman"/>
          <w:sz w:val="22"/>
          <w:szCs w:val="22"/>
        </w:rPr>
        <w:t xml:space="preserve">Virtu Financial Europe (collectively </w:t>
      </w:r>
      <w:r w:rsidRPr="00562B09">
        <w:rPr>
          <w:rFonts w:eastAsia="Times New Roman"/>
          <w:b/>
          <w:bCs/>
          <w:sz w:val="22"/>
          <w:szCs w:val="22"/>
        </w:rPr>
        <w:t xml:space="preserve">''Virtu'' </w:t>
      </w:r>
      <w:r w:rsidRPr="004C2EFA">
        <w:rPr>
          <w:rFonts w:eastAsia="Times New Roman"/>
          <w:sz w:val="22"/>
          <w:szCs w:val="22"/>
        </w:rPr>
        <w:t>or</w:t>
      </w:r>
      <w:r w:rsidRPr="00562B09">
        <w:rPr>
          <w:rFonts w:eastAsia="Times New Roman"/>
          <w:b/>
          <w:bCs/>
          <w:sz w:val="22"/>
          <w:szCs w:val="22"/>
        </w:rPr>
        <w:t xml:space="preserve"> ''we''</w:t>
      </w:r>
      <w:r w:rsidRPr="004C2EFA">
        <w:rPr>
          <w:rFonts w:eastAsia="Times New Roman"/>
          <w:sz w:val="22"/>
          <w:szCs w:val="22"/>
        </w:rPr>
        <w:t>) is a group of investment firms a</w:t>
      </w:r>
      <w:r w:rsidR="00562B09">
        <w:rPr>
          <w:rFonts w:eastAsia="Times New Roman"/>
          <w:sz w:val="22"/>
          <w:szCs w:val="22"/>
        </w:rPr>
        <w:t xml:space="preserve">uthorised in both the EU and UK. Virtu undertakes </w:t>
      </w:r>
      <w:r w:rsidRPr="004C2EFA">
        <w:rPr>
          <w:rFonts w:eastAsia="Times New Roman"/>
          <w:sz w:val="22"/>
          <w:szCs w:val="22"/>
        </w:rPr>
        <w:t xml:space="preserve">a range of MiFID activities including market making, proprietary trading, brokerage services, acting as a systematic </w:t>
      </w:r>
      <w:proofErr w:type="spellStart"/>
      <w:r w:rsidRPr="004C2EFA">
        <w:rPr>
          <w:rFonts w:eastAsia="Times New Roman"/>
          <w:sz w:val="22"/>
          <w:szCs w:val="22"/>
        </w:rPr>
        <w:t>internaliser</w:t>
      </w:r>
      <w:proofErr w:type="spellEnd"/>
      <w:r w:rsidRPr="004C2EFA">
        <w:rPr>
          <w:rFonts w:eastAsia="Times New Roman"/>
          <w:sz w:val="22"/>
          <w:szCs w:val="22"/>
        </w:rPr>
        <w:t xml:space="preserve"> and </w:t>
      </w:r>
      <w:r w:rsidR="00562B09">
        <w:rPr>
          <w:rFonts w:eastAsia="Times New Roman"/>
          <w:sz w:val="22"/>
          <w:szCs w:val="22"/>
        </w:rPr>
        <w:t>operating</w:t>
      </w:r>
      <w:r w:rsidRPr="004C2EFA">
        <w:rPr>
          <w:rFonts w:eastAsia="Times New Roman"/>
          <w:sz w:val="22"/>
          <w:szCs w:val="22"/>
        </w:rPr>
        <w:t xml:space="preserve"> POSIT MTF. Virtu welcomes ESMA's efforts to critically examine and open for public discussion</w:t>
      </w:r>
      <w:r w:rsidR="00562B09">
        <w:rPr>
          <w:rFonts w:eastAsia="Times New Roman"/>
          <w:sz w:val="22"/>
          <w:szCs w:val="22"/>
        </w:rPr>
        <w:t xml:space="preserve"> the</w:t>
      </w:r>
      <w:r w:rsidRPr="004C2EFA">
        <w:rPr>
          <w:rFonts w:eastAsia="Times New Roman"/>
          <w:sz w:val="22"/>
          <w:szCs w:val="22"/>
        </w:rPr>
        <w:t xml:space="preserve"> critical issue of market data fees.  We broadly welcome the draft guidelines contained in this consultation paper.  We have provided further commentary under specific questions to outline where the guidelines could be enhanced to ensure they meet the objectives set out in MiFID II/MiFIR and the ESMA Report on Market Data (ESMA70-156-1606).  </w:t>
      </w:r>
    </w:p>
    <w:p w:rsidR="004C2EFA" w:rsidRPr="004C2EFA" w:rsidRDefault="004C2EFA" w:rsidP="00562B09">
      <w:pPr>
        <w:spacing w:before="100" w:beforeAutospacing="1" w:after="100" w:afterAutospacing="1"/>
        <w:jc w:val="both"/>
        <w:rPr>
          <w:rFonts w:eastAsia="Times New Roman"/>
          <w:sz w:val="22"/>
          <w:szCs w:val="22"/>
        </w:rPr>
      </w:pPr>
      <w:r w:rsidRPr="00562B09">
        <w:rPr>
          <w:rFonts w:eastAsia="Times New Roman"/>
          <w:sz w:val="22"/>
          <w:szCs w:val="22"/>
        </w:rPr>
        <w:t>Importantly, ESMA has not given any substantial consideration to the related issue of connectivity costs which are often a large and overlooked component of market data charges.</w:t>
      </w:r>
      <w:r w:rsidRPr="004C2EFA">
        <w:rPr>
          <w:rFonts w:eastAsia="Times New Roman"/>
          <w:sz w:val="22"/>
          <w:szCs w:val="22"/>
        </w:rPr>
        <w:t>  Virtu is concerned that market data providers may increase the connectivity charges to subscribers in order to offset any loss of revenue as a result of these new guidelines.  We address this point further at Q26.</w:t>
      </w:r>
    </w:p>
    <w:p w:rsidR="004C2EFA" w:rsidRPr="004C2EFA" w:rsidRDefault="004C2EFA" w:rsidP="00562B09">
      <w:pPr>
        <w:spacing w:before="100" w:beforeAutospacing="1" w:after="100" w:afterAutospacing="1"/>
        <w:jc w:val="both"/>
        <w:rPr>
          <w:rFonts w:eastAsia="Times New Roman"/>
          <w:sz w:val="22"/>
          <w:szCs w:val="22"/>
        </w:rPr>
      </w:pPr>
      <w:r w:rsidRPr="004C2EFA">
        <w:rPr>
          <w:rFonts w:eastAsia="Times New Roman"/>
          <w:sz w:val="22"/>
          <w:szCs w:val="22"/>
        </w:rPr>
        <w:t xml:space="preserve">Virtu also notes that, for real and substantive </w:t>
      </w:r>
      <w:r w:rsidRPr="00562B09">
        <w:rPr>
          <w:rFonts w:eastAsia="Times New Roman"/>
          <w:sz w:val="22"/>
          <w:szCs w:val="22"/>
        </w:rPr>
        <w:t>change</w:t>
      </w:r>
      <w:r w:rsidRPr="004C2EFA">
        <w:rPr>
          <w:rFonts w:eastAsia="Times New Roman"/>
          <w:sz w:val="22"/>
          <w:szCs w:val="22"/>
        </w:rPr>
        <w:t xml:space="preserve"> to unfair market data practices to be realised, National Competent Authorities need to ensure proper enforcement of these guidelines and the European Commission needs to </w:t>
      </w:r>
      <w:r w:rsidRPr="00562B09">
        <w:rPr>
          <w:rFonts w:eastAsia="Times New Roman"/>
          <w:sz w:val="22"/>
          <w:szCs w:val="22"/>
        </w:rPr>
        <w:t>progress</w:t>
      </w:r>
      <w:r w:rsidRPr="004C2EFA">
        <w:rPr>
          <w:rFonts w:eastAsia="Times New Roman"/>
          <w:sz w:val="22"/>
          <w:szCs w:val="22"/>
        </w:rPr>
        <w:t xml:space="preserve"> </w:t>
      </w:r>
      <w:r w:rsidRPr="00562B09">
        <w:rPr>
          <w:rFonts w:eastAsia="Times New Roman"/>
          <w:sz w:val="22"/>
          <w:szCs w:val="22"/>
        </w:rPr>
        <w:t xml:space="preserve">the </w:t>
      </w:r>
      <w:r w:rsidR="00562B09">
        <w:rPr>
          <w:rFonts w:eastAsia="Times New Roman"/>
          <w:sz w:val="22"/>
          <w:szCs w:val="22"/>
        </w:rPr>
        <w:t>Level 1 changes proposed</w:t>
      </w:r>
      <w:r w:rsidRPr="004C2EFA">
        <w:rPr>
          <w:rFonts w:eastAsia="Times New Roman"/>
          <w:sz w:val="22"/>
          <w:szCs w:val="22"/>
        </w:rPr>
        <w:t xml:space="preserve"> in the Report on Market Data.</w:t>
      </w:r>
    </w:p>
    <w:p w:rsidR="004C2EFA" w:rsidRPr="004C2EFA" w:rsidRDefault="004C2EFA" w:rsidP="00562B09">
      <w:pPr>
        <w:spacing w:before="100" w:beforeAutospacing="1" w:after="100" w:afterAutospacing="1"/>
        <w:jc w:val="both"/>
        <w:rPr>
          <w:rFonts w:eastAsia="Times New Roman"/>
          <w:sz w:val="22"/>
          <w:szCs w:val="22"/>
        </w:rPr>
      </w:pPr>
      <w:r w:rsidRPr="00562B09">
        <w:rPr>
          <w:rFonts w:eastAsia="Times New Roman"/>
          <w:b/>
          <w:bCs/>
          <w:sz w:val="22"/>
          <w:szCs w:val="22"/>
        </w:rPr>
        <w:t>Question 1: What are your views on covering in the Guidelines also market data providers offering market data free of charge for the requirements not explicitly exempted in the Level 2 requirements?</w:t>
      </w:r>
    </w:p>
    <w:p w:rsidR="004C2EFA" w:rsidRPr="00562B09" w:rsidRDefault="004C2EFA" w:rsidP="00562B09">
      <w:pPr>
        <w:spacing w:before="100" w:beforeAutospacing="1" w:after="100" w:afterAutospacing="1"/>
        <w:jc w:val="both"/>
        <w:rPr>
          <w:rFonts w:eastAsia="Times New Roman"/>
          <w:sz w:val="22"/>
          <w:szCs w:val="22"/>
        </w:rPr>
      </w:pPr>
      <w:r w:rsidRPr="004C2EFA">
        <w:rPr>
          <w:rFonts w:eastAsia="Times New Roman"/>
          <w:sz w:val="22"/>
          <w:szCs w:val="22"/>
        </w:rPr>
        <w:t xml:space="preserve">These guidelines should not apply to providers who do not charge for market data.  </w:t>
      </w:r>
      <w:r w:rsidRPr="00562B09">
        <w:rPr>
          <w:rFonts w:eastAsia="Times New Roman"/>
          <w:sz w:val="22"/>
          <w:szCs w:val="22"/>
        </w:rPr>
        <w:t>To do so would unfairly add to the cost of market data provision without the provider receiving any compensation from subscribers.</w:t>
      </w:r>
      <w:r w:rsidRPr="004C2EFA">
        <w:rPr>
          <w:rFonts w:eastAsia="Times New Roman"/>
          <w:sz w:val="22"/>
          <w:szCs w:val="22"/>
        </w:rPr>
        <w:t> </w:t>
      </w:r>
      <w:r w:rsidRPr="00562B09">
        <w:rPr>
          <w:rFonts w:eastAsia="Times New Roman"/>
          <w:sz w:val="22"/>
          <w:szCs w:val="22"/>
        </w:rPr>
        <w:t>Further, in applying such provisions to providers who do not charge for market data, ESMA may disincentive</w:t>
      </w:r>
      <w:r w:rsidR="00DC3945">
        <w:rPr>
          <w:rFonts w:eastAsia="Times New Roman"/>
          <w:sz w:val="22"/>
          <w:szCs w:val="22"/>
        </w:rPr>
        <w:t>ise</w:t>
      </w:r>
      <w:r w:rsidRPr="00562B09">
        <w:rPr>
          <w:rFonts w:eastAsia="Times New Roman"/>
          <w:sz w:val="22"/>
          <w:szCs w:val="22"/>
        </w:rPr>
        <w:t xml:space="preserve"> the free provision of market data by such providers, leading to a situation where more charges associated with market data are generated. This stands contrary to the intention of the requirements which is to reduce market data costs for consumers of market data.</w:t>
      </w:r>
    </w:p>
    <w:p w:rsidR="004C2EFA" w:rsidRPr="004C2EFA" w:rsidRDefault="004C2EFA" w:rsidP="00562B09">
      <w:pPr>
        <w:spacing w:before="100" w:beforeAutospacing="1" w:after="100" w:afterAutospacing="1"/>
        <w:jc w:val="both"/>
        <w:rPr>
          <w:rFonts w:eastAsia="Times New Roman"/>
          <w:sz w:val="22"/>
          <w:szCs w:val="22"/>
        </w:rPr>
      </w:pPr>
      <w:r w:rsidRPr="004C2EFA">
        <w:rPr>
          <w:rFonts w:eastAsia="Times New Roman"/>
          <w:sz w:val="22"/>
          <w:szCs w:val="22"/>
        </w:rPr>
        <w:t xml:space="preserve">To our knowledge, no issues have </w:t>
      </w:r>
      <w:r w:rsidRPr="00562B09">
        <w:rPr>
          <w:rFonts w:eastAsia="Times New Roman"/>
          <w:sz w:val="22"/>
          <w:szCs w:val="22"/>
        </w:rPr>
        <w:t>been</w:t>
      </w:r>
      <w:r w:rsidRPr="004C2EFA">
        <w:rPr>
          <w:rFonts w:eastAsia="Times New Roman"/>
          <w:sz w:val="22"/>
          <w:szCs w:val="22"/>
        </w:rPr>
        <w:t xml:space="preserve"> raised by subscribers of such data providers and thus they should not be the target of supervisory focus. </w:t>
      </w:r>
    </w:p>
    <w:p w:rsidR="002A5248" w:rsidRPr="00562B09" w:rsidRDefault="004C2EFA" w:rsidP="00562B09">
      <w:pPr>
        <w:pStyle w:val="Heading4"/>
        <w:jc w:val="both"/>
        <w:rPr>
          <w:rFonts w:eastAsia="Times New Roman"/>
          <w:sz w:val="22"/>
          <w:szCs w:val="22"/>
        </w:rPr>
      </w:pPr>
      <w:r w:rsidRPr="00562B09">
        <w:rPr>
          <w:rFonts w:eastAsia="Times New Roman"/>
          <w:sz w:val="22"/>
          <w:szCs w:val="22"/>
        </w:rPr>
        <w:t>Question 2: Do you agree with Guideline 1? If not, please justify.</w:t>
      </w:r>
    </w:p>
    <w:p w:rsidR="004C2EFA" w:rsidRPr="00562B09" w:rsidRDefault="004C2EFA" w:rsidP="00562B09">
      <w:pPr>
        <w:pStyle w:val="Heading4"/>
        <w:jc w:val="both"/>
        <w:rPr>
          <w:rFonts w:eastAsia="Times New Roman"/>
          <w:b w:val="0"/>
          <w:sz w:val="22"/>
          <w:szCs w:val="22"/>
        </w:rPr>
      </w:pPr>
      <w:r w:rsidRPr="00562B09">
        <w:rPr>
          <w:rFonts w:eastAsia="Times New Roman"/>
          <w:b w:val="0"/>
          <w:sz w:val="22"/>
          <w:szCs w:val="22"/>
        </w:rPr>
        <w:t>We agree with the intention and spirit of draft Guideline 1 as it calls for increased granularity and transparency into the costs of producing and disseminating market data.  We also note the submission of the European Principal Traders Association ("</w:t>
      </w:r>
      <w:r w:rsidRPr="00562B09">
        <w:rPr>
          <w:rFonts w:eastAsia="Times New Roman"/>
          <w:sz w:val="22"/>
          <w:szCs w:val="22"/>
        </w:rPr>
        <w:t>EPTA</w:t>
      </w:r>
      <w:r w:rsidRPr="00562B09">
        <w:rPr>
          <w:rFonts w:eastAsia="Times New Roman"/>
          <w:b w:val="0"/>
          <w:sz w:val="22"/>
          <w:szCs w:val="22"/>
        </w:rPr>
        <w:t xml:space="preserve">") which gives a detailed assessment into the actual costs to a trading venue of producing market data.   </w:t>
      </w:r>
    </w:p>
    <w:p w:rsidR="004C2EFA" w:rsidRPr="00562B09" w:rsidRDefault="004C2EFA" w:rsidP="00562B09">
      <w:pPr>
        <w:pStyle w:val="Heading4"/>
        <w:jc w:val="both"/>
        <w:rPr>
          <w:rFonts w:eastAsia="Times New Roman"/>
          <w:b w:val="0"/>
          <w:sz w:val="22"/>
          <w:szCs w:val="22"/>
        </w:rPr>
      </w:pPr>
      <w:r w:rsidRPr="00562B09">
        <w:rPr>
          <w:rFonts w:eastAsia="Times New Roman"/>
          <w:b w:val="0"/>
          <w:sz w:val="22"/>
          <w:szCs w:val="22"/>
        </w:rPr>
        <w:t>To further strengthen the aims of this guideline, we believe NCAs should be required to audit these met</w:t>
      </w:r>
      <w:r w:rsidR="00DC3945">
        <w:rPr>
          <w:rFonts w:eastAsia="Times New Roman"/>
          <w:b w:val="0"/>
          <w:sz w:val="22"/>
          <w:szCs w:val="22"/>
        </w:rPr>
        <w:t xml:space="preserve">hodologies on an annual basis.  </w:t>
      </w:r>
      <w:r w:rsidRPr="00562B09">
        <w:rPr>
          <w:rFonts w:eastAsia="Times New Roman"/>
          <w:b w:val="0"/>
          <w:sz w:val="22"/>
          <w:szCs w:val="22"/>
        </w:rPr>
        <w:t xml:space="preserve">This would establish a benchmark for costs which the annual review could then be evaluated against. Having such a benchmark for assessment would appear to be necessary in light of the fact that the law already requires that market data be provided on a reasonable commercial basis, </w:t>
      </w:r>
      <w:r w:rsidRPr="00562B09">
        <w:rPr>
          <w:rFonts w:eastAsia="Times New Roman"/>
          <w:b w:val="0"/>
          <w:sz w:val="22"/>
          <w:szCs w:val="22"/>
        </w:rPr>
        <w:lastRenderedPageBreak/>
        <w:t xml:space="preserve">(as noted in paragraph 17 of the consultation paper), but compliance with such requirements has been difficult to determine without such a benchmark.  </w:t>
      </w:r>
    </w:p>
    <w:p w:rsidR="004C2EFA" w:rsidRPr="004C2EFA" w:rsidRDefault="004C2EFA" w:rsidP="00562B09">
      <w:pPr>
        <w:shd w:val="clear" w:color="auto" w:fill="FFFFFF"/>
        <w:spacing w:before="150"/>
        <w:jc w:val="both"/>
        <w:rPr>
          <w:rFonts w:eastAsia="Times New Roman"/>
          <w:sz w:val="22"/>
          <w:szCs w:val="22"/>
        </w:rPr>
      </w:pPr>
      <w:r w:rsidRPr="00562B09">
        <w:rPr>
          <w:rFonts w:eastAsia="Times New Roman"/>
          <w:b/>
          <w:bCs/>
          <w:sz w:val="22"/>
          <w:szCs w:val="22"/>
        </w:rPr>
        <w:t>Question 3: Do you think ESMA should clarify other aspects of the accounting methodologies for setting up the fees of market data? If yes, please explain.</w:t>
      </w:r>
    </w:p>
    <w:p w:rsidR="004C2EFA" w:rsidRPr="004C2EFA" w:rsidRDefault="004C2EFA" w:rsidP="00562B09">
      <w:pPr>
        <w:shd w:val="clear" w:color="auto" w:fill="FFFFFF"/>
        <w:spacing w:before="150"/>
        <w:jc w:val="both"/>
        <w:rPr>
          <w:rFonts w:eastAsia="Times New Roman"/>
          <w:sz w:val="22"/>
          <w:szCs w:val="22"/>
        </w:rPr>
      </w:pPr>
      <w:r w:rsidRPr="004C2EFA">
        <w:rPr>
          <w:rFonts w:eastAsia="Times New Roman"/>
          <w:sz w:val="22"/>
          <w:szCs w:val="22"/>
        </w:rPr>
        <w:t>We do not agree with the statement at paragraph 19 which reads:</w:t>
      </w:r>
    </w:p>
    <w:p w:rsidR="004C2EFA" w:rsidRPr="004C2EFA" w:rsidRDefault="004C2EFA" w:rsidP="00562B09">
      <w:pPr>
        <w:shd w:val="clear" w:color="auto" w:fill="FFFFFF"/>
        <w:spacing w:before="150"/>
        <w:ind w:left="720"/>
        <w:jc w:val="both"/>
        <w:rPr>
          <w:rFonts w:eastAsia="Times New Roman"/>
          <w:sz w:val="22"/>
          <w:szCs w:val="22"/>
        </w:rPr>
      </w:pPr>
      <w:r w:rsidRPr="00562B09">
        <w:rPr>
          <w:rFonts w:eastAsia="Times New Roman"/>
          <w:sz w:val="22"/>
          <w:szCs w:val="22"/>
        </w:rPr>
        <w:t>considering</w:t>
      </w:r>
      <w:r w:rsidRPr="004C2EFA">
        <w:rPr>
          <w:rFonts w:eastAsia="Times New Roman"/>
          <w:sz w:val="22"/>
          <w:szCs w:val="22"/>
        </w:rPr>
        <w:t> the different operating models and cost structures of market data providers these guidelines do not harmonise the cost accounting methods but rather require market data providers to have a clear and documented methodology for setting the price of </w:t>
      </w:r>
      <w:r w:rsidRPr="00562B09">
        <w:rPr>
          <w:rFonts w:eastAsia="Times New Roman"/>
          <w:sz w:val="22"/>
          <w:szCs w:val="22"/>
        </w:rPr>
        <w:t>market data.</w:t>
      </w:r>
    </w:p>
    <w:p w:rsidR="004C2EFA" w:rsidRPr="004C2EFA" w:rsidRDefault="004C2EFA" w:rsidP="00562B09">
      <w:pPr>
        <w:shd w:val="clear" w:color="auto" w:fill="FFFFFF"/>
        <w:spacing w:before="150"/>
        <w:jc w:val="both"/>
        <w:rPr>
          <w:rFonts w:eastAsia="Times New Roman"/>
          <w:sz w:val="22"/>
          <w:szCs w:val="22"/>
        </w:rPr>
      </w:pPr>
      <w:r w:rsidRPr="00562B09">
        <w:rPr>
          <w:rFonts w:eastAsia="Times New Roman"/>
          <w:sz w:val="22"/>
          <w:szCs w:val="22"/>
        </w:rPr>
        <w:t>We urge</w:t>
      </w:r>
      <w:r w:rsidRPr="004C2EFA">
        <w:rPr>
          <w:rFonts w:eastAsia="Times New Roman"/>
          <w:sz w:val="22"/>
          <w:szCs w:val="22"/>
        </w:rPr>
        <w:t> ESMA to be as prescriptive as possible with regard to the accounting methodologies related to the cost of producing and disseminating market data.</w:t>
      </w:r>
      <w:r w:rsidR="00DC3945">
        <w:rPr>
          <w:rFonts w:eastAsia="Times New Roman"/>
          <w:sz w:val="22"/>
          <w:szCs w:val="22"/>
        </w:rPr>
        <w:t xml:space="preserve"> </w:t>
      </w:r>
      <w:r w:rsidRPr="004C2EFA">
        <w:rPr>
          <w:rFonts w:eastAsia="Times New Roman"/>
          <w:sz w:val="22"/>
          <w:szCs w:val="22"/>
        </w:rPr>
        <w:t xml:space="preserve"> Without clearly defined standards it is likely that methodologies employed by market data providers will be as many and varied as</w:t>
      </w:r>
      <w:r w:rsidR="00F918B5" w:rsidRPr="00562B09">
        <w:rPr>
          <w:rFonts w:eastAsia="Times New Roman"/>
          <w:sz w:val="22"/>
          <w:szCs w:val="22"/>
        </w:rPr>
        <w:t xml:space="preserve"> their fee schedules are today, </w:t>
      </w:r>
      <w:r w:rsidRPr="00562B09">
        <w:rPr>
          <w:rFonts w:eastAsia="Times New Roman"/>
          <w:bCs/>
          <w:sz w:val="22"/>
          <w:szCs w:val="22"/>
        </w:rPr>
        <w:t xml:space="preserve">which would defeat the purpose of </w:t>
      </w:r>
      <w:r w:rsidR="00F918B5" w:rsidRPr="00562B09">
        <w:rPr>
          <w:rFonts w:eastAsia="Times New Roman"/>
          <w:bCs/>
          <w:sz w:val="22"/>
          <w:szCs w:val="22"/>
        </w:rPr>
        <w:t xml:space="preserve">the </w:t>
      </w:r>
      <w:r w:rsidRPr="00562B09">
        <w:rPr>
          <w:rFonts w:eastAsia="Times New Roman"/>
          <w:bCs/>
          <w:sz w:val="22"/>
          <w:szCs w:val="22"/>
        </w:rPr>
        <w:t>needed enhanced transparency</w:t>
      </w:r>
      <w:r w:rsidRPr="004C2EFA">
        <w:rPr>
          <w:rFonts w:eastAsia="Times New Roman"/>
          <w:sz w:val="22"/>
          <w:szCs w:val="22"/>
        </w:rPr>
        <w:t>. This runs contrary to the intention of </w:t>
      </w:r>
      <w:r w:rsidRPr="00562B09">
        <w:rPr>
          <w:rFonts w:eastAsia="Times New Roman"/>
          <w:sz w:val="22"/>
          <w:szCs w:val="22"/>
        </w:rPr>
        <w:t xml:space="preserve">comparability </w:t>
      </w:r>
      <w:r w:rsidR="00F918B5" w:rsidRPr="00562B09">
        <w:rPr>
          <w:rFonts w:eastAsia="Times New Roman"/>
          <w:sz w:val="22"/>
          <w:szCs w:val="22"/>
        </w:rPr>
        <w:t xml:space="preserve">and transparency to facilitate assessment </w:t>
      </w:r>
      <w:r w:rsidRPr="004C2EFA">
        <w:rPr>
          <w:rFonts w:eastAsia="Times New Roman"/>
          <w:sz w:val="22"/>
          <w:szCs w:val="22"/>
        </w:rPr>
        <w:t>of the reasonable costs basis across a range of market data providers.</w:t>
      </w:r>
    </w:p>
    <w:p w:rsidR="00EE029E" w:rsidRPr="00562B09" w:rsidRDefault="004C2EFA" w:rsidP="00562B09">
      <w:pPr>
        <w:shd w:val="clear" w:color="auto" w:fill="FFFFFF"/>
        <w:spacing w:before="150"/>
        <w:jc w:val="both"/>
        <w:rPr>
          <w:rFonts w:eastAsia="Times New Roman"/>
          <w:sz w:val="22"/>
          <w:szCs w:val="22"/>
        </w:rPr>
      </w:pPr>
      <w:r w:rsidRPr="004C2EFA">
        <w:rPr>
          <w:rFonts w:eastAsia="Times New Roman"/>
          <w:sz w:val="22"/>
          <w:szCs w:val="22"/>
        </w:rPr>
        <w:t>We believe that adopting a common format will be crucial in examining the issue across a variety of market data providers and propose that the model follows the one put forth</w:t>
      </w:r>
      <w:bookmarkStart w:id="0" w:name="_ftnref1"/>
      <w:r w:rsidR="00EE029E" w:rsidRPr="00562B09">
        <w:rPr>
          <w:rFonts w:eastAsia="Times New Roman"/>
          <w:sz w:val="22"/>
          <w:szCs w:val="22"/>
        </w:rPr>
        <w:t xml:space="preserve"> by the Investors Exchange (IEX</w:t>
      </w:r>
      <w:bookmarkEnd w:id="0"/>
      <w:r w:rsidR="00EE029E" w:rsidRPr="00562B09">
        <w:rPr>
          <w:rFonts w:eastAsia="Times New Roman"/>
          <w:sz w:val="22"/>
          <w:szCs w:val="22"/>
        </w:rPr>
        <w:t>).</w:t>
      </w:r>
      <w:r w:rsidR="00EE029E" w:rsidRPr="00562B09">
        <w:rPr>
          <w:rStyle w:val="FootnoteReference"/>
          <w:rFonts w:eastAsia="Times New Roman"/>
          <w:sz w:val="22"/>
          <w:szCs w:val="22"/>
        </w:rPr>
        <w:footnoteReference w:id="1"/>
      </w:r>
    </w:p>
    <w:p w:rsidR="004C2EFA" w:rsidRPr="004C2EFA" w:rsidRDefault="004C2EFA" w:rsidP="00562B09">
      <w:pPr>
        <w:shd w:val="clear" w:color="auto" w:fill="FFFFFF"/>
        <w:spacing w:before="150"/>
        <w:jc w:val="both"/>
        <w:rPr>
          <w:rFonts w:eastAsia="Times New Roman"/>
          <w:sz w:val="22"/>
          <w:szCs w:val="22"/>
        </w:rPr>
      </w:pPr>
      <w:r w:rsidRPr="004C2EFA">
        <w:rPr>
          <w:rFonts w:eastAsia="Times New Roman"/>
          <w:sz w:val="22"/>
          <w:szCs w:val="22"/>
        </w:rPr>
        <w:t>While all market data providers vary, the hardware and software components used in the provision of market data, whether by venues or vendors, are adequately mapped to this model. Exceptions should only be permitted with the publication of an adequate explanation as to how the model does not hold for a market data provider.</w:t>
      </w:r>
    </w:p>
    <w:p w:rsidR="004C2EFA" w:rsidRPr="004C2EFA" w:rsidRDefault="004C2EFA" w:rsidP="00562B09">
      <w:pPr>
        <w:shd w:val="clear" w:color="auto" w:fill="FFFFFF"/>
        <w:spacing w:before="150"/>
        <w:jc w:val="both"/>
        <w:rPr>
          <w:rFonts w:eastAsia="Times New Roman"/>
          <w:sz w:val="22"/>
          <w:szCs w:val="22"/>
        </w:rPr>
      </w:pPr>
      <w:r w:rsidRPr="004C2EFA">
        <w:rPr>
          <w:rFonts w:eastAsia="Times New Roman"/>
          <w:sz w:val="22"/>
          <w:szCs w:val="22"/>
        </w:rPr>
        <w:t>Furthermore, prior to obtaining cost models from market data providers</w:t>
      </w:r>
      <w:r w:rsidR="00DC3945">
        <w:rPr>
          <w:rFonts w:eastAsia="Times New Roman"/>
          <w:sz w:val="22"/>
          <w:szCs w:val="22"/>
        </w:rPr>
        <w:t>,</w:t>
      </w:r>
      <w:r w:rsidRPr="004C2EFA">
        <w:rPr>
          <w:rFonts w:eastAsia="Times New Roman"/>
          <w:sz w:val="22"/>
          <w:szCs w:val="22"/>
        </w:rPr>
        <w:t xml:space="preserve"> it would be helpful if ESMA and the European Commission clarif</w:t>
      </w:r>
      <w:r w:rsidR="00DC3945">
        <w:rPr>
          <w:rFonts w:eastAsia="Times New Roman"/>
          <w:sz w:val="22"/>
          <w:szCs w:val="22"/>
        </w:rPr>
        <w:t>ied many grey areas within the L</w:t>
      </w:r>
      <w:r w:rsidRPr="004C2EFA">
        <w:rPr>
          <w:rFonts w:eastAsia="Times New Roman"/>
          <w:sz w:val="22"/>
          <w:szCs w:val="22"/>
        </w:rPr>
        <w:t>evel 1 and 2 texts including, but not limited to, amortization standards, and most particularly the appropriate sharing of joint costs such as thresholds for allocating costs to employees who do not exclusively work in market data, costs for software (licensing) and hardware (servers, networking equipment, circuits, and data</w:t>
      </w:r>
      <w:r w:rsidR="00DC3945">
        <w:rPr>
          <w:rFonts w:eastAsia="Times New Roman"/>
          <w:sz w:val="22"/>
          <w:szCs w:val="22"/>
        </w:rPr>
        <w:t xml:space="preserve"> </w:t>
      </w:r>
      <w:r w:rsidR="00DC3945" w:rsidRPr="004C2EFA">
        <w:rPr>
          <w:rFonts w:eastAsia="Times New Roman"/>
          <w:sz w:val="22"/>
          <w:szCs w:val="22"/>
        </w:rPr>
        <w:t>centre</w:t>
      </w:r>
      <w:r w:rsidRPr="004C2EFA">
        <w:rPr>
          <w:rFonts w:eastAsia="Times New Roman"/>
          <w:sz w:val="22"/>
          <w:szCs w:val="22"/>
        </w:rPr>
        <w:t> </w:t>
      </w:r>
      <w:r w:rsidRPr="00562B09">
        <w:rPr>
          <w:rFonts w:eastAsia="Times New Roman"/>
          <w:sz w:val="22"/>
          <w:szCs w:val="22"/>
        </w:rPr>
        <w:t>costs)</w:t>
      </w:r>
      <w:r w:rsidR="00EE029E" w:rsidRPr="00562B09">
        <w:rPr>
          <w:rFonts w:eastAsia="Times New Roman"/>
          <w:sz w:val="22"/>
          <w:szCs w:val="22"/>
        </w:rPr>
        <w:t>.</w:t>
      </w:r>
    </w:p>
    <w:p w:rsidR="004C2EFA" w:rsidRPr="004C2EFA" w:rsidRDefault="004C2EFA" w:rsidP="00562B09">
      <w:pPr>
        <w:shd w:val="clear" w:color="auto" w:fill="FFFFFF"/>
        <w:spacing w:before="150"/>
        <w:jc w:val="both"/>
        <w:rPr>
          <w:rFonts w:eastAsia="Times New Roman"/>
          <w:sz w:val="22"/>
          <w:szCs w:val="22"/>
        </w:rPr>
      </w:pPr>
      <w:r w:rsidRPr="004C2EFA">
        <w:rPr>
          <w:rFonts w:eastAsia="Times New Roman"/>
          <w:sz w:val="22"/>
          <w:szCs w:val="22"/>
        </w:rPr>
        <w:t>We believe that only uniformity in the model will facilitate the aims of comparability and assessment of compliance with the reasonable costs basis provisions.</w:t>
      </w:r>
    </w:p>
    <w:p w:rsidR="004C2EFA" w:rsidRPr="00562B09" w:rsidRDefault="00EE029E" w:rsidP="00562B09">
      <w:pPr>
        <w:pStyle w:val="Heading4"/>
        <w:jc w:val="both"/>
        <w:rPr>
          <w:rFonts w:eastAsia="Times New Roman"/>
          <w:sz w:val="22"/>
          <w:szCs w:val="22"/>
        </w:rPr>
      </w:pPr>
      <w:r w:rsidRPr="00562B09">
        <w:rPr>
          <w:rFonts w:eastAsia="Times New Roman"/>
          <w:sz w:val="22"/>
          <w:szCs w:val="22"/>
        </w:rPr>
        <w:t>Question 4: With regard to Guideline 2, do you think placing the burden of proof, with respect to non-compliance with the terms of the market data agreement, on data providers can address the issue? Please provide any other comments you may have on Guideline 2.</w:t>
      </w:r>
    </w:p>
    <w:p w:rsidR="00EE029E" w:rsidRPr="00EE029E" w:rsidRDefault="00EE029E" w:rsidP="00562B09">
      <w:pPr>
        <w:shd w:val="clear" w:color="auto" w:fill="FFFFFF"/>
        <w:spacing w:before="150"/>
        <w:jc w:val="both"/>
        <w:rPr>
          <w:rFonts w:eastAsia="Times New Roman"/>
          <w:sz w:val="22"/>
          <w:szCs w:val="22"/>
        </w:rPr>
      </w:pPr>
      <w:r w:rsidRPr="00EE029E">
        <w:rPr>
          <w:rFonts w:eastAsia="Times New Roman"/>
          <w:sz w:val="22"/>
          <w:szCs w:val="22"/>
        </w:rPr>
        <w:t>We agree with the spirit of draft Guideline 2, but believe it needs to go further.  While placing the burden of proof on the data provider will go some way towards addressing the issue, others remain.</w:t>
      </w:r>
    </w:p>
    <w:p w:rsidR="00EE029E" w:rsidRPr="00EE029E" w:rsidRDefault="00EE029E" w:rsidP="00562B09">
      <w:pPr>
        <w:shd w:val="clear" w:color="auto" w:fill="FFFFFF"/>
        <w:spacing w:before="150"/>
        <w:jc w:val="both"/>
        <w:rPr>
          <w:rFonts w:eastAsia="Times New Roman"/>
          <w:sz w:val="22"/>
          <w:szCs w:val="22"/>
        </w:rPr>
      </w:pPr>
      <w:r w:rsidRPr="00EE029E">
        <w:rPr>
          <w:rFonts w:eastAsia="Times New Roman"/>
          <w:sz w:val="22"/>
          <w:szCs w:val="22"/>
        </w:rPr>
        <w:t>Virtu believes that market data policies and audit practices should be structured to encourage and support compliance rather than to penalize non-compliance for the financial benefit of the market data provider. It is important to ensure that the appropriate usage based fees are applied equally to all customers. There are, however, several key changes which can be made to improve the audit process for both customers and market data providers.</w:t>
      </w:r>
    </w:p>
    <w:p w:rsidR="00EE029E" w:rsidRPr="00562B09" w:rsidRDefault="00EE029E" w:rsidP="00562B09">
      <w:pPr>
        <w:shd w:val="clear" w:color="auto" w:fill="FFFFFF"/>
        <w:spacing w:before="150"/>
        <w:jc w:val="both"/>
        <w:rPr>
          <w:rFonts w:eastAsia="Times New Roman"/>
          <w:sz w:val="22"/>
          <w:szCs w:val="22"/>
        </w:rPr>
      </w:pPr>
      <w:r w:rsidRPr="00EE029E">
        <w:rPr>
          <w:rFonts w:eastAsia="Times New Roman"/>
          <w:sz w:val="22"/>
          <w:szCs w:val="22"/>
        </w:rPr>
        <w:lastRenderedPageBreak/>
        <w:t xml:space="preserve">Foremost among the changes would be to limit the audit look-back period to two years. With changes to key personnel oftentimes it can be extremely difficult to illustrate decommissioned entitlements systems and reproduce usage reports especially when looking back over an extended period.  </w:t>
      </w:r>
      <w:r w:rsidRPr="00562B09">
        <w:rPr>
          <w:rFonts w:eastAsia="Times New Roman"/>
          <w:sz w:val="22"/>
          <w:szCs w:val="22"/>
        </w:rPr>
        <w:t>Indeed,</w:t>
      </w:r>
      <w:r w:rsidRPr="00EE029E">
        <w:rPr>
          <w:rFonts w:eastAsia="Times New Roman"/>
          <w:sz w:val="22"/>
          <w:szCs w:val="22"/>
        </w:rPr>
        <w:t xml:space="preserve"> several exchanges in Europe have an unlimited lookback period.  Excessively long look-back periods are further exacerbated by interest and penalty fees and only serve to make audits contentious with the auditor incentivised to find problems.</w:t>
      </w:r>
    </w:p>
    <w:p w:rsidR="006B332A" w:rsidRPr="00562B09" w:rsidRDefault="006B332A" w:rsidP="00562B09">
      <w:pPr>
        <w:shd w:val="clear" w:color="auto" w:fill="FFFFFF"/>
        <w:spacing w:before="150"/>
        <w:jc w:val="both"/>
        <w:rPr>
          <w:sz w:val="22"/>
          <w:szCs w:val="22"/>
          <w:shd w:val="clear" w:color="auto" w:fill="FFFFFF"/>
        </w:rPr>
      </w:pPr>
      <w:r w:rsidRPr="00562B09">
        <w:rPr>
          <w:sz w:val="22"/>
          <w:szCs w:val="22"/>
          <w:shd w:val="clear" w:color="auto" w:fill="FFFFFF"/>
        </w:rPr>
        <w:t>Another issue that often arises is the new interpretation of deliberately vaguely drafted contract/licence provisions. We suggest that if a contractual provision in an audit is concluded to encompass an additional service for which a charge is applied by the provider they need to show that it was applicable at the outset of the agreement.  That is, the market data provider needs to demonstrate that the charge was in existence and applicable when the agreement was signed as opposed to a new 'service' created during the life of the agreement.</w:t>
      </w:r>
    </w:p>
    <w:p w:rsidR="00EE029E" w:rsidRPr="00562B09" w:rsidRDefault="00EE029E" w:rsidP="00562B09">
      <w:pPr>
        <w:shd w:val="clear" w:color="auto" w:fill="FFFFFF"/>
        <w:spacing w:before="150"/>
        <w:jc w:val="both"/>
        <w:rPr>
          <w:rFonts w:eastAsia="Times New Roman"/>
          <w:sz w:val="22"/>
          <w:szCs w:val="22"/>
        </w:rPr>
      </w:pPr>
      <w:r w:rsidRPr="00EE029E">
        <w:rPr>
          <w:rFonts w:eastAsia="Times New Roman"/>
          <w:sz w:val="22"/>
          <w:szCs w:val="22"/>
        </w:rPr>
        <w:t>Where problems or issues with compliance are identified by an auditor there is no independent arbiter of their findings.  Often in our experience we and others in the market are penalised for perceived infringements identified during an audit but which cannot be challenged to an independent authority.  We suggest that NCAs and/or ESMA may have a role to play here. </w:t>
      </w:r>
    </w:p>
    <w:p w:rsidR="006B332A" w:rsidRPr="006B332A" w:rsidRDefault="006B332A"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rsidR="006B332A" w:rsidRPr="006B332A" w:rsidRDefault="006B332A" w:rsidP="00562B09">
      <w:pPr>
        <w:shd w:val="clear" w:color="auto" w:fill="FFFFFF"/>
        <w:spacing w:before="150"/>
        <w:jc w:val="both"/>
        <w:rPr>
          <w:rFonts w:eastAsia="Times New Roman"/>
          <w:sz w:val="22"/>
          <w:szCs w:val="22"/>
          <w:lang w:val="en-US"/>
        </w:rPr>
      </w:pPr>
      <w:r w:rsidRPr="006B332A">
        <w:rPr>
          <w:rFonts w:eastAsia="Times New Roman"/>
          <w:sz w:val="22"/>
          <w:szCs w:val="22"/>
          <w:lang w:val="en-US"/>
        </w:rPr>
        <w:t xml:space="preserve">We feel that market data costs are unnecessarily driven higher in audits owing to expansive policy (i.e. the potential access standard) and third party auditors who are compensated on a percent recovered basis. </w:t>
      </w:r>
    </w:p>
    <w:p w:rsidR="006B332A" w:rsidRPr="006B332A" w:rsidRDefault="006B332A" w:rsidP="00562B09">
      <w:pPr>
        <w:shd w:val="clear" w:color="auto" w:fill="FFFFFF"/>
        <w:spacing w:before="150"/>
        <w:jc w:val="both"/>
        <w:rPr>
          <w:rFonts w:eastAsia="Times New Roman"/>
          <w:sz w:val="22"/>
          <w:szCs w:val="22"/>
          <w:lang w:val="en-US"/>
        </w:rPr>
      </w:pPr>
      <w:r w:rsidRPr="006B332A">
        <w:rPr>
          <w:rFonts w:eastAsia="Times New Roman"/>
          <w:sz w:val="22"/>
          <w:szCs w:val="22"/>
          <w:lang w:val="en-US"/>
        </w:rPr>
        <w:t>Under the potential access standard</w:t>
      </w:r>
      <w:r w:rsidRPr="00562B09">
        <w:rPr>
          <w:rFonts w:eastAsia="Times New Roman"/>
          <w:sz w:val="22"/>
          <w:szCs w:val="22"/>
          <w:lang w:val="en-US"/>
        </w:rPr>
        <w:t>,</w:t>
      </w:r>
      <w:r w:rsidRPr="006B332A">
        <w:rPr>
          <w:rFonts w:eastAsia="Times New Roman"/>
          <w:sz w:val="22"/>
          <w:szCs w:val="22"/>
          <w:lang w:val="en-US"/>
        </w:rPr>
        <w:t xml:space="preserve"> a display user is considered fee-liable if they potentially had the ability to access market data from that exchange, regardless of whether or not they had actually used the data. Under this policy, if a developer had created a display application that integrated market data from a variety of exchanges but had neglected to implement permissions, an auditor could cite all employees of the firm as having “potential access” and the financial consequences can be devastating.</w:t>
      </w:r>
    </w:p>
    <w:p w:rsidR="006B332A" w:rsidRPr="006B332A" w:rsidRDefault="006B332A" w:rsidP="00562B09">
      <w:pPr>
        <w:shd w:val="clear" w:color="auto" w:fill="FFFFFF"/>
        <w:spacing w:before="150"/>
        <w:jc w:val="both"/>
        <w:rPr>
          <w:rFonts w:eastAsia="Times New Roman"/>
          <w:sz w:val="22"/>
          <w:szCs w:val="22"/>
          <w:lang w:val="en-US"/>
        </w:rPr>
      </w:pPr>
      <w:r w:rsidRPr="006B332A">
        <w:rPr>
          <w:rFonts w:eastAsia="Times New Roman"/>
          <w:sz w:val="22"/>
          <w:szCs w:val="22"/>
          <w:lang w:val="en-US"/>
        </w:rPr>
        <w:t>Even if the firm had usage data showing that only several users had actually accessed each market and the rest of the firm had not, under audit, the firm could be liable for a multi-million-dollar costs finding. Virtu believes that this standard unnecessarily increases the cost of market data for participants and that ESMA should consider requiring exchanges to implement an </w:t>
      </w:r>
      <w:r w:rsidRPr="00562B09">
        <w:rPr>
          <w:rFonts w:eastAsia="Times New Roman"/>
          <w:b/>
          <w:bCs/>
          <w:sz w:val="22"/>
          <w:szCs w:val="22"/>
          <w:lang w:val="en-US"/>
        </w:rPr>
        <w:t>actual</w:t>
      </w:r>
      <w:r w:rsidRPr="006B332A">
        <w:rPr>
          <w:rFonts w:eastAsia="Times New Roman"/>
          <w:sz w:val="22"/>
          <w:szCs w:val="22"/>
          <w:lang w:val="en-US"/>
        </w:rPr>
        <w:t> rather than </w:t>
      </w:r>
      <w:r w:rsidRPr="00562B09">
        <w:rPr>
          <w:rFonts w:eastAsia="Times New Roman"/>
          <w:b/>
          <w:bCs/>
          <w:sz w:val="22"/>
          <w:szCs w:val="22"/>
          <w:lang w:val="en-US"/>
        </w:rPr>
        <w:t>potential</w:t>
      </w:r>
      <w:r w:rsidRPr="006B332A">
        <w:rPr>
          <w:rFonts w:eastAsia="Times New Roman"/>
          <w:sz w:val="22"/>
          <w:szCs w:val="22"/>
          <w:lang w:val="en-US"/>
        </w:rPr>
        <w:t> usage standard </w:t>
      </w:r>
      <w:r w:rsidRPr="00702B6F">
        <w:rPr>
          <w:rFonts w:eastAsia="Times New Roman"/>
          <w:bCs/>
          <w:sz w:val="22"/>
          <w:szCs w:val="22"/>
          <w:lang w:val="en-US"/>
        </w:rPr>
        <w:t>with the burden on the exchange to demonstrate actual usage. </w:t>
      </w:r>
    </w:p>
    <w:p w:rsidR="006B332A" w:rsidRPr="006B332A" w:rsidRDefault="006B332A" w:rsidP="00562B09">
      <w:pPr>
        <w:shd w:val="clear" w:color="auto" w:fill="FFFFFF"/>
        <w:spacing w:before="150"/>
        <w:jc w:val="both"/>
        <w:rPr>
          <w:rFonts w:eastAsia="Times New Roman"/>
          <w:sz w:val="22"/>
          <w:szCs w:val="22"/>
          <w:lang w:val="en-US"/>
        </w:rPr>
      </w:pPr>
      <w:r w:rsidRPr="00562B09">
        <w:rPr>
          <w:rFonts w:eastAsia="Times New Roman"/>
          <w:sz w:val="22"/>
          <w:szCs w:val="22"/>
          <w:lang w:val="en-US"/>
        </w:rPr>
        <w:t>Virtu also believes that third party auditors compensated on a percent recovery basis are overly incentivized to audit aggressively and intrusively with interpretation of market data usage agreements often diverging from that intended, or even provided by the data licensor. We would encourage ESMA to investigate these arrangements and believe Guideline 13 should explicitly require market data providers to engage external audit only upon a fixed fee model</w:t>
      </w:r>
      <w:r w:rsidRPr="006B332A">
        <w:rPr>
          <w:rFonts w:eastAsia="Times New Roman"/>
          <w:sz w:val="22"/>
          <w:szCs w:val="22"/>
          <w:lang w:val="en-US"/>
        </w:rPr>
        <w:t>.</w:t>
      </w:r>
    </w:p>
    <w:p w:rsidR="006B332A" w:rsidRPr="006B332A" w:rsidRDefault="006B332A"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6: Do you agree with Guideline 3? If not, please justify, by indicating which parts of the Guideline you do not agree with and the relevant reasons.</w:t>
      </w:r>
    </w:p>
    <w:p w:rsidR="006B332A" w:rsidRPr="006B332A" w:rsidRDefault="006B332A" w:rsidP="00562B09">
      <w:pPr>
        <w:shd w:val="clear" w:color="auto" w:fill="FFFFFF"/>
        <w:spacing w:before="150"/>
        <w:jc w:val="both"/>
        <w:rPr>
          <w:rFonts w:eastAsia="Times New Roman"/>
          <w:sz w:val="22"/>
          <w:szCs w:val="22"/>
          <w:lang w:val="en-US"/>
        </w:rPr>
      </w:pPr>
      <w:r w:rsidRPr="006B332A">
        <w:rPr>
          <w:rFonts w:eastAsia="Times New Roman"/>
          <w:sz w:val="22"/>
          <w:szCs w:val="22"/>
          <w:lang w:val="en-US"/>
        </w:rPr>
        <w:t xml:space="preserve">Virtu fully endorses draft Guideline 3 on the need for market data providers to introduce clear client categories. As highlighted by ESMA in the consultation paper accompanying the draft Guidelines, customers often find it challenging to determine which client category that they belong to, severely </w:t>
      </w:r>
      <w:r w:rsidRPr="006B332A">
        <w:rPr>
          <w:rFonts w:eastAsia="Times New Roman"/>
          <w:sz w:val="22"/>
          <w:szCs w:val="22"/>
          <w:lang w:val="en-US"/>
        </w:rPr>
        <w:lastRenderedPageBreak/>
        <w:t>hampering their ability to anticipate the fees, terms and conditions applicable to them. To further strengthen the guideline ESMA should prescribe the criteria used by market data providers to determine client categories on the basis of objective and easily verifiable criteria so as to enable customers to estimate the conditions that will apply to them.  </w:t>
      </w:r>
    </w:p>
    <w:p w:rsidR="006B332A" w:rsidRPr="006B332A" w:rsidRDefault="006B332A" w:rsidP="00562B09">
      <w:pPr>
        <w:shd w:val="clear" w:color="auto" w:fill="FFFFFF"/>
        <w:spacing w:before="150"/>
        <w:jc w:val="both"/>
        <w:rPr>
          <w:rFonts w:eastAsia="Times New Roman"/>
          <w:sz w:val="22"/>
          <w:szCs w:val="22"/>
          <w:lang w:val="en-US"/>
        </w:rPr>
      </w:pPr>
      <w:r w:rsidRPr="006B332A">
        <w:rPr>
          <w:rFonts w:eastAsia="Times New Roman"/>
          <w:sz w:val="22"/>
          <w:szCs w:val="22"/>
          <w:lang w:val="en-US"/>
        </w:rPr>
        <w:t>We also share ESMA’s assessment that customers should not be charged more than once for the same data based on use cases. The duplication of fees in this manner is a common tactic used by market data providers and dramatically increases the cost of market data for end-users. Such practice clearly contravenes the requirement that data costs be based on the cost of producing and disseminating the data.</w:t>
      </w:r>
    </w:p>
    <w:p w:rsidR="006B332A" w:rsidRPr="006B332A" w:rsidRDefault="006B332A"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7: Do you agree with the approach taken in Guideline 4? If not, please justify, also by providing arguments for the adoption of a different approach.</w:t>
      </w:r>
    </w:p>
    <w:p w:rsidR="006B332A" w:rsidRPr="006B332A" w:rsidRDefault="006B332A" w:rsidP="00562B09">
      <w:pPr>
        <w:shd w:val="clear" w:color="auto" w:fill="FFFFFF"/>
        <w:spacing w:before="150"/>
        <w:jc w:val="both"/>
        <w:rPr>
          <w:rFonts w:eastAsia="Times New Roman"/>
          <w:sz w:val="22"/>
          <w:szCs w:val="22"/>
          <w:lang w:val="en-US"/>
        </w:rPr>
      </w:pPr>
      <w:r w:rsidRPr="006B332A">
        <w:rPr>
          <w:rFonts w:eastAsia="Times New Roman"/>
          <w:sz w:val="22"/>
          <w:szCs w:val="22"/>
          <w:lang w:val="en-US"/>
        </w:rPr>
        <w:t>Virtu fully agrees with draft Guideline 4. The customers of market data providers require certainty in terms of their categorisation for the purposes of market data fees, terms and conditions. A situation wherein the market data provider can charge multiple fees for market data based on different use cases or a client potentially belonging to more than one category is grossly unfair toward the customer and potentially creates inconsistencies in how different clients are treated. Some customers may fall into multiple categories but may take in the </w:t>
      </w:r>
      <w:r w:rsidRPr="00702B6F">
        <w:rPr>
          <w:rFonts w:eastAsia="Times New Roman"/>
          <w:bCs/>
          <w:sz w:val="22"/>
          <w:szCs w:val="22"/>
          <w:lang w:val="en-US"/>
        </w:rPr>
        <w:t>market data</w:t>
      </w:r>
      <w:r w:rsidRPr="006B332A">
        <w:rPr>
          <w:rFonts w:eastAsia="Times New Roman"/>
          <w:sz w:val="22"/>
          <w:szCs w:val="22"/>
          <w:lang w:val="en-US"/>
        </w:rPr>
        <w:t> feed one time.  We can see an argument </w:t>
      </w:r>
      <w:r w:rsidRPr="00562B09">
        <w:rPr>
          <w:sz w:val="22"/>
          <w:szCs w:val="22"/>
          <w:shd w:val="clear" w:color="auto" w:fill="FFFFFF"/>
        </w:rPr>
        <w:t>whereby a customer may be charged an additional amount for a separate use case</w:t>
      </w:r>
      <w:r w:rsidRPr="006B332A">
        <w:rPr>
          <w:rFonts w:eastAsia="Times New Roman"/>
          <w:sz w:val="22"/>
          <w:szCs w:val="22"/>
          <w:lang w:val="en-US"/>
        </w:rPr>
        <w:t>, but customers cannot and should not be charged for each use case </w:t>
      </w:r>
      <w:r w:rsidRPr="00562B09">
        <w:rPr>
          <w:rFonts w:eastAsia="Times New Roman"/>
          <w:b/>
          <w:bCs/>
          <w:sz w:val="22"/>
          <w:szCs w:val="22"/>
          <w:lang w:val="en-US"/>
        </w:rPr>
        <w:t>and </w:t>
      </w:r>
      <w:r w:rsidRPr="006B332A">
        <w:rPr>
          <w:rFonts w:eastAsia="Times New Roman"/>
          <w:sz w:val="22"/>
          <w:szCs w:val="22"/>
          <w:lang w:val="en-US"/>
        </w:rPr>
        <w:t>category.</w:t>
      </w:r>
    </w:p>
    <w:p w:rsidR="00660212" w:rsidRPr="00660212" w:rsidRDefault="00660212" w:rsidP="00562B09">
      <w:pPr>
        <w:spacing w:before="150"/>
        <w:jc w:val="both"/>
        <w:rPr>
          <w:rFonts w:eastAsia="Times New Roman"/>
          <w:sz w:val="22"/>
          <w:szCs w:val="22"/>
          <w:lang w:val="en-US"/>
        </w:rPr>
      </w:pPr>
      <w:r w:rsidRPr="00562B09">
        <w:rPr>
          <w:rFonts w:eastAsia="Times New Roman"/>
          <w:b/>
          <w:bCs/>
          <w:sz w:val="22"/>
          <w:szCs w:val="22"/>
          <w:lang w:val="en-US"/>
        </w:rPr>
        <w:t>Question 8: Do you agree with Guideline 5? If not, please justify.</w:t>
      </w:r>
    </w:p>
    <w:p w:rsidR="00660212" w:rsidRPr="00660212" w:rsidRDefault="00660212" w:rsidP="00562B09">
      <w:pPr>
        <w:spacing w:before="150"/>
        <w:jc w:val="both"/>
        <w:rPr>
          <w:rFonts w:eastAsia="Times New Roman"/>
          <w:sz w:val="22"/>
          <w:szCs w:val="22"/>
          <w:lang w:val="en-US"/>
        </w:rPr>
      </w:pPr>
      <w:r w:rsidRPr="00660212">
        <w:rPr>
          <w:rFonts w:eastAsia="Times New Roman"/>
          <w:sz w:val="22"/>
          <w:szCs w:val="22"/>
          <w:lang w:val="en-US"/>
        </w:rPr>
        <w:t>In principle, Virtu agrees with draft Guideline 5 instructing market data providers to ensure the same technical arrangements for customers belonging to the same category. However, we recognise that there may be significant practical barriers to ensuring the same level of latency and connectivity for a customer base that may be widely dispersed geographically. As a result, any discrepancies in latency or co</w:t>
      </w:r>
      <w:r w:rsidRPr="00562B09">
        <w:rPr>
          <w:rFonts w:eastAsia="Times New Roman"/>
          <w:sz w:val="22"/>
          <w:szCs w:val="22"/>
          <w:lang w:val="en-US"/>
        </w:rPr>
        <w:t xml:space="preserve">nnectivity should be justified </w:t>
      </w:r>
      <w:r w:rsidRPr="00660212">
        <w:rPr>
          <w:rFonts w:eastAsia="Times New Roman"/>
          <w:sz w:val="22"/>
          <w:szCs w:val="22"/>
          <w:lang w:val="en-US"/>
        </w:rPr>
        <w:t>by the market data provider based on technical constraints and the capacities of their customers.</w:t>
      </w:r>
    </w:p>
    <w:p w:rsidR="00660212" w:rsidRPr="00660212" w:rsidRDefault="00660212" w:rsidP="00562B09">
      <w:pPr>
        <w:spacing w:before="150"/>
        <w:jc w:val="both"/>
        <w:rPr>
          <w:rFonts w:eastAsia="Times New Roman"/>
          <w:sz w:val="22"/>
          <w:szCs w:val="22"/>
          <w:lang w:val="en-US"/>
        </w:rPr>
      </w:pPr>
      <w:r w:rsidRPr="00562B09">
        <w:rPr>
          <w:rFonts w:eastAsia="Times New Roman"/>
          <w:b/>
          <w:bCs/>
          <w:sz w:val="22"/>
          <w:szCs w:val="22"/>
          <w:lang w:val="en-US"/>
        </w:rPr>
        <w:t>Question 10: Do you agree on the interpretation of the per user model provided by Guideline 6? If not, please justify and include in your answer any different interpretation you may have of the per user model and supporting grounds.</w:t>
      </w:r>
    </w:p>
    <w:p w:rsidR="00660212" w:rsidRPr="00660212" w:rsidRDefault="00660212" w:rsidP="00562B09">
      <w:pPr>
        <w:spacing w:before="150"/>
        <w:jc w:val="both"/>
        <w:rPr>
          <w:rFonts w:eastAsia="Times New Roman"/>
          <w:sz w:val="22"/>
          <w:szCs w:val="22"/>
          <w:lang w:val="en-US"/>
        </w:rPr>
      </w:pPr>
      <w:r w:rsidRPr="00660212">
        <w:rPr>
          <w:rFonts w:eastAsia="Times New Roman"/>
          <w:sz w:val="22"/>
          <w:szCs w:val="22"/>
          <w:lang w:val="en-US"/>
        </w:rPr>
        <w:t>Yes, Virtu agrees with the interpretation of the per user model provided by draft Guideline 6. Where currently investment firms may be charged, for instance, for 3 “devices” for the same end user this will result, as was expected with the introduction of MiFID II, in a 66% saving in market data fees. Currently a number of regulated markets offer unit of count netting for display data but have a cap with regards to the number of devices that each user can use. Although this translates in a lower charge in comparison to the un-netted model, it is still resulting in multiple billing per user. This guideline will provide the clarity to market data providers to ensure that users are only charged once for display data and is expected to result in substantial savings for impacted subscribers.  </w:t>
      </w:r>
    </w:p>
    <w:p w:rsidR="00660212" w:rsidRPr="00660212" w:rsidRDefault="00660212" w:rsidP="00562B09">
      <w:pPr>
        <w:spacing w:before="150"/>
        <w:jc w:val="both"/>
        <w:rPr>
          <w:rFonts w:eastAsia="Times New Roman"/>
          <w:sz w:val="22"/>
          <w:szCs w:val="22"/>
          <w:lang w:val="en-US"/>
        </w:rPr>
      </w:pPr>
      <w:r w:rsidRPr="00660212">
        <w:rPr>
          <w:rFonts w:eastAsia="Times New Roman"/>
          <w:sz w:val="22"/>
          <w:szCs w:val="22"/>
          <w:lang w:val="en-US"/>
        </w:rPr>
        <w:t>In addition, Virtu is aware of exchanges approaching our clients who subscribe to our execution management systems with issues around data licensing.  The exchange informs the client that they need a non</w:t>
      </w:r>
      <w:r w:rsidRPr="00562B09">
        <w:rPr>
          <w:rFonts w:eastAsia="Times New Roman"/>
          <w:sz w:val="22"/>
          <w:szCs w:val="22"/>
          <w:lang w:val="en-US"/>
        </w:rPr>
        <w:t xml:space="preserve">-display data license to use </w:t>
      </w:r>
      <w:r w:rsidRPr="00660212">
        <w:rPr>
          <w:rFonts w:eastAsia="Times New Roman"/>
          <w:sz w:val="22"/>
          <w:szCs w:val="22"/>
          <w:lang w:val="en-US"/>
        </w:rPr>
        <w:t>our EMS </w:t>
      </w:r>
      <w:r w:rsidRPr="00562B09">
        <w:rPr>
          <w:rFonts w:eastAsia="Times New Roman"/>
          <w:b/>
          <w:bCs/>
          <w:sz w:val="22"/>
          <w:szCs w:val="22"/>
          <w:lang w:val="en-US"/>
        </w:rPr>
        <w:t>despite </w:t>
      </w:r>
      <w:r w:rsidRPr="00660212">
        <w:rPr>
          <w:rFonts w:eastAsia="Times New Roman"/>
          <w:sz w:val="22"/>
          <w:szCs w:val="22"/>
          <w:lang w:val="en-US"/>
        </w:rPr>
        <w:t>the EMS operator already paying c. £80,000 p.a. for the non-display data license. </w:t>
      </w:r>
      <w:r w:rsidRPr="00562B09">
        <w:rPr>
          <w:rFonts w:eastAsia="Times New Roman"/>
          <w:sz w:val="22"/>
          <w:szCs w:val="22"/>
          <w:lang w:val="en-US"/>
        </w:rPr>
        <w:t xml:space="preserve">That is, </w:t>
      </w:r>
      <w:r w:rsidRPr="00562B09">
        <w:rPr>
          <w:rFonts w:eastAsia="Times New Roman"/>
          <w:b/>
          <w:bCs/>
          <w:sz w:val="22"/>
          <w:szCs w:val="22"/>
          <w:lang w:val="en-US"/>
        </w:rPr>
        <w:t>exchanges are trying to charge our client for market data that we have already paid for use by our EMS.</w:t>
      </w:r>
    </w:p>
    <w:p w:rsidR="00660212" w:rsidRPr="00562B09" w:rsidRDefault="00660212" w:rsidP="00562B09">
      <w:pPr>
        <w:shd w:val="clear" w:color="auto" w:fill="FFFFFF"/>
        <w:jc w:val="both"/>
        <w:rPr>
          <w:rFonts w:eastAsia="Times New Roman"/>
          <w:sz w:val="22"/>
          <w:szCs w:val="22"/>
          <w:lang w:val="en-US"/>
        </w:rPr>
      </w:pPr>
    </w:p>
    <w:p w:rsidR="00660212" w:rsidRPr="00660212" w:rsidRDefault="00660212" w:rsidP="00562B09">
      <w:pPr>
        <w:shd w:val="clear" w:color="auto" w:fill="FFFFFF"/>
        <w:jc w:val="both"/>
        <w:rPr>
          <w:rFonts w:eastAsia="Times New Roman"/>
          <w:sz w:val="22"/>
          <w:szCs w:val="22"/>
          <w:lang w:val="en-US"/>
        </w:rPr>
      </w:pPr>
      <w:r w:rsidRPr="00660212">
        <w:rPr>
          <w:rFonts w:eastAsia="Times New Roman"/>
          <w:sz w:val="22"/>
          <w:szCs w:val="22"/>
          <w:lang w:val="en-US"/>
        </w:rPr>
        <w:lastRenderedPageBreak/>
        <w:t>In one example of this, when the auditor of the relevant exchange was challenge</w:t>
      </w:r>
      <w:r w:rsidRPr="00562B09">
        <w:rPr>
          <w:rFonts w:eastAsia="Times New Roman"/>
          <w:sz w:val="22"/>
          <w:szCs w:val="22"/>
          <w:lang w:val="en-US"/>
        </w:rPr>
        <w:t>d by Virtu (as EMS provider</w:t>
      </w:r>
      <w:r w:rsidR="00702B6F">
        <w:rPr>
          <w:rFonts w:eastAsia="Times New Roman"/>
          <w:sz w:val="22"/>
          <w:szCs w:val="22"/>
          <w:lang w:val="en-US"/>
        </w:rPr>
        <w:t>)</w:t>
      </w:r>
      <w:r w:rsidRPr="00660212">
        <w:rPr>
          <w:rFonts w:eastAsia="Times New Roman"/>
          <w:sz w:val="22"/>
          <w:szCs w:val="22"/>
          <w:lang w:val="en-US"/>
        </w:rPr>
        <w:t xml:space="preserve"> and the subscribing client</w:t>
      </w:r>
      <w:r w:rsidR="00702B6F">
        <w:rPr>
          <w:rFonts w:eastAsia="Times New Roman"/>
          <w:sz w:val="22"/>
          <w:szCs w:val="22"/>
          <w:lang w:val="en-US"/>
        </w:rPr>
        <w:t>,</w:t>
      </w:r>
      <w:r w:rsidRPr="00660212">
        <w:rPr>
          <w:rFonts w:eastAsia="Times New Roman"/>
          <w:sz w:val="22"/>
          <w:szCs w:val="22"/>
          <w:lang w:val="en-US"/>
        </w:rPr>
        <w:t xml:space="preserve"> the exchange stated that ‘use of an execution management system constitutes the need for a non-display data license by each subscriber to the EMS.’  The EMS operator already pays the license for the non-display data </w:t>
      </w:r>
      <w:r w:rsidRPr="00562B09">
        <w:rPr>
          <w:rFonts w:eastAsia="Times New Roman"/>
          <w:sz w:val="22"/>
          <w:szCs w:val="22"/>
          <w:lang w:val="en-US"/>
        </w:rPr>
        <w:t>and thus this results in duplicate charging by the exchange. The EMS subscribers should not be required to also pay the license.</w:t>
      </w:r>
      <w:r w:rsidRPr="00660212">
        <w:rPr>
          <w:rFonts w:eastAsia="Times New Roman"/>
          <w:sz w:val="22"/>
          <w:szCs w:val="22"/>
          <w:lang w:val="en-US"/>
        </w:rPr>
        <w:t> </w:t>
      </w:r>
      <w:r w:rsidRPr="00562B09">
        <w:rPr>
          <w:rFonts w:eastAsia="Times New Roman"/>
          <w:sz w:val="22"/>
          <w:szCs w:val="22"/>
          <w:lang w:val="en-US"/>
        </w:rPr>
        <w:t>There is no a</w:t>
      </w:r>
      <w:r w:rsidR="00702B6F">
        <w:rPr>
          <w:rFonts w:eastAsia="Times New Roman"/>
          <w:sz w:val="22"/>
          <w:szCs w:val="22"/>
          <w:lang w:val="en-US"/>
        </w:rPr>
        <w:t>dditional cost incurred by the exchange</w:t>
      </w:r>
      <w:r w:rsidRPr="00562B09">
        <w:rPr>
          <w:rFonts w:eastAsia="Times New Roman"/>
          <w:sz w:val="22"/>
          <w:szCs w:val="22"/>
          <w:lang w:val="en-US"/>
        </w:rPr>
        <w:t xml:space="preserve"> in this scenario upon which they could base the proposed fee to the EMS subscriber.</w:t>
      </w:r>
    </w:p>
    <w:p w:rsidR="00660212" w:rsidRPr="00660212" w:rsidRDefault="00660212" w:rsidP="00562B09">
      <w:pPr>
        <w:spacing w:before="150"/>
        <w:jc w:val="both"/>
        <w:rPr>
          <w:rFonts w:eastAsia="Times New Roman"/>
          <w:sz w:val="22"/>
          <w:szCs w:val="22"/>
          <w:lang w:val="en-US"/>
        </w:rPr>
      </w:pPr>
      <w:r w:rsidRPr="00660212">
        <w:rPr>
          <w:rFonts w:eastAsia="Times New Roman"/>
          <w:sz w:val="22"/>
          <w:szCs w:val="22"/>
          <w:lang w:val="en-US"/>
        </w:rPr>
        <w:t xml:space="preserve">This is a further example of unfair charging practices by dominant exchanges and should be enumerated as an example of poor </w:t>
      </w:r>
      <w:r w:rsidRPr="00660212">
        <w:rPr>
          <w:rFonts w:eastAsia="Times New Roman"/>
          <w:sz w:val="22"/>
          <w:szCs w:val="22"/>
        </w:rPr>
        <w:t>behaviour</w:t>
      </w:r>
      <w:r w:rsidRPr="00660212">
        <w:rPr>
          <w:rFonts w:eastAsia="Times New Roman"/>
          <w:sz w:val="22"/>
          <w:szCs w:val="22"/>
          <w:lang w:val="en-US"/>
        </w:rPr>
        <w:t xml:space="preserve"> in the guideline above.</w:t>
      </w:r>
    </w:p>
    <w:p w:rsidR="00660212" w:rsidRPr="00660212" w:rsidRDefault="00660212"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w:t>
      </w:r>
    </w:p>
    <w:p w:rsidR="00660212" w:rsidRPr="00660212" w:rsidRDefault="00660212" w:rsidP="00562B09">
      <w:pPr>
        <w:shd w:val="clear" w:color="auto" w:fill="FFFFFF"/>
        <w:spacing w:before="150"/>
        <w:jc w:val="both"/>
        <w:rPr>
          <w:rFonts w:eastAsia="Times New Roman"/>
          <w:sz w:val="22"/>
          <w:szCs w:val="22"/>
          <w:lang w:val="en-US"/>
        </w:rPr>
      </w:pPr>
      <w:r w:rsidRPr="00660212">
        <w:rPr>
          <w:rFonts w:eastAsia="Times New Roman"/>
          <w:sz w:val="22"/>
          <w:szCs w:val="22"/>
          <w:lang w:val="en-US"/>
        </w:rPr>
        <w:t>Yes, Virtu agrees with draft Guideline 7 and </w:t>
      </w:r>
      <w:r w:rsidRPr="00562B09">
        <w:rPr>
          <w:rFonts w:eastAsia="Times New Roman"/>
          <w:sz w:val="22"/>
          <w:szCs w:val="22"/>
          <w:lang w:val="en-US"/>
        </w:rPr>
        <w:t>do</w:t>
      </w:r>
      <w:r w:rsidRPr="00660212">
        <w:rPr>
          <w:rFonts w:eastAsia="Times New Roman"/>
          <w:sz w:val="22"/>
          <w:szCs w:val="22"/>
          <w:lang w:val="en-US"/>
        </w:rPr>
        <w:t> not believe that there are any other conditions that should need to be met by the customer in order to permit the application of the per user model. Subscribers should be able to correctly identify the number of active users who have access to the data, through facilities such as market data entitlement control systems, and report the exact number to market data providers. However, we are concerned that market data providers may use this guideline as a delaying tactic by introducing exhaustive measures in order for a customer to be able to prove that they can correctly identify the number of active users.  We further address this issue at Question 13.</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12: Do you agree with Guideline 8? If not, please justify also by indicating what are the elements making the adoption of the per user model disproportionate and the reasons hampering their disclosure.</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Yes, Virtu agrees with draft Guideline 8 but would like to highlight that it is expected that all market data providers will be able to offer the per user model and that this would be an extremely unusual case. The majority of EU regulated markets already offer PPU (Per Physical User) programs, also known as netting programs, the issue experienced by market data subscribers is that these RMs make it extremely hard to be accepted into these programs. </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br/>
      </w:r>
      <w:r w:rsidRPr="00562B09">
        <w:rPr>
          <w:rFonts w:eastAsia="Times New Roman"/>
          <w:b/>
          <w:bCs/>
          <w:sz w:val="22"/>
          <w:szCs w:val="22"/>
          <w:lang w:val="en-US"/>
        </w:rPr>
        <w:t>Question 13: Do you think ESMA should clarify other elements of the obligation to provide market data on a per user fees basis? If yes, please explain.</w:t>
      </w:r>
    </w:p>
    <w:p w:rsid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 xml:space="preserve">We believe that ESMA should provide guidance to market data providers with regards to the turnaround time from the point at which a client requests entry onto a per user model and acceptance onto that model. At present one of the main barriers to entry into these programs is the length of time of the approval process. For example, our trade association members have experienced that it has taken up to two years to be accepted onto a program with what has been seen by some as delaying tactics, such as lack of communication during the process, to </w:t>
      </w:r>
      <w:proofErr w:type="spellStart"/>
      <w:r w:rsidRPr="0065336F">
        <w:rPr>
          <w:rFonts w:eastAsia="Times New Roman"/>
          <w:sz w:val="22"/>
          <w:szCs w:val="22"/>
          <w:lang w:val="en-US"/>
        </w:rPr>
        <w:t>minimise</w:t>
      </w:r>
      <w:proofErr w:type="spellEnd"/>
      <w:r w:rsidRPr="0065336F">
        <w:rPr>
          <w:rFonts w:eastAsia="Times New Roman"/>
          <w:sz w:val="22"/>
          <w:szCs w:val="22"/>
          <w:lang w:val="en-US"/>
        </w:rPr>
        <w:t xml:space="preserve"> the number of members availing of the program.  Given draft Guideline 7, it seems reasonable for a market data provider to be required to provide a written response to a client within three or six months with full reasons set out in the response if approval is denied.</w:t>
      </w:r>
    </w:p>
    <w:p w:rsidR="00702B6F" w:rsidRDefault="00702B6F" w:rsidP="00562B09">
      <w:pPr>
        <w:shd w:val="clear" w:color="auto" w:fill="FFFFFF"/>
        <w:spacing w:before="150"/>
        <w:jc w:val="both"/>
        <w:rPr>
          <w:rFonts w:eastAsia="Times New Roman"/>
          <w:sz w:val="22"/>
          <w:szCs w:val="22"/>
          <w:lang w:val="en-US"/>
        </w:rPr>
      </w:pPr>
    </w:p>
    <w:p w:rsidR="00702B6F" w:rsidRDefault="00702B6F" w:rsidP="00562B09">
      <w:pPr>
        <w:shd w:val="clear" w:color="auto" w:fill="FFFFFF"/>
        <w:spacing w:before="150"/>
        <w:jc w:val="both"/>
        <w:rPr>
          <w:rFonts w:eastAsia="Times New Roman"/>
          <w:sz w:val="22"/>
          <w:szCs w:val="22"/>
          <w:lang w:val="en-US"/>
        </w:rPr>
      </w:pPr>
    </w:p>
    <w:p w:rsidR="00702B6F" w:rsidRPr="0065336F" w:rsidRDefault="00702B6F" w:rsidP="00562B09">
      <w:pPr>
        <w:shd w:val="clear" w:color="auto" w:fill="FFFFFF"/>
        <w:spacing w:before="150"/>
        <w:jc w:val="both"/>
        <w:rPr>
          <w:rFonts w:eastAsia="Times New Roman"/>
          <w:sz w:val="22"/>
          <w:szCs w:val="22"/>
          <w:lang w:val="en-US"/>
        </w:rPr>
      </w:pP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lastRenderedPageBreak/>
        <w:t>Question 14: Do you agree with Guideline 9? If not, please justify.</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We agree with draft Guideline 9.  Market data providers should make the data available to purchase separately from additional services and should not condition the purchase of market data upon additional services.</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 xml:space="preserve">Question 16: Do you agree with Guideline 10 that market data providers should use a </w:t>
      </w:r>
      <w:proofErr w:type="spellStart"/>
      <w:r w:rsidRPr="00562B09">
        <w:rPr>
          <w:rFonts w:eastAsia="Times New Roman"/>
          <w:b/>
          <w:bCs/>
          <w:sz w:val="22"/>
          <w:szCs w:val="22"/>
          <w:lang w:val="en-US"/>
        </w:rPr>
        <w:t>standardised</w:t>
      </w:r>
      <w:proofErr w:type="spellEnd"/>
      <w:r w:rsidRPr="00562B09">
        <w:rPr>
          <w:rFonts w:eastAsia="Times New Roman"/>
          <w:b/>
          <w:bCs/>
          <w:sz w:val="22"/>
          <w:szCs w:val="22"/>
          <w:lang w:val="en-US"/>
        </w:rPr>
        <w:t xml:space="preserve"> publication format to publish the RCB information? If not, please justify.</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 xml:space="preserve">We agree with draft Guideline 10 that market data providers should publish RCB information in a </w:t>
      </w:r>
      <w:proofErr w:type="spellStart"/>
      <w:r w:rsidRPr="0065336F">
        <w:rPr>
          <w:rFonts w:eastAsia="Times New Roman"/>
          <w:sz w:val="22"/>
          <w:szCs w:val="22"/>
          <w:lang w:val="en-US"/>
        </w:rPr>
        <w:t>standardised</w:t>
      </w:r>
      <w:proofErr w:type="spellEnd"/>
      <w:r w:rsidRPr="0065336F">
        <w:rPr>
          <w:rFonts w:eastAsia="Times New Roman"/>
          <w:sz w:val="22"/>
          <w:szCs w:val="22"/>
          <w:lang w:val="en-US"/>
        </w:rPr>
        <w:t xml:space="preserve"> format. </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18: Do you agree with the proposed definitions in Guideline 11? In particular, do they capture all relevant market uses and market participants? If not, please explain.</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We agree with the proposed definitions as set out in draft Guideline 11.</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20: Do you agree with Guideline 12? If not, please justify.</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We do not agree with the second part of draft Guideline 12.   Market data providers should be held to a very high level of transparency, including disclosing to the public the actual level of the margin in the fees for market data.  Such a measure is proportional given the oligopoly which exists amongst market data providers. </w:t>
      </w:r>
    </w:p>
    <w:p w:rsidR="0065336F" w:rsidRPr="0065336F" w:rsidRDefault="0065336F" w:rsidP="00562B09">
      <w:pPr>
        <w:spacing w:before="150"/>
        <w:jc w:val="both"/>
        <w:rPr>
          <w:rFonts w:eastAsia="Times New Roman"/>
          <w:sz w:val="22"/>
          <w:szCs w:val="22"/>
          <w:lang w:val="en-US"/>
        </w:rPr>
      </w:pPr>
      <w:r w:rsidRPr="00562B09">
        <w:rPr>
          <w:rFonts w:eastAsia="Times New Roman"/>
          <w:b/>
          <w:bCs/>
          <w:sz w:val="22"/>
          <w:szCs w:val="22"/>
          <w:lang w:val="en-US"/>
        </w:rPr>
        <w:t>Question 22: Do you agree with Guideline 13? If not, please justify.</w:t>
      </w:r>
    </w:p>
    <w:p w:rsidR="0065336F" w:rsidRPr="0065336F" w:rsidRDefault="0065336F" w:rsidP="00562B09">
      <w:pPr>
        <w:spacing w:before="150"/>
        <w:jc w:val="both"/>
        <w:rPr>
          <w:rFonts w:eastAsia="Times New Roman"/>
          <w:sz w:val="22"/>
          <w:szCs w:val="22"/>
          <w:lang w:val="en-US"/>
        </w:rPr>
      </w:pPr>
      <w:r w:rsidRPr="0065336F">
        <w:rPr>
          <w:rFonts w:eastAsia="Times New Roman"/>
          <w:sz w:val="22"/>
          <w:szCs w:val="22"/>
          <w:lang w:val="en-US"/>
        </w:rPr>
        <w:t>This guideline should also include limits relating to the application of fees retroactively, limits to the frequency of auditing and limits to how far back audits may look as discussed above.  </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Flags are a crucial element of the market data publication and should be maintained.</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u w:val="single"/>
          <w:lang w:val="en-US"/>
        </w:rPr>
        <w:t>Post-Trade</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For post-trade data the price, volume, transaction, published time, institution ID and venue ID flags are all critical elements of the data which should be maintained.  There should </w:t>
      </w:r>
      <w:r w:rsidRPr="00562B09">
        <w:rPr>
          <w:rFonts w:eastAsia="Times New Roman"/>
          <w:sz w:val="22"/>
          <w:szCs w:val="22"/>
          <w:lang w:val="en-US"/>
        </w:rPr>
        <w:t>no</w:t>
      </w:r>
      <w:r w:rsidRPr="0065336F">
        <w:rPr>
          <w:rFonts w:eastAsia="Times New Roman"/>
          <w:sz w:val="22"/>
          <w:szCs w:val="22"/>
          <w:lang w:val="en-US"/>
        </w:rPr>
        <w:t> be no difference between the different types of trading system.  </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u w:val="single"/>
          <w:lang w:val="en-US"/>
        </w:rPr>
        <w:t>Pre-Trade</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For pre-trade data it is important to consider the impact on users if they were required to move their systems to using delayed data.  Pre-trade data is often used for aiding compliance queries and best execution examinations amongst other uses. For most of these use cases the Level 1 (first best bid and offer) data would not be sufficient. Level 1 data does not provide a depth of information necessary to fulfil these use case obligations.  </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As a compromise, it may be sufficient if there was an amalgamation of the first 5 levels of data.  This would cover most use cases without being overly burdensome on the data provider.  </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lastRenderedPageBreak/>
        <w:t>A further suggestion is to make the delayed data available in the same format and via the same infrastructure as the live data, just delayed by 15 minutes. That way we could also ensure consistency, accuracy and format of data.</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As to the question of operational challenges in having to store sufficient pre-trade data, we envisage that exchanges are already storing that data for compliance and reporting reasons so do not consider it too onerous.</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24: Which use cases of post- and pre-trade delayed data are relevant to you as a data user? What format of data provision is necessary for these use cases, and especially for pre-trade delayed data?</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Market Data are used throughout the value chain of securities business from research, trading, advice, portfolio management to securities administration and custody. For example, securities services in banks, investment firms or asset managers provide services to institutional investor in various areas such as Net Asset Value (NAV) computation, compliance checks, clients &amp; regulatory reporting, fund administration and custody to name a few all of which require the production of all kinds of reports. In the exchange space, delayed market data from other trading venues is being used for offering various market models to customers, for brokers to implement the Best Execution, for regulatory supervision, to operate regulatory reporting services, or for index calculations.</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We would like to see the data available both real-time delayed (delayed data available in the same format and via the same infrastructure as the live data, just delayed by 15 minutes) and available to download for up to one week after creation.</w:t>
      </w:r>
    </w:p>
    <w:p w:rsidR="0065336F" w:rsidRPr="0065336F" w:rsidRDefault="0065336F" w:rsidP="00562B09">
      <w:pPr>
        <w:shd w:val="clear" w:color="auto" w:fill="FFFFFF"/>
        <w:spacing w:before="150"/>
        <w:jc w:val="both"/>
        <w:rPr>
          <w:rFonts w:eastAsia="Times New Roman"/>
          <w:sz w:val="22"/>
          <w:szCs w:val="22"/>
          <w:lang w:val="en-US"/>
        </w:rPr>
      </w:pPr>
      <w:r w:rsidRPr="00562B09">
        <w:rPr>
          <w:rFonts w:eastAsia="Times New Roman"/>
          <w:b/>
          <w:bCs/>
          <w:sz w:val="22"/>
          <w:szCs w:val="22"/>
          <w:lang w:val="en-US"/>
        </w:rPr>
        <w:t>Question 25: Do you agree with the definitions of data-distribution and value-added services provided in Guideline 16? Please explain.  </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We agree with the definitions set out in Guideline 16.  </w:t>
      </w:r>
    </w:p>
    <w:p w:rsidR="0065336F" w:rsidRPr="0065336F" w:rsidRDefault="0065336F" w:rsidP="00562B09">
      <w:pPr>
        <w:shd w:val="clear" w:color="auto" w:fill="FFFFFF"/>
        <w:spacing w:before="150"/>
        <w:jc w:val="both"/>
        <w:rPr>
          <w:rFonts w:eastAsia="Times New Roman"/>
          <w:sz w:val="22"/>
          <w:szCs w:val="22"/>
          <w:lang w:val="en-US"/>
        </w:rPr>
      </w:pPr>
      <w:r w:rsidRPr="0065336F">
        <w:rPr>
          <w:rFonts w:eastAsia="Times New Roman"/>
          <w:sz w:val="22"/>
          <w:szCs w:val="22"/>
          <w:lang w:val="en-US"/>
        </w:rPr>
        <w:t>Data redistribution generally is understood as the process of moving data replicates from one data site to other sites or distributing from one party to another without altering the data. The redistribution, or just distribution, fee is paid to the exchange when market data, display or non-display, is delivered to a system, person, or business other than the one that initially purchased the data. Most commonly, redistribution fees are incurred when a broker shows market data to a client or a vendor sells the market data information to a third party. Depending on factors like what exchange the data is from, what data provider is used, and if it is display or non-display data, the cost of redistribution can vary. Redistribution fees are paid whenever market data is redistributed. The definition of the business practice is therefore accurate.</w:t>
      </w:r>
    </w:p>
    <w:p w:rsidR="00EE029E" w:rsidRPr="00562B09" w:rsidRDefault="0065336F" w:rsidP="00562B09">
      <w:pPr>
        <w:pStyle w:val="Heading4"/>
        <w:jc w:val="both"/>
        <w:rPr>
          <w:rStyle w:val="Strong"/>
          <w:b/>
          <w:sz w:val="22"/>
          <w:szCs w:val="22"/>
          <w:shd w:val="clear" w:color="auto" w:fill="FFFFFF"/>
        </w:rPr>
      </w:pPr>
      <w:r w:rsidRPr="00562B09">
        <w:rPr>
          <w:rStyle w:val="Strong"/>
          <w:b/>
          <w:sz w:val="22"/>
          <w:szCs w:val="22"/>
          <w:shd w:val="clear" w:color="auto" w:fill="FFFFFF"/>
        </w:rPr>
        <w:t>Question 26: Do you have any further comment or suggestion on the draft Guidelines? Please explain.</w:t>
      </w:r>
    </w:p>
    <w:p w:rsidR="00562B09" w:rsidRPr="00562B09" w:rsidRDefault="0065336F" w:rsidP="00562B09">
      <w:pPr>
        <w:pStyle w:val="Heading4"/>
        <w:jc w:val="both"/>
        <w:rPr>
          <w:rStyle w:val="Strong"/>
          <w:sz w:val="22"/>
          <w:szCs w:val="22"/>
          <w:shd w:val="clear" w:color="auto" w:fill="FFFFFF"/>
        </w:rPr>
      </w:pPr>
      <w:r w:rsidRPr="00562B09">
        <w:rPr>
          <w:rStyle w:val="Strong"/>
          <w:sz w:val="22"/>
          <w:szCs w:val="22"/>
          <w:shd w:val="clear" w:color="auto" w:fill="FFFFFF"/>
        </w:rPr>
        <w:t>As noted in the introduction, ESMA should give due consideration to the charging of ‘connectivity fees’ by market</w:t>
      </w:r>
      <w:r w:rsidR="00562B09" w:rsidRPr="00562B09">
        <w:rPr>
          <w:rStyle w:val="Strong"/>
          <w:sz w:val="22"/>
          <w:szCs w:val="22"/>
          <w:shd w:val="clear" w:color="auto" w:fill="FFFFFF"/>
        </w:rPr>
        <w:t xml:space="preserve"> data providers.  Market participants must often pay these fees in order to connect to exchanges. Some commentators believe, including Virtu, </w:t>
      </w:r>
      <w:r w:rsidR="00702B6F">
        <w:rPr>
          <w:rStyle w:val="Strong"/>
          <w:sz w:val="22"/>
          <w:szCs w:val="22"/>
          <w:shd w:val="clear" w:color="auto" w:fill="FFFFFF"/>
        </w:rPr>
        <w:t>that</w:t>
      </w:r>
      <w:r w:rsidR="00562B09" w:rsidRPr="00562B09">
        <w:rPr>
          <w:rStyle w:val="Strong"/>
          <w:sz w:val="22"/>
          <w:szCs w:val="22"/>
          <w:shd w:val="clear" w:color="auto" w:fill="FFFFFF"/>
        </w:rPr>
        <w:t xml:space="preserve"> these may be increased without cause in the future to offset any losses from market data revenues.</w:t>
      </w:r>
    </w:p>
    <w:p w:rsidR="0065336F" w:rsidRDefault="00562B09" w:rsidP="00562B09">
      <w:pPr>
        <w:pStyle w:val="Heading4"/>
        <w:jc w:val="both"/>
        <w:rPr>
          <w:rStyle w:val="Strong"/>
          <w:sz w:val="22"/>
          <w:szCs w:val="22"/>
          <w:shd w:val="clear" w:color="auto" w:fill="FFFFFF"/>
        </w:rPr>
      </w:pPr>
      <w:r w:rsidRPr="00562B09">
        <w:rPr>
          <w:rStyle w:val="Strong"/>
          <w:sz w:val="22"/>
          <w:szCs w:val="22"/>
          <w:shd w:val="clear" w:color="auto" w:fill="FFFFFF"/>
        </w:rPr>
        <w:t xml:space="preserve">Similar transparency rules should be applied to connectivity fees as are proposed for regular </w:t>
      </w:r>
      <w:r w:rsidR="00702B6F">
        <w:rPr>
          <w:rStyle w:val="Strong"/>
          <w:sz w:val="22"/>
          <w:szCs w:val="22"/>
          <w:shd w:val="clear" w:color="auto" w:fill="FFFFFF"/>
        </w:rPr>
        <w:t xml:space="preserve">market data fees to allow for clear demarcation between different fees applied to market data subscribers.  </w:t>
      </w:r>
    </w:p>
    <w:p w:rsidR="00702B6F" w:rsidRPr="00562B09" w:rsidRDefault="00702B6F" w:rsidP="00562B09">
      <w:pPr>
        <w:pStyle w:val="Heading4"/>
        <w:jc w:val="both"/>
        <w:rPr>
          <w:rFonts w:eastAsia="Times New Roman"/>
          <w:b w:val="0"/>
          <w:sz w:val="22"/>
          <w:szCs w:val="22"/>
          <w:lang w:val="en-US"/>
        </w:rPr>
      </w:pPr>
      <w:r>
        <w:rPr>
          <w:rStyle w:val="Strong"/>
          <w:sz w:val="22"/>
          <w:szCs w:val="22"/>
          <w:shd w:val="clear" w:color="auto" w:fill="FFFFFF"/>
        </w:rPr>
        <w:t>Virtu would be happy to engage further with ESMA on this topic if necessary.</w:t>
      </w:r>
      <w:bookmarkStart w:id="1" w:name="_GoBack"/>
      <w:bookmarkEnd w:id="1"/>
    </w:p>
    <w:sectPr w:rsidR="00702B6F" w:rsidRPr="00562B09">
      <w:headerReference w:type="default" r:id="rId8"/>
      <w:footerReference w:type="default" r:id="rId9"/>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34" w:rsidRDefault="003F1434" w:rsidP="003B2844">
      <w:r>
        <w:separator/>
      </w:r>
    </w:p>
  </w:endnote>
  <w:endnote w:type="continuationSeparator" w:id="0">
    <w:p w:rsidR="003F1434" w:rsidRDefault="003F1434" w:rsidP="003B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ED" w:rsidRPr="000766ED" w:rsidRDefault="000766ED" w:rsidP="00B7604D">
    <w:pPr>
      <w:jc w:val="both"/>
      <w:rPr>
        <w:rFonts w:ascii="Arial" w:hAnsi="Arial" w:cs="Arial"/>
        <w:color w:val="44546A" w:themeColor="text2"/>
        <w:sz w:val="6"/>
        <w:szCs w:val="12"/>
      </w:rPr>
    </w:pPr>
  </w:p>
  <w:p w:rsidR="00B7604D" w:rsidRDefault="00B7604D" w:rsidP="00B7604D">
    <w:pPr>
      <w:jc w:val="both"/>
      <w:rPr>
        <w:rFonts w:ascii="Arial" w:eastAsiaTheme="minorHAnsi" w:hAnsi="Arial" w:cs="Arial"/>
        <w:color w:val="44546A" w:themeColor="text2"/>
        <w:sz w:val="12"/>
        <w:szCs w:val="12"/>
      </w:rPr>
    </w:pPr>
    <w:r>
      <w:rPr>
        <w:rFonts w:ascii="Arial" w:hAnsi="Arial" w:cs="Arial"/>
        <w:color w:val="44546A" w:themeColor="text2"/>
        <w:sz w:val="12"/>
        <w:szCs w:val="12"/>
      </w:rPr>
      <w:t xml:space="preserve">This material is disseminated in Europe on behalf of certain affiliates of Virtu Financial, Inc., including any of Virtu ITG Ventures Limited (“VIVL”) (Registered in Ireland No. 295549), Virtu ITG Europe Limited (“VIEL”) (Registered in Ireland No. 283940 with a share capital of £50,000,000) and/or its wholly owned subsidiary, Investment Technology Group Europe Limited (“ITGEL”) (Registered in Ireland No. 283939). The registered office of these companies is Whitaker Court, Whitaker Square, Sir John Rogerson’s Quay, Dublin 2, Ireland.  Directors K. </w:t>
    </w:r>
    <w:proofErr w:type="spellStart"/>
    <w:r>
      <w:rPr>
        <w:rFonts w:ascii="Arial" w:hAnsi="Arial" w:cs="Arial"/>
        <w:color w:val="44546A" w:themeColor="text2"/>
        <w:sz w:val="12"/>
        <w:szCs w:val="12"/>
      </w:rPr>
      <w:t>O’Doherty</w:t>
    </w:r>
    <w:proofErr w:type="spellEnd"/>
    <w:r>
      <w:rPr>
        <w:rFonts w:ascii="Arial" w:hAnsi="Arial" w:cs="Arial"/>
        <w:color w:val="44546A" w:themeColor="text2"/>
        <w:sz w:val="12"/>
        <w:szCs w:val="12"/>
      </w:rPr>
      <w:t xml:space="preserve"> (Irish), R. Boardman (British), D. Carbery (Irish), D. Furlong (Irish) and B. Fairclough (American). VIEL is authorised and regulated by the Central Bank of Ireland. VIEL operates POSIT®, the multilateral trading facility. VIEL operates a branch in London, England (No. BR017810) which is registered with the UK Financial Conduct Authority and a branch in Paris, France (No. 480281609) which is registered with the </w:t>
    </w:r>
    <w:proofErr w:type="spellStart"/>
    <w:r>
      <w:rPr>
        <w:rFonts w:ascii="Arial" w:hAnsi="Arial" w:cs="Arial"/>
        <w:color w:val="44546A" w:themeColor="text2"/>
        <w:sz w:val="12"/>
        <w:szCs w:val="12"/>
      </w:rPr>
      <w:t>Banque</w:t>
    </w:r>
    <w:proofErr w:type="spellEnd"/>
    <w:r>
      <w:rPr>
        <w:rFonts w:ascii="Arial" w:hAnsi="Arial" w:cs="Arial"/>
        <w:color w:val="44546A" w:themeColor="text2"/>
        <w:sz w:val="12"/>
        <w:szCs w:val="12"/>
      </w:rPr>
      <w:t xml:space="preserve"> de France. ITGEL operates a branch in London, England (No. BR004642). The registered office of the VIEL London branch and the ITGEL London branch is </w:t>
    </w:r>
    <w:proofErr w:type="spellStart"/>
    <w:r>
      <w:rPr>
        <w:rFonts w:ascii="Arial" w:hAnsi="Arial" w:cs="Arial"/>
        <w:color w:val="44546A" w:themeColor="text2"/>
        <w:sz w:val="12"/>
        <w:szCs w:val="12"/>
      </w:rPr>
      <w:t>Ropemaker</w:t>
    </w:r>
    <w:proofErr w:type="spellEnd"/>
    <w:r>
      <w:rPr>
        <w:rFonts w:ascii="Arial" w:hAnsi="Arial" w:cs="Arial"/>
        <w:color w:val="44546A" w:themeColor="text2"/>
        <w:sz w:val="12"/>
        <w:szCs w:val="12"/>
      </w:rPr>
      <w:t xml:space="preserve"> Place, 25 </w:t>
    </w:r>
    <w:proofErr w:type="spellStart"/>
    <w:r>
      <w:rPr>
        <w:rFonts w:ascii="Arial" w:hAnsi="Arial" w:cs="Arial"/>
        <w:color w:val="44546A" w:themeColor="text2"/>
        <w:sz w:val="12"/>
        <w:szCs w:val="12"/>
      </w:rPr>
      <w:t>Ropemaker</w:t>
    </w:r>
    <w:proofErr w:type="spellEnd"/>
    <w:r>
      <w:rPr>
        <w:rFonts w:ascii="Arial" w:hAnsi="Arial" w:cs="Arial"/>
        <w:color w:val="44546A" w:themeColor="text2"/>
        <w:sz w:val="12"/>
        <w:szCs w:val="12"/>
      </w:rPr>
      <w:t xml:space="preserve"> Street, London EC2Y 9LY, United Kingdom. The registered office of the VIEL French Branch is 9 Place </w:t>
    </w:r>
    <w:proofErr w:type="spellStart"/>
    <w:r>
      <w:rPr>
        <w:rFonts w:ascii="Arial" w:hAnsi="Arial" w:cs="Arial"/>
        <w:color w:val="44546A" w:themeColor="text2"/>
        <w:sz w:val="12"/>
        <w:szCs w:val="12"/>
      </w:rPr>
      <w:t>Vendôme</w:t>
    </w:r>
    <w:proofErr w:type="spellEnd"/>
    <w:r>
      <w:rPr>
        <w:rFonts w:ascii="Arial" w:hAnsi="Arial" w:cs="Arial"/>
        <w:color w:val="44546A" w:themeColor="text2"/>
        <w:sz w:val="12"/>
        <w:szCs w:val="12"/>
      </w:rPr>
      <w:t>, 75001 Paris, France.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34" w:rsidRDefault="003F1434" w:rsidP="003B2844">
      <w:r>
        <w:separator/>
      </w:r>
    </w:p>
  </w:footnote>
  <w:footnote w:type="continuationSeparator" w:id="0">
    <w:p w:rsidR="003F1434" w:rsidRDefault="003F1434" w:rsidP="003B2844">
      <w:r>
        <w:continuationSeparator/>
      </w:r>
    </w:p>
  </w:footnote>
  <w:footnote w:id="1">
    <w:p w:rsidR="00EE029E" w:rsidRPr="00EE029E" w:rsidRDefault="00EE029E" w:rsidP="00EE029E">
      <w:pPr>
        <w:pStyle w:val="FootnoteText"/>
        <w:rPr>
          <w:sz w:val="16"/>
        </w:rPr>
      </w:pPr>
      <w:r w:rsidRPr="00EE029E">
        <w:rPr>
          <w:rStyle w:val="FootnoteReference"/>
          <w:sz w:val="16"/>
        </w:rPr>
        <w:footnoteRef/>
      </w:r>
      <w:r w:rsidRPr="00EE029E">
        <w:rPr>
          <w:sz w:val="16"/>
        </w:rPr>
        <w:t xml:space="preserve"> “The Cost of Exchange Services” (https://iextrading.com/docs/The%20Cost%20of%20Exchange%20Services.pdf)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ED" w:rsidRDefault="000766ED" w:rsidP="000766ED">
    <w:pPr>
      <w:pStyle w:val="Header"/>
      <w:ind w:right="-965"/>
      <w:jc w:val="right"/>
    </w:pPr>
    <w:r>
      <w:rPr>
        <w:noProof/>
      </w:rPr>
      <mc:AlternateContent>
        <mc:Choice Requires="wps">
          <w:drawing>
            <wp:anchor distT="0" distB="0" distL="114300" distR="114300" simplePos="0" relativeHeight="251660288" behindDoc="0" locked="0" layoutInCell="1" allowOverlap="1" wp14:anchorId="078161D8" wp14:editId="09935DC9">
              <wp:simplePos x="0" y="0"/>
              <wp:positionH relativeFrom="column">
                <wp:posOffset>1997075</wp:posOffset>
              </wp:positionH>
              <wp:positionV relativeFrom="paragraph">
                <wp:posOffset>12065</wp:posOffset>
              </wp:positionV>
              <wp:extent cx="1649730" cy="448310"/>
              <wp:effectExtent l="0" t="0" r="0" b="8890"/>
              <wp:wrapNone/>
              <wp:docPr id="10" name="Text Box 10"/>
              <wp:cNvGraphicFramePr/>
              <a:graphic xmlns:a="http://schemas.openxmlformats.org/drawingml/2006/main">
                <a:graphicData uri="http://schemas.microsoft.com/office/word/2010/wordprocessingShape">
                  <wps:wsp>
                    <wps:cNvSpPr txBox="1"/>
                    <wps:spPr>
                      <a:xfrm>
                        <a:off x="0" y="0"/>
                        <a:ext cx="1649730" cy="448310"/>
                      </a:xfrm>
                      <a:prstGeom prst="rect">
                        <a:avLst/>
                      </a:prstGeom>
                      <a:noFill/>
                      <a:ln w="6350">
                        <a:noFill/>
                      </a:ln>
                    </wps:spPr>
                    <wps:txbx>
                      <w:txbxContent>
                        <w:p w:rsidR="000766ED" w:rsidRPr="005B5691" w:rsidRDefault="000766ED" w:rsidP="000766ED">
                          <w:pPr>
                            <w:rPr>
                              <w:rFonts w:ascii="Arial" w:hAnsi="Arial" w:cs="Arial"/>
                              <w:sz w:val="16"/>
                              <w:szCs w:val="16"/>
                            </w:rPr>
                          </w:pPr>
                          <w:r w:rsidRPr="005B5691">
                            <w:rPr>
                              <w:rFonts w:ascii="Arial" w:hAnsi="Arial" w:cs="Arial"/>
                              <w:b/>
                              <w:sz w:val="16"/>
                              <w:szCs w:val="16"/>
                            </w:rPr>
                            <w:t>t:</w:t>
                          </w:r>
                          <w:r>
                            <w:rPr>
                              <w:rFonts w:ascii="Arial" w:hAnsi="Arial" w:cs="Arial"/>
                              <w:sz w:val="16"/>
                              <w:szCs w:val="16"/>
                            </w:rPr>
                            <w:t>00. 353. 1 6338000</w:t>
                          </w:r>
                        </w:p>
                        <w:p w:rsidR="000766ED" w:rsidRPr="005B5691" w:rsidRDefault="000766ED" w:rsidP="000766ED">
                          <w:pPr>
                            <w:rPr>
                              <w:rFonts w:ascii="Arial" w:hAnsi="Arial" w:cs="Arial"/>
                              <w:sz w:val="16"/>
                              <w:szCs w:val="16"/>
                            </w:rPr>
                          </w:pPr>
                          <w:r w:rsidRPr="005B5691">
                            <w:rPr>
                              <w:rFonts w:ascii="Arial" w:hAnsi="Arial" w:cs="Arial"/>
                              <w:b/>
                              <w:sz w:val="16"/>
                              <w:szCs w:val="16"/>
                            </w:rPr>
                            <w:t>f:</w:t>
                          </w:r>
                          <w:r>
                            <w:rPr>
                              <w:rFonts w:ascii="Arial" w:hAnsi="Arial" w:cs="Arial"/>
                              <w:sz w:val="16"/>
                              <w:szCs w:val="16"/>
                            </w:rPr>
                            <w:t>00. 353. 1 6338010</w:t>
                          </w:r>
                        </w:p>
                        <w:p w:rsidR="000766ED" w:rsidRPr="005B5691" w:rsidRDefault="000766ED" w:rsidP="000766ED">
                          <w:pPr>
                            <w:rPr>
                              <w:rFonts w:ascii="Arial" w:hAnsi="Arial" w:cs="Arial"/>
                              <w:sz w:val="16"/>
                              <w:szCs w:val="16"/>
                            </w:rPr>
                          </w:pPr>
                          <w:r>
                            <w:rPr>
                              <w:rFonts w:ascii="Arial" w:hAnsi="Arial" w:cs="Arial"/>
                              <w:sz w:val="16"/>
                              <w:szCs w:val="16"/>
                            </w:rPr>
                            <w:t>www.virtu.com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78161D8" id="_x0000_t202" coordsize="21600,21600" o:spt="202" path="m,l,21600r21600,l21600,xe">
              <v:stroke joinstyle="miter"/>
              <v:path gradientshapeok="t" o:connecttype="rect"/>
            </v:shapetype>
            <v:shape id="Text Box 10" o:spid="_x0000_s1026" type="#_x0000_t202" style="position:absolute;left:0;text-align:left;margin-left:157.25pt;margin-top:.95pt;width:129.9pt;height:3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" filled="f" stroked="f" strokeweight=".5pt">
              <v:textbox style="mso-fit-shape-to-text:t">
                <w:txbxContent>
                  <w:p w:rsidR="000766ED" w:rsidRPr="005B5691" w:rsidRDefault="000766ED" w:rsidP="000766ED">
                    <w:pPr>
                      <w:rPr>
                        <w:rFonts w:ascii="Arial" w:hAnsi="Arial" w:cs="Arial"/>
                        <w:sz w:val="16"/>
                        <w:szCs w:val="16"/>
                      </w:rPr>
                    </w:pPr>
                    <w:r w:rsidRPr="005B5691">
                      <w:rPr>
                        <w:rFonts w:ascii="Arial" w:hAnsi="Arial" w:cs="Arial"/>
                        <w:b/>
                        <w:sz w:val="16"/>
                        <w:szCs w:val="16"/>
                      </w:rPr>
                      <w:t>t:</w:t>
                    </w:r>
                    <w:r>
                      <w:rPr>
                        <w:rFonts w:ascii="Arial" w:hAnsi="Arial" w:cs="Arial"/>
                        <w:sz w:val="16"/>
                        <w:szCs w:val="16"/>
                      </w:rPr>
                      <w:t>00. 353. 1 6338000</w:t>
                    </w:r>
                  </w:p>
                  <w:p w:rsidR="000766ED" w:rsidRPr="005B5691" w:rsidRDefault="000766ED" w:rsidP="000766ED">
                    <w:pPr>
                      <w:rPr>
                        <w:rFonts w:ascii="Arial" w:hAnsi="Arial" w:cs="Arial"/>
                        <w:sz w:val="16"/>
                        <w:szCs w:val="16"/>
                      </w:rPr>
                    </w:pPr>
                    <w:r w:rsidRPr="005B5691">
                      <w:rPr>
                        <w:rFonts w:ascii="Arial" w:hAnsi="Arial" w:cs="Arial"/>
                        <w:b/>
                        <w:sz w:val="16"/>
                        <w:szCs w:val="16"/>
                      </w:rPr>
                      <w:t>f:</w:t>
                    </w:r>
                    <w:r>
                      <w:rPr>
                        <w:rFonts w:ascii="Arial" w:hAnsi="Arial" w:cs="Arial"/>
                        <w:sz w:val="16"/>
                        <w:szCs w:val="16"/>
                      </w:rPr>
                      <w:t>00. 353. 1 6338010</w:t>
                    </w:r>
                  </w:p>
                  <w:p w:rsidR="000766ED" w:rsidRPr="005B5691" w:rsidRDefault="000766ED" w:rsidP="000766ED">
                    <w:pPr>
                      <w:rPr>
                        <w:rFonts w:ascii="Arial" w:hAnsi="Arial" w:cs="Arial"/>
                        <w:sz w:val="16"/>
                        <w:szCs w:val="16"/>
                      </w:rPr>
                    </w:pPr>
                    <w:r>
                      <w:rPr>
                        <w:rFonts w:ascii="Arial" w:hAnsi="Arial" w:cs="Arial"/>
                        <w:sz w:val="16"/>
                        <w:szCs w:val="16"/>
                      </w:rPr>
                      <w:t>www.virtu.com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58191FA" wp14:editId="06CA193D">
              <wp:simplePos x="0" y="0"/>
              <wp:positionH relativeFrom="column">
                <wp:posOffset>-69850</wp:posOffset>
              </wp:positionH>
              <wp:positionV relativeFrom="paragraph">
                <wp:posOffset>0</wp:posOffset>
              </wp:positionV>
              <wp:extent cx="1925955" cy="5651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925955" cy="565150"/>
                      </a:xfrm>
                      <a:prstGeom prst="rect">
                        <a:avLst/>
                      </a:prstGeom>
                      <a:noFill/>
                      <a:ln w="6350">
                        <a:noFill/>
                      </a:ln>
                    </wps:spPr>
                    <wps:txbx>
                      <w:txbxContent>
                        <w:p w:rsidR="000766ED" w:rsidRPr="005B5691" w:rsidRDefault="000766ED" w:rsidP="000766ED">
                          <w:pPr>
                            <w:rPr>
                              <w:rFonts w:ascii="Arial" w:hAnsi="Arial" w:cs="Arial"/>
                              <w:sz w:val="16"/>
                              <w:szCs w:val="16"/>
                            </w:rPr>
                          </w:pPr>
                          <w:r>
                            <w:rPr>
                              <w:rFonts w:ascii="Arial" w:hAnsi="Arial" w:cs="Arial"/>
                              <w:sz w:val="16"/>
                              <w:szCs w:val="16"/>
                            </w:rPr>
                            <w:t>Virtu ITG Europe Limited</w:t>
                          </w:r>
                        </w:p>
                        <w:p w:rsidR="000766ED" w:rsidRPr="005B5691" w:rsidRDefault="000766ED" w:rsidP="000766ED">
                          <w:pPr>
                            <w:rPr>
                              <w:rFonts w:ascii="Arial" w:hAnsi="Arial" w:cs="Arial"/>
                              <w:sz w:val="16"/>
                              <w:szCs w:val="16"/>
                            </w:rPr>
                          </w:pPr>
                          <w:r>
                            <w:rPr>
                              <w:rFonts w:ascii="Arial" w:hAnsi="Arial" w:cs="Arial"/>
                              <w:sz w:val="16"/>
                              <w:szCs w:val="16"/>
                            </w:rPr>
                            <w:t>Whitaker Court, Whitaker Square</w:t>
                          </w:r>
                          <w:r>
                            <w:rPr>
                              <w:rFonts w:ascii="Arial" w:hAnsi="Arial" w:cs="Arial"/>
                              <w:sz w:val="16"/>
                              <w:szCs w:val="16"/>
                            </w:rPr>
                            <w:br/>
                            <w:t>Sir John Rogerson’s Quay</w:t>
                          </w:r>
                        </w:p>
                        <w:p w:rsidR="000766ED" w:rsidRPr="005B5691" w:rsidRDefault="000766ED" w:rsidP="000766ED">
                          <w:pPr>
                            <w:rPr>
                              <w:rFonts w:ascii="Arial" w:hAnsi="Arial" w:cs="Arial"/>
                              <w:sz w:val="16"/>
                              <w:szCs w:val="16"/>
                            </w:rPr>
                          </w:pPr>
                          <w:r>
                            <w:rPr>
                              <w:rFonts w:ascii="Arial" w:hAnsi="Arial" w:cs="Arial"/>
                              <w:sz w:val="16"/>
                              <w:szCs w:val="16"/>
                            </w:rPr>
                            <w:t>Dublin 2, Ireland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8191FA" id="Text Box 5" o:spid="_x0000_s1027" type="#_x0000_t202" style="position:absolute;left:0;text-align:left;margin-left:-5.5pt;margin-top:0;width:151.65pt;height: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" filled="f" stroked="f" strokeweight=".5pt">
              <v:textbox style="mso-fit-shape-to-text:t">
                <w:txbxContent>
                  <w:p w:rsidR="000766ED" w:rsidRPr="005B5691" w:rsidRDefault="000766ED" w:rsidP="000766ED">
                    <w:pPr>
                      <w:rPr>
                        <w:rFonts w:ascii="Arial" w:hAnsi="Arial" w:cs="Arial"/>
                        <w:sz w:val="16"/>
                        <w:szCs w:val="16"/>
                      </w:rPr>
                    </w:pPr>
                    <w:r>
                      <w:rPr>
                        <w:rFonts w:ascii="Arial" w:hAnsi="Arial" w:cs="Arial"/>
                        <w:sz w:val="16"/>
                        <w:szCs w:val="16"/>
                      </w:rPr>
                      <w:t>Virtu ITG Europe Limited</w:t>
                    </w:r>
                  </w:p>
                  <w:p w:rsidR="000766ED" w:rsidRPr="005B5691" w:rsidRDefault="000766ED" w:rsidP="000766ED">
                    <w:pPr>
                      <w:rPr>
                        <w:rFonts w:ascii="Arial" w:hAnsi="Arial" w:cs="Arial"/>
                        <w:sz w:val="16"/>
                        <w:szCs w:val="16"/>
                      </w:rPr>
                    </w:pPr>
                    <w:r>
                      <w:rPr>
                        <w:rFonts w:ascii="Arial" w:hAnsi="Arial" w:cs="Arial"/>
                        <w:sz w:val="16"/>
                        <w:szCs w:val="16"/>
                      </w:rPr>
                      <w:t>Whitaker Court, Whitaker Square</w:t>
                    </w:r>
                    <w:r>
                      <w:rPr>
                        <w:rFonts w:ascii="Arial" w:hAnsi="Arial" w:cs="Arial"/>
                        <w:sz w:val="16"/>
                        <w:szCs w:val="16"/>
                      </w:rPr>
                      <w:br/>
                      <w:t>Sir John Rogerson’s Quay</w:t>
                    </w:r>
                  </w:p>
                  <w:p w:rsidR="000766ED" w:rsidRPr="005B5691" w:rsidRDefault="000766ED" w:rsidP="000766ED">
                    <w:pPr>
                      <w:rPr>
                        <w:rFonts w:ascii="Arial" w:hAnsi="Arial" w:cs="Arial"/>
                        <w:sz w:val="16"/>
                        <w:szCs w:val="16"/>
                      </w:rPr>
                    </w:pPr>
                    <w:r>
                      <w:rPr>
                        <w:rFonts w:ascii="Arial" w:hAnsi="Arial" w:cs="Arial"/>
                        <w:sz w:val="16"/>
                        <w:szCs w:val="16"/>
                      </w:rPr>
                      <w:t>Dublin 2, Ireland</w:t>
                    </w:r>
                  </w:p>
                </w:txbxContent>
              </v:textbox>
            </v:shape>
          </w:pict>
        </mc:Fallback>
      </mc:AlternateContent>
    </w:r>
    <w:r>
      <w:rPr>
        <w:noProof/>
      </w:rPr>
      <w:drawing>
        <wp:inline distT="0" distB="0" distL="0" distR="0" wp14:anchorId="1236DE8D" wp14:editId="5E049333">
          <wp:extent cx="1614399" cy="509785"/>
          <wp:effectExtent l="0" t="0" r="0" b="0"/>
          <wp:docPr id="4" name="Picture 4" descr="/Volumes/group/Corporate/NEW Marketing 20121029/Creative/Virtu/Assets/Logos/Horizontal/RGB/Virtu Logo Horiz Color Navy Txt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group/Corporate/NEW Marketing 20121029/Creative/Virtu/Assets/Logos/Horizontal/RGB/Virtu Logo Horiz Color Navy Txt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037" cy="549458"/>
                  </a:xfrm>
                  <a:prstGeom prst="rect">
                    <a:avLst/>
                  </a:prstGeom>
                  <a:noFill/>
                  <a:ln>
                    <a:noFill/>
                  </a:ln>
                </pic:spPr>
              </pic:pic>
            </a:graphicData>
          </a:graphic>
        </wp:inline>
      </w:drawing>
    </w:r>
  </w:p>
  <w:p w:rsidR="003B2844" w:rsidRDefault="003B2844" w:rsidP="003B284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F98"/>
    <w:multiLevelType w:val="multilevel"/>
    <w:tmpl w:val="BD6E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25BD3"/>
    <w:multiLevelType w:val="multilevel"/>
    <w:tmpl w:val="CC38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64269"/>
    <w:multiLevelType w:val="multilevel"/>
    <w:tmpl w:val="E7D6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44"/>
    <w:rsid w:val="000766ED"/>
    <w:rsid w:val="00221EAD"/>
    <w:rsid w:val="002A5248"/>
    <w:rsid w:val="003B2844"/>
    <w:rsid w:val="003F1434"/>
    <w:rsid w:val="004775A7"/>
    <w:rsid w:val="004C2EFA"/>
    <w:rsid w:val="00562B09"/>
    <w:rsid w:val="0065336F"/>
    <w:rsid w:val="00660212"/>
    <w:rsid w:val="006B2E47"/>
    <w:rsid w:val="006B332A"/>
    <w:rsid w:val="00702B6F"/>
    <w:rsid w:val="00774031"/>
    <w:rsid w:val="00A51777"/>
    <w:rsid w:val="00B04A46"/>
    <w:rsid w:val="00B44518"/>
    <w:rsid w:val="00B7604D"/>
    <w:rsid w:val="00DC3945"/>
    <w:rsid w:val="00EE029E"/>
    <w:rsid w:val="00F9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5214F"/>
  <w15:chartTrackingRefBased/>
  <w15:docId w15:val="{4AB2513E-0AB0-4060-9D21-2293562D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val="en-GB"/>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nhideWhenUsed/>
    <w:rsid w:val="003B2844"/>
    <w:pPr>
      <w:tabs>
        <w:tab w:val="center" w:pos="4680"/>
        <w:tab w:val="right" w:pos="9360"/>
      </w:tabs>
    </w:pPr>
  </w:style>
  <w:style w:type="character" w:customStyle="1" w:styleId="HeaderChar">
    <w:name w:val="Header Char"/>
    <w:basedOn w:val="DefaultParagraphFont"/>
    <w:link w:val="Header"/>
    <w:uiPriority w:val="99"/>
    <w:rsid w:val="003B2844"/>
    <w:rPr>
      <w:rFonts w:eastAsiaTheme="minorEastAsia"/>
      <w:sz w:val="24"/>
      <w:szCs w:val="24"/>
    </w:rPr>
  </w:style>
  <w:style w:type="paragraph" w:styleId="Footer">
    <w:name w:val="footer"/>
    <w:basedOn w:val="Normal"/>
    <w:link w:val="FooterChar"/>
    <w:uiPriority w:val="99"/>
    <w:unhideWhenUsed/>
    <w:rsid w:val="003B2844"/>
    <w:pPr>
      <w:tabs>
        <w:tab w:val="center" w:pos="4680"/>
        <w:tab w:val="right" w:pos="9360"/>
      </w:tabs>
    </w:pPr>
  </w:style>
  <w:style w:type="character" w:customStyle="1" w:styleId="FooterChar">
    <w:name w:val="Footer Char"/>
    <w:basedOn w:val="DefaultParagraphFont"/>
    <w:link w:val="Footer"/>
    <w:uiPriority w:val="99"/>
    <w:rsid w:val="003B2844"/>
    <w:rPr>
      <w:rFonts w:eastAsiaTheme="minorEastAsia"/>
      <w:sz w:val="24"/>
      <w:szCs w:val="24"/>
    </w:rPr>
  </w:style>
  <w:style w:type="character" w:customStyle="1" w:styleId="inline-comment-marker">
    <w:name w:val="inline-comment-marker"/>
    <w:basedOn w:val="DefaultParagraphFont"/>
    <w:rsid w:val="004C2EFA"/>
  </w:style>
  <w:style w:type="character" w:styleId="Hyperlink">
    <w:name w:val="Hyperlink"/>
    <w:basedOn w:val="DefaultParagraphFont"/>
    <w:uiPriority w:val="99"/>
    <w:semiHidden/>
    <w:unhideWhenUsed/>
    <w:rsid w:val="004C2EFA"/>
    <w:rPr>
      <w:color w:val="0000FF"/>
      <w:u w:val="single"/>
    </w:rPr>
  </w:style>
  <w:style w:type="paragraph" w:styleId="FootnoteText">
    <w:name w:val="footnote text"/>
    <w:basedOn w:val="Normal"/>
    <w:link w:val="FootnoteTextChar"/>
    <w:uiPriority w:val="99"/>
    <w:semiHidden/>
    <w:unhideWhenUsed/>
    <w:rsid w:val="00EE029E"/>
    <w:rPr>
      <w:sz w:val="20"/>
      <w:szCs w:val="20"/>
    </w:rPr>
  </w:style>
  <w:style w:type="character" w:customStyle="1" w:styleId="FootnoteTextChar">
    <w:name w:val="Footnote Text Char"/>
    <w:basedOn w:val="DefaultParagraphFont"/>
    <w:link w:val="FootnoteText"/>
    <w:uiPriority w:val="99"/>
    <w:semiHidden/>
    <w:rsid w:val="00EE029E"/>
    <w:rPr>
      <w:rFonts w:eastAsiaTheme="minorEastAsia"/>
    </w:rPr>
  </w:style>
  <w:style w:type="character" w:styleId="FootnoteReference">
    <w:name w:val="footnote reference"/>
    <w:basedOn w:val="DefaultParagraphFont"/>
    <w:uiPriority w:val="99"/>
    <w:semiHidden/>
    <w:unhideWhenUsed/>
    <w:rsid w:val="00EE02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2239">
      <w:bodyDiv w:val="1"/>
      <w:marLeft w:val="0"/>
      <w:marRight w:val="0"/>
      <w:marTop w:val="0"/>
      <w:marBottom w:val="0"/>
      <w:divBdr>
        <w:top w:val="none" w:sz="0" w:space="0" w:color="auto"/>
        <w:left w:val="none" w:sz="0" w:space="0" w:color="auto"/>
        <w:bottom w:val="none" w:sz="0" w:space="0" w:color="auto"/>
        <w:right w:val="none" w:sz="0" w:space="0" w:color="auto"/>
      </w:divBdr>
    </w:div>
    <w:div w:id="402803924">
      <w:bodyDiv w:val="1"/>
      <w:marLeft w:val="0"/>
      <w:marRight w:val="0"/>
      <w:marTop w:val="0"/>
      <w:marBottom w:val="0"/>
      <w:divBdr>
        <w:top w:val="none" w:sz="0" w:space="0" w:color="auto"/>
        <w:left w:val="none" w:sz="0" w:space="0" w:color="auto"/>
        <w:bottom w:val="none" w:sz="0" w:space="0" w:color="auto"/>
        <w:right w:val="none" w:sz="0" w:space="0" w:color="auto"/>
      </w:divBdr>
    </w:div>
    <w:div w:id="488717906">
      <w:bodyDiv w:val="1"/>
      <w:marLeft w:val="0"/>
      <w:marRight w:val="0"/>
      <w:marTop w:val="0"/>
      <w:marBottom w:val="0"/>
      <w:divBdr>
        <w:top w:val="none" w:sz="0" w:space="0" w:color="auto"/>
        <w:left w:val="none" w:sz="0" w:space="0" w:color="auto"/>
        <w:bottom w:val="none" w:sz="0" w:space="0" w:color="auto"/>
        <w:right w:val="none" w:sz="0" w:space="0" w:color="auto"/>
      </w:divBdr>
    </w:div>
    <w:div w:id="546726791">
      <w:bodyDiv w:val="1"/>
      <w:marLeft w:val="0"/>
      <w:marRight w:val="0"/>
      <w:marTop w:val="0"/>
      <w:marBottom w:val="0"/>
      <w:divBdr>
        <w:top w:val="none" w:sz="0" w:space="0" w:color="auto"/>
        <w:left w:val="none" w:sz="0" w:space="0" w:color="auto"/>
        <w:bottom w:val="none" w:sz="0" w:space="0" w:color="auto"/>
        <w:right w:val="none" w:sz="0" w:space="0" w:color="auto"/>
      </w:divBdr>
      <w:divsChild>
        <w:div w:id="671490011">
          <w:marLeft w:val="0"/>
          <w:marRight w:val="0"/>
          <w:marTop w:val="75"/>
          <w:marBottom w:val="0"/>
          <w:divBdr>
            <w:top w:val="none" w:sz="0" w:space="0" w:color="auto"/>
            <w:left w:val="none" w:sz="0" w:space="0" w:color="auto"/>
            <w:bottom w:val="none" w:sz="0" w:space="0" w:color="auto"/>
            <w:right w:val="none" w:sz="0" w:space="0" w:color="auto"/>
          </w:divBdr>
          <w:divsChild>
            <w:div w:id="12722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08">
      <w:bodyDiv w:val="1"/>
      <w:marLeft w:val="0"/>
      <w:marRight w:val="0"/>
      <w:marTop w:val="0"/>
      <w:marBottom w:val="0"/>
      <w:divBdr>
        <w:top w:val="none" w:sz="0" w:space="0" w:color="auto"/>
        <w:left w:val="none" w:sz="0" w:space="0" w:color="auto"/>
        <w:bottom w:val="none" w:sz="0" w:space="0" w:color="auto"/>
        <w:right w:val="none" w:sz="0" w:space="0" w:color="auto"/>
      </w:divBdr>
    </w:div>
    <w:div w:id="706566093">
      <w:bodyDiv w:val="1"/>
      <w:marLeft w:val="0"/>
      <w:marRight w:val="0"/>
      <w:marTop w:val="0"/>
      <w:marBottom w:val="0"/>
      <w:divBdr>
        <w:top w:val="none" w:sz="0" w:space="0" w:color="auto"/>
        <w:left w:val="none" w:sz="0" w:space="0" w:color="auto"/>
        <w:bottom w:val="none" w:sz="0" w:space="0" w:color="auto"/>
        <w:right w:val="none" w:sz="0" w:space="0" w:color="auto"/>
      </w:divBdr>
    </w:div>
    <w:div w:id="758142056">
      <w:bodyDiv w:val="1"/>
      <w:marLeft w:val="0"/>
      <w:marRight w:val="0"/>
      <w:marTop w:val="0"/>
      <w:marBottom w:val="0"/>
      <w:divBdr>
        <w:top w:val="none" w:sz="0" w:space="0" w:color="auto"/>
        <w:left w:val="none" w:sz="0" w:space="0" w:color="auto"/>
        <w:bottom w:val="none" w:sz="0" w:space="0" w:color="auto"/>
        <w:right w:val="none" w:sz="0" w:space="0" w:color="auto"/>
      </w:divBdr>
    </w:div>
    <w:div w:id="805389751">
      <w:bodyDiv w:val="1"/>
      <w:marLeft w:val="0"/>
      <w:marRight w:val="0"/>
      <w:marTop w:val="0"/>
      <w:marBottom w:val="0"/>
      <w:divBdr>
        <w:top w:val="none" w:sz="0" w:space="0" w:color="auto"/>
        <w:left w:val="none" w:sz="0" w:space="0" w:color="auto"/>
        <w:bottom w:val="none" w:sz="0" w:space="0" w:color="auto"/>
        <w:right w:val="none" w:sz="0" w:space="0" w:color="auto"/>
      </w:divBdr>
    </w:div>
    <w:div w:id="843856145">
      <w:bodyDiv w:val="1"/>
      <w:marLeft w:val="0"/>
      <w:marRight w:val="0"/>
      <w:marTop w:val="0"/>
      <w:marBottom w:val="0"/>
      <w:divBdr>
        <w:top w:val="none" w:sz="0" w:space="0" w:color="auto"/>
        <w:left w:val="none" w:sz="0" w:space="0" w:color="auto"/>
        <w:bottom w:val="none" w:sz="0" w:space="0" w:color="auto"/>
        <w:right w:val="none" w:sz="0" w:space="0" w:color="auto"/>
      </w:divBdr>
    </w:div>
    <w:div w:id="866721418">
      <w:bodyDiv w:val="1"/>
      <w:marLeft w:val="0"/>
      <w:marRight w:val="0"/>
      <w:marTop w:val="0"/>
      <w:marBottom w:val="0"/>
      <w:divBdr>
        <w:top w:val="none" w:sz="0" w:space="0" w:color="auto"/>
        <w:left w:val="none" w:sz="0" w:space="0" w:color="auto"/>
        <w:bottom w:val="none" w:sz="0" w:space="0" w:color="auto"/>
        <w:right w:val="none" w:sz="0" w:space="0" w:color="auto"/>
      </w:divBdr>
    </w:div>
    <w:div w:id="1039472851">
      <w:bodyDiv w:val="1"/>
      <w:marLeft w:val="0"/>
      <w:marRight w:val="0"/>
      <w:marTop w:val="0"/>
      <w:marBottom w:val="0"/>
      <w:divBdr>
        <w:top w:val="none" w:sz="0" w:space="0" w:color="auto"/>
        <w:left w:val="none" w:sz="0" w:space="0" w:color="auto"/>
        <w:bottom w:val="none" w:sz="0" w:space="0" w:color="auto"/>
        <w:right w:val="none" w:sz="0" w:space="0" w:color="auto"/>
      </w:divBdr>
    </w:div>
    <w:div w:id="1092701803">
      <w:bodyDiv w:val="1"/>
      <w:marLeft w:val="0"/>
      <w:marRight w:val="0"/>
      <w:marTop w:val="0"/>
      <w:marBottom w:val="0"/>
      <w:divBdr>
        <w:top w:val="none" w:sz="0" w:space="0" w:color="auto"/>
        <w:left w:val="none" w:sz="0" w:space="0" w:color="auto"/>
        <w:bottom w:val="none" w:sz="0" w:space="0" w:color="auto"/>
        <w:right w:val="none" w:sz="0" w:space="0" w:color="auto"/>
      </w:divBdr>
    </w:div>
    <w:div w:id="1162545985">
      <w:bodyDiv w:val="1"/>
      <w:marLeft w:val="0"/>
      <w:marRight w:val="0"/>
      <w:marTop w:val="0"/>
      <w:marBottom w:val="0"/>
      <w:divBdr>
        <w:top w:val="none" w:sz="0" w:space="0" w:color="auto"/>
        <w:left w:val="none" w:sz="0" w:space="0" w:color="auto"/>
        <w:bottom w:val="none" w:sz="0" w:space="0" w:color="auto"/>
        <w:right w:val="none" w:sz="0" w:space="0" w:color="auto"/>
      </w:divBdr>
    </w:div>
    <w:div w:id="1245992975">
      <w:bodyDiv w:val="1"/>
      <w:marLeft w:val="0"/>
      <w:marRight w:val="0"/>
      <w:marTop w:val="0"/>
      <w:marBottom w:val="0"/>
      <w:divBdr>
        <w:top w:val="none" w:sz="0" w:space="0" w:color="auto"/>
        <w:left w:val="none" w:sz="0" w:space="0" w:color="auto"/>
        <w:bottom w:val="none" w:sz="0" w:space="0" w:color="auto"/>
        <w:right w:val="none" w:sz="0" w:space="0" w:color="auto"/>
      </w:divBdr>
    </w:div>
    <w:div w:id="1309555208">
      <w:bodyDiv w:val="1"/>
      <w:marLeft w:val="0"/>
      <w:marRight w:val="0"/>
      <w:marTop w:val="0"/>
      <w:marBottom w:val="0"/>
      <w:divBdr>
        <w:top w:val="none" w:sz="0" w:space="0" w:color="auto"/>
        <w:left w:val="none" w:sz="0" w:space="0" w:color="auto"/>
        <w:bottom w:val="none" w:sz="0" w:space="0" w:color="auto"/>
        <w:right w:val="none" w:sz="0" w:space="0" w:color="auto"/>
      </w:divBdr>
    </w:div>
    <w:div w:id="1313559532">
      <w:bodyDiv w:val="1"/>
      <w:marLeft w:val="0"/>
      <w:marRight w:val="0"/>
      <w:marTop w:val="0"/>
      <w:marBottom w:val="0"/>
      <w:divBdr>
        <w:top w:val="none" w:sz="0" w:space="0" w:color="auto"/>
        <w:left w:val="none" w:sz="0" w:space="0" w:color="auto"/>
        <w:bottom w:val="none" w:sz="0" w:space="0" w:color="auto"/>
        <w:right w:val="none" w:sz="0" w:space="0" w:color="auto"/>
      </w:divBdr>
    </w:div>
    <w:div w:id="1418743264">
      <w:bodyDiv w:val="1"/>
      <w:marLeft w:val="0"/>
      <w:marRight w:val="0"/>
      <w:marTop w:val="0"/>
      <w:marBottom w:val="0"/>
      <w:divBdr>
        <w:top w:val="none" w:sz="0" w:space="0" w:color="auto"/>
        <w:left w:val="none" w:sz="0" w:space="0" w:color="auto"/>
        <w:bottom w:val="none" w:sz="0" w:space="0" w:color="auto"/>
        <w:right w:val="none" w:sz="0" w:space="0" w:color="auto"/>
      </w:divBdr>
    </w:div>
    <w:div w:id="1438602793">
      <w:bodyDiv w:val="1"/>
      <w:marLeft w:val="0"/>
      <w:marRight w:val="0"/>
      <w:marTop w:val="0"/>
      <w:marBottom w:val="0"/>
      <w:divBdr>
        <w:top w:val="none" w:sz="0" w:space="0" w:color="auto"/>
        <w:left w:val="none" w:sz="0" w:space="0" w:color="auto"/>
        <w:bottom w:val="none" w:sz="0" w:space="0" w:color="auto"/>
        <w:right w:val="none" w:sz="0" w:space="0" w:color="auto"/>
      </w:divBdr>
    </w:div>
    <w:div w:id="1709649555">
      <w:bodyDiv w:val="1"/>
      <w:marLeft w:val="0"/>
      <w:marRight w:val="0"/>
      <w:marTop w:val="0"/>
      <w:marBottom w:val="0"/>
      <w:divBdr>
        <w:top w:val="none" w:sz="0" w:space="0" w:color="auto"/>
        <w:left w:val="none" w:sz="0" w:space="0" w:color="auto"/>
        <w:bottom w:val="none" w:sz="0" w:space="0" w:color="auto"/>
        <w:right w:val="none" w:sz="0" w:space="0" w:color="auto"/>
      </w:divBdr>
    </w:div>
    <w:div w:id="1884056471">
      <w:bodyDiv w:val="1"/>
      <w:marLeft w:val="0"/>
      <w:marRight w:val="0"/>
      <w:marTop w:val="0"/>
      <w:marBottom w:val="0"/>
      <w:divBdr>
        <w:top w:val="none" w:sz="0" w:space="0" w:color="auto"/>
        <w:left w:val="none" w:sz="0" w:space="0" w:color="auto"/>
        <w:bottom w:val="none" w:sz="0" w:space="0" w:color="auto"/>
        <w:right w:val="none" w:sz="0" w:space="0" w:color="auto"/>
      </w:divBdr>
    </w:div>
    <w:div w:id="1901864870">
      <w:bodyDiv w:val="1"/>
      <w:marLeft w:val="0"/>
      <w:marRight w:val="0"/>
      <w:marTop w:val="0"/>
      <w:marBottom w:val="0"/>
      <w:divBdr>
        <w:top w:val="none" w:sz="0" w:space="0" w:color="auto"/>
        <w:left w:val="none" w:sz="0" w:space="0" w:color="auto"/>
        <w:bottom w:val="none" w:sz="0" w:space="0" w:color="auto"/>
        <w:right w:val="none" w:sz="0" w:space="0" w:color="auto"/>
      </w:divBdr>
    </w:div>
    <w:div w:id="2005160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49B3-0FB3-4D67-A45D-2AAD471D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Virtu Europe Response to ESMA Consultation Paper on the Functioning of Organised Trading Facilities ("OTF") (ESMA70-156-2013, the "CP")</vt:lpstr>
    </vt:vector>
  </TitlesOfParts>
  <Company>Virtu Financial</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 Europe Response to ESMA Consultation Paper on the Functioning of Organised Trading Facilities ("OTF") (ESMA70-156-2013, the "CP")</dc:title>
  <dc:subject/>
  <dc:creator>Fergal Quill</dc:creator>
  <cp:keywords/>
  <dc:description/>
  <cp:lastModifiedBy>Fergal Quill</cp:lastModifiedBy>
  <cp:revision>5</cp:revision>
  <cp:lastPrinted>2021-01-11T16:41:00Z</cp:lastPrinted>
  <dcterms:created xsi:type="dcterms:W3CDTF">2021-01-11T14:59:00Z</dcterms:created>
  <dcterms:modified xsi:type="dcterms:W3CDTF">2021-01-11T16:45:00Z</dcterms:modified>
</cp:coreProperties>
</file>