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6BA4B" w14:textId="77777777" w:rsidR="00862901" w:rsidRPr="00B8572C" w:rsidRDefault="00862901" w:rsidP="00862901">
      <w:pPr>
        <w:spacing w:line="276" w:lineRule="auto"/>
        <w:rPr>
          <w:rFonts w:asciiTheme="minorHAnsi" w:hAnsiTheme="minorHAnsi" w:cstheme="minorHAnsi"/>
          <w:color w:val="FF0000"/>
        </w:rPr>
      </w:pPr>
    </w:p>
    <w:p w14:paraId="27459DB3" w14:textId="77777777" w:rsidR="00862901" w:rsidRPr="00B8572C" w:rsidRDefault="00862901" w:rsidP="00862901">
      <w:pPr>
        <w:spacing w:after="120" w:line="276" w:lineRule="auto"/>
        <w:rPr>
          <w:rFonts w:asciiTheme="minorHAnsi" w:hAnsiTheme="minorHAnsi" w:cstheme="minorHAnsi"/>
        </w:rPr>
      </w:pPr>
    </w:p>
    <w:p w14:paraId="34BF9653" w14:textId="77777777" w:rsidR="00862901" w:rsidRPr="00B8572C" w:rsidRDefault="00862901" w:rsidP="00862901">
      <w:pPr>
        <w:spacing w:line="276" w:lineRule="auto"/>
        <w:rPr>
          <w:rFonts w:asciiTheme="minorHAnsi" w:hAnsiTheme="minorHAnsi" w:cstheme="minorHAnsi"/>
        </w:rPr>
      </w:pPr>
    </w:p>
    <w:p w14:paraId="34F6ADC4" w14:textId="77777777" w:rsidR="00862901" w:rsidRPr="00862901" w:rsidRDefault="00862901" w:rsidP="00862901">
      <w:pPr>
        <w:spacing w:line="276" w:lineRule="auto"/>
        <w:rPr>
          <w:rFonts w:ascii="Arial" w:hAnsi="Arial" w:cs="Arial"/>
        </w:rPr>
      </w:pPr>
    </w:p>
    <w:p w14:paraId="76751A35" w14:textId="77777777" w:rsidR="00862901" w:rsidRPr="00862901" w:rsidRDefault="00862901" w:rsidP="00862901">
      <w:pPr>
        <w:spacing w:line="276" w:lineRule="auto"/>
        <w:rPr>
          <w:rFonts w:ascii="Arial" w:hAnsi="Arial" w:cs="Arial"/>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862901" w:rsidRPr="00862901" w14:paraId="6741ECAA" w14:textId="77777777" w:rsidTr="00553632">
        <w:trPr>
          <w:trHeight w:hRule="exact" w:val="2407"/>
        </w:trPr>
        <w:tc>
          <w:tcPr>
            <w:tcW w:w="10705" w:type="dxa"/>
          </w:tcPr>
          <w:p w14:paraId="057B5393" w14:textId="77777777" w:rsidR="00862901" w:rsidRPr="00862901" w:rsidRDefault="00862901" w:rsidP="00553632">
            <w:pPr>
              <w:pStyle w:val="Titel"/>
              <w:spacing w:line="276" w:lineRule="auto"/>
              <w:ind w:right="854"/>
              <w:rPr>
                <w:rFonts w:ascii="Arial" w:hAnsi="Arial" w:cs="Arial"/>
                <w:sz w:val="40"/>
                <w:szCs w:val="40"/>
              </w:rPr>
            </w:pPr>
            <w:r w:rsidRPr="00862901">
              <w:rPr>
                <w:rFonts w:ascii="Arial" w:hAnsi="Arial" w:cs="Arial"/>
                <w:sz w:val="40"/>
                <w:szCs w:val="40"/>
              </w:rPr>
              <w:t xml:space="preserve">Reply form for the Consultation Paper on Guidelines on the MiFID II/ </w:t>
            </w:r>
            <w:proofErr w:type="spellStart"/>
            <w:r w:rsidRPr="00862901">
              <w:rPr>
                <w:rFonts w:ascii="Arial" w:hAnsi="Arial" w:cs="Arial"/>
                <w:sz w:val="40"/>
                <w:szCs w:val="40"/>
              </w:rPr>
              <w:t>MiFIR</w:t>
            </w:r>
            <w:proofErr w:type="spellEnd"/>
            <w:r w:rsidRPr="00862901">
              <w:rPr>
                <w:rFonts w:ascii="Arial" w:hAnsi="Arial" w:cs="Arial"/>
                <w:sz w:val="40"/>
                <w:szCs w:val="40"/>
              </w:rPr>
              <w:t xml:space="preserve"> obligations on market data</w:t>
            </w:r>
          </w:p>
        </w:tc>
      </w:tr>
    </w:tbl>
    <w:p w14:paraId="672133C9" w14:textId="77777777" w:rsidR="00862901" w:rsidRPr="00B8572C" w:rsidRDefault="00862901" w:rsidP="00862901">
      <w:pPr>
        <w:spacing w:line="276" w:lineRule="auto"/>
        <w:rPr>
          <w:rFonts w:asciiTheme="minorHAnsi" w:hAnsiTheme="minorHAnsi" w:cstheme="minorHAnsi"/>
        </w:rPr>
      </w:pPr>
    </w:p>
    <w:p w14:paraId="7FCC93C9" w14:textId="77777777" w:rsidR="00862901" w:rsidRPr="00B8572C" w:rsidRDefault="00862901" w:rsidP="00862901">
      <w:pPr>
        <w:spacing w:line="276" w:lineRule="auto"/>
        <w:rPr>
          <w:rFonts w:asciiTheme="minorHAnsi" w:hAnsiTheme="minorHAnsi" w:cstheme="minorHAnsi"/>
        </w:rPr>
        <w:sectPr w:rsidR="00862901" w:rsidRPr="00B8572C" w:rsidSect="007E7997">
          <w:headerReference w:type="default" r:id="rId8"/>
          <w:footerReference w:type="default" r:id="rId9"/>
          <w:headerReference w:type="first" r:id="rId10"/>
          <w:footerReference w:type="first" r:id="rId11"/>
          <w:pgSz w:w="11906" w:h="16838"/>
          <w:pgMar w:top="1417" w:right="1417" w:bottom="1417" w:left="1417" w:header="708" w:footer="708" w:gutter="0"/>
          <w:pgNumType w:start="0"/>
          <w:cols w:space="708"/>
          <w:titlePg/>
          <w:docGrid w:linePitch="360"/>
        </w:sectPr>
      </w:pPr>
    </w:p>
    <w:p w14:paraId="5724DF84" w14:textId="77777777" w:rsidR="004777B2" w:rsidRPr="00862901" w:rsidRDefault="004777B2" w:rsidP="004777B2">
      <w:pPr>
        <w:numPr>
          <w:ilvl w:val="1"/>
          <w:numId w:val="0"/>
        </w:numPr>
        <w:tabs>
          <w:tab w:val="left" w:pos="5426"/>
        </w:tabs>
        <w:spacing w:after="250" w:line="276" w:lineRule="auto"/>
        <w:jc w:val="both"/>
        <w:rPr>
          <w:rFonts w:ascii="Arial" w:eastAsiaTheme="majorEastAsia" w:hAnsi="Arial" w:cs="Arial"/>
          <w:b/>
          <w:sz w:val="28"/>
          <w:lang w:eastAsia="en-US"/>
        </w:rPr>
      </w:pPr>
      <w:r w:rsidRPr="00862901">
        <w:rPr>
          <w:rFonts w:ascii="Arial" w:eastAsiaTheme="majorEastAsia" w:hAnsi="Arial" w:cs="Arial"/>
          <w:b/>
          <w:sz w:val="28"/>
          <w:lang w:eastAsia="en-US"/>
        </w:rPr>
        <w:lastRenderedPageBreak/>
        <w:t xml:space="preserve">Responding to this paper </w:t>
      </w:r>
      <w:r w:rsidRPr="00862901">
        <w:rPr>
          <w:rFonts w:ascii="Arial" w:eastAsiaTheme="majorEastAsia" w:hAnsi="Arial" w:cs="Arial"/>
          <w:b/>
          <w:sz w:val="28"/>
          <w:lang w:eastAsia="en-US"/>
        </w:rPr>
        <w:tab/>
      </w:r>
    </w:p>
    <w:p w14:paraId="3C9FAC10" w14:textId="77777777" w:rsidR="004777B2" w:rsidRPr="00862901" w:rsidRDefault="004777B2" w:rsidP="004777B2">
      <w:p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 xml:space="preserve">ESMA invites comments on all matters in this consultation paper and </w:t>
      </w:r>
      <w:r w:rsidRPr="00862901">
        <w:rPr>
          <w:rFonts w:ascii="Arial" w:eastAsiaTheme="minorEastAsia" w:hAnsi="Arial" w:cs="Arial"/>
          <w:sz w:val="22"/>
          <w:szCs w:val="20"/>
          <w:u w:val="dottedHeavy" w:color="5F497A" w:themeColor="accent4" w:themeShade="BF"/>
          <w:lang w:eastAsia="en-US"/>
        </w:rPr>
        <w:t>in particular on</w:t>
      </w:r>
      <w:r w:rsidRPr="00862901">
        <w:rPr>
          <w:rFonts w:ascii="Arial" w:eastAsiaTheme="minorEastAsia" w:hAnsi="Arial" w:cs="Arial"/>
          <w:sz w:val="22"/>
          <w:szCs w:val="20"/>
          <w:lang w:eastAsia="en-US"/>
        </w:rPr>
        <w:t xml:space="preserve"> the specific questions summarised in Annex I. Comments are most helpful if they:</w:t>
      </w:r>
    </w:p>
    <w:p w14:paraId="5498A4DF" w14:textId="77777777" w:rsidR="004777B2" w:rsidRPr="00862901" w:rsidRDefault="004777B2" w:rsidP="004777B2">
      <w:pPr>
        <w:numPr>
          <w:ilvl w:val="0"/>
          <w:numId w:val="4"/>
        </w:num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respond to the question stated;</w:t>
      </w:r>
    </w:p>
    <w:p w14:paraId="7EF9EEA7" w14:textId="77777777" w:rsidR="004777B2" w:rsidRPr="00862901" w:rsidRDefault="004777B2" w:rsidP="004777B2">
      <w:pPr>
        <w:numPr>
          <w:ilvl w:val="0"/>
          <w:numId w:val="4"/>
        </w:num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indicate the specific question to which the comment relates;</w:t>
      </w:r>
    </w:p>
    <w:p w14:paraId="55456F3B" w14:textId="77777777" w:rsidR="004777B2" w:rsidRPr="00862901" w:rsidRDefault="004777B2" w:rsidP="004777B2">
      <w:pPr>
        <w:numPr>
          <w:ilvl w:val="0"/>
          <w:numId w:val="4"/>
        </w:num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contain a clear rationale; and</w:t>
      </w:r>
    </w:p>
    <w:p w14:paraId="63C9204B" w14:textId="77777777" w:rsidR="004777B2" w:rsidRPr="00862901" w:rsidRDefault="004777B2" w:rsidP="004777B2">
      <w:pPr>
        <w:numPr>
          <w:ilvl w:val="0"/>
          <w:numId w:val="4"/>
        </w:numPr>
        <w:spacing w:after="250" w:line="276" w:lineRule="auto"/>
        <w:jc w:val="both"/>
        <w:rPr>
          <w:rFonts w:ascii="Arial" w:eastAsiaTheme="minorEastAsia" w:hAnsi="Arial" w:cs="Arial"/>
          <w:sz w:val="22"/>
          <w:szCs w:val="20"/>
          <w:lang w:eastAsia="en-US"/>
        </w:rPr>
      </w:pPr>
      <w:proofErr w:type="gramStart"/>
      <w:r w:rsidRPr="00862901">
        <w:rPr>
          <w:rFonts w:ascii="Arial" w:eastAsiaTheme="minorEastAsia" w:hAnsi="Arial" w:cs="Arial"/>
          <w:sz w:val="22"/>
          <w:szCs w:val="20"/>
          <w:lang w:eastAsia="en-US"/>
        </w:rPr>
        <w:t>describe</w:t>
      </w:r>
      <w:proofErr w:type="gramEnd"/>
      <w:r w:rsidRPr="00862901">
        <w:rPr>
          <w:rFonts w:ascii="Arial" w:eastAsiaTheme="minorEastAsia" w:hAnsi="Arial" w:cs="Arial"/>
          <w:sz w:val="22"/>
          <w:szCs w:val="20"/>
          <w:lang w:eastAsia="en-US"/>
        </w:rPr>
        <w:t xml:space="preserve"> any alternatives ESMA should consider.</w:t>
      </w:r>
    </w:p>
    <w:p w14:paraId="35E8D2BC" w14:textId="77777777" w:rsidR="004777B2" w:rsidRPr="00862901" w:rsidRDefault="004777B2" w:rsidP="004777B2">
      <w:p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 xml:space="preserve">ESMA will consider all comments received by </w:t>
      </w:r>
      <w:r w:rsidRPr="00862901">
        <w:rPr>
          <w:rFonts w:ascii="Arial" w:eastAsiaTheme="minorEastAsia" w:hAnsi="Arial" w:cs="Arial"/>
          <w:b/>
          <w:bCs/>
          <w:sz w:val="22"/>
          <w:szCs w:val="20"/>
          <w:lang w:eastAsia="en-US"/>
        </w:rPr>
        <w:t>11 January 2021</w:t>
      </w:r>
      <w:r w:rsidRPr="00862901">
        <w:rPr>
          <w:rFonts w:ascii="Arial" w:eastAsiaTheme="minorEastAsia" w:hAnsi="Arial" w:cs="Arial"/>
          <w:b/>
          <w:sz w:val="22"/>
          <w:szCs w:val="20"/>
          <w:lang w:eastAsia="en-US"/>
        </w:rPr>
        <w:t xml:space="preserve">. </w:t>
      </w:r>
    </w:p>
    <w:p w14:paraId="3FE948F1" w14:textId="77777777" w:rsidR="004777B2" w:rsidRPr="00862901" w:rsidRDefault="004777B2" w:rsidP="004777B2">
      <w:p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 xml:space="preserve">All contributions should be submitted online at </w:t>
      </w:r>
      <w:hyperlink r:id="rId12" w:history="1">
        <w:r w:rsidRPr="00862901">
          <w:rPr>
            <w:rFonts w:ascii="Arial" w:eastAsiaTheme="minorEastAsia" w:hAnsi="Arial" w:cs="Arial"/>
            <w:color w:val="0000FF" w:themeColor="hyperlink"/>
            <w:sz w:val="22"/>
            <w:szCs w:val="20"/>
            <w:u w:val="single"/>
            <w:lang w:eastAsia="en-US"/>
          </w:rPr>
          <w:t>www.esma.europa.eu</w:t>
        </w:r>
      </w:hyperlink>
      <w:r w:rsidRPr="00862901">
        <w:rPr>
          <w:rFonts w:ascii="Arial" w:eastAsiaTheme="minorEastAsia" w:hAnsi="Arial" w:cs="Arial"/>
          <w:sz w:val="22"/>
          <w:szCs w:val="20"/>
          <w:lang w:eastAsia="en-US"/>
        </w:rPr>
        <w:t xml:space="preserve"> under the heading ‘Your input - Consultations’. </w:t>
      </w:r>
    </w:p>
    <w:p w14:paraId="73A02CCD" w14:textId="77777777" w:rsidR="004777B2" w:rsidRPr="00862901" w:rsidRDefault="004777B2" w:rsidP="004777B2">
      <w:pPr>
        <w:spacing w:after="250" w:line="276" w:lineRule="auto"/>
        <w:jc w:val="both"/>
        <w:rPr>
          <w:rFonts w:ascii="Arial" w:eastAsiaTheme="minorEastAsia" w:hAnsi="Arial" w:cs="Arial"/>
          <w:b/>
          <w:sz w:val="22"/>
          <w:szCs w:val="20"/>
          <w:lang w:eastAsia="en-US"/>
        </w:rPr>
      </w:pPr>
      <w:r w:rsidRPr="00862901">
        <w:rPr>
          <w:rFonts w:ascii="Arial" w:eastAsiaTheme="minorEastAsia" w:hAnsi="Arial" w:cs="Arial"/>
          <w:b/>
          <w:sz w:val="22"/>
          <w:szCs w:val="20"/>
          <w:lang w:eastAsia="en-US"/>
        </w:rPr>
        <w:t>Instructions</w:t>
      </w:r>
    </w:p>
    <w:p w14:paraId="62E399D9" w14:textId="77777777" w:rsidR="004777B2" w:rsidRPr="00862901" w:rsidRDefault="004777B2" w:rsidP="004777B2">
      <w:p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 xml:space="preserve">In order to facilitate analysis of responses to the Consultation Paper, respondents </w:t>
      </w:r>
      <w:proofErr w:type="gramStart"/>
      <w:r w:rsidRPr="00862901">
        <w:rPr>
          <w:rFonts w:ascii="Arial" w:eastAsiaTheme="minorEastAsia" w:hAnsi="Arial" w:cs="Arial"/>
          <w:sz w:val="22"/>
          <w:szCs w:val="20"/>
          <w:lang w:eastAsia="en-US"/>
        </w:rPr>
        <w:t>are requested</w:t>
      </w:r>
      <w:proofErr w:type="gramEnd"/>
      <w:r w:rsidRPr="00862901">
        <w:rPr>
          <w:rFonts w:ascii="Arial" w:eastAsiaTheme="minorEastAsia" w:hAnsi="Arial" w:cs="Arial"/>
          <w:sz w:val="22"/>
          <w:szCs w:val="20"/>
          <w:lang w:eastAsia="en-US"/>
        </w:rPr>
        <w:t xml:space="preserve"> to follow the below steps when preparing and submitting their response:</w:t>
      </w:r>
    </w:p>
    <w:p w14:paraId="509210E4" w14:textId="77777777" w:rsidR="004777B2" w:rsidRPr="00862901" w:rsidRDefault="004777B2" w:rsidP="004777B2">
      <w:pPr>
        <w:pStyle w:val="Listenabsatz"/>
        <w:numPr>
          <w:ilvl w:val="0"/>
          <w:numId w:val="3"/>
        </w:numPr>
        <w:spacing w:after="250" w:line="276" w:lineRule="auto"/>
        <w:rPr>
          <w:rFonts w:ascii="Arial" w:eastAsiaTheme="minorEastAsia" w:hAnsi="Arial" w:cs="Arial"/>
          <w:szCs w:val="20"/>
          <w:lang w:eastAsia="en-US"/>
        </w:rPr>
      </w:pPr>
      <w:r w:rsidRPr="00862901">
        <w:rPr>
          <w:rFonts w:ascii="Arial" w:eastAsiaTheme="minorEastAsia" w:hAnsi="Arial" w:cs="Arial"/>
          <w:szCs w:val="20"/>
          <w:lang w:eastAsia="en-US"/>
        </w:rPr>
        <w:t xml:space="preserve">Insert your responses to the questions in the Consultation Paper in the present response form. </w:t>
      </w:r>
    </w:p>
    <w:p w14:paraId="0E9EECB9" w14:textId="77777777" w:rsidR="004777B2" w:rsidRPr="00862901" w:rsidRDefault="004777B2" w:rsidP="004777B2">
      <w:pPr>
        <w:pStyle w:val="Listenabsatz"/>
        <w:numPr>
          <w:ilvl w:val="0"/>
          <w:numId w:val="3"/>
        </w:numPr>
        <w:spacing w:after="250" w:line="276" w:lineRule="auto"/>
        <w:rPr>
          <w:rFonts w:ascii="Arial" w:eastAsiaTheme="minorEastAsia" w:hAnsi="Arial" w:cs="Arial"/>
          <w:szCs w:val="20"/>
          <w:lang w:eastAsia="en-US"/>
        </w:rPr>
      </w:pPr>
      <w:r w:rsidRPr="00862901">
        <w:rPr>
          <w:rFonts w:ascii="Arial" w:eastAsiaTheme="minorEastAsia" w:hAnsi="Arial" w:cs="Arial"/>
          <w:szCs w:val="20"/>
          <w:lang w:eastAsia="en-US"/>
        </w:rPr>
        <w:t xml:space="preserve">Please do not remove tags of the type &lt;ESMA_QUESTION_GOMD_1&gt;. Your response to each question has to </w:t>
      </w:r>
      <w:proofErr w:type="gramStart"/>
      <w:r w:rsidRPr="00862901">
        <w:rPr>
          <w:rFonts w:ascii="Arial" w:eastAsiaTheme="minorEastAsia" w:hAnsi="Arial" w:cs="Arial"/>
          <w:szCs w:val="20"/>
          <w:lang w:eastAsia="en-US"/>
        </w:rPr>
        <w:t>be framed</w:t>
      </w:r>
      <w:proofErr w:type="gramEnd"/>
      <w:r w:rsidRPr="00862901">
        <w:rPr>
          <w:rFonts w:ascii="Arial" w:eastAsiaTheme="minorEastAsia" w:hAnsi="Arial" w:cs="Arial"/>
          <w:szCs w:val="20"/>
          <w:lang w:eastAsia="en-US"/>
        </w:rPr>
        <w:t xml:space="preserve"> by the two tags corresponding to the question.</w:t>
      </w:r>
    </w:p>
    <w:p w14:paraId="01EC2C49" w14:textId="77777777" w:rsidR="004777B2" w:rsidRPr="00862901" w:rsidRDefault="004777B2" w:rsidP="004777B2">
      <w:pPr>
        <w:pStyle w:val="Listenabsatz"/>
        <w:numPr>
          <w:ilvl w:val="0"/>
          <w:numId w:val="3"/>
        </w:numPr>
        <w:spacing w:after="250" w:line="276" w:lineRule="auto"/>
        <w:rPr>
          <w:rFonts w:ascii="Arial" w:eastAsiaTheme="minorEastAsia" w:hAnsi="Arial" w:cs="Arial"/>
          <w:szCs w:val="20"/>
          <w:lang w:eastAsia="en-US"/>
        </w:rPr>
      </w:pPr>
      <w:r w:rsidRPr="00862901">
        <w:rPr>
          <w:rFonts w:ascii="Arial" w:eastAsiaTheme="minorEastAsia" w:hAnsi="Arial" w:cs="Arial"/>
          <w:szCs w:val="20"/>
          <w:lang w:eastAsia="en-US"/>
        </w:rPr>
        <w:t>If you do not wish to respond to a given question, please do not delete it but simply leave the text “TYPE YOUR TEXT HERE” between the tags.</w:t>
      </w:r>
    </w:p>
    <w:p w14:paraId="5C6B8D09" w14:textId="77777777" w:rsidR="004777B2" w:rsidRPr="00862901" w:rsidRDefault="004777B2" w:rsidP="004777B2">
      <w:pPr>
        <w:pStyle w:val="Listenabsatz"/>
        <w:numPr>
          <w:ilvl w:val="0"/>
          <w:numId w:val="3"/>
        </w:numPr>
        <w:spacing w:after="250" w:line="276" w:lineRule="auto"/>
        <w:rPr>
          <w:rFonts w:ascii="Arial" w:eastAsiaTheme="minorEastAsia" w:hAnsi="Arial" w:cs="Arial"/>
          <w:szCs w:val="20"/>
          <w:lang w:eastAsia="en-US"/>
        </w:rPr>
      </w:pPr>
      <w:r w:rsidRPr="00862901">
        <w:rPr>
          <w:rFonts w:ascii="Arial" w:eastAsiaTheme="minorEastAsia" w:hAnsi="Arial" w:cs="Arial"/>
          <w:szCs w:val="20"/>
          <w:lang w:eastAsia="en-US"/>
        </w:rPr>
        <w:t xml:space="preserve">When you have drafted your response, name your response form according to the following convention: </w:t>
      </w:r>
      <w:proofErr w:type="spellStart"/>
      <w:r w:rsidRPr="00862901">
        <w:rPr>
          <w:rFonts w:ascii="Arial" w:eastAsiaTheme="minorEastAsia" w:hAnsi="Arial" w:cs="Arial"/>
          <w:szCs w:val="20"/>
          <w:lang w:eastAsia="en-US"/>
        </w:rPr>
        <w:t>ESMA_FOTF_nameofrespondent_RESPONSEFORM</w:t>
      </w:r>
      <w:proofErr w:type="spellEnd"/>
      <w:r w:rsidRPr="00862901">
        <w:rPr>
          <w:rFonts w:ascii="Arial" w:eastAsiaTheme="minorEastAsia" w:hAnsi="Arial" w:cs="Arial"/>
          <w:szCs w:val="20"/>
          <w:lang w:eastAsia="en-US"/>
        </w:rPr>
        <w:t>. For example, for a respondent named ABCD, the response form would be entitled ESMA_GOMD_ABCD_RESPONSEFORM.</w:t>
      </w:r>
    </w:p>
    <w:p w14:paraId="250E8C08" w14:textId="77777777" w:rsidR="004777B2" w:rsidRPr="00862901" w:rsidRDefault="004777B2" w:rsidP="004777B2">
      <w:pPr>
        <w:pStyle w:val="Listenabsatz"/>
        <w:numPr>
          <w:ilvl w:val="0"/>
          <w:numId w:val="3"/>
        </w:numPr>
        <w:spacing w:after="250" w:line="276" w:lineRule="auto"/>
        <w:rPr>
          <w:rFonts w:ascii="Arial" w:eastAsiaTheme="minorEastAsia" w:hAnsi="Arial" w:cs="Arial"/>
          <w:szCs w:val="20"/>
          <w:lang w:eastAsia="en-US"/>
        </w:rPr>
      </w:pPr>
      <w:bookmarkStart w:id="0" w:name="_Hlk55292859"/>
      <w:r w:rsidRPr="00862901">
        <w:rPr>
          <w:rFonts w:ascii="Arial" w:eastAsiaTheme="minorEastAsia" w:hAnsi="Arial" w:cs="Arial"/>
          <w:szCs w:val="20"/>
          <w:lang w:eastAsia="en-US"/>
        </w:rPr>
        <w:t>Upload the form containing your responses, in Word format, to ESMA’s website (</w:t>
      </w:r>
      <w:hyperlink r:id="rId13" w:history="1">
        <w:r w:rsidRPr="00862901">
          <w:rPr>
            <w:rFonts w:ascii="Arial" w:eastAsiaTheme="minorEastAsia" w:hAnsi="Arial" w:cs="Arial"/>
            <w:szCs w:val="20"/>
            <w:lang w:eastAsia="en-US"/>
          </w:rPr>
          <w:t>www.esma.europa.eu</w:t>
        </w:r>
      </w:hyperlink>
      <w:r w:rsidRPr="00862901">
        <w:rPr>
          <w:rFonts w:ascii="Arial" w:eastAsiaTheme="minorEastAsia" w:hAnsi="Arial" w:cs="Arial"/>
          <w:szCs w:val="20"/>
          <w:lang w:eastAsia="en-US"/>
        </w:rPr>
        <w:t xml:space="preserve"> under the heading “Your input – Open consultations” </w:t>
      </w:r>
      <w:r w:rsidRPr="00862901">
        <w:rPr>
          <w:rFonts w:ascii="Arial" w:eastAsiaTheme="minorEastAsia" w:hAnsi="Arial" w:cs="Arial"/>
          <w:lang w:eastAsia="en-US"/>
        </w:rPr>
        <w:sym w:font="Wingdings" w:char="F0E0"/>
      </w:r>
      <w:r w:rsidRPr="00862901">
        <w:rPr>
          <w:rFonts w:ascii="Arial" w:eastAsiaTheme="minorEastAsia" w:hAnsi="Arial" w:cs="Arial"/>
          <w:szCs w:val="20"/>
          <w:lang w:eastAsia="en-US"/>
        </w:rPr>
        <w:t xml:space="preserve"> “Consultation on the Guidelines on the MiFID II/MiFIR obligations on market data”).</w:t>
      </w:r>
    </w:p>
    <w:bookmarkEnd w:id="0"/>
    <w:p w14:paraId="3A1EDFC1" w14:textId="77777777" w:rsidR="004777B2" w:rsidRPr="00862901" w:rsidRDefault="004777B2" w:rsidP="004777B2">
      <w:pPr>
        <w:spacing w:after="250" w:line="276" w:lineRule="auto"/>
        <w:jc w:val="both"/>
        <w:rPr>
          <w:rFonts w:ascii="Arial" w:eastAsiaTheme="minorEastAsia" w:hAnsi="Arial" w:cs="Arial"/>
          <w:sz w:val="22"/>
          <w:szCs w:val="20"/>
          <w:lang w:eastAsia="en-US"/>
        </w:rPr>
      </w:pPr>
    </w:p>
    <w:p w14:paraId="4D7AC894" w14:textId="77777777" w:rsidR="004777B2" w:rsidRPr="00862901" w:rsidRDefault="004777B2" w:rsidP="004777B2">
      <w:pPr>
        <w:spacing w:after="250" w:line="276" w:lineRule="auto"/>
        <w:jc w:val="both"/>
        <w:rPr>
          <w:rFonts w:ascii="Arial" w:eastAsiaTheme="minorEastAsia" w:hAnsi="Arial" w:cs="Arial"/>
          <w:sz w:val="22"/>
          <w:szCs w:val="20"/>
          <w:lang w:eastAsia="en-US"/>
        </w:rPr>
      </w:pPr>
    </w:p>
    <w:p w14:paraId="7A6DAAF5" w14:textId="77777777" w:rsidR="004777B2" w:rsidRPr="00862901" w:rsidRDefault="004777B2" w:rsidP="004777B2">
      <w:pPr>
        <w:spacing w:after="250" w:line="276" w:lineRule="auto"/>
        <w:jc w:val="both"/>
        <w:rPr>
          <w:rFonts w:ascii="Arial" w:eastAsiaTheme="minorEastAsia" w:hAnsi="Arial" w:cs="Arial"/>
          <w:sz w:val="22"/>
          <w:szCs w:val="20"/>
          <w:lang w:eastAsia="en-US"/>
        </w:rPr>
      </w:pPr>
    </w:p>
    <w:p w14:paraId="668495B1" w14:textId="77777777" w:rsidR="00862901" w:rsidRDefault="00862901" w:rsidP="004777B2">
      <w:pPr>
        <w:spacing w:after="250" w:line="276" w:lineRule="auto"/>
        <w:jc w:val="both"/>
        <w:rPr>
          <w:rFonts w:ascii="Arial" w:eastAsiaTheme="minorEastAsia" w:hAnsi="Arial" w:cs="Arial"/>
          <w:b/>
          <w:sz w:val="22"/>
          <w:szCs w:val="20"/>
          <w:lang w:eastAsia="en-US"/>
        </w:rPr>
      </w:pPr>
    </w:p>
    <w:p w14:paraId="7FD02E8F" w14:textId="77777777" w:rsidR="00862901" w:rsidRDefault="00862901" w:rsidP="004777B2">
      <w:pPr>
        <w:spacing w:after="250" w:line="276" w:lineRule="auto"/>
        <w:jc w:val="both"/>
        <w:rPr>
          <w:rFonts w:ascii="Arial" w:eastAsiaTheme="minorEastAsia" w:hAnsi="Arial" w:cs="Arial"/>
          <w:b/>
          <w:sz w:val="22"/>
          <w:szCs w:val="20"/>
          <w:lang w:eastAsia="en-US"/>
        </w:rPr>
      </w:pPr>
    </w:p>
    <w:p w14:paraId="5C4466FF" w14:textId="6B56E65B" w:rsidR="004777B2" w:rsidRPr="00862901" w:rsidRDefault="004777B2" w:rsidP="004777B2">
      <w:pPr>
        <w:spacing w:after="250" w:line="276" w:lineRule="auto"/>
        <w:jc w:val="both"/>
        <w:rPr>
          <w:rFonts w:ascii="Arial" w:eastAsiaTheme="minorEastAsia" w:hAnsi="Arial" w:cs="Arial"/>
          <w:b/>
          <w:sz w:val="22"/>
          <w:szCs w:val="20"/>
          <w:lang w:eastAsia="en-US"/>
        </w:rPr>
      </w:pPr>
      <w:r w:rsidRPr="00862901">
        <w:rPr>
          <w:rFonts w:ascii="Arial" w:eastAsiaTheme="minorEastAsia" w:hAnsi="Arial" w:cs="Arial"/>
          <w:b/>
          <w:sz w:val="22"/>
          <w:szCs w:val="20"/>
          <w:lang w:eastAsia="en-US"/>
        </w:rPr>
        <w:t>Publication of responses</w:t>
      </w:r>
    </w:p>
    <w:p w14:paraId="4730375A" w14:textId="77777777" w:rsidR="004777B2" w:rsidRPr="00862901" w:rsidRDefault="004777B2" w:rsidP="004777B2">
      <w:p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 xml:space="preserve">All contributions received </w:t>
      </w:r>
      <w:proofErr w:type="gramStart"/>
      <w:r w:rsidRPr="00862901">
        <w:rPr>
          <w:rFonts w:ascii="Arial" w:eastAsiaTheme="minorEastAsia" w:hAnsi="Arial" w:cs="Arial"/>
          <w:sz w:val="22"/>
          <w:szCs w:val="20"/>
          <w:lang w:eastAsia="en-US"/>
        </w:rPr>
        <w:t>will be published</w:t>
      </w:r>
      <w:proofErr w:type="gramEnd"/>
      <w:r w:rsidRPr="00862901">
        <w:rPr>
          <w:rFonts w:ascii="Arial" w:eastAsiaTheme="minorEastAsia" w:hAnsi="Arial" w:cs="Arial"/>
          <w:sz w:val="22"/>
          <w:szCs w:val="20"/>
          <w:lang w:eastAsia="en-US"/>
        </w:rPr>
        <w:t xml:space="preserve"> following the close of the consultation, unless you request otherwise. Please clearly and prominently indicate in your submission any part you do not wish to </w:t>
      </w:r>
      <w:proofErr w:type="gramStart"/>
      <w:r w:rsidRPr="00862901">
        <w:rPr>
          <w:rFonts w:ascii="Arial" w:eastAsiaTheme="minorEastAsia" w:hAnsi="Arial" w:cs="Arial"/>
          <w:sz w:val="22"/>
          <w:szCs w:val="20"/>
          <w:lang w:eastAsia="en-US"/>
        </w:rPr>
        <w:t>be publically disclosed</w:t>
      </w:r>
      <w:proofErr w:type="gramEnd"/>
      <w:r w:rsidRPr="00862901">
        <w:rPr>
          <w:rFonts w:ascii="Arial" w:eastAsiaTheme="minorEastAsia" w:hAnsi="Arial" w:cs="Arial"/>
          <w:sz w:val="22"/>
          <w:szCs w:val="20"/>
          <w:lang w:eastAsia="en-US"/>
        </w:rPr>
        <w:t xml:space="preserve">. A standard confidentiality statement in an email message </w:t>
      </w:r>
      <w:proofErr w:type="gramStart"/>
      <w:r w:rsidRPr="00862901">
        <w:rPr>
          <w:rFonts w:ascii="Arial" w:eastAsiaTheme="minorEastAsia" w:hAnsi="Arial" w:cs="Arial"/>
          <w:sz w:val="22"/>
          <w:szCs w:val="20"/>
          <w:lang w:eastAsia="en-US"/>
        </w:rPr>
        <w:t>will not be treated</w:t>
      </w:r>
      <w:proofErr w:type="gramEnd"/>
      <w:r w:rsidRPr="00862901">
        <w:rPr>
          <w:rFonts w:ascii="Arial" w:eastAsiaTheme="minorEastAsia" w:hAnsi="Arial" w:cs="Arial"/>
          <w:sz w:val="22"/>
          <w:szCs w:val="20"/>
          <w:lang w:eastAsia="en-US"/>
        </w:rPr>
        <w:t xml:space="preserve"> as a request for non-disclosure. A confidential response </w:t>
      </w:r>
      <w:proofErr w:type="gramStart"/>
      <w:r w:rsidRPr="00862901">
        <w:rPr>
          <w:rFonts w:ascii="Arial" w:eastAsiaTheme="minorEastAsia" w:hAnsi="Arial" w:cs="Arial"/>
          <w:sz w:val="22"/>
          <w:szCs w:val="20"/>
          <w:lang w:eastAsia="en-US"/>
        </w:rPr>
        <w:t>may be requested</w:t>
      </w:r>
      <w:proofErr w:type="gramEnd"/>
      <w:r w:rsidRPr="00862901">
        <w:rPr>
          <w:rFonts w:ascii="Arial" w:eastAsiaTheme="minorEastAsia" w:hAnsi="Arial" w:cs="Arial"/>
          <w:sz w:val="22"/>
          <w:szCs w:val="20"/>
          <w:lang w:eastAsia="en-US"/>
        </w:rPr>
        <w:t xml:space="preserve"> from us in accordance with ESMA’s rules on access to documents. We may consult you if we receive such a request. Any decision we make not to disclose the response is reviewable by ESMA’s Board of Appeal and the European Ombudsman.</w:t>
      </w:r>
    </w:p>
    <w:p w14:paraId="1FC8550F" w14:textId="77777777" w:rsidR="004777B2" w:rsidRPr="00862901" w:rsidRDefault="004777B2" w:rsidP="004777B2">
      <w:pPr>
        <w:spacing w:after="250" w:line="276" w:lineRule="auto"/>
        <w:jc w:val="both"/>
        <w:rPr>
          <w:rFonts w:ascii="Arial" w:eastAsiaTheme="minorEastAsia" w:hAnsi="Arial" w:cs="Arial"/>
          <w:b/>
          <w:sz w:val="22"/>
          <w:szCs w:val="20"/>
          <w:lang w:eastAsia="en-US"/>
        </w:rPr>
      </w:pPr>
      <w:r w:rsidRPr="00862901">
        <w:rPr>
          <w:rFonts w:ascii="Arial" w:eastAsiaTheme="minorEastAsia" w:hAnsi="Arial" w:cs="Arial"/>
          <w:b/>
          <w:sz w:val="22"/>
          <w:szCs w:val="20"/>
          <w:lang w:eastAsia="en-US"/>
        </w:rPr>
        <w:t>Data protection</w:t>
      </w:r>
    </w:p>
    <w:p w14:paraId="6373E05C" w14:textId="77777777" w:rsidR="004777B2" w:rsidRPr="00862901" w:rsidRDefault="004777B2" w:rsidP="004777B2">
      <w:p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sz w:val="22"/>
          <w:szCs w:val="20"/>
          <w:lang w:eastAsia="en-US"/>
        </w:rPr>
        <w:t xml:space="preserve">Information on data protection can be found at </w:t>
      </w:r>
      <w:hyperlink r:id="rId14" w:history="1">
        <w:r w:rsidRPr="00862901">
          <w:rPr>
            <w:rFonts w:ascii="Arial" w:eastAsiaTheme="minorEastAsia" w:hAnsi="Arial" w:cs="Arial"/>
            <w:color w:val="0000FF" w:themeColor="hyperlink"/>
            <w:sz w:val="22"/>
            <w:szCs w:val="20"/>
            <w:u w:val="single"/>
            <w:lang w:eastAsia="en-US"/>
          </w:rPr>
          <w:t>www.esma.europa.eu</w:t>
        </w:r>
      </w:hyperlink>
      <w:r w:rsidRPr="00862901">
        <w:rPr>
          <w:rFonts w:ascii="Arial" w:eastAsiaTheme="minorEastAsia" w:hAnsi="Arial" w:cs="Arial"/>
          <w:sz w:val="22"/>
          <w:szCs w:val="20"/>
          <w:lang w:eastAsia="en-US"/>
        </w:rPr>
        <w:t xml:space="preserve"> under the heading </w:t>
      </w:r>
      <w:hyperlink r:id="rId15" w:history="1">
        <w:r w:rsidRPr="00862901">
          <w:rPr>
            <w:rFonts w:ascii="Arial" w:eastAsiaTheme="minorEastAsia" w:hAnsi="Arial" w:cs="Arial"/>
            <w:color w:val="0000FF" w:themeColor="hyperlink"/>
            <w:sz w:val="22"/>
            <w:szCs w:val="20"/>
            <w:u w:val="single"/>
            <w:lang w:eastAsia="en-US"/>
          </w:rPr>
          <w:t>Legal Notice</w:t>
        </w:r>
      </w:hyperlink>
      <w:r w:rsidRPr="00862901">
        <w:rPr>
          <w:rFonts w:ascii="Arial" w:eastAsiaTheme="minorEastAsia" w:hAnsi="Arial" w:cs="Arial"/>
          <w:sz w:val="22"/>
          <w:szCs w:val="20"/>
          <w:lang w:eastAsia="en-US"/>
        </w:rPr>
        <w:t>.</w:t>
      </w:r>
    </w:p>
    <w:p w14:paraId="6F73274D" w14:textId="77777777" w:rsidR="004777B2" w:rsidRPr="00862901" w:rsidRDefault="004777B2" w:rsidP="004777B2">
      <w:pPr>
        <w:spacing w:after="250" w:line="276" w:lineRule="auto"/>
        <w:jc w:val="both"/>
        <w:rPr>
          <w:rFonts w:ascii="Arial" w:eastAsiaTheme="minorEastAsia" w:hAnsi="Arial" w:cs="Arial"/>
          <w:sz w:val="22"/>
          <w:szCs w:val="20"/>
          <w:lang w:eastAsia="en-US"/>
        </w:rPr>
      </w:pPr>
      <w:r w:rsidRPr="00862901">
        <w:rPr>
          <w:rFonts w:ascii="Arial" w:eastAsiaTheme="minorEastAsia" w:hAnsi="Arial" w:cs="Arial"/>
          <w:b/>
          <w:sz w:val="22"/>
          <w:szCs w:val="20"/>
          <w:lang w:eastAsia="en-US"/>
        </w:rPr>
        <w:t xml:space="preserve">Who should read this </w:t>
      </w:r>
      <w:proofErr w:type="gramStart"/>
      <w:r w:rsidRPr="00862901">
        <w:rPr>
          <w:rFonts w:ascii="Arial" w:eastAsiaTheme="minorEastAsia" w:hAnsi="Arial" w:cs="Arial"/>
          <w:b/>
          <w:sz w:val="22"/>
          <w:szCs w:val="20"/>
          <w:lang w:eastAsia="en-US"/>
        </w:rPr>
        <w:t>paper</w:t>
      </w:r>
      <w:proofErr w:type="gramEnd"/>
    </w:p>
    <w:p w14:paraId="2FB794CF" w14:textId="77777777" w:rsidR="004777B2" w:rsidRPr="00862901" w:rsidRDefault="004777B2" w:rsidP="004777B2">
      <w:pPr>
        <w:spacing w:after="250" w:line="276" w:lineRule="auto"/>
        <w:jc w:val="both"/>
        <w:rPr>
          <w:rFonts w:ascii="Arial" w:hAnsi="Arial" w:cs="Arial"/>
        </w:rPr>
      </w:pPr>
      <w:r w:rsidRPr="00862901">
        <w:rPr>
          <w:rFonts w:ascii="Arial" w:hAnsi="Arial" w:cs="Arial"/>
          <w:sz w:val="22"/>
          <w:szCs w:val="22"/>
          <w:lang w:eastAsia="it-IT"/>
        </w:rPr>
        <w:t>This consultation paper is interesting for you if you are a trading venue, an APA, an SI or a consumer of market data.</w:t>
      </w:r>
    </w:p>
    <w:p w14:paraId="30D488F7" w14:textId="77777777" w:rsidR="004777B2" w:rsidRPr="00862901" w:rsidRDefault="004777B2" w:rsidP="004777B2">
      <w:pPr>
        <w:spacing w:after="120" w:line="276" w:lineRule="auto"/>
        <w:rPr>
          <w:rFonts w:ascii="Arial" w:hAnsi="Arial" w:cs="Arial"/>
        </w:rPr>
      </w:pPr>
    </w:p>
    <w:p w14:paraId="6497354F" w14:textId="77777777" w:rsidR="004777B2" w:rsidRPr="00862901" w:rsidRDefault="004777B2" w:rsidP="004777B2">
      <w:pPr>
        <w:spacing w:after="120" w:line="276" w:lineRule="auto"/>
        <w:rPr>
          <w:rFonts w:ascii="Arial" w:hAnsi="Arial" w:cs="Arial"/>
        </w:rPr>
      </w:pPr>
    </w:p>
    <w:p w14:paraId="17E4FFC7" w14:textId="77777777" w:rsidR="004777B2" w:rsidRPr="00862901" w:rsidRDefault="004777B2" w:rsidP="004777B2">
      <w:pPr>
        <w:pStyle w:val="berschrift1"/>
        <w:numPr>
          <w:ilvl w:val="0"/>
          <w:numId w:val="0"/>
        </w:numPr>
        <w:spacing w:line="276" w:lineRule="auto"/>
        <w:rPr>
          <w:rFonts w:ascii="Arial" w:hAnsi="Arial" w:cs="Arial"/>
          <w:sz w:val="24"/>
          <w:szCs w:val="24"/>
        </w:rPr>
      </w:pPr>
      <w:r w:rsidRPr="00862901">
        <w:rPr>
          <w:rFonts w:ascii="Arial" w:hAnsi="Arial" w:cs="Arial"/>
          <w:sz w:val="24"/>
          <w:szCs w:val="24"/>
        </w:rPr>
        <w:br w:type="page"/>
      </w:r>
    </w:p>
    <w:p w14:paraId="4735343C" w14:textId="77777777" w:rsidR="004777B2" w:rsidRPr="00862901" w:rsidRDefault="004777B2" w:rsidP="004777B2">
      <w:pPr>
        <w:spacing w:line="276" w:lineRule="auto"/>
        <w:rPr>
          <w:rFonts w:ascii="Arial" w:hAnsi="Arial" w:cs="Arial"/>
          <w:b/>
          <w:sz w:val="28"/>
          <w:szCs w:val="28"/>
        </w:rPr>
      </w:pPr>
      <w:bookmarkStart w:id="1" w:name="_Toc515564428"/>
    </w:p>
    <w:p w14:paraId="5F21AB73" w14:textId="77777777" w:rsidR="004777B2" w:rsidRPr="00862901" w:rsidRDefault="004777B2" w:rsidP="004777B2">
      <w:pPr>
        <w:spacing w:line="276" w:lineRule="auto"/>
        <w:rPr>
          <w:rFonts w:ascii="Arial" w:hAnsi="Arial" w:cs="Arial"/>
          <w:b/>
          <w:sz w:val="28"/>
          <w:szCs w:val="28"/>
        </w:rPr>
      </w:pPr>
    </w:p>
    <w:p w14:paraId="29BB49D3" w14:textId="77777777" w:rsidR="004777B2" w:rsidRPr="00862901" w:rsidRDefault="004777B2" w:rsidP="004777B2">
      <w:pPr>
        <w:spacing w:line="276" w:lineRule="auto"/>
        <w:rPr>
          <w:rFonts w:ascii="Arial" w:hAnsi="Arial" w:cs="Arial"/>
          <w:b/>
          <w:sz w:val="28"/>
          <w:szCs w:val="28"/>
        </w:rPr>
      </w:pPr>
    </w:p>
    <w:p w14:paraId="110BDE79" w14:textId="77777777" w:rsidR="004777B2" w:rsidRPr="00862901" w:rsidRDefault="004777B2" w:rsidP="004777B2">
      <w:pPr>
        <w:keepNext/>
        <w:keepLines/>
        <w:spacing w:before="320" w:after="250" w:line="276" w:lineRule="auto"/>
        <w:jc w:val="both"/>
        <w:outlineLvl w:val="0"/>
        <w:rPr>
          <w:rFonts w:ascii="Arial" w:eastAsiaTheme="majorEastAsia" w:hAnsi="Arial" w:cs="Arial"/>
          <w:b/>
          <w:sz w:val="32"/>
          <w:szCs w:val="32"/>
          <w:lang w:eastAsia="en-US"/>
        </w:rPr>
      </w:pPr>
      <w:r w:rsidRPr="00862901">
        <w:rPr>
          <w:rFonts w:ascii="Arial" w:eastAsiaTheme="majorEastAsia" w:hAnsi="Arial" w:cs="Arial"/>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4777B2" w:rsidRPr="00862901" w14:paraId="0AE3EB1F" w14:textId="77777777" w:rsidTr="002435F9">
        <w:tc>
          <w:tcPr>
            <w:tcW w:w="3929" w:type="dxa"/>
            <w:shd w:val="clear" w:color="auto" w:fill="auto"/>
          </w:tcPr>
          <w:p w14:paraId="0F6291FD" w14:textId="77777777" w:rsidR="004777B2" w:rsidRPr="00862901" w:rsidRDefault="004777B2" w:rsidP="002435F9">
            <w:pPr>
              <w:rPr>
                <w:rFonts w:ascii="Arial" w:hAnsi="Arial" w:cs="Arial"/>
                <w:sz w:val="22"/>
                <w:lang w:eastAsia="de-DE"/>
              </w:rPr>
            </w:pPr>
            <w:r w:rsidRPr="00862901">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DFFFF3BC94AA46EE9E9F5FFBB598A472"/>
            </w:placeholder>
            <w:text/>
          </w:sdtPr>
          <w:sdtEndPr/>
          <w:sdtContent>
            <w:tc>
              <w:tcPr>
                <w:tcW w:w="5595" w:type="dxa"/>
                <w:shd w:val="clear" w:color="auto" w:fill="auto"/>
              </w:tcPr>
              <w:p w14:paraId="53875C11" w14:textId="1BE3A98B" w:rsidR="004777B2" w:rsidRPr="00862901" w:rsidRDefault="00B206AB" w:rsidP="00DC4DE4">
                <w:pPr>
                  <w:rPr>
                    <w:rFonts w:ascii="Arial" w:hAnsi="Arial" w:cs="Arial"/>
                    <w:color w:val="808080"/>
                    <w:sz w:val="20"/>
                    <w:lang w:eastAsia="de-DE"/>
                  </w:rPr>
                </w:pPr>
                <w:r>
                  <w:rPr>
                    <w:rFonts w:ascii="Arial" w:hAnsi="Arial" w:cs="Arial"/>
                    <w:color w:val="808080"/>
                    <w:sz w:val="20"/>
                    <w:lang w:eastAsia="de-DE"/>
                  </w:rPr>
                  <w:t>GBIC</w:t>
                </w:r>
                <w:r w:rsidR="00DC4DE4" w:rsidRPr="00862901">
                  <w:rPr>
                    <w:rFonts w:ascii="Arial" w:hAnsi="Arial" w:cs="Arial"/>
                    <w:color w:val="808080"/>
                    <w:sz w:val="20"/>
                    <w:lang w:eastAsia="de-DE"/>
                  </w:rPr>
                  <w:t xml:space="preserve"> – German Banking Industry Committee</w:t>
                </w:r>
              </w:p>
            </w:tc>
          </w:sdtContent>
        </w:sdt>
      </w:tr>
      <w:tr w:rsidR="004777B2" w:rsidRPr="00862901" w14:paraId="22DC699B" w14:textId="77777777" w:rsidTr="002435F9">
        <w:tc>
          <w:tcPr>
            <w:tcW w:w="3929" w:type="dxa"/>
            <w:shd w:val="clear" w:color="auto" w:fill="auto"/>
          </w:tcPr>
          <w:p w14:paraId="64BFA9CD" w14:textId="77777777" w:rsidR="004777B2" w:rsidRPr="00862901" w:rsidRDefault="004777B2" w:rsidP="002435F9">
            <w:pPr>
              <w:rPr>
                <w:rFonts w:ascii="Arial" w:hAnsi="Arial" w:cs="Arial"/>
                <w:sz w:val="22"/>
                <w:lang w:eastAsia="de-DE"/>
              </w:rPr>
            </w:pPr>
            <w:r w:rsidRPr="00862901">
              <w:rPr>
                <w:rFonts w:ascii="Arial" w:hAnsi="Arial" w:cs="Arial"/>
                <w:sz w:val="22"/>
                <w:lang w:eastAsia="de-DE"/>
              </w:rPr>
              <w:t>Activity</w:t>
            </w:r>
          </w:p>
        </w:tc>
        <w:tc>
          <w:tcPr>
            <w:tcW w:w="5595" w:type="dxa"/>
            <w:shd w:val="clear" w:color="auto" w:fill="auto"/>
          </w:tcPr>
          <w:p w14:paraId="27E1F763" w14:textId="0AE30795" w:rsidR="004777B2" w:rsidRPr="00862901" w:rsidRDefault="00917B55" w:rsidP="002435F9">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4DE4" w:rsidRPr="00862901">
                  <w:rPr>
                    <w:rFonts w:ascii="Arial" w:hAnsi="Arial" w:cs="Arial"/>
                    <w:sz w:val="20"/>
                    <w:lang w:eastAsia="de-DE"/>
                  </w:rPr>
                  <w:t>Banking sector</w:t>
                </w:r>
              </w:sdtContent>
            </w:sdt>
          </w:p>
        </w:tc>
      </w:tr>
      <w:tr w:rsidR="004777B2" w:rsidRPr="00862901" w14:paraId="32F13E75" w14:textId="77777777" w:rsidTr="002435F9">
        <w:tc>
          <w:tcPr>
            <w:tcW w:w="3929" w:type="dxa"/>
            <w:shd w:val="clear" w:color="auto" w:fill="auto"/>
          </w:tcPr>
          <w:p w14:paraId="7CCC3493" w14:textId="77777777" w:rsidR="004777B2" w:rsidRPr="00862901" w:rsidRDefault="004777B2" w:rsidP="002435F9">
            <w:pPr>
              <w:rPr>
                <w:rFonts w:ascii="Arial" w:hAnsi="Arial" w:cs="Arial"/>
                <w:sz w:val="22"/>
                <w:lang w:eastAsia="de-DE"/>
              </w:rPr>
            </w:pPr>
            <w:r w:rsidRPr="00862901">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4109E05E" w14:textId="69A9306A" w:rsidR="004777B2" w:rsidRPr="00862901" w:rsidRDefault="00DC4DE4" w:rsidP="002435F9">
                <w:pPr>
                  <w:rPr>
                    <w:rFonts w:ascii="Arial" w:hAnsi="Arial" w:cs="Arial"/>
                    <w:sz w:val="20"/>
                    <w:lang w:eastAsia="de-DE"/>
                  </w:rPr>
                </w:pPr>
                <w:r w:rsidRPr="00862901">
                  <w:rPr>
                    <w:rFonts w:ascii="Segoe UI Symbol" w:eastAsia="MS Gothic" w:hAnsi="Segoe UI Symbol" w:cs="Segoe UI Symbol"/>
                    <w:sz w:val="20"/>
                    <w:lang w:eastAsia="de-DE"/>
                  </w:rPr>
                  <w:t>☒</w:t>
                </w:r>
              </w:p>
            </w:tc>
          </w:sdtContent>
        </w:sdt>
      </w:tr>
      <w:tr w:rsidR="004777B2" w:rsidRPr="00862901" w14:paraId="2127242C" w14:textId="77777777" w:rsidTr="002435F9">
        <w:tc>
          <w:tcPr>
            <w:tcW w:w="3929" w:type="dxa"/>
            <w:shd w:val="clear" w:color="auto" w:fill="auto"/>
          </w:tcPr>
          <w:p w14:paraId="6BF5CCD8" w14:textId="77777777" w:rsidR="004777B2" w:rsidRPr="00862901" w:rsidRDefault="004777B2" w:rsidP="002435F9">
            <w:pPr>
              <w:rPr>
                <w:rFonts w:ascii="Arial" w:hAnsi="Arial" w:cs="Arial"/>
                <w:sz w:val="22"/>
                <w:lang w:eastAsia="de-DE"/>
              </w:rPr>
            </w:pPr>
            <w:r w:rsidRPr="00862901">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D134DA4BF7CE4A1A84D9DCA5EA232F9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FC0591A" w14:textId="1FDCDA0B" w:rsidR="004777B2" w:rsidRPr="00862901" w:rsidRDefault="00DC4DE4" w:rsidP="002435F9">
                <w:pPr>
                  <w:rPr>
                    <w:rFonts w:ascii="Arial" w:hAnsi="Arial" w:cs="Arial"/>
                    <w:sz w:val="20"/>
                    <w:lang w:eastAsia="de-DE"/>
                  </w:rPr>
                </w:pPr>
                <w:r w:rsidRPr="00862901">
                  <w:rPr>
                    <w:rFonts w:ascii="Arial" w:hAnsi="Arial" w:cs="Arial"/>
                    <w:sz w:val="20"/>
                    <w:lang w:eastAsia="de-DE"/>
                  </w:rPr>
                  <w:t>Germany</w:t>
                </w:r>
              </w:p>
            </w:tc>
          </w:sdtContent>
        </w:sdt>
      </w:tr>
    </w:tbl>
    <w:p w14:paraId="75A36AC5" w14:textId="77777777" w:rsidR="004777B2" w:rsidRPr="00862901" w:rsidRDefault="004777B2" w:rsidP="004777B2">
      <w:pPr>
        <w:spacing w:after="120" w:line="264" w:lineRule="auto"/>
        <w:jc w:val="both"/>
        <w:rPr>
          <w:rFonts w:ascii="Arial" w:eastAsiaTheme="minorEastAsia" w:hAnsi="Arial" w:cs="Arial"/>
          <w:sz w:val="22"/>
          <w:szCs w:val="20"/>
          <w:lang w:eastAsia="en-US"/>
        </w:rPr>
      </w:pPr>
    </w:p>
    <w:p w14:paraId="19441003" w14:textId="77777777" w:rsidR="004777B2" w:rsidRPr="00862901" w:rsidRDefault="004777B2" w:rsidP="004777B2">
      <w:pPr>
        <w:spacing w:after="120" w:line="264" w:lineRule="auto"/>
        <w:jc w:val="both"/>
        <w:rPr>
          <w:rFonts w:ascii="Arial" w:eastAsiaTheme="minorEastAsia" w:hAnsi="Arial" w:cs="Arial"/>
          <w:sz w:val="22"/>
          <w:szCs w:val="20"/>
          <w:lang w:eastAsia="en-US"/>
        </w:rPr>
      </w:pPr>
    </w:p>
    <w:p w14:paraId="63271416" w14:textId="77777777" w:rsidR="004777B2" w:rsidRPr="00862901" w:rsidRDefault="004777B2" w:rsidP="004777B2">
      <w:pPr>
        <w:spacing w:after="120" w:line="264" w:lineRule="auto"/>
        <w:jc w:val="both"/>
        <w:rPr>
          <w:rFonts w:ascii="Arial" w:eastAsiaTheme="minorEastAsia" w:hAnsi="Arial" w:cs="Arial"/>
          <w:sz w:val="22"/>
          <w:szCs w:val="20"/>
          <w:lang w:eastAsia="en-US"/>
        </w:rPr>
      </w:pPr>
    </w:p>
    <w:p w14:paraId="6D3A7764" w14:textId="77777777" w:rsidR="004777B2" w:rsidRPr="00862901" w:rsidRDefault="004777B2" w:rsidP="004777B2">
      <w:pPr>
        <w:keepNext/>
        <w:keepLines/>
        <w:spacing w:before="320" w:after="250" w:line="276" w:lineRule="auto"/>
        <w:ind w:left="431" w:hanging="431"/>
        <w:jc w:val="both"/>
        <w:outlineLvl w:val="0"/>
        <w:rPr>
          <w:rFonts w:ascii="Arial" w:eastAsiaTheme="majorEastAsia" w:hAnsi="Arial" w:cs="Arial"/>
          <w:b/>
          <w:sz w:val="32"/>
          <w:szCs w:val="32"/>
          <w:lang w:eastAsia="en-US"/>
        </w:rPr>
      </w:pPr>
      <w:r w:rsidRPr="00862901">
        <w:rPr>
          <w:rFonts w:ascii="Arial" w:eastAsiaTheme="majorEastAsia" w:hAnsi="Arial" w:cs="Arial"/>
          <w:b/>
          <w:sz w:val="32"/>
          <w:szCs w:val="32"/>
          <w:lang w:eastAsia="en-US"/>
        </w:rPr>
        <w:t>Introduction</w:t>
      </w:r>
    </w:p>
    <w:p w14:paraId="77032AA4" w14:textId="77777777" w:rsidR="004777B2" w:rsidRPr="00076E62" w:rsidRDefault="004777B2" w:rsidP="004777B2">
      <w:pPr>
        <w:spacing w:after="250" w:line="276" w:lineRule="auto"/>
        <w:jc w:val="both"/>
        <w:rPr>
          <w:rFonts w:ascii="Arial" w:eastAsiaTheme="minorEastAsia" w:hAnsi="Arial" w:cs="Arial"/>
          <w:b/>
          <w:bCs/>
          <w:i/>
          <w:iCs/>
          <w:sz w:val="22"/>
          <w:szCs w:val="20"/>
          <w:lang w:eastAsia="en-US"/>
        </w:rPr>
      </w:pPr>
      <w:r w:rsidRPr="00076E62">
        <w:rPr>
          <w:rFonts w:ascii="Arial" w:eastAsiaTheme="minorEastAsia" w:hAnsi="Arial" w:cs="Arial"/>
          <w:b/>
          <w:bCs/>
          <w:i/>
          <w:iCs/>
          <w:sz w:val="22"/>
          <w:szCs w:val="20"/>
          <w:lang w:eastAsia="en-US"/>
        </w:rPr>
        <w:t>Please make your introductory comments below, if any</w:t>
      </w:r>
    </w:p>
    <w:p w14:paraId="4F87C465" w14:textId="77777777" w:rsidR="004777B2" w:rsidRPr="00076E62" w:rsidRDefault="004777B2" w:rsidP="004777B2">
      <w:pPr>
        <w:spacing w:after="250" w:line="276" w:lineRule="auto"/>
        <w:jc w:val="both"/>
        <w:rPr>
          <w:rFonts w:ascii="Arial" w:eastAsiaTheme="minorEastAsia" w:hAnsi="Arial" w:cs="Arial"/>
          <w:sz w:val="22"/>
          <w:szCs w:val="20"/>
          <w:lang w:val="en-US" w:eastAsia="en-US"/>
        </w:rPr>
      </w:pPr>
      <w:r w:rsidRPr="00076E62">
        <w:rPr>
          <w:rFonts w:ascii="Arial" w:eastAsiaTheme="minorEastAsia" w:hAnsi="Arial" w:cs="Arial"/>
          <w:sz w:val="22"/>
          <w:szCs w:val="20"/>
          <w:lang w:val="en-US" w:eastAsia="en-US"/>
        </w:rPr>
        <w:t>&lt;ESMA_COMMENT_GOMD_1&gt;</w:t>
      </w:r>
    </w:p>
    <w:p w14:paraId="6FD0D5A1" w14:textId="320DE7D1" w:rsidR="00DC4DE4" w:rsidRPr="00076E62" w:rsidRDefault="00DC4DE4" w:rsidP="00DC4DE4">
      <w:pPr>
        <w:spacing w:after="250" w:line="276" w:lineRule="auto"/>
        <w:jc w:val="both"/>
        <w:rPr>
          <w:rFonts w:ascii="Arial" w:eastAsiaTheme="minorEastAsia" w:hAnsi="Arial" w:cs="Arial"/>
          <w:sz w:val="22"/>
          <w:szCs w:val="20"/>
          <w:lang w:val="en-US" w:eastAsia="en-US"/>
        </w:rPr>
      </w:pPr>
      <w:r w:rsidRPr="00076E62">
        <w:rPr>
          <w:rFonts w:ascii="Arial" w:eastAsiaTheme="minorEastAsia" w:hAnsi="Arial" w:cs="Arial"/>
          <w:sz w:val="22"/>
          <w:szCs w:val="20"/>
          <w:lang w:val="en-US" w:eastAsia="en-US"/>
        </w:rPr>
        <w:t xml:space="preserve">The German Banking Industry Committee (GBIC) is the joint committee operated by the central associations of the German banking industry. These associations are the </w:t>
      </w:r>
      <w:proofErr w:type="spellStart"/>
      <w:r w:rsidRPr="00076E62">
        <w:rPr>
          <w:rFonts w:ascii="Arial" w:eastAsiaTheme="minorEastAsia" w:hAnsi="Arial" w:cs="Arial"/>
          <w:sz w:val="22"/>
          <w:szCs w:val="20"/>
          <w:lang w:val="en-US" w:eastAsia="en-US"/>
        </w:rPr>
        <w:t>Bundesverband</w:t>
      </w:r>
      <w:proofErr w:type="spellEnd"/>
      <w:r w:rsidRPr="00076E62">
        <w:rPr>
          <w:rFonts w:ascii="Arial" w:eastAsiaTheme="minorEastAsia" w:hAnsi="Arial" w:cs="Arial"/>
          <w:sz w:val="22"/>
          <w:szCs w:val="20"/>
          <w:lang w:val="en-US" w:eastAsia="en-US"/>
        </w:rPr>
        <w:t xml:space="preserve"> der </w:t>
      </w:r>
      <w:proofErr w:type="spellStart"/>
      <w:r w:rsidRPr="00076E62">
        <w:rPr>
          <w:rFonts w:ascii="Arial" w:eastAsiaTheme="minorEastAsia" w:hAnsi="Arial" w:cs="Arial"/>
          <w:sz w:val="22"/>
          <w:szCs w:val="20"/>
          <w:lang w:val="en-US" w:eastAsia="en-US"/>
        </w:rPr>
        <w:t>Deutschen</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Volksbanken</w:t>
      </w:r>
      <w:proofErr w:type="spellEnd"/>
      <w:r w:rsidRPr="00076E62">
        <w:rPr>
          <w:rFonts w:ascii="Arial" w:eastAsiaTheme="minorEastAsia" w:hAnsi="Arial" w:cs="Arial"/>
          <w:sz w:val="22"/>
          <w:szCs w:val="20"/>
          <w:lang w:val="en-US" w:eastAsia="en-US"/>
        </w:rPr>
        <w:t xml:space="preserve"> und </w:t>
      </w:r>
      <w:proofErr w:type="spellStart"/>
      <w:r w:rsidRPr="00076E62">
        <w:rPr>
          <w:rFonts w:ascii="Arial" w:eastAsiaTheme="minorEastAsia" w:hAnsi="Arial" w:cs="Arial"/>
          <w:sz w:val="22"/>
          <w:szCs w:val="20"/>
          <w:lang w:val="en-US" w:eastAsia="en-US"/>
        </w:rPr>
        <w:t>Raiffeisenbanken</w:t>
      </w:r>
      <w:proofErr w:type="spellEnd"/>
      <w:r w:rsidRPr="00076E62">
        <w:rPr>
          <w:rFonts w:ascii="Arial" w:eastAsiaTheme="minorEastAsia" w:hAnsi="Arial" w:cs="Arial"/>
          <w:sz w:val="22"/>
          <w:szCs w:val="20"/>
          <w:lang w:val="en-US" w:eastAsia="en-US"/>
        </w:rPr>
        <w:t xml:space="preserve"> (BVR), for the cooperative banks, the </w:t>
      </w:r>
      <w:proofErr w:type="spellStart"/>
      <w:r w:rsidRPr="00076E62">
        <w:rPr>
          <w:rFonts w:ascii="Arial" w:eastAsiaTheme="minorEastAsia" w:hAnsi="Arial" w:cs="Arial"/>
          <w:sz w:val="22"/>
          <w:szCs w:val="20"/>
          <w:lang w:val="en-US" w:eastAsia="en-US"/>
        </w:rPr>
        <w:t>Bundesverband</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deutscher</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Banken</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BdB</w:t>
      </w:r>
      <w:proofErr w:type="spellEnd"/>
      <w:r w:rsidRPr="00076E62">
        <w:rPr>
          <w:rFonts w:ascii="Arial" w:eastAsiaTheme="minorEastAsia" w:hAnsi="Arial" w:cs="Arial"/>
          <w:sz w:val="22"/>
          <w:szCs w:val="20"/>
          <w:lang w:val="en-US" w:eastAsia="en-US"/>
        </w:rPr>
        <w:t xml:space="preserve">), for the private commercial banks, the </w:t>
      </w:r>
      <w:proofErr w:type="spellStart"/>
      <w:r w:rsidRPr="00076E62">
        <w:rPr>
          <w:rFonts w:ascii="Arial" w:eastAsiaTheme="minorEastAsia" w:hAnsi="Arial" w:cs="Arial"/>
          <w:sz w:val="22"/>
          <w:szCs w:val="20"/>
          <w:lang w:val="en-US" w:eastAsia="en-US"/>
        </w:rPr>
        <w:t>Bundesverband</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Öffentlicher</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Banken</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Deutschlands</w:t>
      </w:r>
      <w:proofErr w:type="spellEnd"/>
      <w:r w:rsidRPr="00076E62">
        <w:rPr>
          <w:rFonts w:ascii="Arial" w:eastAsiaTheme="minorEastAsia" w:hAnsi="Arial" w:cs="Arial"/>
          <w:sz w:val="22"/>
          <w:szCs w:val="20"/>
          <w:lang w:val="en-US" w:eastAsia="en-US"/>
        </w:rPr>
        <w:t xml:space="preserve"> (VÖB), for the public-sector banks, the </w:t>
      </w:r>
      <w:proofErr w:type="spellStart"/>
      <w:r w:rsidRPr="00076E62">
        <w:rPr>
          <w:rFonts w:ascii="Arial" w:eastAsiaTheme="minorEastAsia" w:hAnsi="Arial" w:cs="Arial"/>
          <w:sz w:val="22"/>
          <w:szCs w:val="20"/>
          <w:lang w:val="en-US" w:eastAsia="en-US"/>
        </w:rPr>
        <w:t>Deutscher</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Sparkassen</w:t>
      </w:r>
      <w:proofErr w:type="spellEnd"/>
      <w:r w:rsidRPr="00076E62">
        <w:rPr>
          <w:rFonts w:ascii="Arial" w:eastAsiaTheme="minorEastAsia" w:hAnsi="Arial" w:cs="Arial"/>
          <w:sz w:val="22"/>
          <w:szCs w:val="20"/>
          <w:lang w:val="en-US" w:eastAsia="en-US"/>
        </w:rPr>
        <w:t xml:space="preserve">- und </w:t>
      </w:r>
      <w:proofErr w:type="spellStart"/>
      <w:r w:rsidRPr="00076E62">
        <w:rPr>
          <w:rFonts w:ascii="Arial" w:eastAsiaTheme="minorEastAsia" w:hAnsi="Arial" w:cs="Arial"/>
          <w:sz w:val="22"/>
          <w:szCs w:val="20"/>
          <w:lang w:val="en-US" w:eastAsia="en-US"/>
        </w:rPr>
        <w:t>Giroverband</w:t>
      </w:r>
      <w:proofErr w:type="spellEnd"/>
      <w:r w:rsidRPr="00076E62">
        <w:rPr>
          <w:rFonts w:ascii="Arial" w:eastAsiaTheme="minorEastAsia" w:hAnsi="Arial" w:cs="Arial"/>
          <w:sz w:val="22"/>
          <w:szCs w:val="20"/>
          <w:lang w:val="en-US" w:eastAsia="en-US"/>
        </w:rPr>
        <w:t xml:space="preserve"> (DSGV), for the savings banks finance group, and the Verband </w:t>
      </w:r>
      <w:proofErr w:type="spellStart"/>
      <w:r w:rsidRPr="00076E62">
        <w:rPr>
          <w:rFonts w:ascii="Arial" w:eastAsiaTheme="minorEastAsia" w:hAnsi="Arial" w:cs="Arial"/>
          <w:sz w:val="22"/>
          <w:szCs w:val="20"/>
          <w:lang w:val="en-US" w:eastAsia="en-US"/>
        </w:rPr>
        <w:t>deutscher</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Pfandbriefbanken</w:t>
      </w:r>
      <w:proofErr w:type="spellEnd"/>
      <w:r w:rsidRPr="00076E62">
        <w:rPr>
          <w:rFonts w:ascii="Arial" w:eastAsiaTheme="minorEastAsia" w:hAnsi="Arial" w:cs="Arial"/>
          <w:sz w:val="22"/>
          <w:szCs w:val="20"/>
          <w:lang w:val="en-US" w:eastAsia="en-US"/>
        </w:rPr>
        <w:t xml:space="preserve"> (</w:t>
      </w:r>
      <w:proofErr w:type="spellStart"/>
      <w:r w:rsidRPr="00076E62">
        <w:rPr>
          <w:rFonts w:ascii="Arial" w:eastAsiaTheme="minorEastAsia" w:hAnsi="Arial" w:cs="Arial"/>
          <w:sz w:val="22"/>
          <w:szCs w:val="20"/>
          <w:lang w:val="en-US" w:eastAsia="en-US"/>
        </w:rPr>
        <w:t>vdp</w:t>
      </w:r>
      <w:proofErr w:type="spellEnd"/>
      <w:r w:rsidRPr="00076E62">
        <w:rPr>
          <w:rFonts w:ascii="Arial" w:eastAsiaTheme="minorEastAsia" w:hAnsi="Arial" w:cs="Arial"/>
          <w:sz w:val="22"/>
          <w:szCs w:val="20"/>
          <w:lang w:val="en-US" w:eastAsia="en-US"/>
        </w:rPr>
        <w:t xml:space="preserve">), for the </w:t>
      </w:r>
      <w:proofErr w:type="spellStart"/>
      <w:r w:rsidRPr="00076E62">
        <w:rPr>
          <w:rFonts w:ascii="Arial" w:eastAsiaTheme="minorEastAsia" w:hAnsi="Arial" w:cs="Arial"/>
          <w:sz w:val="22"/>
          <w:szCs w:val="20"/>
          <w:lang w:val="en-US" w:eastAsia="en-US"/>
        </w:rPr>
        <w:t>Pfandbrief</w:t>
      </w:r>
      <w:proofErr w:type="spellEnd"/>
      <w:r w:rsidRPr="00076E62">
        <w:rPr>
          <w:rFonts w:ascii="Arial" w:eastAsiaTheme="minorEastAsia" w:hAnsi="Arial" w:cs="Arial"/>
          <w:sz w:val="22"/>
          <w:szCs w:val="20"/>
          <w:lang w:val="en-US" w:eastAsia="en-US"/>
        </w:rPr>
        <w:t xml:space="preserve"> banks. Collectively, they represent approximately 1,700 banks.</w:t>
      </w:r>
    </w:p>
    <w:p w14:paraId="0A137AEB" w14:textId="3893B625" w:rsidR="00DC4DE4" w:rsidRPr="00076E62" w:rsidRDefault="00DC4DE4" w:rsidP="00DC4DE4">
      <w:pPr>
        <w:spacing w:after="250" w:line="276" w:lineRule="auto"/>
        <w:jc w:val="both"/>
        <w:rPr>
          <w:rFonts w:ascii="Arial" w:eastAsiaTheme="minorEastAsia" w:hAnsi="Arial" w:cs="Arial"/>
          <w:sz w:val="22"/>
          <w:szCs w:val="20"/>
          <w:lang w:val="en-US" w:eastAsia="en-US"/>
        </w:rPr>
      </w:pPr>
      <w:r w:rsidRPr="00076E62">
        <w:rPr>
          <w:rFonts w:ascii="Arial" w:eastAsiaTheme="minorEastAsia" w:hAnsi="Arial" w:cs="Arial"/>
          <w:sz w:val="22"/>
          <w:szCs w:val="20"/>
          <w:lang w:val="en-US" w:eastAsia="en-US"/>
        </w:rPr>
        <w:t xml:space="preserve">We are grateful that ESMA </w:t>
      </w:r>
      <w:proofErr w:type="spellStart"/>
      <w:r w:rsidRPr="00076E62">
        <w:rPr>
          <w:rFonts w:ascii="Arial" w:eastAsiaTheme="minorEastAsia" w:hAnsi="Arial" w:cs="Arial"/>
          <w:sz w:val="22"/>
          <w:szCs w:val="20"/>
          <w:lang w:val="en-US" w:eastAsia="en-US"/>
        </w:rPr>
        <w:t>thematizes</w:t>
      </w:r>
      <w:proofErr w:type="spellEnd"/>
      <w:r w:rsidRPr="00076E62">
        <w:rPr>
          <w:rFonts w:ascii="Arial" w:eastAsiaTheme="minorEastAsia" w:hAnsi="Arial" w:cs="Arial"/>
          <w:sz w:val="22"/>
          <w:szCs w:val="20"/>
          <w:lang w:val="en-US" w:eastAsia="en-US"/>
        </w:rPr>
        <w:t xml:space="preserve"> the issue of market data and prepares guidelines. These will help to overcome uncertainties and will contribute to </w:t>
      </w:r>
      <w:r w:rsidR="004B69FD" w:rsidRPr="00076E62">
        <w:rPr>
          <w:rFonts w:ascii="Arial" w:eastAsiaTheme="minorEastAsia" w:hAnsi="Arial" w:cs="Arial"/>
          <w:sz w:val="22"/>
          <w:szCs w:val="20"/>
          <w:lang w:val="en-US" w:eastAsia="en-US"/>
        </w:rPr>
        <w:t xml:space="preserve">a more consistent understanding of the rules. </w:t>
      </w:r>
      <w:r w:rsidRPr="00076E62">
        <w:rPr>
          <w:rFonts w:ascii="Arial" w:eastAsiaTheme="minorEastAsia" w:hAnsi="Arial" w:cs="Arial"/>
          <w:sz w:val="22"/>
          <w:szCs w:val="20"/>
          <w:lang w:val="en-US" w:eastAsia="en-US"/>
        </w:rPr>
        <w:t xml:space="preserve"> </w:t>
      </w:r>
    </w:p>
    <w:p w14:paraId="4E3C7474" w14:textId="5DE773AB" w:rsidR="001B1B37" w:rsidRPr="00076E62" w:rsidRDefault="001B1B37" w:rsidP="00DC4DE4">
      <w:pPr>
        <w:spacing w:after="250" w:line="276" w:lineRule="auto"/>
        <w:jc w:val="both"/>
        <w:rPr>
          <w:rFonts w:ascii="Arial" w:eastAsiaTheme="minorEastAsia" w:hAnsi="Arial" w:cs="Arial"/>
          <w:sz w:val="22"/>
          <w:szCs w:val="20"/>
          <w:lang w:val="en-US" w:eastAsia="en-US"/>
        </w:rPr>
      </w:pPr>
      <w:r w:rsidRPr="00076E62">
        <w:rPr>
          <w:rFonts w:ascii="Arial" w:eastAsiaTheme="minorEastAsia" w:hAnsi="Arial" w:cs="Arial"/>
          <w:sz w:val="22"/>
          <w:szCs w:val="20"/>
          <w:lang w:val="en-US" w:eastAsia="en-US"/>
        </w:rPr>
        <w:t xml:space="preserve">The guidelines should not only be applicable with regard to market </w:t>
      </w:r>
      <w:r w:rsidR="004B69FD" w:rsidRPr="00076E62">
        <w:rPr>
          <w:rFonts w:ascii="Arial" w:eastAsiaTheme="minorEastAsia" w:hAnsi="Arial" w:cs="Arial"/>
          <w:sz w:val="22"/>
          <w:szCs w:val="20"/>
          <w:lang w:val="en-US" w:eastAsia="en-US"/>
        </w:rPr>
        <w:t>data relevant for pre- and post-</w:t>
      </w:r>
      <w:r w:rsidRPr="00076E62">
        <w:rPr>
          <w:rFonts w:ascii="Arial" w:eastAsiaTheme="minorEastAsia" w:hAnsi="Arial" w:cs="Arial"/>
          <w:sz w:val="22"/>
          <w:szCs w:val="20"/>
          <w:lang w:val="en-US" w:eastAsia="en-US"/>
        </w:rPr>
        <w:t xml:space="preserve">trade requirements but for all areas, where market participants have to rely on market data provided by market data providers. This covers all areas that </w:t>
      </w:r>
      <w:proofErr w:type="gramStart"/>
      <w:r w:rsidRPr="00076E62">
        <w:rPr>
          <w:rFonts w:ascii="Arial" w:eastAsiaTheme="minorEastAsia" w:hAnsi="Arial" w:cs="Arial"/>
          <w:sz w:val="22"/>
          <w:szCs w:val="20"/>
          <w:lang w:val="en-US" w:eastAsia="en-US"/>
        </w:rPr>
        <w:t>are</w:t>
      </w:r>
      <w:r w:rsidR="004B69FD" w:rsidRPr="00076E62">
        <w:rPr>
          <w:rFonts w:ascii="Arial" w:eastAsiaTheme="minorEastAsia" w:hAnsi="Arial" w:cs="Arial"/>
          <w:sz w:val="22"/>
          <w:szCs w:val="20"/>
          <w:lang w:val="en-US" w:eastAsia="en-US"/>
        </w:rPr>
        <w:t xml:space="preserve"> </w:t>
      </w:r>
      <w:r w:rsidRPr="00076E62">
        <w:rPr>
          <w:rFonts w:ascii="Arial" w:eastAsiaTheme="minorEastAsia" w:hAnsi="Arial" w:cs="Arial"/>
          <w:sz w:val="22"/>
          <w:szCs w:val="20"/>
          <w:lang w:val="en-US" w:eastAsia="en-US"/>
        </w:rPr>
        <w:t>linked</w:t>
      </w:r>
      <w:proofErr w:type="gramEnd"/>
      <w:r w:rsidRPr="00076E62">
        <w:rPr>
          <w:rFonts w:ascii="Arial" w:eastAsiaTheme="minorEastAsia" w:hAnsi="Arial" w:cs="Arial"/>
          <w:sz w:val="22"/>
          <w:szCs w:val="20"/>
          <w:lang w:val="en-US" w:eastAsia="en-US"/>
        </w:rPr>
        <w:t xml:space="preserve"> to the core business of banks, such as risk control or analysis of market data in the context of the trading, which is necessary in order to comply with applicable supervisory regulations. </w:t>
      </w:r>
    </w:p>
    <w:p w14:paraId="07CE635C" w14:textId="1331A424" w:rsidR="00926C0B" w:rsidRPr="00076E62" w:rsidRDefault="001B1B37" w:rsidP="004777B2">
      <w:pPr>
        <w:spacing w:after="250" w:line="276" w:lineRule="auto"/>
        <w:jc w:val="both"/>
        <w:rPr>
          <w:rFonts w:ascii="Arial" w:eastAsiaTheme="minorEastAsia" w:hAnsi="Arial" w:cs="Arial"/>
          <w:sz w:val="22"/>
          <w:szCs w:val="20"/>
          <w:lang w:val="en-US" w:eastAsia="en-US"/>
        </w:rPr>
      </w:pPr>
      <w:r w:rsidRPr="00076E62">
        <w:rPr>
          <w:rFonts w:ascii="Arial" w:eastAsiaTheme="minorEastAsia" w:hAnsi="Arial" w:cs="Arial"/>
          <w:sz w:val="22"/>
          <w:szCs w:val="20"/>
          <w:lang w:val="en-US" w:eastAsia="en-US"/>
        </w:rPr>
        <w:t xml:space="preserve">Of course, with regard to these areas, provision of market data free of charge might not always be reasonable, however, standardized key terminology, transparency of calculations and cost disclosure, </w:t>
      </w:r>
      <w:r w:rsidR="00AD7CF0" w:rsidRPr="00076E62">
        <w:rPr>
          <w:rFonts w:ascii="Arial" w:eastAsiaTheme="minorEastAsia" w:hAnsi="Arial" w:cs="Arial"/>
          <w:sz w:val="22"/>
          <w:szCs w:val="20"/>
          <w:lang w:val="en-US" w:eastAsia="en-US"/>
        </w:rPr>
        <w:t xml:space="preserve">unbundling, or </w:t>
      </w:r>
      <w:r w:rsidRPr="00076E62">
        <w:rPr>
          <w:rFonts w:ascii="Arial" w:eastAsiaTheme="minorEastAsia" w:hAnsi="Arial" w:cs="Arial"/>
          <w:sz w:val="22"/>
          <w:szCs w:val="20"/>
          <w:lang w:val="en-US" w:eastAsia="en-US"/>
        </w:rPr>
        <w:t xml:space="preserve">transparency of the </w:t>
      </w:r>
      <w:r w:rsidR="00AD7CF0" w:rsidRPr="00076E62">
        <w:rPr>
          <w:rFonts w:ascii="Arial" w:eastAsiaTheme="minorEastAsia" w:hAnsi="Arial" w:cs="Arial"/>
          <w:sz w:val="22"/>
          <w:szCs w:val="20"/>
          <w:lang w:val="en-US" w:eastAsia="en-US"/>
        </w:rPr>
        <w:t>model according to which data is offered to customers (e.g. per user model, etc.).</w:t>
      </w:r>
    </w:p>
    <w:p w14:paraId="5DA05ECF" w14:textId="0F9852BC" w:rsidR="004777B2" w:rsidRPr="00076E62" w:rsidRDefault="004777B2" w:rsidP="00862901">
      <w:pPr>
        <w:spacing w:after="250" w:line="276" w:lineRule="auto"/>
        <w:jc w:val="both"/>
        <w:rPr>
          <w:rFonts w:ascii="Arial" w:hAnsi="Arial" w:cs="Arial"/>
          <w:b/>
          <w:sz w:val="28"/>
          <w:szCs w:val="28"/>
        </w:rPr>
      </w:pPr>
      <w:r w:rsidRPr="00076E62">
        <w:rPr>
          <w:rFonts w:ascii="Arial" w:eastAsiaTheme="minorEastAsia" w:hAnsi="Arial" w:cs="Arial"/>
          <w:sz w:val="22"/>
          <w:szCs w:val="20"/>
          <w:lang w:eastAsia="en-US"/>
        </w:rPr>
        <w:t>&lt;ESMA_COMMENT_GOMD_1&gt;</w:t>
      </w:r>
    </w:p>
    <w:p w14:paraId="6C6208DB" w14:textId="77777777" w:rsidR="004777B2" w:rsidRDefault="004777B2" w:rsidP="004777B2">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07FABBB6" w14:textId="77777777" w:rsidR="004777B2" w:rsidRDefault="004777B2" w:rsidP="004777B2">
      <w:pPr>
        <w:spacing w:line="276" w:lineRule="auto"/>
        <w:rPr>
          <w:rFonts w:asciiTheme="minorHAnsi" w:hAnsiTheme="minorHAnsi" w:cstheme="minorHAnsi"/>
          <w:b/>
          <w:sz w:val="28"/>
          <w:szCs w:val="28"/>
        </w:rPr>
      </w:pPr>
    </w:p>
    <w:p w14:paraId="38FFFC3A" w14:textId="6EF323C6" w:rsidR="004777B2" w:rsidRDefault="004777B2" w:rsidP="004777B2">
      <w:pPr>
        <w:spacing w:after="250" w:line="276" w:lineRule="auto"/>
        <w:ind w:left="720" w:hanging="360"/>
        <w:contextualSpacing/>
        <w:jc w:val="both"/>
        <w:rPr>
          <w:rFonts w:ascii="Arial" w:hAnsi="Arial" w:cs="Arial"/>
          <w:b/>
          <w:sz w:val="22"/>
          <w:szCs w:val="22"/>
          <w:lang w:val="en-US" w:eastAsia="en-US"/>
        </w:rPr>
      </w:pPr>
      <w:bookmarkStart w:id="2" w:name="_Hlk54104951"/>
      <w:bookmarkEnd w:id="1"/>
      <w:r w:rsidRPr="00B37760">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4F7BFF02"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&lt;ESMA_QUESTION_GOMD_1&gt;</w:t>
      </w:r>
    </w:p>
    <w:p w14:paraId="62F2C392" w14:textId="1098A18C" w:rsidR="001F67E2" w:rsidRPr="00B37760" w:rsidRDefault="00AD7CF0" w:rsidP="001F67E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 xml:space="preserve">We would like to emphasize that systematic </w:t>
      </w:r>
      <w:proofErr w:type="spellStart"/>
      <w:r w:rsidRPr="00B37760">
        <w:rPr>
          <w:rFonts w:ascii="Arial" w:eastAsia="Calibri" w:hAnsi="Arial" w:cs="Arial"/>
          <w:sz w:val="22"/>
          <w:szCs w:val="22"/>
          <w:lang w:val="en-US" w:eastAsia="en-US"/>
        </w:rPr>
        <w:t>internalisers</w:t>
      </w:r>
      <w:proofErr w:type="spellEnd"/>
      <w:r w:rsidRPr="00B37760">
        <w:rPr>
          <w:rFonts w:ascii="Arial" w:eastAsia="Calibri" w:hAnsi="Arial" w:cs="Arial"/>
          <w:sz w:val="22"/>
          <w:szCs w:val="22"/>
          <w:lang w:val="en-US" w:eastAsia="en-US"/>
        </w:rPr>
        <w:t xml:space="preserve"> should be covered only to the extent that the Level 2 requirements stipulate requirements for them and not vice versa, i.e. generally covered, unless Level 2 stipulates an exemption. Level </w:t>
      </w:r>
      <w:proofErr w:type="gramStart"/>
      <w:r w:rsidRPr="00B37760">
        <w:rPr>
          <w:rFonts w:ascii="Arial" w:eastAsia="Calibri" w:hAnsi="Arial" w:cs="Arial"/>
          <w:sz w:val="22"/>
          <w:szCs w:val="22"/>
          <w:lang w:val="en-US" w:eastAsia="en-US"/>
        </w:rPr>
        <w:t>3</w:t>
      </w:r>
      <w:proofErr w:type="gramEnd"/>
      <w:r w:rsidRPr="00B37760">
        <w:rPr>
          <w:rFonts w:ascii="Arial" w:eastAsia="Calibri" w:hAnsi="Arial" w:cs="Arial"/>
          <w:sz w:val="22"/>
          <w:szCs w:val="22"/>
          <w:lang w:val="en-US" w:eastAsia="en-US"/>
        </w:rPr>
        <w:t xml:space="preserve"> requirements cannot and should not impose more requirements than the EU legislator explicitly provided for.</w:t>
      </w:r>
    </w:p>
    <w:p w14:paraId="16459BB2"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&lt;ESMA_QUESTION_GOMD_1&gt;</w:t>
      </w:r>
    </w:p>
    <w:p w14:paraId="0772C579" w14:textId="77777777" w:rsidR="004777B2" w:rsidRPr="00B37760" w:rsidRDefault="004777B2" w:rsidP="004777B2">
      <w:pPr>
        <w:spacing w:after="160" w:line="259" w:lineRule="auto"/>
        <w:rPr>
          <w:rFonts w:ascii="Arial" w:eastAsia="Calibri" w:hAnsi="Arial" w:cs="Arial"/>
          <w:sz w:val="22"/>
          <w:szCs w:val="22"/>
          <w:lang w:eastAsia="en-US"/>
        </w:rPr>
      </w:pPr>
    </w:p>
    <w:p w14:paraId="590E6336"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Q2: Do you agree with Guideline 1? If not, please justify. </w:t>
      </w:r>
    </w:p>
    <w:p w14:paraId="1800E78F"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&lt;ESMA_QUESTION_GOMD_2&gt;</w:t>
      </w:r>
    </w:p>
    <w:p w14:paraId="6111658A" w14:textId="59F35EFE" w:rsidR="001C1604" w:rsidRDefault="0038394D" w:rsidP="00462FD2">
      <w:pPr>
        <w:widowControl w:val="0"/>
        <w:autoSpaceDE w:val="0"/>
        <w:autoSpaceDN w:val="0"/>
        <w:adjustRightInd w:val="0"/>
        <w:rPr>
          <w:rFonts w:ascii="Arial" w:hAnsi="Arial" w:cs="Arial"/>
          <w:iCs/>
        </w:rPr>
      </w:pPr>
      <w:r w:rsidRPr="00B37760">
        <w:rPr>
          <w:rFonts w:ascii="Arial" w:eastAsia="Calibri" w:hAnsi="Arial" w:cs="Arial"/>
          <w:iCs/>
          <w:sz w:val="22"/>
          <w:szCs w:val="22"/>
          <w:lang w:eastAsia="en-US"/>
        </w:rPr>
        <w:t>We</w:t>
      </w:r>
      <w:r w:rsidR="004B69FD">
        <w:rPr>
          <w:rFonts w:ascii="Arial" w:eastAsia="Calibri" w:hAnsi="Arial" w:cs="Arial"/>
          <w:iCs/>
          <w:sz w:val="22"/>
          <w:szCs w:val="22"/>
          <w:lang w:eastAsia="en-US"/>
        </w:rPr>
        <w:t>, as GBIC,</w:t>
      </w:r>
      <w:r w:rsidRPr="00B37760">
        <w:rPr>
          <w:rFonts w:ascii="Arial" w:eastAsia="Calibri" w:hAnsi="Arial" w:cs="Arial"/>
          <w:iCs/>
          <w:sz w:val="22"/>
          <w:szCs w:val="22"/>
          <w:lang w:eastAsia="en-US"/>
        </w:rPr>
        <w:t xml:space="preserve"> generally </w:t>
      </w:r>
      <w:r w:rsidRPr="00B37760">
        <w:rPr>
          <w:rFonts w:ascii="Arial" w:hAnsi="Arial" w:cs="Arial"/>
          <w:iCs/>
        </w:rPr>
        <w:t>a</w:t>
      </w:r>
      <w:r w:rsidR="00462FD2" w:rsidRPr="00B37760">
        <w:rPr>
          <w:rFonts w:ascii="Arial" w:hAnsi="Arial" w:cs="Arial"/>
          <w:iCs/>
        </w:rPr>
        <w:t xml:space="preserve">gree. For joint costs an addition level of scrutiny should be applied to avoid that </w:t>
      </w:r>
      <w:r w:rsidRPr="00B37760">
        <w:rPr>
          <w:rFonts w:ascii="Arial" w:hAnsi="Arial" w:cs="Arial"/>
          <w:iCs/>
        </w:rPr>
        <w:t>unreasonable</w:t>
      </w:r>
      <w:r w:rsidR="00462FD2" w:rsidRPr="00B37760">
        <w:rPr>
          <w:rFonts w:ascii="Arial" w:hAnsi="Arial" w:cs="Arial"/>
          <w:iCs/>
        </w:rPr>
        <w:t xml:space="preserve"> overhead costs are charged to market data customers, e.g. by setting of proportion ratios for overhead cost.</w:t>
      </w:r>
    </w:p>
    <w:p w14:paraId="68902624" w14:textId="15731724" w:rsidR="001C1604" w:rsidRDefault="001C1604" w:rsidP="00462FD2">
      <w:pPr>
        <w:widowControl w:val="0"/>
        <w:autoSpaceDE w:val="0"/>
        <w:autoSpaceDN w:val="0"/>
        <w:adjustRightInd w:val="0"/>
        <w:rPr>
          <w:rFonts w:ascii="Arial" w:hAnsi="Arial" w:cs="Arial"/>
          <w:iCs/>
        </w:rPr>
      </w:pPr>
    </w:p>
    <w:p w14:paraId="6C47A37E" w14:textId="77777777" w:rsidR="001C1604" w:rsidRPr="001C1604" w:rsidRDefault="001C1604" w:rsidP="001C1604">
      <w:pPr>
        <w:widowControl w:val="0"/>
        <w:autoSpaceDE w:val="0"/>
        <w:autoSpaceDN w:val="0"/>
        <w:adjustRightInd w:val="0"/>
        <w:rPr>
          <w:rFonts w:ascii="Arial" w:hAnsi="Arial" w:cs="Arial"/>
          <w:iCs/>
        </w:rPr>
      </w:pPr>
      <w:r w:rsidRPr="001C1604">
        <w:rPr>
          <w:rFonts w:ascii="Arial" w:hAnsi="Arial" w:cs="Arial"/>
          <w:iCs/>
        </w:rPr>
        <w:t xml:space="preserve">As a general point, we would like to emphasize that the guidelines should not only apply with regard to market data relevant for pre- and </w:t>
      </w:r>
      <w:proofErr w:type="spellStart"/>
      <w:r w:rsidRPr="001C1604">
        <w:rPr>
          <w:rFonts w:ascii="Arial" w:hAnsi="Arial" w:cs="Arial"/>
          <w:iCs/>
        </w:rPr>
        <w:t>post trade</w:t>
      </w:r>
      <w:proofErr w:type="spellEnd"/>
      <w:r w:rsidRPr="001C1604">
        <w:rPr>
          <w:rFonts w:ascii="Arial" w:hAnsi="Arial" w:cs="Arial"/>
          <w:iCs/>
        </w:rPr>
        <w:t xml:space="preserve"> requirements but for all areas, where market participants have to rely on market data provided by market data providers. This covers all areas that </w:t>
      </w:r>
      <w:proofErr w:type="gramStart"/>
      <w:r w:rsidRPr="001C1604">
        <w:rPr>
          <w:rFonts w:ascii="Arial" w:hAnsi="Arial" w:cs="Arial"/>
          <w:iCs/>
        </w:rPr>
        <w:t>are linked</w:t>
      </w:r>
      <w:proofErr w:type="gramEnd"/>
      <w:r w:rsidRPr="001C1604">
        <w:rPr>
          <w:rFonts w:ascii="Arial" w:hAnsi="Arial" w:cs="Arial"/>
          <w:iCs/>
        </w:rPr>
        <w:t xml:space="preserve"> to the core business of banks, such as risk control or analysis of market data in the context of the trading, which is necessary in order to comply with applicable supervisory regulations. </w:t>
      </w:r>
    </w:p>
    <w:p w14:paraId="7B4B6E02" w14:textId="135814A2" w:rsidR="001C1604" w:rsidRPr="00B37760" w:rsidRDefault="001C1604" w:rsidP="001C1604">
      <w:pPr>
        <w:widowControl w:val="0"/>
        <w:autoSpaceDE w:val="0"/>
        <w:autoSpaceDN w:val="0"/>
        <w:adjustRightInd w:val="0"/>
        <w:rPr>
          <w:rFonts w:ascii="Arial" w:hAnsi="Arial" w:cs="Arial"/>
          <w:iCs/>
        </w:rPr>
      </w:pPr>
      <w:r w:rsidRPr="001C1604">
        <w:rPr>
          <w:rFonts w:ascii="Arial" w:hAnsi="Arial" w:cs="Arial"/>
          <w:iCs/>
        </w:rPr>
        <w:t>Of course, with regard to these areas, provision of market data free of charge might not always be reasonable, however, standardized key terminology, transparency of calculations and cost disclosure, unbundling, or transparency of the model according to which data is offered to customers (e.g. per user model, etc.).</w:t>
      </w:r>
    </w:p>
    <w:p w14:paraId="2F820C48" w14:textId="77777777" w:rsidR="00462FD2" w:rsidRPr="00B37760" w:rsidRDefault="00462FD2" w:rsidP="00462FD2">
      <w:pPr>
        <w:widowControl w:val="0"/>
        <w:autoSpaceDE w:val="0"/>
        <w:autoSpaceDN w:val="0"/>
        <w:adjustRightInd w:val="0"/>
        <w:rPr>
          <w:rFonts w:ascii="Arial" w:eastAsia="Calibri" w:hAnsi="Arial" w:cs="Arial"/>
          <w:i/>
          <w:iCs/>
          <w:sz w:val="22"/>
          <w:szCs w:val="22"/>
          <w:lang w:eastAsia="en-US"/>
        </w:rPr>
      </w:pPr>
    </w:p>
    <w:p w14:paraId="67277B0C"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&lt;ESMA_QUESTION_GOMD_2&gt;</w:t>
      </w:r>
    </w:p>
    <w:p w14:paraId="70A86B86" w14:textId="77777777" w:rsidR="004777B2" w:rsidRPr="00B37760" w:rsidRDefault="004777B2" w:rsidP="004777B2">
      <w:pPr>
        <w:spacing w:after="160" w:line="259" w:lineRule="auto"/>
        <w:rPr>
          <w:rFonts w:ascii="Arial" w:eastAsia="Calibri" w:hAnsi="Arial" w:cs="Arial"/>
          <w:sz w:val="22"/>
          <w:szCs w:val="22"/>
          <w:lang w:eastAsia="en-US"/>
        </w:rPr>
      </w:pPr>
    </w:p>
    <w:p w14:paraId="0831F0AA"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Q3: Do you think ESMA should clarify other aspects of the accounting methodologies for setting up the fees of market data? If yes, please explain.</w:t>
      </w:r>
    </w:p>
    <w:p w14:paraId="7EEA5C55"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&lt;ESMA_QUESTION_GOMD_3&gt;</w:t>
      </w:r>
    </w:p>
    <w:p w14:paraId="36D1E4B5" w14:textId="2DBB9B36" w:rsidR="00462FD2" w:rsidRPr="00B37760" w:rsidRDefault="00177265" w:rsidP="00462FD2">
      <w:pPr>
        <w:widowControl w:val="0"/>
        <w:autoSpaceDE w:val="0"/>
        <w:autoSpaceDN w:val="0"/>
        <w:adjustRightInd w:val="0"/>
        <w:rPr>
          <w:rFonts w:ascii="Arial" w:hAnsi="Arial" w:cs="Arial"/>
          <w:iCs/>
        </w:rPr>
      </w:pPr>
      <w:r w:rsidRPr="00B37760">
        <w:rPr>
          <w:rFonts w:ascii="Arial" w:eastAsia="Calibri" w:hAnsi="Arial" w:cs="Arial"/>
          <w:iCs/>
          <w:sz w:val="22"/>
          <w:szCs w:val="22"/>
          <w:lang w:eastAsia="en-US"/>
        </w:rPr>
        <w:t xml:space="preserve">We don`t see the necessity for a general review. However, there are certain aspects, which </w:t>
      </w:r>
      <w:proofErr w:type="gramStart"/>
      <w:r w:rsidRPr="00B37760">
        <w:rPr>
          <w:rFonts w:ascii="Arial" w:eastAsia="Calibri" w:hAnsi="Arial" w:cs="Arial"/>
          <w:iCs/>
          <w:sz w:val="22"/>
          <w:szCs w:val="22"/>
          <w:lang w:eastAsia="en-US"/>
        </w:rPr>
        <w:t>could be clarified</w:t>
      </w:r>
      <w:proofErr w:type="gramEnd"/>
      <w:r w:rsidRPr="00B37760">
        <w:rPr>
          <w:rFonts w:ascii="Arial" w:eastAsia="Calibri" w:hAnsi="Arial" w:cs="Arial"/>
          <w:iCs/>
          <w:sz w:val="22"/>
          <w:szCs w:val="22"/>
          <w:lang w:eastAsia="en-US"/>
        </w:rPr>
        <w:t xml:space="preserve">. </w:t>
      </w:r>
      <w:r w:rsidR="00462FD2" w:rsidRPr="00B37760">
        <w:rPr>
          <w:rFonts w:ascii="Arial" w:hAnsi="Arial" w:cs="Arial"/>
          <w:iCs/>
        </w:rPr>
        <w:t xml:space="preserve">In any </w:t>
      </w:r>
      <w:proofErr w:type="gramStart"/>
      <w:r w:rsidR="00462FD2" w:rsidRPr="00B37760">
        <w:rPr>
          <w:rFonts w:ascii="Arial" w:hAnsi="Arial" w:cs="Arial"/>
          <w:iCs/>
        </w:rPr>
        <w:t>case</w:t>
      </w:r>
      <w:proofErr w:type="gramEnd"/>
      <w:r w:rsidR="00462FD2" w:rsidRPr="00B37760">
        <w:rPr>
          <w:rFonts w:ascii="Arial" w:hAnsi="Arial" w:cs="Arial"/>
          <w:iCs/>
        </w:rPr>
        <w:t xml:space="preserve"> we still see a quite divergence of market data costs, in particular across regulated markets.</w:t>
      </w:r>
    </w:p>
    <w:p w14:paraId="2D3FC8E0" w14:textId="492DE14A" w:rsidR="00462FD2" w:rsidRPr="00B37760" w:rsidRDefault="00462FD2" w:rsidP="00462FD2">
      <w:pPr>
        <w:widowControl w:val="0"/>
        <w:autoSpaceDE w:val="0"/>
        <w:autoSpaceDN w:val="0"/>
        <w:adjustRightInd w:val="0"/>
        <w:rPr>
          <w:rFonts w:ascii="Arial" w:hAnsi="Arial" w:cs="Arial"/>
          <w:iCs/>
        </w:rPr>
      </w:pPr>
      <w:r w:rsidRPr="00B37760">
        <w:rPr>
          <w:rFonts w:ascii="Arial" w:hAnsi="Arial" w:cs="Arial"/>
          <w:iCs/>
        </w:rPr>
        <w:t>This implies that the terms “costs of producing and disseminating market data</w:t>
      </w:r>
      <w:r w:rsidR="00C176BD" w:rsidRPr="00B37760">
        <w:rPr>
          <w:rFonts w:ascii="Arial" w:hAnsi="Arial" w:cs="Arial"/>
          <w:iCs/>
        </w:rPr>
        <w:t>” and “</w:t>
      </w:r>
      <w:r w:rsidRPr="00B37760">
        <w:rPr>
          <w:rFonts w:ascii="Arial" w:hAnsi="Arial" w:cs="Arial"/>
          <w:iCs/>
        </w:rPr>
        <w:t xml:space="preserve">appropriate share of joint costs for other services provided” </w:t>
      </w:r>
      <w:proofErr w:type="gramStart"/>
      <w:r w:rsidR="00C176BD" w:rsidRPr="00B37760">
        <w:rPr>
          <w:rFonts w:ascii="Arial" w:hAnsi="Arial" w:cs="Arial"/>
          <w:iCs/>
        </w:rPr>
        <w:t xml:space="preserve">are </w:t>
      </w:r>
      <w:r w:rsidRPr="00B37760">
        <w:rPr>
          <w:rFonts w:ascii="Arial" w:hAnsi="Arial" w:cs="Arial"/>
          <w:iCs/>
        </w:rPr>
        <w:t>still interpreted</w:t>
      </w:r>
      <w:proofErr w:type="gramEnd"/>
      <w:r w:rsidRPr="00B37760">
        <w:rPr>
          <w:rFonts w:ascii="Arial" w:hAnsi="Arial" w:cs="Arial"/>
          <w:iCs/>
        </w:rPr>
        <w:t xml:space="preserve"> in an inhomogeneous way. As long as this difference persists, it seems advisable that ESMA clarifies details on the calculation in order to prevent arbitrary interpretation.</w:t>
      </w:r>
    </w:p>
    <w:p w14:paraId="7FE51A04" w14:textId="30CA221B" w:rsidR="004777B2" w:rsidRPr="00B37760" w:rsidRDefault="004777B2" w:rsidP="00462FD2">
      <w:pPr>
        <w:spacing w:after="160" w:line="259" w:lineRule="auto"/>
        <w:rPr>
          <w:rFonts w:ascii="Arial" w:eastAsia="Calibri" w:hAnsi="Arial" w:cs="Arial"/>
          <w:sz w:val="22"/>
          <w:szCs w:val="22"/>
          <w:lang w:eastAsia="en-US"/>
        </w:rPr>
      </w:pPr>
    </w:p>
    <w:p w14:paraId="13241673"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&lt;ESMA_QUESTION_GOMD_3&gt;</w:t>
      </w:r>
    </w:p>
    <w:p w14:paraId="6A7DEB27" w14:textId="77777777" w:rsidR="004777B2" w:rsidRPr="00B37760" w:rsidRDefault="004777B2" w:rsidP="004777B2">
      <w:pPr>
        <w:spacing w:after="160" w:line="259" w:lineRule="auto"/>
        <w:rPr>
          <w:rFonts w:ascii="Arial" w:eastAsia="Calibri" w:hAnsi="Arial" w:cs="Arial"/>
          <w:sz w:val="22"/>
          <w:szCs w:val="22"/>
          <w:lang w:eastAsia="en-US"/>
        </w:rPr>
      </w:pPr>
    </w:p>
    <w:p w14:paraId="1A2B90F5" w14:textId="1464C007" w:rsidR="00462FD2" w:rsidRPr="00B37760" w:rsidRDefault="004777B2" w:rsidP="00462FD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issue? Please provide any other comments you may have on Guideline 2.</w:t>
      </w:r>
    </w:p>
    <w:p w14:paraId="23A83CF9"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&lt;ESMA_QUESTION_GOMD_4&gt;</w:t>
      </w:r>
    </w:p>
    <w:p w14:paraId="335807F1" w14:textId="21E96AAA" w:rsidR="005B6BD1" w:rsidRPr="00B37760" w:rsidRDefault="005B6BD1"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 xml:space="preserve">Yes, the burden of proof should be with the market data provider. However, in this respect, guideline 2 and 13 seem to contradict each other: it is not clear, who has to demonstrate compliance with the terms of the market data agreement. In addition, the terms of the market data agreement and what exactly “is” the entire market data agreement </w:t>
      </w:r>
      <w:r w:rsidR="00A27FBA" w:rsidRPr="00B37760">
        <w:rPr>
          <w:rFonts w:ascii="Arial" w:eastAsia="Calibri" w:hAnsi="Arial" w:cs="Arial"/>
          <w:sz w:val="22"/>
          <w:szCs w:val="22"/>
          <w:lang w:val="en-US" w:eastAsia="en-US"/>
        </w:rPr>
        <w:t xml:space="preserve">in practice </w:t>
      </w:r>
      <w:r w:rsidRPr="00B37760">
        <w:rPr>
          <w:rFonts w:ascii="Arial" w:eastAsia="Calibri" w:hAnsi="Arial" w:cs="Arial"/>
          <w:sz w:val="22"/>
          <w:szCs w:val="22"/>
          <w:lang w:val="en-US" w:eastAsia="en-US"/>
        </w:rPr>
        <w:t xml:space="preserve">are often not clear. The market data agreement is generally not one document, but several documents linked to each other, some provided on the </w:t>
      </w:r>
      <w:proofErr w:type="gramStart"/>
      <w:r w:rsidRPr="00B37760">
        <w:rPr>
          <w:rFonts w:ascii="Arial" w:eastAsia="Calibri" w:hAnsi="Arial" w:cs="Arial"/>
          <w:sz w:val="22"/>
          <w:szCs w:val="22"/>
          <w:lang w:val="en-US" w:eastAsia="en-US"/>
        </w:rPr>
        <w:t>web-site</w:t>
      </w:r>
      <w:proofErr w:type="gramEnd"/>
      <w:r w:rsidRPr="00B37760">
        <w:rPr>
          <w:rFonts w:ascii="Arial" w:eastAsia="Calibri" w:hAnsi="Arial" w:cs="Arial"/>
          <w:sz w:val="22"/>
          <w:szCs w:val="22"/>
          <w:lang w:val="en-US" w:eastAsia="en-US"/>
        </w:rPr>
        <w:t xml:space="preserve"> of the market data provider and subject to constant change. It is overly burdensome – if not often even impossible </w:t>
      </w:r>
      <w:proofErr w:type="gramStart"/>
      <w:r w:rsidRPr="00B37760">
        <w:rPr>
          <w:rFonts w:ascii="Arial" w:eastAsia="Calibri" w:hAnsi="Arial" w:cs="Arial"/>
          <w:sz w:val="22"/>
          <w:szCs w:val="22"/>
          <w:lang w:val="en-US" w:eastAsia="en-US"/>
        </w:rPr>
        <w:t>-  for</w:t>
      </w:r>
      <w:proofErr w:type="gramEnd"/>
      <w:r w:rsidRPr="00B37760">
        <w:rPr>
          <w:rFonts w:ascii="Arial" w:eastAsia="Calibri" w:hAnsi="Arial" w:cs="Arial"/>
          <w:sz w:val="22"/>
          <w:szCs w:val="22"/>
          <w:lang w:val="en-US" w:eastAsia="en-US"/>
        </w:rPr>
        <w:t xml:space="preserve"> customers to keep track of the currently applicable version of the “market data agreement” and the</w:t>
      </w:r>
      <w:r w:rsidR="001D1B21" w:rsidRPr="00B37760">
        <w:rPr>
          <w:rFonts w:ascii="Arial" w:eastAsia="Calibri" w:hAnsi="Arial" w:cs="Arial"/>
          <w:sz w:val="22"/>
          <w:szCs w:val="22"/>
          <w:lang w:val="en-US" w:eastAsia="en-US"/>
        </w:rPr>
        <w:t xml:space="preserve"> </w:t>
      </w:r>
      <w:r w:rsidR="00A27FBA" w:rsidRPr="00B37760">
        <w:rPr>
          <w:rFonts w:ascii="Arial" w:eastAsia="Calibri" w:hAnsi="Arial" w:cs="Arial"/>
          <w:sz w:val="22"/>
          <w:szCs w:val="22"/>
          <w:lang w:val="en-US" w:eastAsia="en-US"/>
        </w:rPr>
        <w:t xml:space="preserve">further </w:t>
      </w:r>
      <w:r w:rsidRPr="00B37760">
        <w:rPr>
          <w:rFonts w:ascii="Arial" w:eastAsia="Calibri" w:hAnsi="Arial" w:cs="Arial"/>
          <w:sz w:val="22"/>
          <w:szCs w:val="22"/>
          <w:lang w:val="en-US" w:eastAsia="en-US"/>
        </w:rPr>
        <w:t>relevant terms to comply with.</w:t>
      </w:r>
    </w:p>
    <w:p w14:paraId="3F1EE6DF" w14:textId="57076F6D" w:rsidR="005B6BD1" w:rsidRPr="00B37760" w:rsidRDefault="005B6BD1" w:rsidP="002A23CD">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 xml:space="preserve">Furthermore, </w:t>
      </w:r>
      <w:r w:rsidR="004B69FD">
        <w:rPr>
          <w:rFonts w:ascii="Arial" w:eastAsia="Calibri" w:hAnsi="Arial" w:cs="Arial"/>
          <w:sz w:val="22"/>
          <w:szCs w:val="22"/>
          <w:lang w:val="en-US" w:eastAsia="en-US"/>
        </w:rPr>
        <w:t xml:space="preserve">from GBIC’s point of view, </w:t>
      </w:r>
      <w:r w:rsidRPr="00B37760">
        <w:rPr>
          <w:rFonts w:ascii="Arial" w:eastAsia="Calibri" w:hAnsi="Arial" w:cs="Arial"/>
          <w:sz w:val="22"/>
          <w:szCs w:val="22"/>
          <w:lang w:val="en-US" w:eastAsia="en-US"/>
        </w:rPr>
        <w:t>the guidelines should clearly stipulate, that in case an audit reveals non-compliance with the terms of the market data agreement</w:t>
      </w:r>
      <w:r w:rsidR="00EB0ABC" w:rsidRPr="00B37760">
        <w:rPr>
          <w:rFonts w:ascii="Arial" w:eastAsia="Calibri" w:hAnsi="Arial" w:cs="Arial"/>
          <w:sz w:val="22"/>
          <w:szCs w:val="22"/>
          <w:lang w:val="en-US" w:eastAsia="en-US"/>
        </w:rPr>
        <w:t xml:space="preserve"> </w:t>
      </w:r>
      <w:proofErr w:type="gramStart"/>
      <w:r w:rsidR="00EB0ABC" w:rsidRPr="00B37760">
        <w:rPr>
          <w:rFonts w:ascii="Arial" w:eastAsia="Calibri" w:hAnsi="Arial" w:cs="Arial"/>
          <w:sz w:val="22"/>
          <w:szCs w:val="22"/>
          <w:lang w:val="en-US" w:eastAsia="en-US"/>
        </w:rPr>
        <w:t>to clearly and in a transparent way explain</w:t>
      </w:r>
      <w:proofErr w:type="gramEnd"/>
      <w:r w:rsidR="00EB0ABC" w:rsidRPr="00B37760">
        <w:rPr>
          <w:rFonts w:ascii="Arial" w:eastAsia="Calibri" w:hAnsi="Arial" w:cs="Arial"/>
          <w:sz w:val="22"/>
          <w:szCs w:val="22"/>
          <w:lang w:val="en-US" w:eastAsia="en-US"/>
        </w:rPr>
        <w:t xml:space="preserve"> to the customer (</w:t>
      </w:r>
      <w:proofErr w:type="spellStart"/>
      <w:r w:rsidR="00EB0ABC" w:rsidRPr="00B37760">
        <w:rPr>
          <w:rFonts w:ascii="Arial" w:eastAsia="Calibri" w:hAnsi="Arial" w:cs="Arial"/>
          <w:sz w:val="22"/>
          <w:szCs w:val="22"/>
          <w:lang w:val="en-US" w:eastAsia="en-US"/>
        </w:rPr>
        <w:t>i</w:t>
      </w:r>
      <w:proofErr w:type="spellEnd"/>
      <w:r w:rsidR="00EB0ABC" w:rsidRPr="00B37760">
        <w:rPr>
          <w:rFonts w:ascii="Arial" w:eastAsia="Calibri" w:hAnsi="Arial" w:cs="Arial"/>
          <w:sz w:val="22"/>
          <w:szCs w:val="22"/>
          <w:lang w:val="en-US" w:eastAsia="en-US"/>
        </w:rPr>
        <w:t>) where such non-compliance stems from and (ii) how the customer can amend its use in order to comply with the relevant terms.</w:t>
      </w:r>
    </w:p>
    <w:p w14:paraId="34716EB1"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&lt;ESMA_QUESTION_GOMD_4&gt;</w:t>
      </w:r>
    </w:p>
    <w:p w14:paraId="7EB04F78" w14:textId="77777777" w:rsidR="004777B2" w:rsidRPr="00B37760" w:rsidRDefault="004777B2" w:rsidP="004777B2">
      <w:pPr>
        <w:spacing w:after="160" w:line="259" w:lineRule="auto"/>
        <w:rPr>
          <w:rFonts w:ascii="Arial" w:eastAsia="Calibri" w:hAnsi="Arial" w:cs="Arial"/>
          <w:sz w:val="22"/>
          <w:szCs w:val="22"/>
          <w:lang w:eastAsia="en-US"/>
        </w:rPr>
      </w:pPr>
    </w:p>
    <w:p w14:paraId="4CE5A042"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Q5: Do you consider that auditing practices may contribute to higher costs of market data? Please explain and provide practical examples of auditing practices that you consider problematic in this context. Such examples </w:t>
      </w:r>
      <w:proofErr w:type="gramStart"/>
      <w:r w:rsidRPr="00B37760">
        <w:rPr>
          <w:rFonts w:ascii="Arial" w:hAnsi="Arial" w:cs="Arial"/>
          <w:b/>
          <w:sz w:val="22"/>
          <w:szCs w:val="22"/>
          <w:lang w:val="en-US" w:eastAsia="en-US"/>
        </w:rPr>
        <w:t>can be provided</w:t>
      </w:r>
      <w:proofErr w:type="gramEnd"/>
      <w:r w:rsidRPr="00B37760">
        <w:rPr>
          <w:rFonts w:ascii="Arial" w:hAnsi="Arial" w:cs="Arial"/>
          <w:b/>
          <w:sz w:val="22"/>
          <w:szCs w:val="22"/>
          <w:lang w:val="en-US" w:eastAsia="en-US"/>
        </w:rPr>
        <w:t xml:space="preserve"> on a confidential basis via a separate submission to ESMA.</w:t>
      </w:r>
    </w:p>
    <w:p w14:paraId="2041F2F3"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&lt;ESMA_QUESTION_GOMD_5&gt;</w:t>
      </w:r>
    </w:p>
    <w:p w14:paraId="2D56B623" w14:textId="4D0EF09C" w:rsidR="00C73B15" w:rsidRPr="00B37760" w:rsidRDefault="00462FD2" w:rsidP="00462FD2">
      <w:pPr>
        <w:widowControl w:val="0"/>
        <w:autoSpaceDE w:val="0"/>
        <w:autoSpaceDN w:val="0"/>
        <w:adjustRightInd w:val="0"/>
        <w:rPr>
          <w:rFonts w:ascii="Arial" w:hAnsi="Arial" w:cs="Arial"/>
          <w:iCs/>
          <w:sz w:val="22"/>
          <w:szCs w:val="22"/>
        </w:rPr>
      </w:pPr>
      <w:r w:rsidRPr="00B37760">
        <w:rPr>
          <w:rFonts w:ascii="Arial" w:hAnsi="Arial" w:cs="Arial"/>
          <w:iCs/>
          <w:sz w:val="22"/>
          <w:szCs w:val="22"/>
        </w:rPr>
        <w:t xml:space="preserve">An auditing practice that is leaving licensing conditions ambiguous so that only when audited incompliance is uncovered, needs to </w:t>
      </w:r>
      <w:proofErr w:type="gramStart"/>
      <w:r w:rsidRPr="00B37760">
        <w:rPr>
          <w:rFonts w:ascii="Arial" w:hAnsi="Arial" w:cs="Arial"/>
          <w:iCs/>
          <w:sz w:val="22"/>
          <w:szCs w:val="22"/>
        </w:rPr>
        <w:t>be prevented</w:t>
      </w:r>
      <w:proofErr w:type="gramEnd"/>
      <w:r w:rsidRPr="00B37760">
        <w:rPr>
          <w:rFonts w:ascii="Arial" w:hAnsi="Arial" w:cs="Arial"/>
          <w:iCs/>
          <w:sz w:val="22"/>
          <w:szCs w:val="22"/>
        </w:rPr>
        <w:t>. Some firms charge a fee for the audit itself, or additional penalties / interest</w:t>
      </w:r>
      <w:r w:rsidR="00C73B15" w:rsidRPr="00B37760">
        <w:rPr>
          <w:rFonts w:ascii="Arial" w:hAnsi="Arial" w:cs="Arial"/>
          <w:iCs/>
          <w:sz w:val="22"/>
          <w:szCs w:val="22"/>
        </w:rPr>
        <w:t xml:space="preserve">. This </w:t>
      </w:r>
      <w:proofErr w:type="gramStart"/>
      <w:r w:rsidR="00C73B15" w:rsidRPr="00B37760">
        <w:rPr>
          <w:rFonts w:ascii="Arial" w:hAnsi="Arial" w:cs="Arial"/>
          <w:iCs/>
          <w:sz w:val="22"/>
          <w:szCs w:val="22"/>
        </w:rPr>
        <w:t xml:space="preserve">should </w:t>
      </w:r>
      <w:r w:rsidRPr="00B37760">
        <w:rPr>
          <w:rFonts w:ascii="Arial" w:hAnsi="Arial" w:cs="Arial"/>
          <w:iCs/>
          <w:sz w:val="22"/>
          <w:szCs w:val="22"/>
        </w:rPr>
        <w:t>all be prohibited</w:t>
      </w:r>
      <w:proofErr w:type="gramEnd"/>
      <w:r w:rsidRPr="00B37760">
        <w:rPr>
          <w:rFonts w:ascii="Arial" w:hAnsi="Arial" w:cs="Arial"/>
          <w:iCs/>
          <w:sz w:val="22"/>
          <w:szCs w:val="22"/>
        </w:rPr>
        <w:t>.</w:t>
      </w:r>
    </w:p>
    <w:p w14:paraId="3DFA9844" w14:textId="3793D416" w:rsidR="00462FD2" w:rsidRPr="00B37760" w:rsidRDefault="00C73B15" w:rsidP="00C73B15">
      <w:pPr>
        <w:widowControl w:val="0"/>
        <w:autoSpaceDE w:val="0"/>
        <w:autoSpaceDN w:val="0"/>
        <w:adjustRightInd w:val="0"/>
        <w:rPr>
          <w:rFonts w:ascii="Arial" w:hAnsi="Arial" w:cs="Arial"/>
          <w:iCs/>
          <w:sz w:val="22"/>
          <w:szCs w:val="22"/>
        </w:rPr>
      </w:pPr>
      <w:r w:rsidRPr="00B37760">
        <w:rPr>
          <w:rFonts w:ascii="Arial" w:hAnsi="Arial" w:cs="Arial"/>
          <w:iCs/>
          <w:sz w:val="22"/>
          <w:szCs w:val="22"/>
        </w:rPr>
        <w:t>In addition, it happens very often, that market data provider “find” new use cases when auditing their customers, i.e. by finding out, how customers use their data (which the customers were correctly licenced for) the market data providers develop new licences in order to additionally charge their customers in the future.</w:t>
      </w:r>
    </w:p>
    <w:p w14:paraId="3D3C27A9" w14:textId="77777777" w:rsidR="00B37760" w:rsidRPr="00B37760" w:rsidRDefault="00B37760" w:rsidP="00C73B15">
      <w:pPr>
        <w:widowControl w:val="0"/>
        <w:autoSpaceDE w:val="0"/>
        <w:autoSpaceDN w:val="0"/>
        <w:adjustRightInd w:val="0"/>
        <w:rPr>
          <w:rFonts w:ascii="Arial" w:eastAsia="Calibri" w:hAnsi="Arial" w:cs="Arial"/>
          <w:iCs/>
          <w:sz w:val="22"/>
          <w:szCs w:val="22"/>
          <w:lang w:val="en-US" w:eastAsia="en-US"/>
        </w:rPr>
      </w:pPr>
    </w:p>
    <w:p w14:paraId="57CEA823"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&lt;ESMA_QUESTION_GOMD_5&gt;</w:t>
      </w:r>
    </w:p>
    <w:p w14:paraId="2E1531DD" w14:textId="77777777" w:rsidR="004777B2" w:rsidRPr="00B37760" w:rsidRDefault="004777B2" w:rsidP="004777B2">
      <w:pPr>
        <w:spacing w:after="160" w:line="259" w:lineRule="auto"/>
        <w:rPr>
          <w:rFonts w:ascii="Arial" w:eastAsia="Calibri" w:hAnsi="Arial" w:cs="Arial"/>
          <w:sz w:val="22"/>
          <w:szCs w:val="22"/>
          <w:lang w:eastAsia="en-US"/>
        </w:rPr>
      </w:pPr>
    </w:p>
    <w:p w14:paraId="7E26BB61"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Q6: Do you agree with Guideline 3? If not, please justify, by indicating </w:t>
      </w:r>
      <w:proofErr w:type="gramStart"/>
      <w:r w:rsidRPr="00B37760">
        <w:rPr>
          <w:rFonts w:ascii="Arial" w:hAnsi="Arial" w:cs="Arial"/>
          <w:b/>
          <w:sz w:val="22"/>
          <w:szCs w:val="22"/>
          <w:lang w:val="en-US" w:eastAsia="en-US"/>
        </w:rPr>
        <w:t>which parts of the Guideline you do not agree with and the relevant reasons</w:t>
      </w:r>
      <w:proofErr w:type="gramEnd"/>
      <w:r w:rsidRPr="00B37760">
        <w:rPr>
          <w:rFonts w:ascii="Arial" w:hAnsi="Arial" w:cs="Arial"/>
          <w:b/>
          <w:sz w:val="22"/>
          <w:szCs w:val="22"/>
          <w:lang w:val="en-US" w:eastAsia="en-US"/>
        </w:rPr>
        <w:t xml:space="preserve">. </w:t>
      </w:r>
    </w:p>
    <w:p w14:paraId="2EEF7F1C"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&lt;ESMA_QUESTION_GOMD_6&gt;</w:t>
      </w:r>
    </w:p>
    <w:p w14:paraId="1370257C" w14:textId="0A918B2E" w:rsidR="00462FD2" w:rsidRPr="00B37760" w:rsidRDefault="00C73B15"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 xml:space="preserve">The definition of the categories of customers </w:t>
      </w:r>
      <w:proofErr w:type="gramStart"/>
      <w:r w:rsidRPr="00B37760">
        <w:rPr>
          <w:rFonts w:ascii="Arial" w:eastAsia="Calibri" w:hAnsi="Arial" w:cs="Arial"/>
          <w:sz w:val="22"/>
          <w:szCs w:val="22"/>
          <w:lang w:val="en-US" w:eastAsia="en-US"/>
        </w:rPr>
        <w:t>should be aligned</w:t>
      </w:r>
      <w:proofErr w:type="gramEnd"/>
      <w:r w:rsidRPr="00B37760">
        <w:rPr>
          <w:rFonts w:ascii="Arial" w:eastAsia="Calibri" w:hAnsi="Arial" w:cs="Arial"/>
          <w:sz w:val="22"/>
          <w:szCs w:val="22"/>
          <w:lang w:val="en-US" w:eastAsia="en-US"/>
        </w:rPr>
        <w:t xml:space="preserve"> in order for the customers to be able to </w:t>
      </w:r>
      <w:r w:rsidR="008F4E97" w:rsidRPr="00B37760">
        <w:rPr>
          <w:rFonts w:ascii="Arial" w:eastAsia="Calibri" w:hAnsi="Arial" w:cs="Arial"/>
          <w:sz w:val="22"/>
          <w:szCs w:val="22"/>
          <w:lang w:val="en-US" w:eastAsia="en-US"/>
        </w:rPr>
        <w:t>compare fees and terms and conditions of the different market data providers. If each market data provider defines its own categories, no comparison of fees would be possible.</w:t>
      </w:r>
    </w:p>
    <w:p w14:paraId="6CB1D13F" w14:textId="01533097" w:rsidR="00462FD2" w:rsidRPr="00B37760" w:rsidRDefault="00177265" w:rsidP="00462FD2">
      <w:pPr>
        <w:widowControl w:val="0"/>
        <w:autoSpaceDE w:val="0"/>
        <w:autoSpaceDN w:val="0"/>
        <w:adjustRightInd w:val="0"/>
        <w:rPr>
          <w:rFonts w:ascii="Arial" w:hAnsi="Arial" w:cs="Arial"/>
          <w:iCs/>
        </w:rPr>
      </w:pPr>
      <w:r w:rsidRPr="00B37760">
        <w:rPr>
          <w:rFonts w:ascii="Arial" w:eastAsia="Calibri" w:hAnsi="Arial" w:cs="Arial"/>
          <w:iCs/>
          <w:sz w:val="22"/>
          <w:szCs w:val="22"/>
          <w:lang w:val="en-US" w:eastAsia="en-US"/>
        </w:rPr>
        <w:lastRenderedPageBreak/>
        <w:t xml:space="preserve">Besides that, </w:t>
      </w:r>
      <w:r w:rsidRPr="00B37760">
        <w:rPr>
          <w:rFonts w:ascii="Arial" w:hAnsi="Arial" w:cs="Arial"/>
          <w:iCs/>
        </w:rPr>
        <w:t>f</w:t>
      </w:r>
      <w:r w:rsidR="00462FD2" w:rsidRPr="00B37760">
        <w:rPr>
          <w:rFonts w:ascii="Arial" w:hAnsi="Arial" w:cs="Arial"/>
          <w:iCs/>
        </w:rPr>
        <w:t>ee schemes sh</w:t>
      </w:r>
      <w:r w:rsidR="00C73B15" w:rsidRPr="00B37760">
        <w:rPr>
          <w:rFonts w:ascii="Arial" w:hAnsi="Arial" w:cs="Arial"/>
          <w:iCs/>
        </w:rPr>
        <w:t>ould</w:t>
      </w:r>
      <w:r w:rsidR="00462FD2" w:rsidRPr="00B37760">
        <w:rPr>
          <w:rFonts w:ascii="Arial" w:hAnsi="Arial" w:cs="Arial"/>
          <w:iCs/>
        </w:rPr>
        <w:t xml:space="preserve"> not </w:t>
      </w:r>
      <w:proofErr w:type="gramStart"/>
      <w:r w:rsidR="00462FD2" w:rsidRPr="00B37760">
        <w:rPr>
          <w:rFonts w:ascii="Arial" w:hAnsi="Arial" w:cs="Arial"/>
          <w:iCs/>
        </w:rPr>
        <w:t>be linked</w:t>
      </w:r>
      <w:proofErr w:type="gramEnd"/>
      <w:r w:rsidR="00462FD2" w:rsidRPr="00B37760">
        <w:rPr>
          <w:rFonts w:ascii="Arial" w:hAnsi="Arial" w:cs="Arial"/>
          <w:iCs/>
        </w:rPr>
        <w:t xml:space="preserve"> to the revenues of market data customers, nor be specified by a rule discriminating customers departments by revenues (e.g. cost for trading departments differ from cost for risk departments)</w:t>
      </w:r>
      <w:r w:rsidR="00C73B15" w:rsidRPr="00B37760">
        <w:rPr>
          <w:rFonts w:ascii="Arial" w:hAnsi="Arial" w:cs="Arial"/>
          <w:iCs/>
        </w:rPr>
        <w:t>.</w:t>
      </w:r>
    </w:p>
    <w:p w14:paraId="6F7BC647" w14:textId="77777777" w:rsidR="00B37760" w:rsidRPr="00B37760" w:rsidRDefault="00B37760" w:rsidP="00462FD2">
      <w:pPr>
        <w:widowControl w:val="0"/>
        <w:autoSpaceDE w:val="0"/>
        <w:autoSpaceDN w:val="0"/>
        <w:adjustRightInd w:val="0"/>
        <w:rPr>
          <w:rFonts w:ascii="Arial" w:hAnsi="Arial" w:cs="Arial"/>
          <w:i/>
          <w:iCs/>
        </w:rPr>
      </w:pPr>
    </w:p>
    <w:p w14:paraId="638F5ADD"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&lt;ESMA_QUESTION_GOMD_6&gt;</w:t>
      </w:r>
    </w:p>
    <w:p w14:paraId="0D9DBFDB" w14:textId="77777777" w:rsidR="004777B2" w:rsidRPr="00B37760" w:rsidRDefault="004777B2" w:rsidP="004777B2">
      <w:pPr>
        <w:spacing w:after="160" w:line="259" w:lineRule="auto"/>
        <w:rPr>
          <w:rFonts w:ascii="Arial" w:eastAsia="Calibri" w:hAnsi="Arial" w:cs="Arial"/>
          <w:sz w:val="22"/>
          <w:szCs w:val="22"/>
          <w:lang w:eastAsia="en-US"/>
        </w:rPr>
      </w:pPr>
    </w:p>
    <w:p w14:paraId="77D5F9CA"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Q7: Do you agree with the approach taken in Guideline 4? If not, please justify, also by providing arguments for the adoption of a different approach.</w:t>
      </w:r>
    </w:p>
    <w:p w14:paraId="66DCB44A"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&lt;ESMA_QUESTION_GOMD_7&gt;</w:t>
      </w:r>
    </w:p>
    <w:p w14:paraId="3BFD691A" w14:textId="71D7FF8A" w:rsidR="004777B2" w:rsidRPr="00B37760" w:rsidRDefault="00445976" w:rsidP="004777B2">
      <w:pPr>
        <w:spacing w:after="160" w:line="259" w:lineRule="auto"/>
        <w:rPr>
          <w:rFonts w:ascii="Arial" w:eastAsia="Calibri" w:hAnsi="Arial" w:cs="Arial"/>
          <w:iCs/>
          <w:sz w:val="22"/>
          <w:szCs w:val="22"/>
          <w:lang w:eastAsia="en-US"/>
        </w:rPr>
      </w:pPr>
      <w:r w:rsidRPr="00B37760">
        <w:rPr>
          <w:rFonts w:ascii="Arial" w:eastAsia="Calibri" w:hAnsi="Arial" w:cs="Arial"/>
          <w:iCs/>
          <w:sz w:val="22"/>
          <w:szCs w:val="22"/>
          <w:lang w:eastAsia="en-US"/>
        </w:rPr>
        <w:t>We</w:t>
      </w:r>
      <w:r w:rsidR="004B69FD">
        <w:rPr>
          <w:rFonts w:ascii="Arial" w:eastAsia="Calibri" w:hAnsi="Arial" w:cs="Arial"/>
          <w:iCs/>
          <w:sz w:val="22"/>
          <w:szCs w:val="22"/>
          <w:lang w:eastAsia="en-US"/>
        </w:rPr>
        <w:t>,</w:t>
      </w:r>
      <w:r w:rsidRPr="00B37760">
        <w:rPr>
          <w:rFonts w:ascii="Arial" w:eastAsia="Calibri" w:hAnsi="Arial" w:cs="Arial"/>
          <w:iCs/>
          <w:sz w:val="22"/>
          <w:szCs w:val="22"/>
          <w:lang w:eastAsia="en-US"/>
        </w:rPr>
        <w:t xml:space="preserve"> </w:t>
      </w:r>
      <w:r w:rsidR="004B69FD">
        <w:rPr>
          <w:rFonts w:ascii="Arial" w:eastAsia="Calibri" w:hAnsi="Arial" w:cs="Arial"/>
          <w:iCs/>
          <w:sz w:val="22"/>
          <w:szCs w:val="22"/>
          <w:lang w:eastAsia="en-US"/>
        </w:rPr>
        <w:t xml:space="preserve">as GBIC, </w:t>
      </w:r>
      <w:r w:rsidRPr="00B37760">
        <w:rPr>
          <w:rFonts w:ascii="Arial" w:eastAsia="Calibri" w:hAnsi="Arial" w:cs="Arial"/>
          <w:iCs/>
          <w:sz w:val="22"/>
          <w:szCs w:val="22"/>
          <w:lang w:eastAsia="en-US"/>
        </w:rPr>
        <w:t>a</w:t>
      </w:r>
      <w:proofErr w:type="spellStart"/>
      <w:r w:rsidR="00462FD2" w:rsidRPr="00B37760">
        <w:rPr>
          <w:rFonts w:ascii="Arial" w:hAnsi="Arial" w:cs="Arial"/>
          <w:iCs/>
          <w:sz w:val="22"/>
          <w:szCs w:val="22"/>
          <w:lang w:val="en-US"/>
        </w:rPr>
        <w:t>gree</w:t>
      </w:r>
      <w:proofErr w:type="spellEnd"/>
      <w:r w:rsidR="00B37760">
        <w:rPr>
          <w:rFonts w:ascii="Arial" w:hAnsi="Arial" w:cs="Arial"/>
          <w:iCs/>
          <w:sz w:val="22"/>
          <w:szCs w:val="22"/>
          <w:lang w:val="en-US"/>
        </w:rPr>
        <w:t xml:space="preserve"> to </w:t>
      </w:r>
      <w:r w:rsidRPr="00B37760">
        <w:rPr>
          <w:rFonts w:ascii="Arial" w:hAnsi="Arial" w:cs="Arial"/>
          <w:iCs/>
          <w:sz w:val="22"/>
          <w:szCs w:val="22"/>
          <w:lang w:val="en-US"/>
        </w:rPr>
        <w:t>Guideline 4.</w:t>
      </w:r>
    </w:p>
    <w:p w14:paraId="03B5EBB5"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&lt;ESMA_QUESTION_GOMD_7&gt;</w:t>
      </w:r>
    </w:p>
    <w:p w14:paraId="75202963" w14:textId="77777777" w:rsidR="004777B2" w:rsidRPr="00B37760" w:rsidRDefault="004777B2" w:rsidP="004777B2">
      <w:pPr>
        <w:spacing w:after="160" w:line="259" w:lineRule="auto"/>
        <w:rPr>
          <w:rFonts w:ascii="Arial" w:eastAsia="Calibri" w:hAnsi="Arial" w:cs="Arial"/>
          <w:sz w:val="22"/>
          <w:szCs w:val="22"/>
          <w:lang w:eastAsia="en-US"/>
        </w:rPr>
      </w:pPr>
    </w:p>
    <w:p w14:paraId="6DE0A25D"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Q8: Do you agree with Guideline 5? If not, please justify.</w:t>
      </w:r>
    </w:p>
    <w:p w14:paraId="5DC1BD19"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&lt;ESMA_QUESTION_GOMD_8&gt;</w:t>
      </w:r>
    </w:p>
    <w:p w14:paraId="6C8056E6" w14:textId="52BE1C06" w:rsidR="004777B2" w:rsidRPr="00B37760" w:rsidRDefault="00445976" w:rsidP="004777B2">
      <w:pPr>
        <w:spacing w:after="160" w:line="259" w:lineRule="auto"/>
        <w:rPr>
          <w:rFonts w:ascii="Arial" w:eastAsia="Calibri" w:hAnsi="Arial" w:cs="Arial"/>
          <w:iCs/>
          <w:sz w:val="22"/>
          <w:szCs w:val="22"/>
          <w:lang w:eastAsia="en-US"/>
        </w:rPr>
      </w:pPr>
      <w:r w:rsidRPr="00B37760">
        <w:rPr>
          <w:rFonts w:ascii="Arial" w:eastAsia="Calibri" w:hAnsi="Arial" w:cs="Arial"/>
          <w:iCs/>
          <w:sz w:val="22"/>
          <w:szCs w:val="22"/>
          <w:lang w:eastAsia="en-US"/>
        </w:rPr>
        <w:t>We</w:t>
      </w:r>
      <w:r w:rsidR="004B69FD">
        <w:rPr>
          <w:rFonts w:ascii="Arial" w:eastAsia="Calibri" w:hAnsi="Arial" w:cs="Arial"/>
          <w:iCs/>
          <w:sz w:val="22"/>
          <w:szCs w:val="22"/>
          <w:lang w:eastAsia="en-US"/>
        </w:rPr>
        <w:t>, as GBIC,</w:t>
      </w:r>
      <w:r w:rsidRPr="00B37760">
        <w:rPr>
          <w:rFonts w:ascii="Arial" w:eastAsia="Calibri" w:hAnsi="Arial" w:cs="Arial"/>
          <w:iCs/>
          <w:sz w:val="22"/>
          <w:szCs w:val="22"/>
          <w:lang w:eastAsia="en-US"/>
        </w:rPr>
        <w:t xml:space="preserve"> a</w:t>
      </w:r>
      <w:r w:rsidR="00462FD2" w:rsidRPr="00B37760">
        <w:rPr>
          <w:rFonts w:ascii="Arial" w:eastAsia="Calibri" w:hAnsi="Arial" w:cs="Arial"/>
          <w:iCs/>
          <w:sz w:val="22"/>
          <w:szCs w:val="22"/>
          <w:lang w:eastAsia="en-US"/>
        </w:rPr>
        <w:t>gree</w:t>
      </w:r>
      <w:r w:rsidR="00B37760" w:rsidRPr="00B37760">
        <w:rPr>
          <w:rFonts w:ascii="Arial" w:eastAsia="Calibri" w:hAnsi="Arial" w:cs="Arial"/>
          <w:iCs/>
          <w:sz w:val="22"/>
          <w:szCs w:val="22"/>
          <w:lang w:eastAsia="en-US"/>
        </w:rPr>
        <w:t xml:space="preserve"> to</w:t>
      </w:r>
      <w:r w:rsidRPr="00B37760">
        <w:rPr>
          <w:rFonts w:ascii="Arial" w:eastAsia="Calibri" w:hAnsi="Arial" w:cs="Arial"/>
          <w:iCs/>
          <w:sz w:val="22"/>
          <w:szCs w:val="22"/>
          <w:lang w:eastAsia="en-US"/>
        </w:rPr>
        <w:t xml:space="preserve"> Guideline 5</w:t>
      </w:r>
      <w:r w:rsidR="004B69FD">
        <w:rPr>
          <w:rFonts w:ascii="Arial" w:eastAsia="Calibri" w:hAnsi="Arial" w:cs="Arial"/>
          <w:iCs/>
          <w:sz w:val="22"/>
          <w:szCs w:val="22"/>
          <w:lang w:eastAsia="en-US"/>
        </w:rPr>
        <w:t xml:space="preserve"> as well</w:t>
      </w:r>
      <w:r w:rsidRPr="00B37760">
        <w:rPr>
          <w:rFonts w:ascii="Arial" w:eastAsia="Calibri" w:hAnsi="Arial" w:cs="Arial"/>
          <w:iCs/>
          <w:sz w:val="22"/>
          <w:szCs w:val="22"/>
          <w:lang w:eastAsia="en-US"/>
        </w:rPr>
        <w:t>.</w:t>
      </w:r>
    </w:p>
    <w:p w14:paraId="1292A833"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&lt;ESMA_QUESTION_GOMD_8&gt;</w:t>
      </w:r>
    </w:p>
    <w:p w14:paraId="1F4B5CB5" w14:textId="77777777" w:rsidR="004777B2" w:rsidRPr="00B37760" w:rsidRDefault="004777B2" w:rsidP="004777B2">
      <w:pPr>
        <w:spacing w:after="160" w:line="259" w:lineRule="auto"/>
        <w:rPr>
          <w:rFonts w:ascii="Arial" w:eastAsia="Calibri" w:hAnsi="Arial" w:cs="Arial"/>
          <w:sz w:val="22"/>
          <w:szCs w:val="22"/>
          <w:lang w:eastAsia="en-US"/>
        </w:rPr>
      </w:pPr>
    </w:p>
    <w:p w14:paraId="29305DBA"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Q9: Do you think that ESMA should clarify other elements of the obligation to provide market data on a non-discriminatory basis? If yes, please explain.</w:t>
      </w:r>
    </w:p>
    <w:p w14:paraId="3F887778"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&lt;ESMA_QUESTION_GOMD_9&gt;</w:t>
      </w:r>
    </w:p>
    <w:p w14:paraId="715C1AB2" w14:textId="6867A943" w:rsidR="004777B2" w:rsidRPr="00B37760" w:rsidRDefault="00462FD2" w:rsidP="004777B2">
      <w:pPr>
        <w:spacing w:after="160" w:line="259" w:lineRule="auto"/>
        <w:rPr>
          <w:rFonts w:ascii="Arial" w:eastAsia="Calibri" w:hAnsi="Arial" w:cs="Arial"/>
          <w:iCs/>
          <w:sz w:val="22"/>
          <w:szCs w:val="22"/>
          <w:lang w:eastAsia="en-US"/>
        </w:rPr>
      </w:pPr>
      <w:r w:rsidRPr="00B37760">
        <w:rPr>
          <w:rFonts w:ascii="Arial" w:eastAsia="Calibri" w:hAnsi="Arial" w:cs="Arial"/>
          <w:iCs/>
          <w:sz w:val="22"/>
          <w:szCs w:val="22"/>
          <w:lang w:eastAsia="en-US"/>
        </w:rPr>
        <w:t>No</w:t>
      </w:r>
    </w:p>
    <w:p w14:paraId="75791247"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&lt;ESMA_QUESTION_GOMD_9&gt;</w:t>
      </w:r>
    </w:p>
    <w:p w14:paraId="40BF121F" w14:textId="77777777" w:rsidR="004777B2" w:rsidRPr="00B37760" w:rsidRDefault="004777B2" w:rsidP="004777B2">
      <w:pPr>
        <w:spacing w:after="160" w:line="259" w:lineRule="auto"/>
        <w:rPr>
          <w:rFonts w:ascii="Arial" w:eastAsia="Calibri" w:hAnsi="Arial" w:cs="Arial"/>
          <w:sz w:val="22"/>
          <w:szCs w:val="22"/>
          <w:lang w:eastAsia="en-US"/>
        </w:rPr>
      </w:pPr>
    </w:p>
    <w:p w14:paraId="7D27117D"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w:t>
      </w:r>
      <w:proofErr w:type="gramStart"/>
      <w:r w:rsidRPr="00B37760">
        <w:rPr>
          <w:rFonts w:ascii="Arial" w:hAnsi="Arial" w:cs="Arial"/>
          <w:b/>
          <w:sz w:val="22"/>
          <w:szCs w:val="22"/>
          <w:lang w:val="en-US" w:eastAsia="en-US"/>
        </w:rPr>
        <w:t>the per</w:t>
      </w:r>
      <w:proofErr w:type="gramEnd"/>
      <w:r w:rsidRPr="00B37760">
        <w:rPr>
          <w:rFonts w:ascii="Arial" w:hAnsi="Arial" w:cs="Arial"/>
          <w:b/>
          <w:sz w:val="22"/>
          <w:szCs w:val="22"/>
          <w:lang w:val="en-US" w:eastAsia="en-US"/>
        </w:rPr>
        <w:t xml:space="preserve"> user model and supporting grounds. </w:t>
      </w:r>
    </w:p>
    <w:p w14:paraId="5ED6EDA2"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&lt;ESMA_QUESTION_GOMD_10&gt;</w:t>
      </w:r>
    </w:p>
    <w:p w14:paraId="47F1996D" w14:textId="6BD5668C" w:rsidR="00462FD2" w:rsidRPr="00B37760" w:rsidRDefault="00462FD2" w:rsidP="00462FD2">
      <w:pPr>
        <w:widowControl w:val="0"/>
        <w:autoSpaceDE w:val="0"/>
        <w:autoSpaceDN w:val="0"/>
        <w:adjustRightInd w:val="0"/>
        <w:rPr>
          <w:rFonts w:ascii="Arial" w:hAnsi="Arial" w:cs="Arial"/>
          <w:iCs/>
          <w:sz w:val="22"/>
          <w:szCs w:val="22"/>
        </w:rPr>
      </w:pPr>
      <w:r w:rsidRPr="00B37760">
        <w:rPr>
          <w:rFonts w:ascii="Arial" w:hAnsi="Arial" w:cs="Arial"/>
          <w:iCs/>
          <w:sz w:val="22"/>
          <w:szCs w:val="22"/>
        </w:rPr>
        <w:t>We suggest to introduce the term "Physical User" instead of "Active User ID" as it is already practice to define a model avoiding charging the same user multiple times.</w:t>
      </w:r>
    </w:p>
    <w:p w14:paraId="76673830" w14:textId="1A97BA40" w:rsidR="004777B2" w:rsidRPr="00B37760" w:rsidRDefault="004777B2" w:rsidP="004777B2">
      <w:pPr>
        <w:spacing w:after="160" w:line="259" w:lineRule="auto"/>
        <w:rPr>
          <w:rFonts w:ascii="Arial" w:eastAsia="Calibri" w:hAnsi="Arial" w:cs="Arial"/>
          <w:sz w:val="22"/>
          <w:szCs w:val="22"/>
          <w:lang w:eastAsia="en-US"/>
        </w:rPr>
      </w:pPr>
    </w:p>
    <w:p w14:paraId="70E38F8E"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&lt;ESMA_QUESTION_GOMD_10&gt;</w:t>
      </w:r>
    </w:p>
    <w:p w14:paraId="6507402E" w14:textId="77777777" w:rsidR="004777B2" w:rsidRPr="00B37760" w:rsidRDefault="004777B2" w:rsidP="004777B2">
      <w:pPr>
        <w:spacing w:after="160" w:line="259" w:lineRule="auto"/>
        <w:rPr>
          <w:rFonts w:ascii="Arial" w:eastAsia="Calibri" w:hAnsi="Arial" w:cs="Arial"/>
          <w:sz w:val="22"/>
          <w:szCs w:val="22"/>
          <w:lang w:eastAsia="en-US"/>
        </w:rPr>
      </w:pPr>
    </w:p>
    <w:p w14:paraId="62361FD1"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w:t>
      </w:r>
      <w:proofErr w:type="gramStart"/>
      <w:r w:rsidRPr="00B37760">
        <w:rPr>
          <w:rFonts w:ascii="Arial" w:hAnsi="Arial" w:cs="Arial"/>
          <w:b/>
          <w:sz w:val="22"/>
          <w:szCs w:val="22"/>
          <w:lang w:val="en-US" w:eastAsia="en-US"/>
        </w:rPr>
        <w:t>the per</w:t>
      </w:r>
      <w:proofErr w:type="gramEnd"/>
      <w:r w:rsidRPr="00B37760">
        <w:rPr>
          <w:rFonts w:ascii="Arial" w:hAnsi="Arial" w:cs="Arial"/>
          <w:b/>
          <w:sz w:val="22"/>
          <w:szCs w:val="22"/>
          <w:lang w:val="en-US" w:eastAsia="en-US"/>
        </w:rPr>
        <w:t xml:space="preserve"> user model or do you consider the conditions listed in Guideline 7 sufficient to this aim? Please include in your answer the main obstacles you see in the adoption of </w:t>
      </w:r>
      <w:proofErr w:type="gramStart"/>
      <w:r w:rsidRPr="00B37760">
        <w:rPr>
          <w:rFonts w:ascii="Arial" w:hAnsi="Arial" w:cs="Arial"/>
          <w:b/>
          <w:sz w:val="22"/>
          <w:szCs w:val="22"/>
          <w:lang w:val="en-US" w:eastAsia="en-US"/>
        </w:rPr>
        <w:t>the per</w:t>
      </w:r>
      <w:proofErr w:type="gramEnd"/>
      <w:r w:rsidRPr="00B37760">
        <w:rPr>
          <w:rFonts w:ascii="Arial" w:hAnsi="Arial" w:cs="Arial"/>
          <w:b/>
          <w:sz w:val="22"/>
          <w:szCs w:val="22"/>
          <w:lang w:val="en-US" w:eastAsia="en-US"/>
        </w:rPr>
        <w:t xml:space="preserve"> user model, if any, and comments or suggestions you may have to encourage its application. </w:t>
      </w:r>
    </w:p>
    <w:p w14:paraId="516F7F79"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lastRenderedPageBreak/>
        <w:t>&lt;ESMA_QUESTION_GOMD_11&gt;</w:t>
      </w:r>
    </w:p>
    <w:p w14:paraId="4BF15E86" w14:textId="74CC08AF" w:rsidR="00A63AF6" w:rsidRPr="00B37760" w:rsidRDefault="00A63AF6" w:rsidP="00A63AF6">
      <w:pPr>
        <w:widowControl w:val="0"/>
        <w:autoSpaceDE w:val="0"/>
        <w:autoSpaceDN w:val="0"/>
        <w:adjustRightInd w:val="0"/>
        <w:rPr>
          <w:rFonts w:ascii="Arial" w:hAnsi="Arial" w:cs="Arial"/>
          <w:iCs/>
          <w:sz w:val="22"/>
          <w:szCs w:val="22"/>
        </w:rPr>
      </w:pPr>
      <w:r w:rsidRPr="00B37760">
        <w:rPr>
          <w:rFonts w:ascii="Arial" w:hAnsi="Arial" w:cs="Arial"/>
          <w:iCs/>
          <w:sz w:val="22"/>
          <w:szCs w:val="22"/>
        </w:rPr>
        <w:t xml:space="preserve">In </w:t>
      </w:r>
      <w:proofErr w:type="gramStart"/>
      <w:r w:rsidRPr="00B37760">
        <w:rPr>
          <w:rFonts w:ascii="Arial" w:hAnsi="Arial" w:cs="Arial"/>
          <w:iCs/>
          <w:sz w:val="22"/>
          <w:szCs w:val="22"/>
        </w:rPr>
        <w:t>general</w:t>
      </w:r>
      <w:proofErr w:type="gramEnd"/>
      <w:r w:rsidRPr="00B37760">
        <w:rPr>
          <w:rFonts w:ascii="Arial" w:hAnsi="Arial" w:cs="Arial"/>
          <w:iCs/>
          <w:sz w:val="22"/>
          <w:szCs w:val="22"/>
        </w:rPr>
        <w:t xml:space="preserve"> we agree. In addition, it should be not allowed that the Display fee per Physical user differs from the one per technical access, as this would contradict the </w:t>
      </w:r>
      <w:r w:rsidR="003C1A24" w:rsidRPr="00B37760">
        <w:rPr>
          <w:rFonts w:ascii="Arial" w:hAnsi="Arial" w:cs="Arial"/>
          <w:iCs/>
          <w:sz w:val="22"/>
          <w:szCs w:val="22"/>
        </w:rPr>
        <w:t>“</w:t>
      </w:r>
      <w:r w:rsidRPr="00B37760">
        <w:rPr>
          <w:rFonts w:ascii="Arial" w:hAnsi="Arial" w:cs="Arial"/>
          <w:iCs/>
          <w:sz w:val="22"/>
          <w:szCs w:val="22"/>
        </w:rPr>
        <w:t>Cost +</w:t>
      </w:r>
      <w:r w:rsidR="003C1A24" w:rsidRPr="00B37760">
        <w:rPr>
          <w:rFonts w:ascii="Arial" w:hAnsi="Arial" w:cs="Arial"/>
          <w:iCs/>
          <w:sz w:val="22"/>
          <w:szCs w:val="22"/>
        </w:rPr>
        <w:t xml:space="preserve">-approach” of Copenhagen Study of </w:t>
      </w:r>
      <w:proofErr w:type="gramStart"/>
      <w:r w:rsidR="003C1A24" w:rsidRPr="00B37760">
        <w:rPr>
          <w:rFonts w:ascii="Arial" w:hAnsi="Arial" w:cs="Arial"/>
          <w:iCs/>
          <w:sz w:val="22"/>
          <w:szCs w:val="22"/>
        </w:rPr>
        <w:t xml:space="preserve">2018 </w:t>
      </w:r>
      <w:r w:rsidRPr="00B37760">
        <w:rPr>
          <w:rFonts w:ascii="Arial" w:hAnsi="Arial" w:cs="Arial"/>
          <w:iCs/>
          <w:sz w:val="22"/>
          <w:szCs w:val="22"/>
        </w:rPr>
        <w:t xml:space="preserve"> principle</w:t>
      </w:r>
      <w:proofErr w:type="gramEnd"/>
      <w:r w:rsidRPr="00B37760">
        <w:rPr>
          <w:rFonts w:ascii="Arial" w:hAnsi="Arial" w:cs="Arial"/>
          <w:iCs/>
          <w:sz w:val="22"/>
          <w:szCs w:val="22"/>
        </w:rPr>
        <w:t xml:space="preserve"> for setting up fees.</w:t>
      </w:r>
    </w:p>
    <w:p w14:paraId="30D5EC8B" w14:textId="6C79A1DC" w:rsidR="00445976" w:rsidRPr="00B37760" w:rsidRDefault="00445976" w:rsidP="00A63AF6">
      <w:pPr>
        <w:widowControl w:val="0"/>
        <w:autoSpaceDE w:val="0"/>
        <w:autoSpaceDN w:val="0"/>
        <w:adjustRightInd w:val="0"/>
        <w:rPr>
          <w:rFonts w:ascii="Arial" w:hAnsi="Arial" w:cs="Arial"/>
          <w:iCs/>
          <w:sz w:val="22"/>
          <w:szCs w:val="22"/>
        </w:rPr>
      </w:pPr>
    </w:p>
    <w:p w14:paraId="11436B76" w14:textId="52761D48" w:rsidR="00445976" w:rsidRPr="00B37760" w:rsidRDefault="00445976" w:rsidP="00A63AF6">
      <w:pPr>
        <w:widowControl w:val="0"/>
        <w:autoSpaceDE w:val="0"/>
        <w:autoSpaceDN w:val="0"/>
        <w:adjustRightInd w:val="0"/>
        <w:rPr>
          <w:rFonts w:ascii="Arial" w:hAnsi="Arial" w:cs="Arial"/>
          <w:iCs/>
          <w:sz w:val="22"/>
          <w:szCs w:val="22"/>
        </w:rPr>
      </w:pPr>
      <w:r w:rsidRPr="00B37760">
        <w:rPr>
          <w:rFonts w:ascii="Arial" w:hAnsi="Arial" w:cs="Arial"/>
          <w:iCs/>
          <w:sz w:val="22"/>
          <w:szCs w:val="22"/>
        </w:rPr>
        <w:t xml:space="preserve">When setting the per user model as standard, it is of paramount importance that the calculation of </w:t>
      </w:r>
      <w:proofErr w:type="gramStart"/>
      <w:r w:rsidRPr="00B37760">
        <w:rPr>
          <w:rFonts w:ascii="Arial" w:hAnsi="Arial" w:cs="Arial"/>
          <w:iCs/>
          <w:sz w:val="22"/>
          <w:szCs w:val="22"/>
        </w:rPr>
        <w:t>the per</w:t>
      </w:r>
      <w:proofErr w:type="gramEnd"/>
      <w:r w:rsidRPr="00B37760">
        <w:rPr>
          <w:rFonts w:ascii="Arial" w:hAnsi="Arial" w:cs="Arial"/>
          <w:iCs/>
          <w:sz w:val="22"/>
          <w:szCs w:val="22"/>
        </w:rPr>
        <w:t xml:space="preserve"> user fee is made transparent. We fear that the costs of </w:t>
      </w:r>
      <w:proofErr w:type="gramStart"/>
      <w:r w:rsidRPr="00B37760">
        <w:rPr>
          <w:rFonts w:ascii="Arial" w:hAnsi="Arial" w:cs="Arial"/>
          <w:iCs/>
          <w:sz w:val="22"/>
          <w:szCs w:val="22"/>
        </w:rPr>
        <w:t>the per</w:t>
      </w:r>
      <w:proofErr w:type="gramEnd"/>
      <w:r w:rsidRPr="00B37760">
        <w:rPr>
          <w:rFonts w:ascii="Arial" w:hAnsi="Arial" w:cs="Arial"/>
          <w:iCs/>
          <w:sz w:val="22"/>
          <w:szCs w:val="22"/>
        </w:rPr>
        <w:t xml:space="preserve"> user fees will rise, once multiple access fees are no longer allowed. </w:t>
      </w:r>
    </w:p>
    <w:p w14:paraId="27C61010" w14:textId="05C416C5" w:rsidR="00A63AF6" w:rsidRPr="00B37760" w:rsidRDefault="00A63AF6" w:rsidP="004777B2">
      <w:pPr>
        <w:spacing w:after="160" w:line="259" w:lineRule="auto"/>
        <w:rPr>
          <w:rFonts w:ascii="Arial" w:eastAsia="Calibri" w:hAnsi="Arial" w:cs="Arial"/>
          <w:iCs/>
          <w:sz w:val="22"/>
          <w:szCs w:val="22"/>
          <w:lang w:val="en-US" w:eastAsia="en-US"/>
        </w:rPr>
      </w:pPr>
    </w:p>
    <w:p w14:paraId="56E962A5"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val="en-US" w:eastAsia="en-US"/>
        </w:rPr>
        <w:t>&lt;ESMA_QUE</w:t>
      </w:r>
      <w:r w:rsidRPr="00B37760">
        <w:rPr>
          <w:rFonts w:ascii="Arial" w:eastAsia="Calibri" w:hAnsi="Arial" w:cs="Arial"/>
          <w:sz w:val="22"/>
          <w:szCs w:val="22"/>
          <w:lang w:eastAsia="en-US"/>
        </w:rPr>
        <w:t>STION_GOMD_11&gt;</w:t>
      </w:r>
    </w:p>
    <w:p w14:paraId="527A3400" w14:textId="77777777" w:rsidR="004777B2" w:rsidRPr="00B37760" w:rsidRDefault="004777B2" w:rsidP="004777B2">
      <w:pPr>
        <w:spacing w:after="160" w:line="259" w:lineRule="auto"/>
        <w:rPr>
          <w:rFonts w:ascii="Arial" w:eastAsia="Calibri" w:hAnsi="Arial" w:cs="Arial"/>
          <w:sz w:val="22"/>
          <w:szCs w:val="22"/>
          <w:lang w:eastAsia="en-US"/>
        </w:rPr>
      </w:pPr>
    </w:p>
    <w:p w14:paraId="3529B898"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Q12: Do you agree with Guideline 8? If not, please justify also by indicating what are the elements making the adoption of </w:t>
      </w:r>
      <w:proofErr w:type="gramStart"/>
      <w:r w:rsidRPr="00B37760">
        <w:rPr>
          <w:rFonts w:ascii="Arial" w:hAnsi="Arial" w:cs="Arial"/>
          <w:b/>
          <w:sz w:val="22"/>
          <w:szCs w:val="22"/>
          <w:lang w:val="en-US" w:eastAsia="en-US"/>
        </w:rPr>
        <w:t>the per</w:t>
      </w:r>
      <w:proofErr w:type="gramEnd"/>
      <w:r w:rsidRPr="00B37760">
        <w:rPr>
          <w:rFonts w:ascii="Arial" w:hAnsi="Arial" w:cs="Arial"/>
          <w:b/>
          <w:sz w:val="22"/>
          <w:szCs w:val="22"/>
          <w:lang w:val="en-US" w:eastAsia="en-US"/>
        </w:rPr>
        <w:t xml:space="preserve"> user model disproportionate and the reasons hampering their disclosure.   </w:t>
      </w:r>
    </w:p>
    <w:p w14:paraId="1C9B7BD5"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&lt;ESMA_QUESTION_GOMD_12&gt;</w:t>
      </w:r>
    </w:p>
    <w:p w14:paraId="32CDB886" w14:textId="184E28CD" w:rsidR="00A63AF6" w:rsidRPr="00B37760" w:rsidRDefault="00A63AF6" w:rsidP="00A63AF6">
      <w:pPr>
        <w:widowControl w:val="0"/>
        <w:autoSpaceDE w:val="0"/>
        <w:autoSpaceDN w:val="0"/>
        <w:adjustRightInd w:val="0"/>
        <w:rPr>
          <w:rFonts w:ascii="Arial" w:hAnsi="Arial" w:cs="Arial"/>
          <w:iCs/>
          <w:sz w:val="22"/>
          <w:szCs w:val="22"/>
        </w:rPr>
      </w:pPr>
      <w:r w:rsidRPr="00B37760">
        <w:rPr>
          <w:rFonts w:ascii="Arial" w:hAnsi="Arial" w:cs="Arial"/>
          <w:iCs/>
          <w:sz w:val="22"/>
          <w:szCs w:val="22"/>
        </w:rPr>
        <w:t xml:space="preserve">If </w:t>
      </w:r>
      <w:proofErr w:type="gramStart"/>
      <w:r w:rsidRPr="00B37760">
        <w:rPr>
          <w:rFonts w:ascii="Arial" w:hAnsi="Arial" w:cs="Arial"/>
          <w:iCs/>
          <w:sz w:val="22"/>
          <w:szCs w:val="22"/>
        </w:rPr>
        <w:t>a per</w:t>
      </w:r>
      <w:proofErr w:type="gramEnd"/>
      <w:r w:rsidRPr="00B37760">
        <w:rPr>
          <w:rFonts w:ascii="Arial" w:hAnsi="Arial" w:cs="Arial"/>
          <w:iCs/>
          <w:sz w:val="22"/>
          <w:szCs w:val="22"/>
        </w:rPr>
        <w:t xml:space="preserve"> user model is not offered by administrative costs rationale, the costs shall be explained in detail and why they should block to offer such model to the client.</w:t>
      </w:r>
    </w:p>
    <w:p w14:paraId="34CF58BB" w14:textId="09800B8E" w:rsidR="00A01458" w:rsidRPr="00B37760" w:rsidRDefault="00A01458"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Furthermore, the exemptions set forth in Guideline 8 should not avail themselves to an extensive use.</w:t>
      </w:r>
    </w:p>
    <w:p w14:paraId="21A4FA9C"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&lt;ESMA_QUESTION_GOMD_12&gt;</w:t>
      </w:r>
    </w:p>
    <w:p w14:paraId="512EE865" w14:textId="77777777" w:rsidR="004777B2" w:rsidRPr="00B37760" w:rsidRDefault="004777B2" w:rsidP="004777B2">
      <w:pPr>
        <w:spacing w:after="160" w:line="259" w:lineRule="auto"/>
        <w:rPr>
          <w:rFonts w:ascii="Arial" w:eastAsia="Calibri" w:hAnsi="Arial" w:cs="Arial"/>
          <w:sz w:val="22"/>
          <w:szCs w:val="22"/>
          <w:lang w:eastAsia="en-US"/>
        </w:rPr>
      </w:pPr>
    </w:p>
    <w:p w14:paraId="0F964D9A"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Q13: Do you think ESMA should clarify other elements of the obligation to provide market data on a per user fees basis? If yes, please explain.</w:t>
      </w:r>
    </w:p>
    <w:p w14:paraId="142BB76F"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&lt;ESMA_QUESTION_GOMD_13&gt;</w:t>
      </w:r>
    </w:p>
    <w:p w14:paraId="1402EFF3" w14:textId="1047FA37" w:rsidR="00A63AF6" w:rsidRPr="00B37760" w:rsidRDefault="004A4E68" w:rsidP="004A4E68">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 xml:space="preserve">We would welcome </w:t>
      </w:r>
      <w:proofErr w:type="spellStart"/>
      <w:r w:rsidRPr="00B37760">
        <w:rPr>
          <w:rFonts w:ascii="Arial" w:eastAsia="Calibri" w:hAnsi="Arial" w:cs="Arial"/>
          <w:sz w:val="22"/>
          <w:szCs w:val="22"/>
          <w:lang w:val="en-US" w:eastAsia="en-US"/>
        </w:rPr>
        <w:t>standardised</w:t>
      </w:r>
      <w:proofErr w:type="spellEnd"/>
      <w:r w:rsidRPr="00B37760">
        <w:rPr>
          <w:rFonts w:ascii="Arial" w:eastAsia="Calibri" w:hAnsi="Arial" w:cs="Arial"/>
          <w:sz w:val="22"/>
          <w:szCs w:val="22"/>
          <w:lang w:val="en-US" w:eastAsia="en-US"/>
        </w:rPr>
        <w:t xml:space="preserve"> reporting requirements. Currently, each market data provider uses a different format for the reporting of the user (web-site application, excel sheet, etc.), which makes the reporting on the part of the customers very onerous.</w:t>
      </w:r>
    </w:p>
    <w:p w14:paraId="55E13943" w14:textId="3456C93A" w:rsidR="00A63AF6" w:rsidRPr="00B37760" w:rsidRDefault="00A63AF6" w:rsidP="00A63AF6">
      <w:pPr>
        <w:widowControl w:val="0"/>
        <w:autoSpaceDE w:val="0"/>
        <w:autoSpaceDN w:val="0"/>
        <w:adjustRightInd w:val="0"/>
        <w:rPr>
          <w:rFonts w:ascii="Arial" w:hAnsi="Arial" w:cs="Arial"/>
          <w:iCs/>
          <w:sz w:val="22"/>
          <w:szCs w:val="22"/>
        </w:rPr>
      </w:pPr>
      <w:r w:rsidRPr="00B37760">
        <w:rPr>
          <w:rFonts w:ascii="Arial" w:hAnsi="Arial" w:cs="Arial"/>
          <w:iCs/>
          <w:sz w:val="22"/>
          <w:szCs w:val="22"/>
        </w:rPr>
        <w:t xml:space="preserve">It </w:t>
      </w:r>
      <w:proofErr w:type="gramStart"/>
      <w:r w:rsidRPr="00B37760">
        <w:rPr>
          <w:rFonts w:ascii="Arial" w:hAnsi="Arial" w:cs="Arial"/>
          <w:iCs/>
          <w:sz w:val="22"/>
          <w:szCs w:val="22"/>
        </w:rPr>
        <w:t>should be addressed</w:t>
      </w:r>
      <w:proofErr w:type="gramEnd"/>
      <w:r w:rsidRPr="00B37760">
        <w:rPr>
          <w:rFonts w:ascii="Arial" w:hAnsi="Arial" w:cs="Arial"/>
          <w:iCs/>
          <w:sz w:val="22"/>
          <w:szCs w:val="22"/>
        </w:rPr>
        <w:t xml:space="preserve"> that current Display unit of counts are based on the theoretical ability to access the vendor data, not on proven usage.</w:t>
      </w:r>
    </w:p>
    <w:p w14:paraId="7C0F3FBE" w14:textId="3C5EA638" w:rsidR="00A63AF6" w:rsidRPr="00B37760" w:rsidRDefault="00A63AF6" w:rsidP="004777B2">
      <w:pPr>
        <w:spacing w:after="160" w:line="259" w:lineRule="auto"/>
        <w:rPr>
          <w:rFonts w:ascii="Arial" w:eastAsia="Calibri" w:hAnsi="Arial" w:cs="Arial"/>
          <w:sz w:val="22"/>
          <w:szCs w:val="22"/>
          <w:lang w:val="en-US" w:eastAsia="en-US"/>
        </w:rPr>
      </w:pPr>
    </w:p>
    <w:p w14:paraId="74D0BACA"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&lt;ESMA_QUESTION_GOMD_13&gt;</w:t>
      </w:r>
    </w:p>
    <w:p w14:paraId="069AC575" w14:textId="77777777" w:rsidR="004777B2" w:rsidRPr="00B37760" w:rsidRDefault="004777B2" w:rsidP="004777B2">
      <w:pPr>
        <w:spacing w:after="160" w:line="259" w:lineRule="auto"/>
        <w:rPr>
          <w:rFonts w:ascii="Arial" w:eastAsia="Calibri" w:hAnsi="Arial" w:cs="Arial"/>
          <w:sz w:val="22"/>
          <w:szCs w:val="22"/>
          <w:lang w:eastAsia="en-US"/>
        </w:rPr>
      </w:pPr>
    </w:p>
    <w:p w14:paraId="7A95C688"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Q14: Do you agree with Guideline 9? If not, please justify. </w:t>
      </w:r>
    </w:p>
    <w:p w14:paraId="5EEE55FA"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&lt;ESMA_QUESTION_GOMD_14&gt;</w:t>
      </w:r>
    </w:p>
    <w:p w14:paraId="4E97481D" w14:textId="634EC718" w:rsidR="00A63AF6" w:rsidRPr="00B37760" w:rsidRDefault="004A4E68" w:rsidP="00A63AF6">
      <w:pPr>
        <w:widowControl w:val="0"/>
        <w:autoSpaceDE w:val="0"/>
        <w:autoSpaceDN w:val="0"/>
        <w:adjustRightInd w:val="0"/>
        <w:rPr>
          <w:rFonts w:ascii="Arial" w:hAnsi="Arial" w:cs="Arial"/>
          <w:iCs/>
        </w:rPr>
      </w:pPr>
      <w:r w:rsidRPr="00B37760">
        <w:rPr>
          <w:rFonts w:ascii="Arial" w:eastAsia="Calibri" w:hAnsi="Arial" w:cs="Arial"/>
          <w:sz w:val="22"/>
          <w:szCs w:val="22"/>
          <w:lang w:val="en-US" w:eastAsia="en-US"/>
        </w:rPr>
        <w:t>We very much support Guideline 9, which is of utmost importance.</w:t>
      </w:r>
      <w:r w:rsidR="00A63AF6" w:rsidRPr="00B37760">
        <w:rPr>
          <w:rFonts w:ascii="Arial" w:hAnsi="Arial" w:cs="Arial"/>
          <w:iCs/>
        </w:rPr>
        <w:t>In general data should be available unbundled from other market data or from other services. When giving discounts on bundled products including market data, the discounts need to stay on a reasonable basis – otherwise the initial calculation of fees would be questionable. A potential check could be that the total price of a bundle must not be lower than the price for one of the single products.</w:t>
      </w:r>
    </w:p>
    <w:p w14:paraId="5FB026E2" w14:textId="1CB66624" w:rsidR="00A63AF6" w:rsidRPr="00B37760" w:rsidRDefault="00A63AF6" w:rsidP="004777B2">
      <w:pPr>
        <w:spacing w:after="160" w:line="259" w:lineRule="auto"/>
        <w:rPr>
          <w:rFonts w:ascii="Arial" w:eastAsia="Calibri" w:hAnsi="Arial" w:cs="Arial"/>
          <w:sz w:val="22"/>
          <w:szCs w:val="22"/>
          <w:lang w:eastAsia="en-US"/>
        </w:rPr>
      </w:pPr>
    </w:p>
    <w:p w14:paraId="5E7C6310"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lastRenderedPageBreak/>
        <w:t>&lt;ESMA_QUESTION_GOMD_14&gt;</w:t>
      </w:r>
    </w:p>
    <w:p w14:paraId="64F14B08" w14:textId="77777777" w:rsidR="004777B2" w:rsidRPr="00B37760" w:rsidRDefault="004777B2" w:rsidP="004777B2">
      <w:pPr>
        <w:spacing w:after="160" w:line="259" w:lineRule="auto"/>
        <w:rPr>
          <w:rFonts w:ascii="Arial" w:eastAsia="Calibri" w:hAnsi="Arial" w:cs="Arial"/>
          <w:sz w:val="22"/>
          <w:szCs w:val="22"/>
          <w:lang w:eastAsia="en-US"/>
        </w:rPr>
      </w:pPr>
    </w:p>
    <w:p w14:paraId="17D8532A"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Q15: Do you think ESMA should clarify other elements in relation to the obligation to keep data unbundled? If yes, please explain.</w:t>
      </w:r>
    </w:p>
    <w:p w14:paraId="60FB4341"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&lt;ESMA_QUESTION_GOMD_15&gt;</w:t>
      </w:r>
    </w:p>
    <w:p w14:paraId="1119D3F7" w14:textId="7C3743D5" w:rsidR="00633A32" w:rsidRPr="00B37760" w:rsidRDefault="00633A32" w:rsidP="00633A32">
      <w:pPr>
        <w:widowControl w:val="0"/>
        <w:autoSpaceDE w:val="0"/>
        <w:autoSpaceDN w:val="0"/>
        <w:adjustRightInd w:val="0"/>
        <w:rPr>
          <w:rFonts w:ascii="Arial" w:hAnsi="Arial" w:cs="Arial"/>
          <w:iCs/>
        </w:rPr>
      </w:pPr>
      <w:r w:rsidRPr="00B37760">
        <w:rPr>
          <w:rFonts w:ascii="Arial" w:hAnsi="Arial" w:cs="Arial"/>
          <w:iCs/>
        </w:rPr>
        <w:t xml:space="preserve">See </w:t>
      </w:r>
      <w:r w:rsidR="00177265" w:rsidRPr="00B37760">
        <w:rPr>
          <w:rFonts w:ascii="Arial" w:hAnsi="Arial" w:cs="Arial"/>
          <w:iCs/>
        </w:rPr>
        <w:t>our a</w:t>
      </w:r>
      <w:r w:rsidRPr="00B37760">
        <w:rPr>
          <w:rFonts w:ascii="Arial" w:hAnsi="Arial" w:cs="Arial"/>
          <w:iCs/>
        </w:rPr>
        <w:t xml:space="preserve">nswer </w:t>
      </w:r>
      <w:r w:rsidR="00177265" w:rsidRPr="00B37760">
        <w:rPr>
          <w:rFonts w:ascii="Arial" w:hAnsi="Arial" w:cs="Arial"/>
          <w:iCs/>
        </w:rPr>
        <w:t>to Q</w:t>
      </w:r>
      <w:r w:rsidRPr="00B37760">
        <w:rPr>
          <w:rFonts w:ascii="Arial" w:hAnsi="Arial" w:cs="Arial"/>
          <w:iCs/>
        </w:rPr>
        <w:t>14</w:t>
      </w:r>
      <w:r w:rsidR="00177265" w:rsidRPr="00B37760">
        <w:rPr>
          <w:rFonts w:ascii="Arial" w:hAnsi="Arial" w:cs="Arial"/>
          <w:iCs/>
        </w:rPr>
        <w:t>.</w:t>
      </w:r>
    </w:p>
    <w:p w14:paraId="224FFC04" w14:textId="26E5694C" w:rsidR="004777B2" w:rsidRPr="00B37760" w:rsidRDefault="004777B2" w:rsidP="004777B2">
      <w:pPr>
        <w:spacing w:after="160" w:line="259" w:lineRule="auto"/>
        <w:rPr>
          <w:rFonts w:ascii="Arial" w:eastAsia="Calibri" w:hAnsi="Arial" w:cs="Arial"/>
          <w:sz w:val="22"/>
          <w:szCs w:val="22"/>
          <w:lang w:eastAsia="en-US"/>
        </w:rPr>
      </w:pPr>
    </w:p>
    <w:p w14:paraId="7183F267"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&lt;ESMA_QUESTION_GOMD_15&gt;</w:t>
      </w:r>
    </w:p>
    <w:p w14:paraId="6DF74829" w14:textId="77777777" w:rsidR="004777B2" w:rsidRPr="00B37760" w:rsidRDefault="004777B2" w:rsidP="004777B2">
      <w:pPr>
        <w:spacing w:after="160" w:line="259" w:lineRule="auto"/>
        <w:rPr>
          <w:rFonts w:ascii="Arial" w:eastAsia="Calibri" w:hAnsi="Arial" w:cs="Arial"/>
          <w:sz w:val="22"/>
          <w:szCs w:val="22"/>
          <w:lang w:eastAsia="en-US"/>
        </w:rPr>
      </w:pPr>
    </w:p>
    <w:p w14:paraId="429838B7"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Q16: Do you agree with Guideline 10 that market data providers should use a </w:t>
      </w:r>
      <w:proofErr w:type="spellStart"/>
      <w:r w:rsidRPr="00B37760">
        <w:rPr>
          <w:rFonts w:ascii="Arial" w:hAnsi="Arial" w:cs="Arial"/>
          <w:b/>
          <w:sz w:val="22"/>
          <w:szCs w:val="22"/>
          <w:lang w:val="en-US" w:eastAsia="en-US"/>
        </w:rPr>
        <w:t>standardised</w:t>
      </w:r>
      <w:proofErr w:type="spellEnd"/>
      <w:r w:rsidRPr="00B37760">
        <w:rPr>
          <w:rFonts w:ascii="Arial" w:hAnsi="Arial" w:cs="Arial"/>
          <w:b/>
          <w:sz w:val="22"/>
          <w:szCs w:val="22"/>
          <w:lang w:val="en-US" w:eastAsia="en-US"/>
        </w:rPr>
        <w:t xml:space="preserve"> publication format to publish the RCB information? If not, please justify. </w:t>
      </w:r>
    </w:p>
    <w:p w14:paraId="64C4AD01"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&lt;ESMA_QUESTION_GOMD_16&gt;</w:t>
      </w:r>
    </w:p>
    <w:p w14:paraId="075648F3" w14:textId="76453F0B" w:rsidR="00325D3F" w:rsidRPr="00B37760" w:rsidRDefault="006315D0" w:rsidP="004777B2">
      <w:pPr>
        <w:spacing w:after="160" w:line="259" w:lineRule="auto"/>
        <w:rPr>
          <w:rFonts w:ascii="Arial" w:eastAsia="Calibri" w:hAnsi="Arial" w:cs="Arial"/>
          <w:iCs/>
          <w:sz w:val="22"/>
          <w:szCs w:val="22"/>
          <w:lang w:val="en-US" w:eastAsia="en-US"/>
        </w:rPr>
      </w:pPr>
      <w:r w:rsidRPr="00B37760">
        <w:rPr>
          <w:rFonts w:ascii="Arial" w:eastAsia="Calibri" w:hAnsi="Arial" w:cs="Arial"/>
          <w:iCs/>
          <w:sz w:val="22"/>
          <w:szCs w:val="22"/>
          <w:lang w:val="en-US" w:eastAsia="en-US"/>
        </w:rPr>
        <w:t>As stated in the introductory remarks,</w:t>
      </w:r>
      <w:r w:rsidR="00325D3F" w:rsidRPr="00B37760">
        <w:rPr>
          <w:rFonts w:ascii="Arial" w:eastAsia="Calibri" w:hAnsi="Arial" w:cs="Arial"/>
          <w:iCs/>
          <w:sz w:val="22"/>
          <w:szCs w:val="22"/>
          <w:lang w:val="en-US" w:eastAsia="en-US"/>
        </w:rPr>
        <w:t xml:space="preserve"> this Guideline should generally apply to all market data providers – not only</w:t>
      </w:r>
      <w:r w:rsidRPr="00B37760">
        <w:rPr>
          <w:rFonts w:ascii="Arial" w:eastAsia="Calibri" w:hAnsi="Arial" w:cs="Arial"/>
          <w:iCs/>
          <w:sz w:val="22"/>
          <w:szCs w:val="22"/>
          <w:lang w:val="en-US" w:eastAsia="en-US"/>
        </w:rPr>
        <w:t xml:space="preserve"> with</w:t>
      </w:r>
      <w:r w:rsidR="00325D3F" w:rsidRPr="00B37760">
        <w:rPr>
          <w:rFonts w:ascii="Arial" w:eastAsia="Calibri" w:hAnsi="Arial" w:cs="Arial"/>
          <w:iCs/>
          <w:sz w:val="22"/>
          <w:szCs w:val="22"/>
          <w:lang w:val="en-US" w:eastAsia="en-US"/>
        </w:rPr>
        <w:t>in the limited scope of the cited MiFID</w:t>
      </w:r>
      <w:r w:rsidRPr="00B37760">
        <w:rPr>
          <w:rFonts w:ascii="Arial" w:eastAsia="Calibri" w:hAnsi="Arial" w:cs="Arial"/>
          <w:iCs/>
          <w:sz w:val="22"/>
          <w:szCs w:val="22"/>
          <w:lang w:val="en-US" w:eastAsia="en-US"/>
        </w:rPr>
        <w:t xml:space="preserve"> II / MiFIR objectives.</w:t>
      </w:r>
    </w:p>
    <w:p w14:paraId="442E77D4"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&lt;ESMA_QUESTION_GOMD_16&gt;</w:t>
      </w:r>
    </w:p>
    <w:p w14:paraId="45B7CAF2" w14:textId="77777777" w:rsidR="004777B2" w:rsidRPr="00B37760" w:rsidRDefault="004777B2" w:rsidP="004777B2">
      <w:pPr>
        <w:spacing w:after="160" w:line="259" w:lineRule="auto"/>
        <w:rPr>
          <w:rFonts w:ascii="Arial" w:eastAsia="Calibri" w:hAnsi="Arial" w:cs="Arial"/>
          <w:sz w:val="22"/>
          <w:szCs w:val="22"/>
          <w:lang w:eastAsia="en-US"/>
        </w:rPr>
      </w:pPr>
    </w:p>
    <w:p w14:paraId="36F171F8"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Q17: Do you agree with the </w:t>
      </w:r>
      <w:proofErr w:type="spellStart"/>
      <w:r w:rsidRPr="00B37760">
        <w:rPr>
          <w:rFonts w:ascii="Arial" w:hAnsi="Arial" w:cs="Arial"/>
          <w:b/>
          <w:sz w:val="22"/>
          <w:szCs w:val="22"/>
          <w:lang w:val="en-US" w:eastAsia="en-US"/>
        </w:rPr>
        <w:t>standardised</w:t>
      </w:r>
      <w:proofErr w:type="spellEnd"/>
      <w:r w:rsidRPr="00B37760">
        <w:rPr>
          <w:rFonts w:ascii="Arial" w:hAnsi="Arial" w:cs="Arial"/>
          <w:b/>
          <w:sz w:val="22"/>
          <w:szCs w:val="22"/>
          <w:lang w:val="en-US" w:eastAsia="en-US"/>
        </w:rPr>
        <w:t xml:space="preserve"> publication template set out in Annex I of the Guidelines and the accompanying instructions? Do you have any comments and suggestions to improve the </w:t>
      </w:r>
      <w:proofErr w:type="spellStart"/>
      <w:r w:rsidRPr="00B37760">
        <w:rPr>
          <w:rFonts w:ascii="Arial" w:hAnsi="Arial" w:cs="Arial"/>
          <w:b/>
          <w:sz w:val="22"/>
          <w:szCs w:val="22"/>
          <w:lang w:val="en-US" w:eastAsia="en-US"/>
        </w:rPr>
        <w:t>standardised</w:t>
      </w:r>
      <w:proofErr w:type="spellEnd"/>
      <w:r w:rsidRPr="00B37760">
        <w:rPr>
          <w:rFonts w:ascii="Arial" w:hAnsi="Arial" w:cs="Arial"/>
          <w:b/>
          <w:sz w:val="22"/>
          <w:szCs w:val="22"/>
          <w:lang w:val="en-US" w:eastAsia="en-US"/>
        </w:rPr>
        <w:t xml:space="preserve"> publication format and the accompanying instructions?</w:t>
      </w:r>
    </w:p>
    <w:p w14:paraId="67ADF894"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&lt;ESMA_QUESTION_GOMD_17&gt;</w:t>
      </w:r>
    </w:p>
    <w:p w14:paraId="0AE26D61" w14:textId="16A1D5A9" w:rsidR="00927BA1" w:rsidRPr="007B19DC" w:rsidRDefault="00927BA1" w:rsidP="00927BA1">
      <w:pPr>
        <w:widowControl w:val="0"/>
        <w:autoSpaceDE w:val="0"/>
        <w:autoSpaceDN w:val="0"/>
        <w:adjustRightInd w:val="0"/>
        <w:rPr>
          <w:rFonts w:ascii="Arial" w:hAnsi="Arial" w:cs="Arial"/>
          <w:sz w:val="22"/>
          <w:szCs w:val="22"/>
        </w:rPr>
      </w:pPr>
      <w:r w:rsidRPr="007B19DC">
        <w:rPr>
          <w:rFonts w:ascii="Arial" w:hAnsi="Arial" w:cs="Arial"/>
          <w:iCs/>
          <w:sz w:val="22"/>
          <w:szCs w:val="22"/>
        </w:rPr>
        <w:t xml:space="preserve">Yes in general. By the tight </w:t>
      </w:r>
      <w:proofErr w:type="gramStart"/>
      <w:r w:rsidRPr="007B19DC">
        <w:rPr>
          <w:rFonts w:ascii="Arial" w:hAnsi="Arial" w:cs="Arial"/>
          <w:iCs/>
          <w:sz w:val="22"/>
          <w:szCs w:val="22"/>
        </w:rPr>
        <w:t>timeline</w:t>
      </w:r>
      <w:proofErr w:type="gramEnd"/>
      <w:r w:rsidRPr="007B19DC">
        <w:rPr>
          <w:rFonts w:ascii="Arial" w:hAnsi="Arial" w:cs="Arial"/>
          <w:iCs/>
          <w:sz w:val="22"/>
          <w:szCs w:val="22"/>
        </w:rPr>
        <w:t xml:space="preserve"> we have not been able to run a deeper evaluation on the template</w:t>
      </w:r>
      <w:r w:rsidRPr="007B19DC">
        <w:rPr>
          <w:rFonts w:ascii="Arial" w:hAnsi="Arial" w:cs="Arial"/>
          <w:sz w:val="22"/>
          <w:szCs w:val="22"/>
        </w:rPr>
        <w:t>.</w:t>
      </w:r>
    </w:p>
    <w:p w14:paraId="4BD62B7E" w14:textId="77777777" w:rsidR="00927BA1" w:rsidRPr="00B37760" w:rsidRDefault="00927BA1" w:rsidP="00927BA1">
      <w:pPr>
        <w:widowControl w:val="0"/>
        <w:autoSpaceDE w:val="0"/>
        <w:autoSpaceDN w:val="0"/>
        <w:adjustRightInd w:val="0"/>
        <w:rPr>
          <w:rFonts w:ascii="Arial" w:hAnsi="Arial" w:cs="Arial"/>
        </w:rPr>
      </w:pPr>
    </w:p>
    <w:p w14:paraId="0DECDD10"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&lt;ESMA_QUESTION_GOMD_17&gt;</w:t>
      </w:r>
    </w:p>
    <w:p w14:paraId="52E9765E" w14:textId="77777777" w:rsidR="004777B2" w:rsidRPr="00B37760" w:rsidRDefault="004777B2" w:rsidP="004777B2">
      <w:pPr>
        <w:spacing w:after="160" w:line="259" w:lineRule="auto"/>
        <w:rPr>
          <w:rFonts w:ascii="Arial" w:eastAsia="Calibri" w:hAnsi="Arial" w:cs="Arial"/>
          <w:sz w:val="22"/>
          <w:szCs w:val="22"/>
          <w:lang w:eastAsia="en-US"/>
        </w:rPr>
      </w:pPr>
    </w:p>
    <w:p w14:paraId="616EDFE5"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759035AC"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&lt;ESMA_QUESTION_GOMD_18&gt;</w:t>
      </w:r>
    </w:p>
    <w:p w14:paraId="18A30ADA" w14:textId="77777777" w:rsidR="00927BA1" w:rsidRPr="00B37760" w:rsidRDefault="00927BA1" w:rsidP="00927BA1">
      <w:pPr>
        <w:widowControl w:val="0"/>
        <w:autoSpaceDE w:val="0"/>
        <w:autoSpaceDN w:val="0"/>
        <w:adjustRightInd w:val="0"/>
        <w:rPr>
          <w:rFonts w:ascii="Arial" w:eastAsia="Calibri" w:hAnsi="Arial" w:cs="Arial"/>
          <w:sz w:val="22"/>
          <w:szCs w:val="22"/>
          <w:lang w:val="en-US" w:eastAsia="en-US"/>
        </w:rPr>
      </w:pPr>
    </w:p>
    <w:p w14:paraId="4541B69B" w14:textId="007F80D5" w:rsidR="00177265" w:rsidRPr="00B37760" w:rsidRDefault="00177265" w:rsidP="00927BA1">
      <w:pPr>
        <w:widowControl w:val="0"/>
        <w:autoSpaceDE w:val="0"/>
        <w:autoSpaceDN w:val="0"/>
        <w:adjustRightInd w:val="0"/>
        <w:rPr>
          <w:rFonts w:ascii="Arial" w:eastAsia="Calibri" w:hAnsi="Arial" w:cs="Arial"/>
          <w:iCs/>
          <w:sz w:val="22"/>
          <w:szCs w:val="22"/>
          <w:lang w:val="en-US" w:eastAsia="en-US"/>
        </w:rPr>
      </w:pPr>
      <w:r w:rsidRPr="00B37760">
        <w:rPr>
          <w:rFonts w:ascii="Arial" w:eastAsia="Calibri" w:hAnsi="Arial" w:cs="Arial"/>
          <w:iCs/>
          <w:sz w:val="22"/>
          <w:szCs w:val="22"/>
          <w:lang w:val="en-US" w:eastAsia="en-US"/>
        </w:rPr>
        <w:t xml:space="preserve">We </w:t>
      </w:r>
      <w:r w:rsidR="007B19DC">
        <w:rPr>
          <w:rFonts w:ascii="Arial" w:eastAsia="Calibri" w:hAnsi="Arial" w:cs="Arial"/>
          <w:iCs/>
          <w:sz w:val="22"/>
          <w:szCs w:val="22"/>
          <w:lang w:val="en-US" w:eastAsia="en-US"/>
        </w:rPr>
        <w:t xml:space="preserve">– as GBIC - </w:t>
      </w:r>
      <w:r w:rsidR="00B37760">
        <w:rPr>
          <w:rFonts w:ascii="Arial" w:eastAsia="Calibri" w:hAnsi="Arial" w:cs="Arial"/>
          <w:iCs/>
          <w:sz w:val="22"/>
          <w:szCs w:val="22"/>
          <w:lang w:val="en-US" w:eastAsia="en-US"/>
        </w:rPr>
        <w:t>recommend the following changes:</w:t>
      </w:r>
      <w:r w:rsidRPr="00B37760">
        <w:rPr>
          <w:rFonts w:ascii="Arial" w:eastAsia="Calibri" w:hAnsi="Arial" w:cs="Arial"/>
          <w:iCs/>
          <w:sz w:val="22"/>
          <w:szCs w:val="22"/>
          <w:lang w:val="en-US" w:eastAsia="en-US"/>
        </w:rPr>
        <w:t xml:space="preserve"> </w:t>
      </w:r>
    </w:p>
    <w:p w14:paraId="1B9B9C1F" w14:textId="3C391F95" w:rsidR="00927BA1" w:rsidRPr="00B37760" w:rsidRDefault="00927BA1" w:rsidP="00927BA1">
      <w:pPr>
        <w:widowControl w:val="0"/>
        <w:autoSpaceDE w:val="0"/>
        <w:autoSpaceDN w:val="0"/>
        <w:adjustRightInd w:val="0"/>
        <w:rPr>
          <w:rFonts w:ascii="Arial" w:hAnsi="Arial" w:cs="Arial"/>
          <w:iCs/>
          <w:sz w:val="22"/>
          <w:szCs w:val="22"/>
        </w:rPr>
      </w:pPr>
      <w:proofErr w:type="spellStart"/>
      <w:proofErr w:type="gramStart"/>
      <w:r w:rsidRPr="00B37760">
        <w:rPr>
          <w:rFonts w:ascii="Arial" w:hAnsi="Arial" w:cs="Arial"/>
          <w:iCs/>
          <w:sz w:val="22"/>
          <w:szCs w:val="22"/>
        </w:rPr>
        <w:t>i.Customer</w:t>
      </w:r>
      <w:proofErr w:type="spellEnd"/>
      <w:proofErr w:type="gramEnd"/>
      <w:r w:rsidRPr="00B37760">
        <w:rPr>
          <w:rFonts w:ascii="Arial" w:hAnsi="Arial" w:cs="Arial"/>
          <w:iCs/>
          <w:sz w:val="22"/>
          <w:szCs w:val="22"/>
        </w:rPr>
        <w:t xml:space="preserve"> should be the natural and/</w:t>
      </w:r>
      <w:r w:rsidRPr="00B37760">
        <w:rPr>
          <w:rFonts w:ascii="Arial" w:hAnsi="Arial" w:cs="Arial"/>
          <w:b/>
          <w:iCs/>
          <w:sz w:val="22"/>
          <w:szCs w:val="22"/>
        </w:rPr>
        <w:t>or</w:t>
      </w:r>
      <w:r w:rsidRPr="00B37760">
        <w:rPr>
          <w:rFonts w:ascii="Arial" w:hAnsi="Arial" w:cs="Arial"/>
          <w:iCs/>
          <w:sz w:val="22"/>
          <w:szCs w:val="22"/>
        </w:rPr>
        <w:t xml:space="preserve"> legal person….. </w:t>
      </w:r>
      <w:r w:rsidRPr="00B37760">
        <w:rPr>
          <w:rFonts w:ascii="Arial" w:hAnsi="Arial" w:cs="Arial"/>
          <w:iCs/>
          <w:sz w:val="22"/>
          <w:szCs w:val="22"/>
        </w:rPr>
        <w:br/>
        <w:t xml:space="preserve">We see the development by providers that they intend to make the individual employee liable for their actions, e.g. by imposing honesty statements on the individual person. Such </w:t>
      </w:r>
      <w:proofErr w:type="spellStart"/>
      <w:r w:rsidRPr="00B37760">
        <w:rPr>
          <w:rFonts w:ascii="Arial" w:hAnsi="Arial" w:cs="Arial"/>
          <w:iCs/>
          <w:sz w:val="22"/>
          <w:szCs w:val="22"/>
        </w:rPr>
        <w:t>behavior</w:t>
      </w:r>
      <w:proofErr w:type="spellEnd"/>
      <w:r w:rsidRPr="00B37760">
        <w:rPr>
          <w:rFonts w:ascii="Arial" w:hAnsi="Arial" w:cs="Arial"/>
          <w:iCs/>
          <w:sz w:val="22"/>
          <w:szCs w:val="22"/>
        </w:rPr>
        <w:t xml:space="preserve"> </w:t>
      </w:r>
      <w:proofErr w:type="gramStart"/>
      <w:r w:rsidRPr="00B37760">
        <w:rPr>
          <w:rFonts w:ascii="Arial" w:hAnsi="Arial" w:cs="Arial"/>
          <w:iCs/>
          <w:sz w:val="22"/>
          <w:szCs w:val="22"/>
        </w:rPr>
        <w:t>cannot be accepted</w:t>
      </w:r>
      <w:proofErr w:type="gramEnd"/>
      <w:r w:rsidRPr="00B37760">
        <w:rPr>
          <w:rFonts w:ascii="Arial" w:hAnsi="Arial" w:cs="Arial"/>
          <w:iCs/>
          <w:sz w:val="22"/>
          <w:szCs w:val="22"/>
        </w:rPr>
        <w:t xml:space="preserve">. </w:t>
      </w:r>
      <w:proofErr w:type="gramStart"/>
      <w:r w:rsidRPr="00B37760">
        <w:rPr>
          <w:rFonts w:ascii="Arial" w:hAnsi="Arial" w:cs="Arial"/>
          <w:iCs/>
          <w:sz w:val="22"/>
          <w:szCs w:val="22"/>
        </w:rPr>
        <w:t>Instead</w:t>
      </w:r>
      <w:proofErr w:type="gramEnd"/>
      <w:r w:rsidRPr="00B37760">
        <w:rPr>
          <w:rFonts w:ascii="Arial" w:hAnsi="Arial" w:cs="Arial"/>
          <w:iCs/>
          <w:sz w:val="22"/>
          <w:szCs w:val="22"/>
        </w:rPr>
        <w:t xml:space="preserve"> in case of doubts, the provider should demand an authorization document (e.g. power of attorney).</w:t>
      </w:r>
    </w:p>
    <w:p w14:paraId="22CAF00F" w14:textId="51B716F1" w:rsidR="00927BA1" w:rsidRPr="00B37760" w:rsidRDefault="00927BA1" w:rsidP="00927BA1">
      <w:pPr>
        <w:widowControl w:val="0"/>
        <w:autoSpaceDE w:val="0"/>
        <w:autoSpaceDN w:val="0"/>
        <w:adjustRightInd w:val="0"/>
        <w:rPr>
          <w:rFonts w:ascii="Arial" w:eastAsia="Calibri" w:hAnsi="Arial" w:cs="Arial"/>
          <w:sz w:val="22"/>
          <w:szCs w:val="22"/>
          <w:lang w:val="en-US" w:eastAsia="en-US"/>
        </w:rPr>
      </w:pPr>
      <w:r w:rsidRPr="00B37760">
        <w:rPr>
          <w:rFonts w:ascii="Arial" w:hAnsi="Arial" w:cs="Arial"/>
          <w:iCs/>
          <w:sz w:val="22"/>
          <w:szCs w:val="22"/>
        </w:rPr>
        <w:t xml:space="preserve">ii. </w:t>
      </w:r>
      <w:r w:rsidRPr="00B37760">
        <w:rPr>
          <w:rFonts w:ascii="Arial" w:hAnsi="Arial" w:cs="Arial"/>
          <w:iCs/>
          <w:sz w:val="22"/>
          <w:szCs w:val="22"/>
        </w:rPr>
        <w:br/>
        <w:t>Unit of Count – for display use: The term “Physical User” should replace “Human user”</w:t>
      </w:r>
      <w:r w:rsidRPr="00B37760">
        <w:rPr>
          <w:rFonts w:ascii="Arial" w:hAnsi="Arial" w:cs="Arial"/>
          <w:iCs/>
          <w:sz w:val="22"/>
          <w:szCs w:val="22"/>
        </w:rPr>
        <w:br/>
        <w:t xml:space="preserve">Unit of Count – for non-display use: Use “IT application” or “Server-based program” as unit of count, not the number of machines (as sometimes one application is spread over various </w:t>
      </w:r>
      <w:r w:rsidRPr="00B37760">
        <w:rPr>
          <w:rFonts w:ascii="Arial" w:hAnsi="Arial" w:cs="Arial"/>
          <w:iCs/>
          <w:sz w:val="22"/>
          <w:szCs w:val="22"/>
        </w:rPr>
        <w:lastRenderedPageBreak/>
        <w:t>machines or devices</w:t>
      </w:r>
      <w:r w:rsidRPr="00B37760">
        <w:rPr>
          <w:rFonts w:ascii="Arial" w:hAnsi="Arial" w:cs="Arial"/>
          <w:iCs/>
          <w:sz w:val="22"/>
          <w:szCs w:val="22"/>
        </w:rPr>
        <w:br/>
        <w:t xml:space="preserve">viii. Derived Data should mean data created </w:t>
      </w:r>
      <w:proofErr w:type="gramStart"/>
      <w:r w:rsidRPr="00B37760">
        <w:rPr>
          <w:rFonts w:ascii="Arial" w:hAnsi="Arial" w:cs="Arial"/>
          <w:iCs/>
          <w:sz w:val="22"/>
          <w:szCs w:val="22"/>
        </w:rPr>
        <w:t>as a result</w:t>
      </w:r>
      <w:proofErr w:type="gramEnd"/>
      <w:r w:rsidRPr="00B37760">
        <w:rPr>
          <w:rFonts w:ascii="Arial" w:hAnsi="Arial" w:cs="Arial"/>
          <w:iCs/>
          <w:sz w:val="22"/>
          <w:szCs w:val="22"/>
        </w:rPr>
        <w:t xml:space="preserve"> of any algorithmic operation that cannot be reconciled backwards </w:t>
      </w:r>
      <w:proofErr w:type="spellStart"/>
      <w:r w:rsidRPr="00B37760">
        <w:rPr>
          <w:rFonts w:ascii="Arial" w:hAnsi="Arial" w:cs="Arial"/>
          <w:iCs/>
          <w:sz w:val="22"/>
          <w:szCs w:val="22"/>
        </w:rPr>
        <w:t>i.e</w:t>
      </w:r>
      <w:proofErr w:type="spellEnd"/>
      <w:r w:rsidRPr="00B37760">
        <w:rPr>
          <w:rFonts w:ascii="Arial" w:hAnsi="Arial" w:cs="Arial"/>
          <w:iCs/>
          <w:sz w:val="22"/>
          <w:szCs w:val="22"/>
        </w:rPr>
        <w:t xml:space="preserve"> reversely engineered to the original source. </w:t>
      </w:r>
      <w:r w:rsidRPr="00B37760">
        <w:rPr>
          <w:rFonts w:ascii="Arial" w:hAnsi="Arial" w:cs="Arial"/>
          <w:iCs/>
          <w:sz w:val="22"/>
          <w:szCs w:val="22"/>
        </w:rPr>
        <w:br/>
      </w:r>
    </w:p>
    <w:p w14:paraId="060ACA02"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&lt;ESMA_QUESTION_GOMD_18&gt;</w:t>
      </w:r>
    </w:p>
    <w:p w14:paraId="66F45670" w14:textId="77777777" w:rsidR="004777B2" w:rsidRPr="00B37760" w:rsidRDefault="004777B2" w:rsidP="004777B2">
      <w:pPr>
        <w:spacing w:after="160" w:line="259" w:lineRule="auto"/>
        <w:rPr>
          <w:rFonts w:ascii="Arial" w:eastAsia="Calibri" w:hAnsi="Arial" w:cs="Arial"/>
          <w:sz w:val="22"/>
          <w:szCs w:val="22"/>
          <w:lang w:eastAsia="en-US"/>
        </w:rPr>
      </w:pPr>
    </w:p>
    <w:p w14:paraId="46A4EADE"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Q19: Is there any other terminology used in market data policies that would need to be </w:t>
      </w:r>
      <w:proofErr w:type="spellStart"/>
      <w:r w:rsidRPr="00B37760">
        <w:rPr>
          <w:rFonts w:ascii="Arial" w:hAnsi="Arial" w:cs="Arial"/>
          <w:b/>
          <w:sz w:val="22"/>
          <w:szCs w:val="22"/>
          <w:lang w:val="en-US" w:eastAsia="en-US"/>
        </w:rPr>
        <w:t>standardised</w:t>
      </w:r>
      <w:proofErr w:type="spellEnd"/>
      <w:r w:rsidRPr="00B37760">
        <w:rPr>
          <w:rFonts w:ascii="Arial" w:hAnsi="Arial" w:cs="Arial"/>
          <w:b/>
          <w:sz w:val="22"/>
          <w:szCs w:val="22"/>
          <w:lang w:val="en-US" w:eastAsia="en-US"/>
        </w:rPr>
        <w:t>? If yes, please give examples and suggestions of definitions.</w:t>
      </w:r>
    </w:p>
    <w:p w14:paraId="3FD31ADE"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&lt;ESMA_QUESTION_GOMD_19&gt;</w:t>
      </w:r>
    </w:p>
    <w:p w14:paraId="1C43B02D" w14:textId="77777777" w:rsidR="00B37760" w:rsidRDefault="00177265" w:rsidP="004777B2">
      <w:pPr>
        <w:spacing w:after="160" w:line="259" w:lineRule="auto"/>
        <w:rPr>
          <w:rFonts w:ascii="Arial" w:eastAsia="Calibri" w:hAnsi="Arial" w:cs="Arial"/>
          <w:sz w:val="22"/>
          <w:szCs w:val="22"/>
          <w:lang w:eastAsia="en-US"/>
        </w:rPr>
      </w:pPr>
      <w:proofErr w:type="spellStart"/>
      <w:r w:rsidRPr="00B37760">
        <w:rPr>
          <w:rFonts w:ascii="Arial" w:eastAsia="Calibri" w:hAnsi="Arial" w:cs="Arial"/>
          <w:sz w:val="22"/>
          <w:szCs w:val="22"/>
          <w:lang w:eastAsia="en-US"/>
        </w:rPr>
        <w:t>Currenty</w:t>
      </w:r>
      <w:proofErr w:type="spellEnd"/>
      <w:r w:rsidRPr="00B37760">
        <w:rPr>
          <w:rFonts w:ascii="Arial" w:eastAsia="Calibri" w:hAnsi="Arial" w:cs="Arial"/>
          <w:sz w:val="22"/>
          <w:szCs w:val="22"/>
          <w:lang w:eastAsia="en-US"/>
        </w:rPr>
        <w:t xml:space="preserve"> not. </w:t>
      </w:r>
    </w:p>
    <w:p w14:paraId="31375238" w14:textId="7532F95C"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&lt;ESMA_QUESTION_GOMD_19&gt;</w:t>
      </w:r>
    </w:p>
    <w:p w14:paraId="325A06D6" w14:textId="77777777" w:rsidR="004777B2" w:rsidRPr="00B37760" w:rsidRDefault="004777B2" w:rsidP="004777B2">
      <w:pPr>
        <w:spacing w:after="160" w:line="259" w:lineRule="auto"/>
        <w:rPr>
          <w:rFonts w:ascii="Arial" w:eastAsia="Calibri" w:hAnsi="Arial" w:cs="Arial"/>
          <w:sz w:val="22"/>
          <w:szCs w:val="22"/>
          <w:lang w:eastAsia="en-US"/>
        </w:rPr>
      </w:pPr>
    </w:p>
    <w:p w14:paraId="42C50713"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Q20: Do you agree with Guideline 12? If not, please justify.</w:t>
      </w:r>
    </w:p>
    <w:p w14:paraId="1BAD3ABF"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&lt;ESMA_QUESTION_GOMD_20&gt;</w:t>
      </w:r>
    </w:p>
    <w:p w14:paraId="26DC74E3" w14:textId="7D5F2366" w:rsidR="00927BA1" w:rsidRPr="00B37760" w:rsidRDefault="00927BA1" w:rsidP="00927BA1">
      <w:pPr>
        <w:widowControl w:val="0"/>
        <w:autoSpaceDE w:val="0"/>
        <w:autoSpaceDN w:val="0"/>
        <w:adjustRightInd w:val="0"/>
        <w:rPr>
          <w:rFonts w:ascii="Arial" w:hAnsi="Arial" w:cs="Arial"/>
          <w:i/>
          <w:iCs/>
        </w:rPr>
      </w:pPr>
      <w:r w:rsidRPr="00B37760">
        <w:rPr>
          <w:rFonts w:ascii="Arial" w:hAnsi="Arial" w:cs="Arial"/>
          <w:iCs/>
        </w:rPr>
        <w:t xml:space="preserve">In </w:t>
      </w:r>
      <w:proofErr w:type="gramStart"/>
      <w:r w:rsidRPr="00B37760">
        <w:rPr>
          <w:rFonts w:ascii="Arial" w:hAnsi="Arial" w:cs="Arial"/>
          <w:iCs/>
        </w:rPr>
        <w:t>general</w:t>
      </w:r>
      <w:proofErr w:type="gramEnd"/>
      <w:r w:rsidRPr="00B37760">
        <w:rPr>
          <w:rFonts w:ascii="Arial" w:hAnsi="Arial" w:cs="Arial"/>
          <w:iCs/>
        </w:rPr>
        <w:t xml:space="preserve"> yes. Specifically, the transparency given should not only allow to compare providers with each other, but to prevent onerous fee structures by regulatory intervention – e.g. like the SEC in the US has a veto right on fee schedules</w:t>
      </w:r>
      <w:r w:rsidRPr="00B37760">
        <w:rPr>
          <w:rFonts w:ascii="Arial" w:hAnsi="Arial" w:cs="Arial"/>
          <w:i/>
          <w:iCs/>
        </w:rPr>
        <w:t>.</w:t>
      </w:r>
    </w:p>
    <w:p w14:paraId="458DD3E5" w14:textId="727CF830" w:rsidR="00927BA1" w:rsidRPr="00B37760" w:rsidRDefault="00927BA1" w:rsidP="00927BA1">
      <w:pPr>
        <w:spacing w:after="160" w:line="259" w:lineRule="auto"/>
        <w:rPr>
          <w:rFonts w:ascii="Arial" w:eastAsia="Calibri" w:hAnsi="Arial" w:cs="Arial"/>
          <w:sz w:val="22"/>
          <w:szCs w:val="22"/>
          <w:lang w:eastAsia="en-US"/>
        </w:rPr>
      </w:pPr>
    </w:p>
    <w:p w14:paraId="0330C16E"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&lt;ESMA_QUESTION_GOMD_20&gt;</w:t>
      </w:r>
    </w:p>
    <w:p w14:paraId="00795834" w14:textId="77777777" w:rsidR="004777B2" w:rsidRPr="00B37760" w:rsidRDefault="004777B2" w:rsidP="004777B2">
      <w:pPr>
        <w:spacing w:after="160" w:line="259" w:lineRule="auto"/>
        <w:rPr>
          <w:rFonts w:ascii="Arial" w:eastAsia="Calibri" w:hAnsi="Arial" w:cs="Arial"/>
          <w:sz w:val="22"/>
          <w:szCs w:val="22"/>
          <w:lang w:eastAsia="en-US"/>
        </w:rPr>
      </w:pPr>
    </w:p>
    <w:p w14:paraId="4A39820F"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1B3F48A5"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&lt;ESMA_QUESTION_GOMD_21&gt;</w:t>
      </w:r>
    </w:p>
    <w:p w14:paraId="766C982F" w14:textId="0CCB8BCB" w:rsidR="00927BA1" w:rsidRPr="00B37760" w:rsidRDefault="00927BA1" w:rsidP="00927BA1">
      <w:pPr>
        <w:widowControl w:val="0"/>
        <w:autoSpaceDE w:val="0"/>
        <w:autoSpaceDN w:val="0"/>
        <w:adjustRightInd w:val="0"/>
        <w:rPr>
          <w:rFonts w:ascii="Arial" w:hAnsi="Arial" w:cs="Arial"/>
          <w:iCs/>
        </w:rPr>
      </w:pPr>
      <w:r w:rsidRPr="00B37760">
        <w:rPr>
          <w:rFonts w:ascii="Arial" w:hAnsi="Arial" w:cs="Arial"/>
          <w:iCs/>
        </w:rPr>
        <w:t xml:space="preserve">It </w:t>
      </w:r>
      <w:proofErr w:type="gramStart"/>
      <w:r w:rsidRPr="00B37760">
        <w:rPr>
          <w:rFonts w:ascii="Arial" w:hAnsi="Arial" w:cs="Arial"/>
          <w:iCs/>
        </w:rPr>
        <w:t>should be made</w:t>
      </w:r>
      <w:proofErr w:type="gramEnd"/>
      <w:r w:rsidRPr="00B37760">
        <w:rPr>
          <w:rFonts w:ascii="Arial" w:hAnsi="Arial" w:cs="Arial"/>
          <w:iCs/>
        </w:rPr>
        <w:t xml:space="preserve"> transparent which is the ratio of revenues by market data in relation to other revenues (like trading / transaction fees) in order identify if market data revenues are actually subsidizing other businesses of the data provider</w:t>
      </w:r>
      <w:r w:rsidR="00B37760">
        <w:rPr>
          <w:rFonts w:ascii="Arial" w:hAnsi="Arial" w:cs="Arial"/>
          <w:iCs/>
        </w:rPr>
        <w:t xml:space="preserve">. </w:t>
      </w:r>
    </w:p>
    <w:p w14:paraId="3F173A49" w14:textId="77777777" w:rsidR="00927BA1" w:rsidRPr="00B37760" w:rsidRDefault="00927BA1" w:rsidP="00927BA1">
      <w:pPr>
        <w:widowControl w:val="0"/>
        <w:autoSpaceDE w:val="0"/>
        <w:autoSpaceDN w:val="0"/>
        <w:adjustRightInd w:val="0"/>
        <w:rPr>
          <w:rFonts w:ascii="Arial" w:hAnsi="Arial" w:cs="Arial"/>
        </w:rPr>
      </w:pPr>
    </w:p>
    <w:p w14:paraId="5D951AB1"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&lt;ESMA_QUESTION_GOMD_21&gt;</w:t>
      </w:r>
    </w:p>
    <w:p w14:paraId="3C2DED1D" w14:textId="77777777" w:rsidR="004777B2" w:rsidRPr="00B37760" w:rsidRDefault="004777B2" w:rsidP="004777B2">
      <w:pPr>
        <w:spacing w:after="160" w:line="259" w:lineRule="auto"/>
        <w:rPr>
          <w:rFonts w:ascii="Arial" w:eastAsia="Calibri" w:hAnsi="Arial" w:cs="Arial"/>
          <w:sz w:val="22"/>
          <w:szCs w:val="22"/>
          <w:lang w:eastAsia="en-US"/>
        </w:rPr>
      </w:pPr>
    </w:p>
    <w:p w14:paraId="48EE5231"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Q22: Do you agree with Guideline 13? If not, please justify.</w:t>
      </w:r>
    </w:p>
    <w:p w14:paraId="79D407C6"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&lt;ESMA_QUESTION_GOMD_22&gt;</w:t>
      </w:r>
    </w:p>
    <w:p w14:paraId="1A03907B" w14:textId="1B3E6705" w:rsidR="00927BA1" w:rsidRPr="00B37760" w:rsidRDefault="00927BA1" w:rsidP="00927BA1">
      <w:pPr>
        <w:widowControl w:val="0"/>
        <w:autoSpaceDE w:val="0"/>
        <w:autoSpaceDN w:val="0"/>
        <w:adjustRightInd w:val="0"/>
        <w:rPr>
          <w:rFonts w:ascii="Arial" w:hAnsi="Arial" w:cs="Arial"/>
          <w:iCs/>
          <w:sz w:val="22"/>
          <w:szCs w:val="22"/>
        </w:rPr>
      </w:pPr>
      <w:r w:rsidRPr="00B37760">
        <w:rPr>
          <w:rFonts w:ascii="Arial" w:hAnsi="Arial" w:cs="Arial"/>
          <w:iCs/>
          <w:sz w:val="22"/>
          <w:szCs w:val="22"/>
        </w:rPr>
        <w:t xml:space="preserve">We see such regulation as a step in the right direction, however the current audit practices require additional regulation, e.g. </w:t>
      </w:r>
      <w:r w:rsidRPr="00B37760">
        <w:rPr>
          <w:rFonts w:ascii="Arial" w:hAnsi="Arial" w:cs="Arial"/>
          <w:iCs/>
          <w:sz w:val="22"/>
          <w:szCs w:val="22"/>
        </w:rPr>
        <w:br/>
        <w:t xml:space="preserve">a) whether outsourcing of auditing at the expense of the customer shall be allowed (we suggest not) </w:t>
      </w:r>
      <w:r w:rsidRPr="00B37760">
        <w:rPr>
          <w:rFonts w:ascii="Arial" w:hAnsi="Arial" w:cs="Arial"/>
          <w:iCs/>
          <w:sz w:val="22"/>
          <w:szCs w:val="22"/>
        </w:rPr>
        <w:br/>
        <w:t xml:space="preserve">b) that audits need to follow a transparent and unified schedule (e.g. only every 5 years) </w:t>
      </w:r>
      <w:r w:rsidRPr="00B37760">
        <w:rPr>
          <w:rFonts w:ascii="Arial" w:hAnsi="Arial" w:cs="Arial"/>
          <w:iCs/>
          <w:sz w:val="22"/>
          <w:szCs w:val="22"/>
        </w:rPr>
        <w:br/>
        <w:t xml:space="preserve">c) that physical, on-site inspections are prohibited as this should only be allowed to regulatory or law enforcement bodies </w:t>
      </w:r>
      <w:r w:rsidRPr="00B37760">
        <w:rPr>
          <w:rFonts w:ascii="Arial" w:hAnsi="Arial" w:cs="Arial"/>
          <w:iCs/>
          <w:sz w:val="22"/>
          <w:szCs w:val="22"/>
        </w:rPr>
        <w:br/>
        <w:t>d) that there is a “right of 1</w:t>
      </w:r>
      <w:r w:rsidRPr="00B37760">
        <w:rPr>
          <w:rFonts w:ascii="Arial" w:hAnsi="Arial" w:cs="Arial"/>
          <w:iCs/>
          <w:sz w:val="22"/>
          <w:szCs w:val="22"/>
          <w:vertAlign w:val="superscript"/>
        </w:rPr>
        <w:t>st</w:t>
      </w:r>
      <w:r w:rsidRPr="00B37760">
        <w:rPr>
          <w:rFonts w:ascii="Arial" w:hAnsi="Arial" w:cs="Arial"/>
          <w:iCs/>
          <w:sz w:val="22"/>
          <w:szCs w:val="22"/>
        </w:rPr>
        <w:t xml:space="preserve"> refusal” when an audit is announced and that the timeframe between announcement and execution of the audit shall not be smaller than 3 months </w:t>
      </w:r>
      <w:r w:rsidRPr="00B37760">
        <w:rPr>
          <w:rFonts w:ascii="Arial" w:hAnsi="Arial" w:cs="Arial"/>
          <w:iCs/>
          <w:sz w:val="22"/>
          <w:szCs w:val="22"/>
        </w:rPr>
        <w:br/>
        <w:t xml:space="preserve">e) that proactive “self-audits” or “soft audits” as part of the declaration obligation may not lead </w:t>
      </w:r>
      <w:r w:rsidRPr="00B37760">
        <w:rPr>
          <w:rFonts w:ascii="Arial" w:hAnsi="Arial" w:cs="Arial"/>
          <w:iCs/>
          <w:sz w:val="22"/>
          <w:szCs w:val="22"/>
        </w:rPr>
        <w:lastRenderedPageBreak/>
        <w:t>to economic impact but just have “educational” meaning</w:t>
      </w:r>
      <w:r w:rsidRPr="00B37760">
        <w:rPr>
          <w:rFonts w:ascii="Arial" w:hAnsi="Arial" w:cs="Arial"/>
          <w:iCs/>
          <w:sz w:val="22"/>
          <w:szCs w:val="22"/>
        </w:rPr>
        <w:br/>
        <w:t>f) that the amount of audit revenues is made transparent as a total in comparison to other market data fees, to support that audits are not a substantial part of revenue generation and follow more an education and feedback principle</w:t>
      </w:r>
    </w:p>
    <w:p w14:paraId="15CA81F9" w14:textId="77777777" w:rsidR="00927BA1" w:rsidRPr="00B37760" w:rsidRDefault="00927BA1" w:rsidP="00927BA1">
      <w:pPr>
        <w:widowControl w:val="0"/>
        <w:autoSpaceDE w:val="0"/>
        <w:autoSpaceDN w:val="0"/>
        <w:adjustRightInd w:val="0"/>
        <w:rPr>
          <w:rFonts w:ascii="Arial" w:hAnsi="Arial" w:cs="Arial"/>
          <w:i/>
          <w:iCs/>
        </w:rPr>
      </w:pPr>
    </w:p>
    <w:p w14:paraId="14E8E548" w14:textId="77777777" w:rsidR="00927BA1" w:rsidRPr="00B37760" w:rsidRDefault="00927BA1" w:rsidP="00927BA1">
      <w:pPr>
        <w:widowControl w:val="0"/>
        <w:autoSpaceDE w:val="0"/>
        <w:autoSpaceDN w:val="0"/>
        <w:adjustRightInd w:val="0"/>
        <w:rPr>
          <w:rFonts w:ascii="Arial" w:hAnsi="Arial" w:cs="Arial"/>
          <w:iCs/>
          <w:sz w:val="22"/>
          <w:szCs w:val="22"/>
        </w:rPr>
      </w:pPr>
      <w:proofErr w:type="gramStart"/>
      <w:r w:rsidRPr="00B37760">
        <w:rPr>
          <w:rFonts w:ascii="Arial" w:hAnsi="Arial" w:cs="Arial"/>
          <w:iCs/>
          <w:sz w:val="22"/>
          <w:szCs w:val="22"/>
        </w:rPr>
        <w:t>Overall</w:t>
      </w:r>
      <w:proofErr w:type="gramEnd"/>
      <w:r w:rsidRPr="00B37760">
        <w:rPr>
          <w:rFonts w:ascii="Arial" w:hAnsi="Arial" w:cs="Arial"/>
          <w:iCs/>
          <w:sz w:val="22"/>
          <w:szCs w:val="22"/>
        </w:rPr>
        <w:t xml:space="preserve"> as food for thought it should be evaluated whether instead of detailed inspections on the reported figures of the past should be replaced with an explanatory approach of the client’s processes – i.e. the client is demonstrating by documentation that his internal procedures and controls are suited to report correct figures. </w:t>
      </w:r>
      <w:proofErr w:type="gramStart"/>
      <w:r w:rsidRPr="00B37760">
        <w:rPr>
          <w:rFonts w:ascii="Arial" w:hAnsi="Arial" w:cs="Arial"/>
          <w:iCs/>
          <w:sz w:val="22"/>
          <w:szCs w:val="22"/>
        </w:rPr>
        <w:t>So</w:t>
      </w:r>
      <w:proofErr w:type="gramEnd"/>
      <w:r w:rsidRPr="00B37760">
        <w:rPr>
          <w:rFonts w:ascii="Arial" w:hAnsi="Arial" w:cs="Arial"/>
          <w:iCs/>
          <w:sz w:val="22"/>
          <w:szCs w:val="22"/>
        </w:rPr>
        <w:t xml:space="preserve"> audits may be reduced to mere sample checks.</w:t>
      </w:r>
    </w:p>
    <w:p w14:paraId="6B3285B6" w14:textId="28029930" w:rsidR="00927BA1" w:rsidRPr="00B37760" w:rsidRDefault="00927BA1" w:rsidP="004777B2">
      <w:pPr>
        <w:spacing w:after="160" w:line="259" w:lineRule="auto"/>
        <w:rPr>
          <w:rFonts w:ascii="Arial" w:eastAsia="Calibri" w:hAnsi="Arial" w:cs="Arial"/>
          <w:sz w:val="22"/>
          <w:szCs w:val="22"/>
          <w:lang w:val="en-US" w:eastAsia="en-US"/>
        </w:rPr>
      </w:pPr>
    </w:p>
    <w:p w14:paraId="39F836ED"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&lt;ESMA_QUESTION_GOMD_22&gt;</w:t>
      </w:r>
    </w:p>
    <w:p w14:paraId="026006A8" w14:textId="77777777" w:rsidR="004777B2" w:rsidRPr="00B37760" w:rsidRDefault="004777B2" w:rsidP="004777B2">
      <w:pPr>
        <w:spacing w:after="160" w:line="259" w:lineRule="auto"/>
        <w:rPr>
          <w:rFonts w:ascii="Arial" w:eastAsia="Calibri" w:hAnsi="Arial" w:cs="Arial"/>
          <w:sz w:val="22"/>
          <w:szCs w:val="22"/>
          <w:lang w:val="en-US" w:eastAsia="en-US"/>
        </w:rPr>
      </w:pPr>
    </w:p>
    <w:p w14:paraId="38EC055E"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5196B2AE" w14:textId="77777777" w:rsidR="004777B2" w:rsidRPr="00B37760" w:rsidRDefault="004777B2"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val="en-US" w:eastAsia="en-US"/>
        </w:rPr>
        <w:t>&lt;ESMA_QUESTION_GOMD_23&gt;</w:t>
      </w:r>
    </w:p>
    <w:p w14:paraId="43F743E9" w14:textId="01F09878" w:rsidR="00927BA1" w:rsidRPr="00B37760" w:rsidRDefault="00927BA1" w:rsidP="00927BA1">
      <w:pPr>
        <w:autoSpaceDE w:val="0"/>
        <w:autoSpaceDN w:val="0"/>
        <w:adjustRightInd w:val="0"/>
        <w:rPr>
          <w:rFonts w:ascii="Arial" w:hAnsi="Arial" w:cs="Arial"/>
          <w:bCs/>
          <w:iCs/>
          <w:color w:val="000000"/>
          <w:sz w:val="22"/>
          <w:szCs w:val="22"/>
        </w:rPr>
      </w:pPr>
      <w:r w:rsidRPr="00B37760">
        <w:rPr>
          <w:rFonts w:ascii="Arial" w:hAnsi="Arial" w:cs="Arial"/>
          <w:bCs/>
          <w:iCs/>
          <w:color w:val="000000"/>
          <w:sz w:val="22"/>
          <w:szCs w:val="22"/>
        </w:rPr>
        <w:t xml:space="preserve">Best bid / offer are sufficient for pre-/post trade transparency as long as the connected size is in line with the minimum size requirements for firm quotes. </w:t>
      </w:r>
    </w:p>
    <w:p w14:paraId="7FF52213" w14:textId="77777777" w:rsidR="00927BA1" w:rsidRPr="00B37760" w:rsidRDefault="00927BA1" w:rsidP="00927BA1">
      <w:pPr>
        <w:autoSpaceDE w:val="0"/>
        <w:autoSpaceDN w:val="0"/>
        <w:adjustRightInd w:val="0"/>
        <w:rPr>
          <w:rFonts w:ascii="Arial" w:hAnsi="Arial" w:cs="Arial"/>
          <w:bCs/>
          <w:iCs/>
          <w:color w:val="000000"/>
          <w:sz w:val="22"/>
          <w:szCs w:val="22"/>
        </w:rPr>
      </w:pPr>
      <w:r w:rsidRPr="00B37760">
        <w:rPr>
          <w:rFonts w:ascii="Arial" w:hAnsi="Arial" w:cs="Arial"/>
          <w:bCs/>
          <w:iCs/>
          <w:color w:val="000000"/>
          <w:sz w:val="22"/>
          <w:szCs w:val="22"/>
        </w:rPr>
        <w:t xml:space="preserve">Important is that pre/post trade transparency is also clean. There is no benefit that post trade transparency on shares is required for </w:t>
      </w:r>
      <w:proofErr w:type="gramStart"/>
      <w:r w:rsidRPr="00B37760">
        <w:rPr>
          <w:rFonts w:ascii="Arial" w:hAnsi="Arial" w:cs="Arial"/>
          <w:bCs/>
          <w:iCs/>
          <w:color w:val="000000"/>
          <w:sz w:val="22"/>
          <w:szCs w:val="22"/>
        </w:rPr>
        <w:t>transactions which</w:t>
      </w:r>
      <w:proofErr w:type="gramEnd"/>
      <w:r w:rsidRPr="00B37760">
        <w:rPr>
          <w:rFonts w:ascii="Arial" w:hAnsi="Arial" w:cs="Arial"/>
          <w:bCs/>
          <w:iCs/>
          <w:color w:val="000000"/>
          <w:sz w:val="22"/>
          <w:szCs w:val="22"/>
        </w:rPr>
        <w:t xml:space="preserve"> do not contribute to the price transparency (e.g. derivative package transactions where the share hedge is executed at a fixed price rather than market price).</w:t>
      </w:r>
    </w:p>
    <w:p w14:paraId="7A292A56" w14:textId="77777777" w:rsidR="00927BA1" w:rsidRPr="00B37760" w:rsidRDefault="00927BA1" w:rsidP="00927BA1">
      <w:pPr>
        <w:autoSpaceDE w:val="0"/>
        <w:autoSpaceDN w:val="0"/>
        <w:adjustRightInd w:val="0"/>
        <w:rPr>
          <w:rFonts w:ascii="Arial" w:hAnsi="Arial" w:cs="Arial"/>
          <w:bCs/>
          <w:iCs/>
          <w:color w:val="000000"/>
          <w:sz w:val="22"/>
          <w:szCs w:val="22"/>
        </w:rPr>
      </w:pPr>
      <w:r w:rsidRPr="00B37760">
        <w:rPr>
          <w:rFonts w:ascii="Arial" w:hAnsi="Arial" w:cs="Arial"/>
          <w:bCs/>
          <w:iCs/>
          <w:color w:val="000000"/>
          <w:sz w:val="22"/>
          <w:szCs w:val="22"/>
        </w:rPr>
        <w:t xml:space="preserve">In </w:t>
      </w:r>
      <w:proofErr w:type="gramStart"/>
      <w:r w:rsidRPr="00B37760">
        <w:rPr>
          <w:rFonts w:ascii="Arial" w:hAnsi="Arial" w:cs="Arial"/>
          <w:bCs/>
          <w:iCs/>
          <w:color w:val="000000"/>
          <w:sz w:val="22"/>
          <w:szCs w:val="22"/>
        </w:rPr>
        <w:t>practice</w:t>
      </w:r>
      <w:proofErr w:type="gramEnd"/>
      <w:r w:rsidRPr="00B37760">
        <w:rPr>
          <w:rFonts w:ascii="Arial" w:hAnsi="Arial" w:cs="Arial"/>
          <w:bCs/>
          <w:iCs/>
          <w:color w:val="000000"/>
          <w:sz w:val="22"/>
          <w:szCs w:val="22"/>
        </w:rPr>
        <w:t xml:space="preserve"> this means that for share transactions which do not fall under the trading obligation there should be an exception also for post trade transparency as they do not contribute to market transparency.</w:t>
      </w:r>
    </w:p>
    <w:p w14:paraId="184A13C4" w14:textId="34BAACAE" w:rsidR="00927BA1" w:rsidRPr="00B37760" w:rsidRDefault="00927BA1" w:rsidP="00927BA1">
      <w:pPr>
        <w:autoSpaceDE w:val="0"/>
        <w:autoSpaceDN w:val="0"/>
        <w:adjustRightInd w:val="0"/>
        <w:rPr>
          <w:rFonts w:ascii="Arial" w:hAnsi="Arial" w:cs="Arial"/>
          <w:b/>
          <w:bCs/>
          <w:iCs/>
          <w:color w:val="000000"/>
          <w:sz w:val="22"/>
          <w:szCs w:val="22"/>
        </w:rPr>
      </w:pPr>
      <w:r w:rsidRPr="00B37760">
        <w:rPr>
          <w:rFonts w:ascii="Arial" w:hAnsi="Arial" w:cs="Arial"/>
          <w:bCs/>
          <w:iCs/>
          <w:color w:val="000000"/>
          <w:sz w:val="22"/>
          <w:szCs w:val="22"/>
        </w:rPr>
        <w:t>The cleaner the data (e.g. only considering levels which contribute to market price transparency), the less flags are needed. Obviously</w:t>
      </w:r>
      <w:r w:rsidR="00DC6CF9" w:rsidRPr="00B37760">
        <w:rPr>
          <w:rFonts w:ascii="Arial" w:hAnsi="Arial" w:cs="Arial"/>
          <w:bCs/>
          <w:iCs/>
          <w:color w:val="000000"/>
          <w:sz w:val="22"/>
          <w:szCs w:val="22"/>
        </w:rPr>
        <w:t>,</w:t>
      </w:r>
      <w:r w:rsidRPr="00B37760">
        <w:rPr>
          <w:rFonts w:ascii="Arial" w:hAnsi="Arial" w:cs="Arial"/>
          <w:bCs/>
          <w:iCs/>
          <w:color w:val="000000"/>
          <w:sz w:val="22"/>
          <w:szCs w:val="22"/>
        </w:rPr>
        <w:t xml:space="preserve"> flags become very important if this is not the case</w:t>
      </w:r>
      <w:r w:rsidR="00DC6CF9" w:rsidRPr="00B37760">
        <w:rPr>
          <w:rFonts w:ascii="Arial" w:hAnsi="Arial" w:cs="Arial"/>
          <w:bCs/>
          <w:iCs/>
          <w:color w:val="000000"/>
          <w:sz w:val="22"/>
          <w:szCs w:val="22"/>
        </w:rPr>
        <w:t>.</w:t>
      </w:r>
    </w:p>
    <w:p w14:paraId="2D9AFFF7" w14:textId="6CE4F6AE" w:rsidR="00927BA1" w:rsidRPr="00B37760" w:rsidRDefault="00927BA1" w:rsidP="004777B2">
      <w:pPr>
        <w:spacing w:after="160" w:line="259" w:lineRule="auto"/>
        <w:rPr>
          <w:rFonts w:ascii="Arial" w:eastAsia="Calibri" w:hAnsi="Arial" w:cs="Arial"/>
          <w:i/>
          <w:iCs/>
          <w:sz w:val="22"/>
          <w:szCs w:val="22"/>
          <w:lang w:val="en-US" w:eastAsia="en-US"/>
        </w:rPr>
      </w:pPr>
    </w:p>
    <w:p w14:paraId="5C5953B2"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&lt;ESMA_QUESTION_GOMD_23&gt;</w:t>
      </w:r>
    </w:p>
    <w:p w14:paraId="69ECCE3F" w14:textId="77777777" w:rsidR="004777B2" w:rsidRPr="00B37760" w:rsidRDefault="004777B2" w:rsidP="004777B2">
      <w:pPr>
        <w:spacing w:after="160" w:line="259" w:lineRule="auto"/>
        <w:rPr>
          <w:rFonts w:ascii="Arial" w:eastAsia="Calibri" w:hAnsi="Arial" w:cs="Arial"/>
          <w:sz w:val="22"/>
          <w:szCs w:val="22"/>
          <w:lang w:eastAsia="en-US"/>
        </w:rPr>
      </w:pPr>
    </w:p>
    <w:p w14:paraId="3CB12705"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7332C660"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&lt;ESMA_QUESTION_GOMD_24&gt;</w:t>
      </w:r>
    </w:p>
    <w:p w14:paraId="192743A5" w14:textId="76AA7BF5" w:rsidR="0087627A" w:rsidRPr="00B37760" w:rsidRDefault="0087627A" w:rsidP="0087627A">
      <w:pPr>
        <w:autoSpaceDE w:val="0"/>
        <w:autoSpaceDN w:val="0"/>
        <w:adjustRightInd w:val="0"/>
        <w:rPr>
          <w:rFonts w:ascii="Arial" w:hAnsi="Arial" w:cs="Arial"/>
          <w:bCs/>
          <w:iCs/>
          <w:color w:val="000000"/>
        </w:rPr>
      </w:pPr>
      <w:r w:rsidRPr="00B37760">
        <w:rPr>
          <w:rFonts w:ascii="Arial" w:hAnsi="Arial" w:cs="Arial"/>
          <w:bCs/>
          <w:iCs/>
          <w:color w:val="000000"/>
        </w:rPr>
        <w:t xml:space="preserve">Real-time data </w:t>
      </w:r>
      <w:proofErr w:type="gramStart"/>
      <w:r w:rsidRPr="00B37760">
        <w:rPr>
          <w:rFonts w:ascii="Arial" w:hAnsi="Arial" w:cs="Arial"/>
          <w:bCs/>
          <w:iCs/>
          <w:color w:val="000000"/>
        </w:rPr>
        <w:t>is considered</w:t>
      </w:r>
      <w:proofErr w:type="gramEnd"/>
      <w:r w:rsidRPr="00B37760">
        <w:rPr>
          <w:rFonts w:ascii="Arial" w:hAnsi="Arial" w:cs="Arial"/>
          <w:bCs/>
          <w:iCs/>
          <w:color w:val="000000"/>
        </w:rPr>
        <w:t xml:space="preserve"> being very valuable information by exchanges and is priced accordingly. Those prices and the risk of arbitrary price increases by data providers prevents certain use-cases. Amongst others, we can think here about providing delayed price information to retail users for the purpose of evaluating their portfolios rather than relying on end of day data.</w:t>
      </w:r>
    </w:p>
    <w:p w14:paraId="6FCDC879" w14:textId="68587A06" w:rsidR="0087627A" w:rsidRPr="00B37760" w:rsidRDefault="0087627A" w:rsidP="0087627A">
      <w:pPr>
        <w:autoSpaceDE w:val="0"/>
        <w:autoSpaceDN w:val="0"/>
        <w:adjustRightInd w:val="0"/>
        <w:rPr>
          <w:rFonts w:ascii="Arial" w:hAnsi="Arial" w:cs="Arial"/>
          <w:bCs/>
          <w:iCs/>
          <w:color w:val="000000"/>
        </w:rPr>
      </w:pPr>
      <w:r w:rsidRPr="00B37760">
        <w:rPr>
          <w:rFonts w:ascii="Arial" w:hAnsi="Arial" w:cs="Arial"/>
          <w:bCs/>
          <w:iCs/>
          <w:color w:val="000000"/>
        </w:rPr>
        <w:t xml:space="preserve">Important is that this post-trade data is protected from any other agreement a data provider might impose, e.g. free right of use </w:t>
      </w:r>
      <w:proofErr w:type="spellStart"/>
      <w:r w:rsidRPr="00B37760">
        <w:rPr>
          <w:rFonts w:ascii="Arial" w:hAnsi="Arial" w:cs="Arial"/>
          <w:bCs/>
          <w:iCs/>
          <w:color w:val="000000"/>
        </w:rPr>
        <w:t>apart</w:t>
      </w:r>
      <w:proofErr w:type="spellEnd"/>
      <w:r w:rsidRPr="00B37760">
        <w:rPr>
          <w:rFonts w:ascii="Arial" w:hAnsi="Arial" w:cs="Arial"/>
          <w:bCs/>
          <w:iCs/>
          <w:color w:val="000000"/>
        </w:rPr>
        <w:t xml:space="preserve"> of the reasonable provision fees by a provider. </w:t>
      </w:r>
      <w:proofErr w:type="gramStart"/>
      <w:r w:rsidRPr="00B37760">
        <w:rPr>
          <w:rFonts w:ascii="Arial" w:hAnsi="Arial" w:cs="Arial"/>
          <w:bCs/>
          <w:iCs/>
          <w:color w:val="000000"/>
        </w:rPr>
        <w:t>We’ve</w:t>
      </w:r>
      <w:proofErr w:type="gramEnd"/>
      <w:r w:rsidRPr="00B37760">
        <w:rPr>
          <w:rFonts w:ascii="Arial" w:hAnsi="Arial" w:cs="Arial"/>
          <w:bCs/>
          <w:iCs/>
          <w:color w:val="000000"/>
        </w:rPr>
        <w:t xml:space="preserve"> seen that market data vendors can be very creative in charging, and this effectively reducing the use-cases for such data.</w:t>
      </w:r>
    </w:p>
    <w:p w14:paraId="5BB16DA9" w14:textId="77777777" w:rsidR="00B37760" w:rsidRDefault="00B37760" w:rsidP="004777B2">
      <w:pPr>
        <w:spacing w:after="160" w:line="259" w:lineRule="auto"/>
        <w:rPr>
          <w:rFonts w:ascii="Arial" w:eastAsia="Calibri" w:hAnsi="Arial" w:cs="Arial"/>
          <w:sz w:val="22"/>
          <w:szCs w:val="22"/>
          <w:lang w:eastAsia="en-US"/>
        </w:rPr>
      </w:pPr>
    </w:p>
    <w:p w14:paraId="2D8C8057" w14:textId="223B657F"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&lt;ESMA_QUESTION_GOMD_24&gt;</w:t>
      </w:r>
    </w:p>
    <w:p w14:paraId="0224677F" w14:textId="77777777" w:rsidR="004777B2" w:rsidRPr="00B37760" w:rsidRDefault="004777B2" w:rsidP="004777B2">
      <w:pPr>
        <w:spacing w:after="160" w:line="259" w:lineRule="auto"/>
        <w:rPr>
          <w:rFonts w:ascii="Arial" w:eastAsia="Calibri" w:hAnsi="Arial" w:cs="Arial"/>
          <w:sz w:val="22"/>
          <w:szCs w:val="22"/>
          <w:lang w:eastAsia="en-US"/>
        </w:rPr>
      </w:pPr>
    </w:p>
    <w:p w14:paraId="49A3171A"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Q25: Do you agree with the definitions of data-distribution and value-added services provided in Guideline 16? Please explain.</w:t>
      </w:r>
    </w:p>
    <w:p w14:paraId="10BA217C"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&lt;ESMA_QUESTION_GOMD_25&gt;</w:t>
      </w:r>
    </w:p>
    <w:p w14:paraId="2CB64433" w14:textId="1328B9E1" w:rsidR="0087627A" w:rsidRPr="00B37760" w:rsidRDefault="0087627A" w:rsidP="0087627A">
      <w:pPr>
        <w:widowControl w:val="0"/>
        <w:autoSpaceDE w:val="0"/>
        <w:autoSpaceDN w:val="0"/>
        <w:adjustRightInd w:val="0"/>
        <w:rPr>
          <w:rFonts w:ascii="Arial" w:hAnsi="Arial" w:cs="Arial"/>
          <w:iCs/>
          <w:sz w:val="22"/>
          <w:szCs w:val="22"/>
        </w:rPr>
      </w:pPr>
      <w:r w:rsidRPr="00B37760">
        <w:rPr>
          <w:rFonts w:ascii="Arial" w:hAnsi="Arial" w:cs="Arial"/>
          <w:iCs/>
          <w:sz w:val="22"/>
          <w:szCs w:val="22"/>
        </w:rPr>
        <w:t>We agree with ESMA’s suggestions to limit the definition of “value-added services” to those activities where a product is created on a basis of delayed data is sold for a fee.</w:t>
      </w:r>
    </w:p>
    <w:p w14:paraId="4FA33EC7" w14:textId="06EAD336" w:rsidR="004777B2" w:rsidRPr="00B37760" w:rsidRDefault="0087627A" w:rsidP="00B37760">
      <w:pPr>
        <w:widowControl w:val="0"/>
        <w:autoSpaceDE w:val="0"/>
        <w:autoSpaceDN w:val="0"/>
        <w:adjustRightInd w:val="0"/>
        <w:rPr>
          <w:rFonts w:ascii="Arial" w:eastAsia="Calibri" w:hAnsi="Arial" w:cs="Arial"/>
          <w:sz w:val="22"/>
          <w:szCs w:val="22"/>
          <w:lang w:eastAsia="en-US"/>
        </w:rPr>
      </w:pPr>
      <w:r w:rsidRPr="00B37760">
        <w:rPr>
          <w:rFonts w:ascii="Arial" w:hAnsi="Arial" w:cs="Arial"/>
          <w:iCs/>
          <w:sz w:val="22"/>
          <w:szCs w:val="22"/>
        </w:rPr>
        <w:t xml:space="preserve">Internal usage of any data for e.g. portfolio valuation that does not lead to </w:t>
      </w:r>
      <w:proofErr w:type="gramStart"/>
      <w:r w:rsidRPr="00B37760">
        <w:rPr>
          <w:rFonts w:ascii="Arial" w:hAnsi="Arial" w:cs="Arial"/>
          <w:iCs/>
          <w:sz w:val="22"/>
          <w:szCs w:val="22"/>
        </w:rPr>
        <w:t>Display,</w:t>
      </w:r>
      <w:proofErr w:type="gramEnd"/>
      <w:r w:rsidRPr="00B37760">
        <w:rPr>
          <w:rFonts w:ascii="Arial" w:hAnsi="Arial" w:cs="Arial"/>
          <w:iCs/>
          <w:sz w:val="22"/>
          <w:szCs w:val="22"/>
        </w:rPr>
        <w:t xml:space="preserve"> should not be regarded as re-distribution.</w:t>
      </w:r>
      <w:r w:rsidRPr="00B37760">
        <w:rPr>
          <w:rFonts w:ascii="Arial" w:hAnsi="Arial" w:cs="Arial"/>
          <w:i/>
          <w:iCs/>
        </w:rPr>
        <w:br/>
      </w:r>
    </w:p>
    <w:p w14:paraId="44AC42FE"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&lt;ESMA_QUESTION_GOMD_25&gt;</w:t>
      </w:r>
    </w:p>
    <w:p w14:paraId="1F92D6ED" w14:textId="77777777" w:rsidR="004777B2" w:rsidRPr="00B37760" w:rsidRDefault="004777B2" w:rsidP="004777B2">
      <w:pPr>
        <w:spacing w:after="160" w:line="259" w:lineRule="auto"/>
        <w:rPr>
          <w:rFonts w:ascii="Arial" w:eastAsia="Calibri" w:hAnsi="Arial" w:cs="Arial"/>
          <w:sz w:val="22"/>
          <w:szCs w:val="22"/>
          <w:lang w:eastAsia="en-US"/>
        </w:rPr>
      </w:pPr>
    </w:p>
    <w:p w14:paraId="5F4C14F7"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Q26: Do you have any further comment or suggestion on the draft Guidelines? Please explain. </w:t>
      </w:r>
    </w:p>
    <w:p w14:paraId="04CD43E4"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&lt;ESMA_QUESTION_GOMD_26&gt;</w:t>
      </w:r>
    </w:p>
    <w:p w14:paraId="12DC6B18" w14:textId="1C6F9AF6" w:rsidR="0087627A" w:rsidRPr="00B37760" w:rsidRDefault="00926C0B" w:rsidP="004777B2">
      <w:pPr>
        <w:spacing w:after="160" w:line="259" w:lineRule="auto"/>
        <w:rPr>
          <w:rFonts w:ascii="Arial" w:eastAsia="Calibri" w:hAnsi="Arial" w:cs="Arial"/>
          <w:sz w:val="22"/>
          <w:szCs w:val="22"/>
          <w:lang w:val="en-US" w:eastAsia="en-US"/>
        </w:rPr>
      </w:pPr>
      <w:r w:rsidRPr="00B37760">
        <w:rPr>
          <w:rFonts w:ascii="Arial" w:eastAsia="Calibri" w:hAnsi="Arial" w:cs="Arial"/>
          <w:sz w:val="22"/>
          <w:szCs w:val="22"/>
          <w:lang w:eastAsia="en-US"/>
        </w:rPr>
        <w:t xml:space="preserve">Currently not. </w:t>
      </w:r>
      <w:r w:rsidR="008766EF" w:rsidRPr="00B37760">
        <w:rPr>
          <w:rFonts w:ascii="Arial" w:eastAsia="Calibri" w:hAnsi="Arial" w:cs="Arial"/>
          <w:sz w:val="22"/>
          <w:szCs w:val="22"/>
          <w:lang w:eastAsia="en-US"/>
        </w:rPr>
        <w:t>It remains to be seen, whether the</w:t>
      </w:r>
      <w:r w:rsidRPr="00B37760">
        <w:rPr>
          <w:rFonts w:ascii="Arial" w:eastAsia="Calibri" w:hAnsi="Arial" w:cs="Arial"/>
          <w:sz w:val="22"/>
          <w:szCs w:val="22"/>
          <w:lang w:val="en-US" w:eastAsia="en-US"/>
        </w:rPr>
        <w:t xml:space="preserve"> </w:t>
      </w:r>
      <w:r w:rsidR="008766EF" w:rsidRPr="00B37760">
        <w:rPr>
          <w:rFonts w:ascii="Arial" w:eastAsia="Calibri" w:hAnsi="Arial" w:cs="Arial"/>
          <w:sz w:val="22"/>
          <w:szCs w:val="22"/>
          <w:lang w:val="en-US" w:eastAsia="en-US"/>
        </w:rPr>
        <w:t>“</w:t>
      </w:r>
      <w:r w:rsidRPr="00B37760">
        <w:rPr>
          <w:rFonts w:ascii="Arial" w:eastAsia="Calibri" w:hAnsi="Arial" w:cs="Arial"/>
          <w:sz w:val="22"/>
          <w:szCs w:val="22"/>
          <w:lang w:val="en-US" w:eastAsia="en-US"/>
        </w:rPr>
        <w:t>value added service</w:t>
      </w:r>
      <w:r w:rsidR="008766EF" w:rsidRPr="00B37760">
        <w:rPr>
          <w:rFonts w:ascii="Arial" w:eastAsia="Calibri" w:hAnsi="Arial" w:cs="Arial"/>
          <w:sz w:val="22"/>
          <w:szCs w:val="22"/>
          <w:lang w:val="en-US" w:eastAsia="en-US"/>
        </w:rPr>
        <w:t>”</w:t>
      </w:r>
      <w:r w:rsidRPr="00B37760">
        <w:rPr>
          <w:rFonts w:ascii="Arial" w:eastAsia="Calibri" w:hAnsi="Arial" w:cs="Arial"/>
          <w:sz w:val="22"/>
          <w:szCs w:val="22"/>
          <w:lang w:val="en-US" w:eastAsia="en-US"/>
        </w:rPr>
        <w:t xml:space="preserve"> </w:t>
      </w:r>
      <w:r w:rsidR="007E7C7E" w:rsidRPr="00B37760">
        <w:rPr>
          <w:rFonts w:ascii="Arial" w:eastAsia="Calibri" w:hAnsi="Arial" w:cs="Arial"/>
          <w:sz w:val="22"/>
          <w:szCs w:val="22"/>
          <w:lang w:val="en-US" w:eastAsia="en-US"/>
        </w:rPr>
        <w:t xml:space="preserve">(Guideline 16) </w:t>
      </w:r>
      <w:r w:rsidR="008766EF" w:rsidRPr="00B37760">
        <w:rPr>
          <w:rFonts w:ascii="Arial" w:eastAsia="Calibri" w:hAnsi="Arial" w:cs="Arial"/>
          <w:sz w:val="22"/>
          <w:szCs w:val="22"/>
          <w:lang w:val="en-US" w:eastAsia="en-US"/>
        </w:rPr>
        <w:t>will serve as a loophole</w:t>
      </w:r>
      <w:r w:rsidRPr="00B37760">
        <w:rPr>
          <w:rFonts w:ascii="Arial" w:eastAsia="Calibri" w:hAnsi="Arial" w:cs="Arial"/>
          <w:sz w:val="22"/>
          <w:szCs w:val="22"/>
          <w:lang w:val="en-US" w:eastAsia="en-US"/>
        </w:rPr>
        <w:t>.</w:t>
      </w:r>
    </w:p>
    <w:p w14:paraId="3C94246E"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&lt;ESMA_QUESTION_GOMD_26&gt;</w:t>
      </w:r>
    </w:p>
    <w:p w14:paraId="1A467052" w14:textId="77777777" w:rsidR="004777B2" w:rsidRPr="00B37760" w:rsidRDefault="004777B2" w:rsidP="004777B2">
      <w:pPr>
        <w:spacing w:after="160" w:line="259" w:lineRule="auto"/>
        <w:rPr>
          <w:rFonts w:ascii="Arial" w:eastAsia="Calibri" w:hAnsi="Arial" w:cs="Arial"/>
          <w:sz w:val="22"/>
          <w:szCs w:val="22"/>
          <w:lang w:eastAsia="en-US"/>
        </w:rPr>
      </w:pPr>
    </w:p>
    <w:p w14:paraId="1B4FC3E5" w14:textId="77777777" w:rsidR="004777B2" w:rsidRPr="00B37760" w:rsidRDefault="004777B2" w:rsidP="004777B2">
      <w:pPr>
        <w:spacing w:after="250" w:line="276" w:lineRule="auto"/>
        <w:ind w:left="720" w:hanging="360"/>
        <w:contextualSpacing/>
        <w:jc w:val="both"/>
        <w:rPr>
          <w:rFonts w:ascii="Arial" w:hAnsi="Arial" w:cs="Arial"/>
          <w:b/>
          <w:sz w:val="22"/>
          <w:szCs w:val="22"/>
          <w:lang w:val="en-US" w:eastAsia="en-US"/>
        </w:rPr>
      </w:pPr>
      <w:r w:rsidRPr="00B37760">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w:t>
      </w:r>
      <w:proofErr w:type="spellStart"/>
      <w:r w:rsidRPr="00B37760">
        <w:rPr>
          <w:rFonts w:ascii="Arial" w:hAnsi="Arial" w:cs="Arial"/>
          <w:b/>
          <w:sz w:val="22"/>
          <w:szCs w:val="22"/>
          <w:lang w:val="en-US" w:eastAsia="en-US"/>
        </w:rPr>
        <w:t>organisation</w:t>
      </w:r>
      <w:proofErr w:type="spellEnd"/>
      <w:r w:rsidRPr="00B37760">
        <w:rPr>
          <w:rFonts w:ascii="Arial" w:hAnsi="Arial" w:cs="Arial"/>
          <w:b/>
          <w:sz w:val="22"/>
          <w:szCs w:val="22"/>
          <w:lang w:val="en-US" w:eastAsia="en-US"/>
        </w:rPr>
        <w:t xml:space="preserve">, where relevant. </w:t>
      </w:r>
    </w:p>
    <w:p w14:paraId="5E1AF451"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&lt;ESMA_QUESTION_GOMD_27&gt;</w:t>
      </w:r>
    </w:p>
    <w:p w14:paraId="137626D5" w14:textId="01EF7513" w:rsidR="0087627A" w:rsidRPr="00B37760" w:rsidRDefault="0087627A" w:rsidP="0087627A">
      <w:pPr>
        <w:widowControl w:val="0"/>
        <w:autoSpaceDE w:val="0"/>
        <w:autoSpaceDN w:val="0"/>
        <w:adjustRightInd w:val="0"/>
        <w:rPr>
          <w:rFonts w:ascii="Arial" w:hAnsi="Arial" w:cs="Arial"/>
          <w:iCs/>
          <w:sz w:val="22"/>
          <w:szCs w:val="22"/>
        </w:rPr>
      </w:pPr>
      <w:r w:rsidRPr="00B37760">
        <w:rPr>
          <w:rFonts w:ascii="Arial" w:hAnsi="Arial" w:cs="Arial"/>
          <w:iCs/>
          <w:sz w:val="22"/>
          <w:szCs w:val="22"/>
        </w:rPr>
        <w:t xml:space="preserve">Driven by the tight timeline we have not been able to run a deeper evaluation on this question. In </w:t>
      </w:r>
      <w:proofErr w:type="gramStart"/>
      <w:r w:rsidRPr="00B37760">
        <w:rPr>
          <w:rFonts w:ascii="Arial" w:hAnsi="Arial" w:cs="Arial"/>
          <w:iCs/>
          <w:sz w:val="22"/>
          <w:szCs w:val="22"/>
        </w:rPr>
        <w:t>general</w:t>
      </w:r>
      <w:proofErr w:type="gramEnd"/>
      <w:r w:rsidRPr="00B37760">
        <w:rPr>
          <w:rFonts w:ascii="Arial" w:hAnsi="Arial" w:cs="Arial"/>
          <w:iCs/>
          <w:sz w:val="22"/>
          <w:szCs w:val="22"/>
        </w:rPr>
        <w:t xml:space="preserve"> we see by the implementation of the guidelines that market data administration on our side would gain efficiency.</w:t>
      </w:r>
    </w:p>
    <w:p w14:paraId="53B31B4B" w14:textId="36BC8369" w:rsidR="0087627A" w:rsidRPr="00B37760" w:rsidRDefault="0087627A" w:rsidP="004777B2">
      <w:pPr>
        <w:spacing w:after="160" w:line="259" w:lineRule="auto"/>
        <w:rPr>
          <w:rFonts w:ascii="Arial" w:eastAsia="Calibri" w:hAnsi="Arial" w:cs="Arial"/>
          <w:i/>
          <w:iCs/>
          <w:sz w:val="22"/>
          <w:szCs w:val="22"/>
          <w:lang w:val="en-US" w:eastAsia="en-US"/>
        </w:rPr>
      </w:pPr>
    </w:p>
    <w:p w14:paraId="012B5B2B" w14:textId="77777777" w:rsidR="004777B2" w:rsidRPr="00B37760" w:rsidRDefault="004777B2" w:rsidP="004777B2">
      <w:pPr>
        <w:spacing w:after="160" w:line="259" w:lineRule="auto"/>
        <w:rPr>
          <w:rFonts w:ascii="Arial" w:eastAsia="Calibri" w:hAnsi="Arial" w:cs="Arial"/>
          <w:sz w:val="22"/>
          <w:szCs w:val="22"/>
          <w:lang w:eastAsia="en-US"/>
        </w:rPr>
      </w:pPr>
      <w:r w:rsidRPr="00B37760">
        <w:rPr>
          <w:rFonts w:ascii="Arial" w:eastAsia="Calibri" w:hAnsi="Arial" w:cs="Arial"/>
          <w:sz w:val="22"/>
          <w:szCs w:val="22"/>
          <w:lang w:eastAsia="en-US"/>
        </w:rPr>
        <w:t>&lt;ESMA_QUESTION_GOMD_27&gt;</w:t>
      </w:r>
      <w:bookmarkEnd w:id="2"/>
    </w:p>
    <w:p w14:paraId="775530A6" w14:textId="77777777" w:rsidR="003850E6" w:rsidRDefault="003850E6"/>
    <w:sectPr w:rsidR="003850E6" w:rsidSect="002435F9">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67514" w14:textId="77777777" w:rsidR="00917B55" w:rsidRDefault="00917B55">
      <w:r>
        <w:separator/>
      </w:r>
    </w:p>
  </w:endnote>
  <w:endnote w:type="continuationSeparator" w:id="0">
    <w:p w14:paraId="32BB3436" w14:textId="77777777" w:rsidR="00917B55" w:rsidRDefault="0091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2A59FD9D" w14:textId="77777777" w:rsidR="00862901" w:rsidRDefault="00862901">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59632888" w14:textId="77777777" w:rsidR="00862901" w:rsidRDefault="008629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5F5F" w14:textId="77777777" w:rsidR="00862901" w:rsidRDefault="00862901"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Pr="005657AE">
      <w:rPr>
        <w:rFonts w:asciiTheme="majorHAnsi" w:hAnsiTheme="majorHAnsi"/>
        <w:color w:val="FFFFFF" w:themeColor="background1"/>
      </w:rPr>
      <w:t xml:space="preserve"> 6 November 2020 | E</w:t>
    </w:r>
    <w:r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58D37338" w14:textId="0EBDB1B6" w:rsidR="008766EF" w:rsidRDefault="008766EF">
        <w:pPr>
          <w:pStyle w:val="Fuzeile"/>
          <w:jc w:val="center"/>
        </w:pPr>
        <w:r>
          <w:fldChar w:fldCharType="begin"/>
        </w:r>
        <w:r>
          <w:instrText xml:space="preserve"> PAGE   \* MERGEFORMAT </w:instrText>
        </w:r>
        <w:r>
          <w:fldChar w:fldCharType="separate"/>
        </w:r>
        <w:r w:rsidR="00B206AB">
          <w:rPr>
            <w:noProof/>
          </w:rPr>
          <w:t>3</w:t>
        </w:r>
        <w:r>
          <w:rPr>
            <w:noProof/>
          </w:rPr>
          <w:fldChar w:fldCharType="end"/>
        </w:r>
      </w:p>
    </w:sdtContent>
  </w:sdt>
  <w:p w14:paraId="42F8209B" w14:textId="77777777" w:rsidR="008766EF" w:rsidRDefault="008766EF" w:rsidP="002435F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E55E" w14:textId="77777777" w:rsidR="00917B55" w:rsidRDefault="00917B55">
      <w:r>
        <w:separator/>
      </w:r>
    </w:p>
  </w:footnote>
  <w:footnote w:type="continuationSeparator" w:id="0">
    <w:p w14:paraId="573467FF" w14:textId="77777777" w:rsidR="00917B55" w:rsidRDefault="0091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8A31" w14:textId="77777777" w:rsidR="00862901" w:rsidRDefault="00862901">
    <w:pPr>
      <w:pStyle w:val="Kopfzeile"/>
    </w:pPr>
  </w:p>
  <w:p w14:paraId="6E186386" w14:textId="77777777" w:rsidR="00862901" w:rsidRDefault="008629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DC68" w14:textId="77777777" w:rsidR="00862901" w:rsidRDefault="00862901">
    <w:pPr>
      <w:pStyle w:val="Kopfzeile"/>
    </w:pPr>
    <w:r>
      <w:rPr>
        <w:noProof/>
        <w:lang w:val="de-DE" w:eastAsia="de-DE"/>
      </w:rPr>
      <w:drawing>
        <wp:anchor distT="0" distB="0" distL="114300" distR="114300" simplePos="0" relativeHeight="251663360" behindDoc="0" locked="0" layoutInCell="1" allowOverlap="1" wp14:anchorId="00D93A64" wp14:editId="28A1C600">
          <wp:simplePos x="0" y="0"/>
          <wp:positionH relativeFrom="page">
            <wp:posOffset>366395</wp:posOffset>
          </wp:positionH>
          <wp:positionV relativeFrom="page">
            <wp:posOffset>372745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2336" behindDoc="1" locked="0" layoutInCell="1" allowOverlap="1" wp14:anchorId="6135C644" wp14:editId="670402FE">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9E52D" w14:textId="77777777" w:rsidR="008766EF" w:rsidRDefault="008766EF" w:rsidP="002435F9">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60288" behindDoc="0" locked="0" layoutInCell="1" allowOverlap="1" wp14:anchorId="19E9B7BC" wp14:editId="363A5C46">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B0278D" id="Line 1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1989A2AD" w14:textId="77777777" w:rsidR="008766EF" w:rsidRPr="00D13661" w:rsidRDefault="008766EF" w:rsidP="002435F9">
    <w:pPr>
      <w:pStyle w:val="Kopfzeile"/>
      <w:jc w:val="right"/>
      <w:rPr>
        <w:rFonts w:asciiTheme="minorHAnsi" w:hAnsiTheme="minorHAnsi" w:cstheme="minorHAnsi"/>
        <w:color w:val="31849B" w:themeColor="accent5" w:themeShade="BF"/>
        <w:sz w:val="20"/>
      </w:rPr>
    </w:pPr>
    <w:r w:rsidRPr="00D13661">
      <w:rPr>
        <w:rFonts w:asciiTheme="minorHAnsi" w:hAnsiTheme="minorHAnsi" w:cstheme="minorHAnsi"/>
        <w:noProof/>
        <w:color w:val="31849B" w:themeColor="accent5" w:themeShade="BF"/>
        <w:sz w:val="20"/>
        <w:lang w:val="de-DE" w:eastAsia="de-DE"/>
      </w:rPr>
      <w:drawing>
        <wp:anchor distT="0" distB="0" distL="114300" distR="114300" simplePos="0" relativeHeight="251659264" behindDoc="0" locked="0" layoutInCell="1" allowOverlap="1" wp14:anchorId="77F2AD03" wp14:editId="33E44626">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31849B" w:themeColor="accent5" w:themeShade="BF"/>
        <w:sz w:val="20"/>
      </w:rPr>
      <w:t>ESMA REGULAR USE</w:t>
    </w:r>
  </w:p>
  <w:p w14:paraId="50328A95" w14:textId="77777777" w:rsidR="008766EF" w:rsidRPr="00C3170E" w:rsidRDefault="008766EF" w:rsidP="002435F9">
    <w:pPr>
      <w:pStyle w:val="Kopfzeile"/>
      <w:jc w:val="right"/>
      <w:rPr>
        <w:color w:val="31849B" w:themeColor="accent5" w:themeShade="BF"/>
        <w:sz w:val="20"/>
      </w:rPr>
    </w:pPr>
  </w:p>
  <w:p w14:paraId="3DFB57C3" w14:textId="77777777" w:rsidR="008766EF" w:rsidRPr="00B50534" w:rsidRDefault="008766EF" w:rsidP="002435F9">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B2"/>
    <w:rsid w:val="00046349"/>
    <w:rsid w:val="00076E62"/>
    <w:rsid w:val="00127F35"/>
    <w:rsid w:val="001418C4"/>
    <w:rsid w:val="001553D6"/>
    <w:rsid w:val="00177265"/>
    <w:rsid w:val="001B1B37"/>
    <w:rsid w:val="001B5C49"/>
    <w:rsid w:val="001C1604"/>
    <w:rsid w:val="001C6085"/>
    <w:rsid w:val="001D1B21"/>
    <w:rsid w:val="001F67E2"/>
    <w:rsid w:val="002435F9"/>
    <w:rsid w:val="002A23CD"/>
    <w:rsid w:val="002F2811"/>
    <w:rsid w:val="00325D3F"/>
    <w:rsid w:val="0038394D"/>
    <w:rsid w:val="003850E6"/>
    <w:rsid w:val="00395561"/>
    <w:rsid w:val="003C1A24"/>
    <w:rsid w:val="00445976"/>
    <w:rsid w:val="00462FD2"/>
    <w:rsid w:val="004777B2"/>
    <w:rsid w:val="0049070A"/>
    <w:rsid w:val="004A4E68"/>
    <w:rsid w:val="004A7938"/>
    <w:rsid w:val="004B69FD"/>
    <w:rsid w:val="00591381"/>
    <w:rsid w:val="005B6BD1"/>
    <w:rsid w:val="0060525A"/>
    <w:rsid w:val="006315D0"/>
    <w:rsid w:val="00633A32"/>
    <w:rsid w:val="006E7860"/>
    <w:rsid w:val="00774B5A"/>
    <w:rsid w:val="00793704"/>
    <w:rsid w:val="007B19DC"/>
    <w:rsid w:val="007B361A"/>
    <w:rsid w:val="007D5BF6"/>
    <w:rsid w:val="007E7C7E"/>
    <w:rsid w:val="0080541C"/>
    <w:rsid w:val="008323FB"/>
    <w:rsid w:val="00862901"/>
    <w:rsid w:val="008646B2"/>
    <w:rsid w:val="0087627A"/>
    <w:rsid w:val="008766EF"/>
    <w:rsid w:val="008F4E97"/>
    <w:rsid w:val="0090785D"/>
    <w:rsid w:val="00910C52"/>
    <w:rsid w:val="00917B55"/>
    <w:rsid w:val="00926C0B"/>
    <w:rsid w:val="00927BA1"/>
    <w:rsid w:val="00962CAD"/>
    <w:rsid w:val="0097468A"/>
    <w:rsid w:val="009C42C1"/>
    <w:rsid w:val="009D2844"/>
    <w:rsid w:val="009F0C73"/>
    <w:rsid w:val="009F1313"/>
    <w:rsid w:val="009F7C8F"/>
    <w:rsid w:val="00A01458"/>
    <w:rsid w:val="00A12F76"/>
    <w:rsid w:val="00A27FBA"/>
    <w:rsid w:val="00A35DF9"/>
    <w:rsid w:val="00A63AF6"/>
    <w:rsid w:val="00AD7CF0"/>
    <w:rsid w:val="00B206AB"/>
    <w:rsid w:val="00B37760"/>
    <w:rsid w:val="00B56660"/>
    <w:rsid w:val="00B572C2"/>
    <w:rsid w:val="00B900D3"/>
    <w:rsid w:val="00BB1802"/>
    <w:rsid w:val="00C15FAB"/>
    <w:rsid w:val="00C176BD"/>
    <w:rsid w:val="00C6642D"/>
    <w:rsid w:val="00C72128"/>
    <w:rsid w:val="00C73B15"/>
    <w:rsid w:val="00CB503C"/>
    <w:rsid w:val="00CE71BB"/>
    <w:rsid w:val="00D6475A"/>
    <w:rsid w:val="00DC4DE4"/>
    <w:rsid w:val="00DC5EF9"/>
    <w:rsid w:val="00DC6CF9"/>
    <w:rsid w:val="00E107AC"/>
    <w:rsid w:val="00EB0ABC"/>
    <w:rsid w:val="00F24096"/>
    <w:rsid w:val="00FC7DF7"/>
    <w:rsid w:val="00FE74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C799"/>
  <w15:chartTrackingRefBased/>
  <w15:docId w15:val="{09EA5E3A-F5A1-4C12-8F10-2162C253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77B2"/>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4777B2"/>
    <w:pPr>
      <w:keepNext/>
      <w:keepLines/>
      <w:numPr>
        <w:numId w:val="1"/>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4777B2"/>
    <w:pPr>
      <w:keepNext/>
      <w:keepLines/>
      <w:numPr>
        <w:ilvl w:val="1"/>
        <w:numId w:val="1"/>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4777B2"/>
    <w:pPr>
      <w:keepNext/>
      <w:keepLines/>
      <w:numPr>
        <w:ilvl w:val="2"/>
        <w:numId w:val="1"/>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4777B2"/>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4777B2"/>
    <w:pPr>
      <w:keepNext/>
      <w:keepLines/>
      <w:numPr>
        <w:ilvl w:val="5"/>
        <w:numId w:val="1"/>
      </w:numPr>
      <w:spacing w:before="40"/>
      <w:outlineLvl w:val="5"/>
    </w:pPr>
    <w:rPr>
      <w:rFonts w:asciiTheme="majorHAnsi" w:eastAsiaTheme="majorEastAsia" w:hAnsiTheme="majorHAnsi" w:cstheme="majorBidi"/>
      <w:i/>
      <w:iCs/>
      <w:color w:val="1F497D" w:themeColor="text2"/>
      <w:sz w:val="21"/>
      <w:szCs w:val="21"/>
    </w:rPr>
  </w:style>
  <w:style w:type="paragraph" w:styleId="berschrift7">
    <w:name w:val="heading 7"/>
    <w:basedOn w:val="Standard"/>
    <w:next w:val="Standard"/>
    <w:link w:val="berschrift7Zchn"/>
    <w:unhideWhenUsed/>
    <w:qFormat/>
    <w:rsid w:val="004777B2"/>
    <w:pPr>
      <w:keepNext/>
      <w:keepLines/>
      <w:numPr>
        <w:ilvl w:val="6"/>
        <w:numId w:val="1"/>
      </w:numPr>
      <w:spacing w:before="40"/>
      <w:outlineLvl w:val="6"/>
    </w:pPr>
    <w:rPr>
      <w:rFonts w:asciiTheme="majorHAnsi" w:eastAsiaTheme="majorEastAsia" w:hAnsiTheme="majorHAnsi" w:cstheme="majorBidi"/>
      <w:i/>
      <w:iCs/>
      <w:color w:val="244061" w:themeColor="accent1" w:themeShade="80"/>
      <w:sz w:val="21"/>
      <w:szCs w:val="21"/>
    </w:rPr>
  </w:style>
  <w:style w:type="paragraph" w:styleId="berschrift8">
    <w:name w:val="heading 8"/>
    <w:basedOn w:val="Standard"/>
    <w:next w:val="Standard"/>
    <w:link w:val="berschrift8Zchn"/>
    <w:unhideWhenUsed/>
    <w:qFormat/>
    <w:rsid w:val="004777B2"/>
    <w:pPr>
      <w:keepNext/>
      <w:keepLines/>
      <w:numPr>
        <w:ilvl w:val="7"/>
        <w:numId w:val="1"/>
      </w:numPr>
      <w:spacing w:before="40"/>
      <w:outlineLvl w:val="7"/>
    </w:pPr>
    <w:rPr>
      <w:rFonts w:asciiTheme="majorHAnsi" w:eastAsiaTheme="majorEastAsia" w:hAnsiTheme="majorHAnsi" w:cstheme="majorBidi"/>
      <w:b/>
      <w:bCs/>
      <w:color w:val="1F497D" w:themeColor="text2"/>
    </w:rPr>
  </w:style>
  <w:style w:type="paragraph" w:styleId="berschrift9">
    <w:name w:val="heading 9"/>
    <w:basedOn w:val="Standard"/>
    <w:next w:val="Standard"/>
    <w:link w:val="berschrift9Zchn"/>
    <w:unhideWhenUsed/>
    <w:qFormat/>
    <w:rsid w:val="004777B2"/>
    <w:pPr>
      <w:keepNext/>
      <w:keepLines/>
      <w:numPr>
        <w:ilvl w:val="8"/>
        <w:numId w:val="1"/>
      </w:numPr>
      <w:spacing w:before="40"/>
      <w:outlineLvl w:val="8"/>
    </w:pPr>
    <w:rPr>
      <w:rFonts w:asciiTheme="majorHAnsi" w:eastAsiaTheme="majorEastAsia" w:hAnsiTheme="majorHAnsi" w:cstheme="majorBidi"/>
      <w:b/>
      <w:bCs/>
      <w:i/>
      <w:iCs/>
      <w:color w:val="1F497D"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777B2"/>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4777B2"/>
    <w:rPr>
      <w:rFonts w:asciiTheme="majorHAnsi" w:eastAsiaTheme="majorEastAsia" w:hAnsiTheme="majorHAnsi" w:cstheme="majorBidi"/>
      <w:b/>
      <w:sz w:val="28"/>
      <w:szCs w:val="28"/>
      <w:lang w:val="en-GB" w:eastAsia="en-GB"/>
    </w:rPr>
  </w:style>
  <w:style w:type="character" w:customStyle="1" w:styleId="berschrift3Zchn">
    <w:name w:val="Überschrift 3 Zchn"/>
    <w:basedOn w:val="Absatz-Standardschriftart"/>
    <w:link w:val="berschrift3"/>
    <w:rsid w:val="004777B2"/>
    <w:rPr>
      <w:rFonts w:asciiTheme="majorHAnsi" w:eastAsiaTheme="majorEastAsia" w:hAnsiTheme="majorHAnsi" w:cstheme="majorBidi"/>
      <w:sz w:val="24"/>
      <w:szCs w:val="24"/>
      <w:lang w:val="en-GB" w:eastAsia="en-GB"/>
    </w:rPr>
  </w:style>
  <w:style w:type="character" w:customStyle="1" w:styleId="berschrift4Zchn">
    <w:name w:val="Überschrift 4 Zchn"/>
    <w:basedOn w:val="Absatz-Standardschriftart"/>
    <w:link w:val="berschrift4"/>
    <w:rsid w:val="004777B2"/>
    <w:rPr>
      <w:rFonts w:asciiTheme="majorHAnsi" w:eastAsiaTheme="majorEastAsia" w:hAnsiTheme="majorHAnsi" w:cstheme="majorBidi"/>
      <w:sz w:val="24"/>
      <w:lang w:val="en-GB" w:eastAsia="en-GB"/>
    </w:rPr>
  </w:style>
  <w:style w:type="character" w:customStyle="1" w:styleId="berschrift6Zchn">
    <w:name w:val="Überschrift 6 Zchn"/>
    <w:basedOn w:val="Absatz-Standardschriftart"/>
    <w:link w:val="berschrift6"/>
    <w:rsid w:val="004777B2"/>
    <w:rPr>
      <w:rFonts w:asciiTheme="majorHAnsi" w:eastAsiaTheme="majorEastAsia" w:hAnsiTheme="majorHAnsi" w:cstheme="majorBidi"/>
      <w:i/>
      <w:iCs/>
      <w:color w:val="1F497D" w:themeColor="text2"/>
      <w:sz w:val="21"/>
      <w:szCs w:val="21"/>
      <w:lang w:val="en-GB" w:eastAsia="en-GB"/>
    </w:rPr>
  </w:style>
  <w:style w:type="character" w:customStyle="1" w:styleId="berschrift7Zchn">
    <w:name w:val="Überschrift 7 Zchn"/>
    <w:basedOn w:val="Absatz-Standardschriftart"/>
    <w:link w:val="berschrift7"/>
    <w:rsid w:val="004777B2"/>
    <w:rPr>
      <w:rFonts w:asciiTheme="majorHAnsi" w:eastAsiaTheme="majorEastAsia" w:hAnsiTheme="majorHAnsi" w:cstheme="majorBidi"/>
      <w:i/>
      <w:iCs/>
      <w:color w:val="244061" w:themeColor="accent1" w:themeShade="80"/>
      <w:sz w:val="21"/>
      <w:szCs w:val="21"/>
      <w:lang w:val="en-GB" w:eastAsia="en-GB"/>
    </w:rPr>
  </w:style>
  <w:style w:type="character" w:customStyle="1" w:styleId="berschrift8Zchn">
    <w:name w:val="Überschrift 8 Zchn"/>
    <w:basedOn w:val="Absatz-Standardschriftart"/>
    <w:link w:val="berschrift8"/>
    <w:rsid w:val="004777B2"/>
    <w:rPr>
      <w:rFonts w:asciiTheme="majorHAnsi" w:eastAsiaTheme="majorEastAsia" w:hAnsiTheme="majorHAnsi" w:cstheme="majorBidi"/>
      <w:b/>
      <w:bCs/>
      <w:color w:val="1F497D" w:themeColor="text2"/>
      <w:sz w:val="24"/>
      <w:szCs w:val="24"/>
      <w:lang w:val="en-GB" w:eastAsia="en-GB"/>
    </w:rPr>
  </w:style>
  <w:style w:type="character" w:customStyle="1" w:styleId="berschrift9Zchn">
    <w:name w:val="Überschrift 9 Zchn"/>
    <w:basedOn w:val="Absatz-Standardschriftart"/>
    <w:link w:val="berschrift9"/>
    <w:rsid w:val="004777B2"/>
    <w:rPr>
      <w:rFonts w:asciiTheme="majorHAnsi" w:eastAsiaTheme="majorEastAsia" w:hAnsiTheme="majorHAnsi" w:cstheme="majorBidi"/>
      <w:b/>
      <w:bCs/>
      <w:i/>
      <w:iCs/>
      <w:color w:val="1F497D" w:themeColor="text2"/>
      <w:sz w:val="24"/>
      <w:szCs w:val="24"/>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4777B2"/>
    <w:pPr>
      <w:numPr>
        <w:numId w:val="2"/>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styleId="Kopfzeile">
    <w:name w:val="header"/>
    <w:basedOn w:val="Standard"/>
    <w:link w:val="KopfzeileZchn"/>
    <w:unhideWhenUsed/>
    <w:rsid w:val="004777B2"/>
    <w:pPr>
      <w:tabs>
        <w:tab w:val="center" w:pos="4536"/>
        <w:tab w:val="right" w:pos="9072"/>
      </w:tabs>
    </w:pPr>
  </w:style>
  <w:style w:type="character" w:customStyle="1" w:styleId="KopfzeileZchn">
    <w:name w:val="Kopfzeile Zchn"/>
    <w:basedOn w:val="Absatz-Standardschriftart"/>
    <w:link w:val="Kopfzeile"/>
    <w:uiPriority w:val="99"/>
    <w:rsid w:val="004777B2"/>
    <w:rPr>
      <w:rFonts w:ascii="Times New Roman" w:eastAsia="Times New Roman" w:hAnsi="Times New Roman" w:cs="Times New Roman"/>
      <w:sz w:val="24"/>
      <w:szCs w:val="24"/>
      <w:lang w:val="en-GB" w:eastAsia="en-GB"/>
    </w:rPr>
  </w:style>
  <w:style w:type="paragraph" w:styleId="Fuzeile">
    <w:name w:val="footer"/>
    <w:basedOn w:val="Standard"/>
    <w:link w:val="FuzeileZchn"/>
    <w:uiPriority w:val="99"/>
    <w:unhideWhenUsed/>
    <w:rsid w:val="004777B2"/>
    <w:pPr>
      <w:tabs>
        <w:tab w:val="center" w:pos="4536"/>
        <w:tab w:val="right" w:pos="9072"/>
      </w:tabs>
    </w:pPr>
  </w:style>
  <w:style w:type="character" w:customStyle="1" w:styleId="FuzeileZchn">
    <w:name w:val="Fußzeile Zchn"/>
    <w:basedOn w:val="Absatz-Standardschriftart"/>
    <w:link w:val="Fuzeile"/>
    <w:uiPriority w:val="99"/>
    <w:rsid w:val="004777B2"/>
    <w:rPr>
      <w:rFonts w:ascii="Times New Roman" w:eastAsia="Times New Roman" w:hAnsi="Times New Roman" w:cs="Times New Roman"/>
      <w:sz w:val="24"/>
      <w:szCs w:val="24"/>
      <w:lang w:val="en-GB" w:eastAsia="en-GB"/>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4777B2"/>
    <w:rPr>
      <w:rFonts w:eastAsiaTheme="majorEastAsia" w:cstheme="minorHAnsi"/>
      <w:lang w:val="en-GB" w:eastAsia="en-GB"/>
    </w:rPr>
  </w:style>
  <w:style w:type="character" w:styleId="Kommentarzeichen">
    <w:name w:val="annotation reference"/>
    <w:basedOn w:val="Absatz-Standardschriftart"/>
    <w:uiPriority w:val="99"/>
    <w:semiHidden/>
    <w:unhideWhenUsed/>
    <w:rsid w:val="00AD7CF0"/>
    <w:rPr>
      <w:sz w:val="16"/>
      <w:szCs w:val="16"/>
    </w:rPr>
  </w:style>
  <w:style w:type="paragraph" w:styleId="Kommentartext">
    <w:name w:val="annotation text"/>
    <w:basedOn w:val="Standard"/>
    <w:link w:val="KommentartextZchn"/>
    <w:uiPriority w:val="99"/>
    <w:semiHidden/>
    <w:unhideWhenUsed/>
    <w:rsid w:val="00AD7CF0"/>
    <w:rPr>
      <w:sz w:val="20"/>
      <w:szCs w:val="20"/>
    </w:rPr>
  </w:style>
  <w:style w:type="character" w:customStyle="1" w:styleId="KommentartextZchn">
    <w:name w:val="Kommentartext Zchn"/>
    <w:basedOn w:val="Absatz-Standardschriftart"/>
    <w:link w:val="Kommentartext"/>
    <w:uiPriority w:val="99"/>
    <w:semiHidden/>
    <w:rsid w:val="00AD7CF0"/>
    <w:rPr>
      <w:rFonts w:ascii="Times New Roman" w:eastAsia="Times New Roman" w:hAnsi="Times New Roman" w:cs="Times New Roman"/>
      <w:sz w:val="20"/>
      <w:szCs w:val="20"/>
      <w:lang w:val="en-GB" w:eastAsia="en-GB"/>
    </w:rPr>
  </w:style>
  <w:style w:type="paragraph" w:styleId="Kommentarthema">
    <w:name w:val="annotation subject"/>
    <w:basedOn w:val="Kommentartext"/>
    <w:next w:val="Kommentartext"/>
    <w:link w:val="KommentarthemaZchn"/>
    <w:uiPriority w:val="99"/>
    <w:semiHidden/>
    <w:unhideWhenUsed/>
    <w:rsid w:val="00AD7CF0"/>
    <w:rPr>
      <w:b/>
      <w:bCs/>
    </w:rPr>
  </w:style>
  <w:style w:type="character" w:customStyle="1" w:styleId="KommentarthemaZchn">
    <w:name w:val="Kommentarthema Zchn"/>
    <w:basedOn w:val="KommentartextZchn"/>
    <w:link w:val="Kommentarthema"/>
    <w:uiPriority w:val="99"/>
    <w:semiHidden/>
    <w:rsid w:val="00AD7CF0"/>
    <w:rPr>
      <w:rFonts w:ascii="Times New Roman" w:eastAsia="Times New Roman" w:hAnsi="Times New Roman" w:cs="Times New Roman"/>
      <w:b/>
      <w:bCs/>
      <w:sz w:val="20"/>
      <w:szCs w:val="20"/>
      <w:lang w:val="en-GB" w:eastAsia="en-GB"/>
    </w:rPr>
  </w:style>
  <w:style w:type="paragraph" w:styleId="Sprechblasentext">
    <w:name w:val="Balloon Text"/>
    <w:basedOn w:val="Standard"/>
    <w:link w:val="SprechblasentextZchn"/>
    <w:uiPriority w:val="99"/>
    <w:semiHidden/>
    <w:unhideWhenUsed/>
    <w:rsid w:val="00AD7C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7CF0"/>
    <w:rPr>
      <w:rFonts w:ascii="Segoe UI" w:eastAsia="Times New Roman" w:hAnsi="Segoe UI" w:cs="Segoe UI"/>
      <w:sz w:val="18"/>
      <w:szCs w:val="18"/>
      <w:lang w:val="en-GB" w:eastAsia="en-GB"/>
    </w:rPr>
  </w:style>
  <w:style w:type="paragraph" w:styleId="Titel">
    <w:name w:val="Title"/>
    <w:basedOn w:val="Standard"/>
    <w:next w:val="Standard"/>
    <w:link w:val="TitelZchn"/>
    <w:uiPriority w:val="10"/>
    <w:qFormat/>
    <w:rsid w:val="00862901"/>
    <w:pPr>
      <w:contextualSpacing/>
    </w:pPr>
    <w:rPr>
      <w:rFonts w:asciiTheme="majorHAnsi" w:eastAsiaTheme="majorEastAsia" w:hAnsiTheme="majorHAnsi" w:cstheme="majorBidi"/>
      <w:b/>
      <w:color w:val="31849B" w:themeColor="accent5" w:themeShade="BF"/>
      <w:spacing w:val="-10"/>
      <w:sz w:val="56"/>
      <w:szCs w:val="56"/>
    </w:rPr>
  </w:style>
  <w:style w:type="character" w:customStyle="1" w:styleId="TitelZchn">
    <w:name w:val="Titel Zchn"/>
    <w:basedOn w:val="Absatz-Standardschriftart"/>
    <w:link w:val="Titel"/>
    <w:uiPriority w:val="10"/>
    <w:rsid w:val="00862901"/>
    <w:rPr>
      <w:rFonts w:asciiTheme="majorHAnsi" w:eastAsiaTheme="majorEastAsia" w:hAnsiTheme="majorHAnsi" w:cstheme="majorBidi"/>
      <w:b/>
      <w:color w:val="31849B" w:themeColor="accent5" w:themeShade="BF"/>
      <w:spacing w:val="-10"/>
      <w:sz w:val="56"/>
      <w:szCs w:val="5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ma.europa.eu/legal-notice"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FFF3BC94AA46EE9E9F5FFBB598A472"/>
        <w:category>
          <w:name w:val="Allgemein"/>
          <w:gallery w:val="placeholder"/>
        </w:category>
        <w:types>
          <w:type w:val="bbPlcHdr"/>
        </w:types>
        <w:behaviors>
          <w:behavior w:val="content"/>
        </w:behaviors>
        <w:guid w:val="{D51D53C1-7B94-4EF0-8FFB-199BDD2EC6F3}"/>
      </w:docPartPr>
      <w:docPartBody>
        <w:p w:rsidR="00EA692C" w:rsidRDefault="000A7B61" w:rsidP="000A7B61">
          <w:pPr>
            <w:pStyle w:val="DFFFF3BC94AA46EE9E9F5FFBB598A472"/>
          </w:pPr>
          <w:r w:rsidRPr="00C85C8B">
            <w:rPr>
              <w:rFonts w:ascii="Arial" w:hAnsi="Arial" w:cs="Arial"/>
              <w:color w:val="808080"/>
              <w:sz w:val="20"/>
            </w:rPr>
            <w:t>Click here to enter text.</w:t>
          </w:r>
        </w:p>
      </w:docPartBody>
    </w:docPart>
    <w:docPart>
      <w:docPartPr>
        <w:name w:val="D134DA4BF7CE4A1A84D9DCA5EA232F99"/>
        <w:category>
          <w:name w:val="Allgemein"/>
          <w:gallery w:val="placeholder"/>
        </w:category>
        <w:types>
          <w:type w:val="bbPlcHdr"/>
        </w:types>
        <w:behaviors>
          <w:behavior w:val="content"/>
        </w:behaviors>
        <w:guid w:val="{12A51ED9-470F-488B-89BB-C3F81177861B}"/>
      </w:docPartPr>
      <w:docPartBody>
        <w:p w:rsidR="00EA692C" w:rsidRDefault="000A7B61" w:rsidP="000A7B61">
          <w:pPr>
            <w:pStyle w:val="D134DA4BF7CE4A1A84D9DCA5EA232F99"/>
          </w:pPr>
          <w:r w:rsidRPr="00C85C8B">
            <w:rPr>
              <w:rFonts w:ascii="Arial" w:hAnsi="Arial" w:cs="Arial"/>
              <w:color w:val="80808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61"/>
    <w:rsid w:val="000A7B61"/>
    <w:rsid w:val="005B75F2"/>
    <w:rsid w:val="0090543B"/>
    <w:rsid w:val="00B77727"/>
    <w:rsid w:val="00CE60FF"/>
    <w:rsid w:val="00EA69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FFFF3BC94AA46EE9E9F5FFBB598A472">
    <w:name w:val="DFFFF3BC94AA46EE9E9F5FFBB598A472"/>
    <w:rsid w:val="000A7B61"/>
  </w:style>
  <w:style w:type="paragraph" w:customStyle="1" w:styleId="D134DA4BF7CE4A1A84D9DCA5EA232F99">
    <w:name w:val="D134DA4BF7CE4A1A84D9DCA5EA232F99"/>
    <w:rsid w:val="000A7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FE98D-30FE-4B44-95CB-81B82170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3062</Words>
  <Characters>19293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Sarah</dc:creator>
  <cp:keywords/>
  <dc:description/>
  <cp:lastModifiedBy>Herr Patrick Arora</cp:lastModifiedBy>
  <cp:revision>5</cp:revision>
  <dcterms:created xsi:type="dcterms:W3CDTF">2021-01-11T11:50:00Z</dcterms:created>
  <dcterms:modified xsi:type="dcterms:W3CDTF">2021-01-11T11:53:00Z</dcterms:modified>
</cp:coreProperties>
</file>