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lang w:val="en-US"/>
        </w:rPr>
        <w:id w:val="-973058580"/>
        <w:docPartObj>
          <w:docPartGallery w:val="Cover Pages"/>
          <w:docPartUnique/>
        </w:docPartObj>
      </w:sdtPr>
      <w:sdtEndPr>
        <w:rPr>
          <w:highlight w:val="yellow"/>
        </w:rPr>
      </w:sdtEndPr>
      <w:sdtContent>
        <w:p w14:paraId="17E1AC40" w14:textId="77777777" w:rsidR="00984423" w:rsidRPr="00C84377" w:rsidRDefault="00984423" w:rsidP="00984423">
          <w:pPr>
            <w:spacing w:line="276" w:lineRule="auto"/>
            <w:rPr>
              <w:rFonts w:ascii="Arial" w:hAnsi="Arial" w:cs="Arial"/>
              <w:color w:val="FF0000"/>
              <w:lang w:val="en-US"/>
            </w:rPr>
          </w:pPr>
        </w:p>
        <w:p w14:paraId="4799D569" w14:textId="77777777" w:rsidR="00984423" w:rsidRPr="00C84377" w:rsidRDefault="00984423" w:rsidP="00984423">
          <w:pPr>
            <w:spacing w:after="120" w:line="276" w:lineRule="auto"/>
            <w:rPr>
              <w:rFonts w:ascii="Arial" w:hAnsi="Arial" w:cs="Arial"/>
              <w:lang w:val="en-US"/>
            </w:rPr>
          </w:pPr>
        </w:p>
        <w:p w14:paraId="739D05E4" w14:textId="77777777" w:rsidR="00984423" w:rsidRPr="00C84377" w:rsidRDefault="00984423" w:rsidP="00984423">
          <w:pPr>
            <w:spacing w:line="276" w:lineRule="auto"/>
            <w:rPr>
              <w:rFonts w:ascii="Arial" w:hAnsi="Arial" w:cs="Arial"/>
              <w:lang w:val="en-US"/>
            </w:rPr>
          </w:pPr>
        </w:p>
        <w:p w14:paraId="69F7F97B" w14:textId="77777777" w:rsidR="00984423" w:rsidRPr="00C84377" w:rsidRDefault="00984423" w:rsidP="00984423">
          <w:pPr>
            <w:spacing w:line="276" w:lineRule="auto"/>
            <w:rPr>
              <w:rFonts w:ascii="Arial" w:hAnsi="Arial" w:cs="Arial"/>
              <w:lang w:val="en-US"/>
            </w:rPr>
          </w:pPr>
        </w:p>
        <w:p w14:paraId="692AD50C" w14:textId="77777777" w:rsidR="00984423" w:rsidRPr="00C84377" w:rsidRDefault="00984423" w:rsidP="00984423">
          <w:pPr>
            <w:spacing w:line="276" w:lineRule="auto"/>
            <w:rPr>
              <w:rFonts w:ascii="Arial" w:hAnsi="Arial" w:cs="Arial"/>
              <w:lang w:val="en-US"/>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984423" w:rsidRPr="00F6575F" w14:paraId="3DA72AC1" w14:textId="77777777" w:rsidTr="00B60ED2">
            <w:trPr>
              <w:trHeight w:hRule="exact" w:val="2407"/>
            </w:trPr>
            <w:tc>
              <w:tcPr>
                <w:tcW w:w="10705" w:type="dxa"/>
              </w:tcPr>
              <w:p w14:paraId="2B3C26BF" w14:textId="77777777" w:rsidR="00984423" w:rsidRPr="00C84377" w:rsidRDefault="00984423" w:rsidP="00B60ED2">
                <w:pPr>
                  <w:pStyle w:val="Titel"/>
                  <w:spacing w:line="276" w:lineRule="auto"/>
                  <w:ind w:right="854"/>
                  <w:rPr>
                    <w:rFonts w:ascii="Arial" w:hAnsi="Arial" w:cs="Arial"/>
                    <w:sz w:val="40"/>
                    <w:szCs w:val="40"/>
                    <w:lang w:val="en-US"/>
                  </w:rPr>
                </w:pPr>
                <w:r w:rsidRPr="00C84377">
                  <w:rPr>
                    <w:rFonts w:ascii="Arial" w:hAnsi="Arial" w:cs="Arial"/>
                    <w:sz w:val="40"/>
                    <w:szCs w:val="40"/>
                    <w:lang w:val="en-US"/>
                  </w:rPr>
                  <w:t>Reply form for the Consultation Paper on Guidelines on the MiFID II/ MiFIR obligations on market data</w:t>
                </w:r>
              </w:p>
            </w:tc>
          </w:tr>
        </w:tbl>
        <w:p w14:paraId="511FFEE3" w14:textId="77777777" w:rsidR="00984423" w:rsidRPr="00C84377" w:rsidRDefault="00984423" w:rsidP="00984423">
          <w:pPr>
            <w:spacing w:line="276" w:lineRule="auto"/>
            <w:rPr>
              <w:rFonts w:ascii="Arial" w:hAnsi="Arial" w:cs="Arial"/>
              <w:lang w:val="en-US"/>
            </w:rPr>
          </w:pPr>
        </w:p>
        <w:p w14:paraId="53821CF6" w14:textId="77777777" w:rsidR="00984423" w:rsidRPr="00C84377" w:rsidRDefault="00984423" w:rsidP="00984423">
          <w:pPr>
            <w:spacing w:line="276" w:lineRule="auto"/>
            <w:rPr>
              <w:rFonts w:ascii="Arial" w:hAnsi="Arial" w:cs="Arial"/>
              <w:lang w:val="en-US"/>
            </w:rPr>
            <w:sectPr w:rsidR="00984423" w:rsidRPr="00C84377" w:rsidSect="00B60ED2">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419DE2AF" w14:textId="77777777" w:rsidR="00984423" w:rsidRPr="00BC5D11" w:rsidRDefault="00984423" w:rsidP="00984423">
          <w:pPr>
            <w:numPr>
              <w:ilvl w:val="1"/>
              <w:numId w:val="0"/>
            </w:numPr>
            <w:spacing w:after="250" w:line="276" w:lineRule="auto"/>
            <w:jc w:val="both"/>
            <w:rPr>
              <w:rFonts w:ascii="Arial" w:eastAsiaTheme="majorEastAsia" w:hAnsi="Arial" w:cs="Arial"/>
              <w:b/>
              <w:sz w:val="28"/>
              <w:lang w:val="en-US" w:eastAsia="en-US"/>
            </w:rPr>
          </w:pPr>
        </w:p>
        <w:p w14:paraId="610E1AD4" w14:textId="77777777" w:rsidR="00984423" w:rsidRPr="00BC5D11" w:rsidRDefault="00984423" w:rsidP="00984423">
          <w:pPr>
            <w:numPr>
              <w:ilvl w:val="1"/>
              <w:numId w:val="0"/>
            </w:numPr>
            <w:tabs>
              <w:tab w:val="left" w:pos="5426"/>
            </w:tabs>
            <w:spacing w:after="250" w:line="276" w:lineRule="auto"/>
            <w:jc w:val="both"/>
            <w:rPr>
              <w:rFonts w:ascii="Arial" w:eastAsiaTheme="majorEastAsia" w:hAnsi="Arial" w:cs="Arial"/>
              <w:b/>
              <w:sz w:val="28"/>
              <w:lang w:val="en-US" w:eastAsia="en-US"/>
            </w:rPr>
          </w:pPr>
          <w:r w:rsidRPr="00BC5D11">
            <w:rPr>
              <w:rFonts w:ascii="Arial" w:eastAsiaTheme="majorEastAsia" w:hAnsi="Arial" w:cs="Arial"/>
              <w:b/>
              <w:sz w:val="28"/>
              <w:lang w:val="en-US" w:eastAsia="en-US"/>
            </w:rPr>
            <w:t xml:space="preserve">Responding to this paper </w:t>
          </w:r>
          <w:r w:rsidRPr="00BC5D11">
            <w:rPr>
              <w:rFonts w:ascii="Arial" w:eastAsiaTheme="majorEastAsia" w:hAnsi="Arial" w:cs="Arial"/>
              <w:b/>
              <w:sz w:val="28"/>
              <w:lang w:val="en-US" w:eastAsia="en-US"/>
            </w:rPr>
            <w:tab/>
          </w:r>
        </w:p>
        <w:p w14:paraId="75282D40" w14:textId="77777777" w:rsidR="00984423" w:rsidRPr="00BC5D11" w:rsidRDefault="00984423" w:rsidP="00984423">
          <w:p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 xml:space="preserve">ESMA invites comments on all matters in this consultation paper and </w:t>
          </w:r>
          <w:r w:rsidRPr="00BC5D11">
            <w:rPr>
              <w:rFonts w:ascii="Arial" w:eastAsiaTheme="minorEastAsia" w:hAnsi="Arial" w:cs="Arial"/>
              <w:sz w:val="22"/>
              <w:szCs w:val="20"/>
              <w:u w:val="dottedHeavy" w:color="BF8F00" w:themeColor="accent4" w:themeShade="BF"/>
              <w:lang w:val="en-US" w:eastAsia="en-US"/>
            </w:rPr>
            <w:t>in particular on</w:t>
          </w:r>
          <w:r w:rsidRPr="00BC5D11">
            <w:rPr>
              <w:rFonts w:ascii="Arial" w:eastAsiaTheme="minorEastAsia" w:hAnsi="Arial" w:cs="Arial"/>
              <w:sz w:val="22"/>
              <w:szCs w:val="20"/>
              <w:lang w:val="en-US" w:eastAsia="en-US"/>
            </w:rPr>
            <w:t xml:space="preserve"> the specific questions summarised in Annex I. Comments are most helpful if they:</w:t>
          </w:r>
        </w:p>
        <w:p w14:paraId="215CE238" w14:textId="77777777" w:rsidR="00984423" w:rsidRPr="00BC5D11" w:rsidRDefault="00984423" w:rsidP="00984423">
          <w:pPr>
            <w:numPr>
              <w:ilvl w:val="0"/>
              <w:numId w:val="4"/>
            </w:num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respond to the question stated;</w:t>
          </w:r>
        </w:p>
        <w:p w14:paraId="035F3C77" w14:textId="77777777" w:rsidR="00984423" w:rsidRPr="00BC5D11" w:rsidRDefault="00984423" w:rsidP="00984423">
          <w:pPr>
            <w:numPr>
              <w:ilvl w:val="0"/>
              <w:numId w:val="4"/>
            </w:num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indicate the specific question to which the comment relates;</w:t>
          </w:r>
        </w:p>
        <w:p w14:paraId="779F4498" w14:textId="77777777" w:rsidR="00984423" w:rsidRPr="00BC5D11" w:rsidRDefault="00984423" w:rsidP="00984423">
          <w:pPr>
            <w:numPr>
              <w:ilvl w:val="0"/>
              <w:numId w:val="4"/>
            </w:num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contain a clear rationale; and</w:t>
          </w:r>
        </w:p>
        <w:p w14:paraId="3417713B" w14:textId="77777777" w:rsidR="00984423" w:rsidRPr="00BC5D11" w:rsidRDefault="00984423" w:rsidP="00984423">
          <w:pPr>
            <w:numPr>
              <w:ilvl w:val="0"/>
              <w:numId w:val="4"/>
            </w:num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describe any alternatives ESMA should consider.</w:t>
          </w:r>
        </w:p>
        <w:p w14:paraId="025FC193" w14:textId="77777777" w:rsidR="00984423" w:rsidRPr="00BC5D11" w:rsidRDefault="00984423" w:rsidP="00984423">
          <w:pPr>
            <w:spacing w:after="250" w:line="276" w:lineRule="auto"/>
            <w:jc w:val="both"/>
            <w:rPr>
              <w:rFonts w:ascii="Arial" w:eastAsiaTheme="minorEastAsia" w:hAnsi="Arial" w:cs="Arial"/>
              <w:sz w:val="22"/>
              <w:szCs w:val="20"/>
              <w:lang w:val="en-US" w:eastAsia="en-US"/>
            </w:rPr>
          </w:pPr>
          <w:r w:rsidRPr="00BC5D11">
            <w:rPr>
              <w:rFonts w:ascii="Arial" w:eastAsiaTheme="minorEastAsia" w:hAnsi="Arial" w:cs="Arial"/>
              <w:sz w:val="22"/>
              <w:szCs w:val="20"/>
              <w:lang w:val="en-US" w:eastAsia="en-US"/>
            </w:rPr>
            <w:t xml:space="preserve">ESMA will consider all comments received by </w:t>
          </w:r>
          <w:r w:rsidRPr="00BC5D11">
            <w:rPr>
              <w:rFonts w:ascii="Arial" w:eastAsiaTheme="minorEastAsia" w:hAnsi="Arial" w:cs="Arial"/>
              <w:b/>
              <w:sz w:val="22"/>
              <w:szCs w:val="20"/>
              <w:lang w:val="en-US" w:eastAsia="en-US"/>
            </w:rPr>
            <w:t xml:space="preserve">11 January 2021. </w:t>
          </w:r>
        </w:p>
        <w:p w14:paraId="2E91CF6A"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val="en-US" w:eastAsia="en-US"/>
            </w:rPr>
            <w:t xml:space="preserve">All contributions should be submitted online at </w:t>
          </w:r>
          <w:hyperlink r:id="rId17" w:history="1">
            <w:r w:rsidRPr="00BC5D11">
              <w:rPr>
                <w:rFonts w:ascii="Arial" w:eastAsiaTheme="minorEastAsia" w:hAnsi="Arial" w:cs="Arial"/>
                <w:color w:val="0563C1" w:themeColor="hyperlink"/>
                <w:sz w:val="22"/>
                <w:szCs w:val="20"/>
                <w:u w:val="single"/>
                <w:lang w:eastAsia="en-US"/>
              </w:rPr>
              <w:t>www.esma.europa.eu</w:t>
            </w:r>
          </w:hyperlink>
          <w:r w:rsidRPr="00BC5D11">
            <w:rPr>
              <w:rFonts w:ascii="Arial" w:eastAsiaTheme="minorEastAsia" w:hAnsi="Arial" w:cs="Arial"/>
              <w:sz w:val="22"/>
              <w:szCs w:val="20"/>
              <w:lang w:eastAsia="en-US"/>
            </w:rPr>
            <w:t xml:space="preserve"> under the heading ‘Your input - Consultations’. </w:t>
          </w:r>
        </w:p>
        <w:p w14:paraId="2ACED307" w14:textId="77777777" w:rsidR="00984423" w:rsidRPr="00BC5D11" w:rsidRDefault="00984423" w:rsidP="00984423">
          <w:pPr>
            <w:spacing w:after="250" w:line="276" w:lineRule="auto"/>
            <w:jc w:val="both"/>
            <w:rPr>
              <w:rFonts w:ascii="Arial" w:eastAsiaTheme="minorEastAsia" w:hAnsi="Arial" w:cs="Arial"/>
              <w:b/>
              <w:sz w:val="22"/>
              <w:szCs w:val="20"/>
              <w:lang w:eastAsia="en-US"/>
            </w:rPr>
          </w:pPr>
          <w:r w:rsidRPr="00BC5D11">
            <w:rPr>
              <w:rFonts w:ascii="Arial" w:eastAsiaTheme="minorEastAsia" w:hAnsi="Arial" w:cs="Arial"/>
              <w:b/>
              <w:sz w:val="22"/>
              <w:szCs w:val="20"/>
              <w:lang w:eastAsia="en-US"/>
            </w:rPr>
            <w:t>Instructions</w:t>
          </w:r>
        </w:p>
        <w:p w14:paraId="5B8282E4"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In order to facilitate analysis of responses to the Consultation Paper, respondents are requested to follow the below steps when preparing and submitting their response:</w:t>
          </w:r>
        </w:p>
        <w:p w14:paraId="38E44C61" w14:textId="77777777" w:rsidR="00984423" w:rsidRPr="00F6575F" w:rsidRDefault="00984423" w:rsidP="007601FA">
          <w:pPr>
            <w:pStyle w:val="Listenabsatz"/>
            <w:numPr>
              <w:ilvl w:val="0"/>
              <w:numId w:val="3"/>
            </w:numPr>
          </w:pPr>
          <w:r w:rsidRPr="00F6575F">
            <w:t xml:space="preserve">Insert your responses to the questions in the Consultation Paper in the present response form. </w:t>
          </w:r>
        </w:p>
        <w:p w14:paraId="29530021" w14:textId="77777777" w:rsidR="00984423" w:rsidRPr="00F6575F" w:rsidRDefault="00984423" w:rsidP="007601FA">
          <w:pPr>
            <w:pStyle w:val="Listenabsatz"/>
            <w:numPr>
              <w:ilvl w:val="0"/>
              <w:numId w:val="3"/>
            </w:numPr>
          </w:pPr>
          <w:r w:rsidRPr="00F6575F">
            <w:t>Please do not remove tags of the type &lt;ESMA_QUESTION_GOMD_1&gt;. Your response to each question has to be framed by the two tags corresponding to the question.</w:t>
          </w:r>
        </w:p>
        <w:p w14:paraId="7038B220" w14:textId="77777777" w:rsidR="00984423" w:rsidRPr="00F6575F" w:rsidRDefault="00984423" w:rsidP="007601FA">
          <w:pPr>
            <w:pStyle w:val="Listenabsatz"/>
            <w:numPr>
              <w:ilvl w:val="0"/>
              <w:numId w:val="3"/>
            </w:numPr>
          </w:pPr>
          <w:r w:rsidRPr="00F6575F">
            <w:t>If you do not wish to respond to a given question, please do not delete it but simply leave the text “TYPE YOUR TEXT HERE” between the tags.</w:t>
          </w:r>
        </w:p>
        <w:p w14:paraId="4A16620C" w14:textId="25CD7937" w:rsidR="00984423" w:rsidRPr="00F6575F" w:rsidRDefault="00984423" w:rsidP="007601FA">
          <w:pPr>
            <w:pStyle w:val="Listenabsatz"/>
            <w:numPr>
              <w:ilvl w:val="0"/>
              <w:numId w:val="3"/>
            </w:numPr>
          </w:pPr>
          <w:r w:rsidRPr="00F6575F">
            <w:t>When you have drafted your response, name your response form according to the following convention: ESMA_</w:t>
          </w:r>
          <w:r w:rsidR="00A42E5E" w:rsidRPr="00F6575F">
            <w:t>GOMD</w:t>
          </w:r>
          <w:r w:rsidRPr="00F6575F">
            <w:t>_nameofrespondent_RESPONSEFORM. For example, for a respondent named ABCD, the response form would be entitled ESMA_GOMD_ABCD_RESPONSEFORM.</w:t>
          </w:r>
        </w:p>
        <w:p w14:paraId="57BC39E7" w14:textId="77777777" w:rsidR="00984423" w:rsidRPr="00F6575F" w:rsidRDefault="00984423" w:rsidP="007601FA">
          <w:pPr>
            <w:pStyle w:val="Listenabsatz"/>
            <w:numPr>
              <w:ilvl w:val="0"/>
              <w:numId w:val="3"/>
            </w:numPr>
          </w:pPr>
          <w:bookmarkStart w:id="0" w:name="_Hlk55292859"/>
          <w:r w:rsidRPr="00F6575F">
            <w:t>Upload the form containing your responses, in Word format, to ESMA’s website (</w:t>
          </w:r>
          <w:hyperlink r:id="rId18" w:history="1">
            <w:r w:rsidRPr="00F6575F">
              <w:t>www.esma.europa.eu</w:t>
            </w:r>
          </w:hyperlink>
          <w:r w:rsidRPr="00F6575F">
            <w:t xml:space="preserve"> under the heading “Your input – Open consultations” </w:t>
          </w:r>
          <w:r w:rsidRPr="00F6575F">
            <w:sym w:font="Wingdings" w:char="F0E0"/>
          </w:r>
          <w:r w:rsidRPr="00F6575F">
            <w:t xml:space="preserve"> “Consultation on the Guidelines on the MiFID II/MiFIR obligations on market data”).</w:t>
          </w:r>
        </w:p>
        <w:bookmarkEnd w:id="0"/>
        <w:p w14:paraId="6B06410F" w14:textId="77777777" w:rsidR="00984423" w:rsidRPr="00BC5D11" w:rsidRDefault="00984423" w:rsidP="00984423">
          <w:pPr>
            <w:spacing w:after="250" w:line="276" w:lineRule="auto"/>
            <w:jc w:val="both"/>
            <w:rPr>
              <w:rFonts w:ascii="Arial" w:eastAsiaTheme="minorEastAsia" w:hAnsi="Arial" w:cs="Arial"/>
              <w:sz w:val="22"/>
              <w:szCs w:val="20"/>
              <w:lang w:eastAsia="en-US"/>
            </w:rPr>
          </w:pPr>
        </w:p>
        <w:p w14:paraId="69FADD19" w14:textId="77777777" w:rsidR="00984423" w:rsidRPr="00BC5D11" w:rsidRDefault="00984423" w:rsidP="00984423">
          <w:pPr>
            <w:spacing w:after="250" w:line="276" w:lineRule="auto"/>
            <w:jc w:val="both"/>
            <w:rPr>
              <w:rFonts w:ascii="Arial" w:eastAsiaTheme="minorEastAsia" w:hAnsi="Arial" w:cs="Arial"/>
              <w:sz w:val="22"/>
              <w:szCs w:val="20"/>
              <w:lang w:eastAsia="en-US"/>
            </w:rPr>
          </w:pPr>
        </w:p>
        <w:p w14:paraId="580103A3" w14:textId="77777777" w:rsidR="00984423" w:rsidRPr="00BC5D11" w:rsidRDefault="00984423" w:rsidP="00984423">
          <w:pPr>
            <w:spacing w:after="250" w:line="276" w:lineRule="auto"/>
            <w:jc w:val="both"/>
            <w:rPr>
              <w:rFonts w:ascii="Arial" w:eastAsiaTheme="minorEastAsia" w:hAnsi="Arial" w:cs="Arial"/>
              <w:sz w:val="22"/>
              <w:szCs w:val="20"/>
              <w:lang w:eastAsia="en-US"/>
            </w:rPr>
          </w:pPr>
        </w:p>
        <w:p w14:paraId="15B4D787" w14:textId="55CACA96" w:rsidR="00C52785" w:rsidRDefault="00C52785" w:rsidP="00984423">
          <w:pPr>
            <w:spacing w:after="250" w:line="276" w:lineRule="auto"/>
            <w:jc w:val="both"/>
            <w:rPr>
              <w:rFonts w:ascii="Arial" w:eastAsiaTheme="minorEastAsia" w:hAnsi="Arial" w:cs="Arial"/>
              <w:b/>
              <w:sz w:val="22"/>
              <w:szCs w:val="20"/>
              <w:lang w:eastAsia="en-US"/>
            </w:rPr>
          </w:pPr>
        </w:p>
        <w:p w14:paraId="5FCAAD57" w14:textId="77777777" w:rsidR="00172804" w:rsidRPr="00BC5D11" w:rsidRDefault="00172804" w:rsidP="00984423">
          <w:pPr>
            <w:spacing w:after="250" w:line="276" w:lineRule="auto"/>
            <w:jc w:val="both"/>
            <w:rPr>
              <w:rFonts w:ascii="Arial" w:eastAsiaTheme="minorEastAsia" w:hAnsi="Arial" w:cs="Arial"/>
              <w:b/>
              <w:sz w:val="22"/>
              <w:szCs w:val="20"/>
              <w:lang w:eastAsia="en-US"/>
            </w:rPr>
          </w:pPr>
        </w:p>
        <w:p w14:paraId="39F57236" w14:textId="455980F4" w:rsidR="00984423" w:rsidRPr="00BC5D11" w:rsidRDefault="00984423" w:rsidP="00984423">
          <w:pPr>
            <w:spacing w:after="250" w:line="276" w:lineRule="auto"/>
            <w:jc w:val="both"/>
            <w:rPr>
              <w:rFonts w:ascii="Arial" w:eastAsiaTheme="minorEastAsia" w:hAnsi="Arial" w:cs="Arial"/>
              <w:b/>
              <w:sz w:val="22"/>
              <w:szCs w:val="20"/>
              <w:lang w:eastAsia="en-US"/>
            </w:rPr>
          </w:pPr>
          <w:r w:rsidRPr="00BC5D11">
            <w:rPr>
              <w:rFonts w:ascii="Arial" w:eastAsiaTheme="minorEastAsia" w:hAnsi="Arial" w:cs="Arial"/>
              <w:b/>
              <w:sz w:val="22"/>
              <w:szCs w:val="20"/>
              <w:lang w:eastAsia="en-US"/>
            </w:rPr>
            <w:lastRenderedPageBreak/>
            <w:t>Publication of responses</w:t>
          </w:r>
        </w:p>
        <w:p w14:paraId="182B4DF9"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05B0074" w14:textId="77777777" w:rsidR="00984423" w:rsidRPr="00BC5D11" w:rsidRDefault="00984423" w:rsidP="00984423">
          <w:pPr>
            <w:spacing w:after="250" w:line="276" w:lineRule="auto"/>
            <w:jc w:val="both"/>
            <w:rPr>
              <w:rFonts w:ascii="Arial" w:eastAsiaTheme="minorEastAsia" w:hAnsi="Arial" w:cs="Arial"/>
              <w:b/>
              <w:sz w:val="22"/>
              <w:szCs w:val="20"/>
              <w:lang w:eastAsia="en-US"/>
            </w:rPr>
          </w:pPr>
          <w:r w:rsidRPr="00BC5D11">
            <w:rPr>
              <w:rFonts w:ascii="Arial" w:eastAsiaTheme="minorEastAsia" w:hAnsi="Arial" w:cs="Arial"/>
              <w:b/>
              <w:sz w:val="22"/>
              <w:szCs w:val="20"/>
              <w:lang w:eastAsia="en-US"/>
            </w:rPr>
            <w:t>Data protection</w:t>
          </w:r>
        </w:p>
        <w:p w14:paraId="4E2D486B"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 xml:space="preserve">Information on data protection can be found at </w:t>
          </w:r>
          <w:hyperlink r:id="rId19" w:history="1">
            <w:r w:rsidRPr="00BC5D11">
              <w:rPr>
                <w:rFonts w:ascii="Arial" w:eastAsiaTheme="minorEastAsia" w:hAnsi="Arial" w:cs="Arial"/>
                <w:color w:val="0563C1" w:themeColor="hyperlink"/>
                <w:sz w:val="22"/>
                <w:szCs w:val="20"/>
                <w:u w:val="single"/>
                <w:lang w:eastAsia="en-US"/>
              </w:rPr>
              <w:t>www.esma.europa.eu</w:t>
            </w:r>
          </w:hyperlink>
          <w:r w:rsidRPr="00BC5D11">
            <w:rPr>
              <w:rFonts w:ascii="Arial" w:eastAsiaTheme="minorEastAsia" w:hAnsi="Arial" w:cs="Arial"/>
              <w:sz w:val="22"/>
              <w:szCs w:val="20"/>
              <w:lang w:eastAsia="en-US"/>
            </w:rPr>
            <w:t xml:space="preserve"> under the heading </w:t>
          </w:r>
          <w:hyperlink r:id="rId20" w:history="1">
            <w:r w:rsidRPr="00BC5D11">
              <w:rPr>
                <w:rFonts w:ascii="Arial" w:eastAsiaTheme="minorEastAsia" w:hAnsi="Arial" w:cs="Arial"/>
                <w:color w:val="0563C1" w:themeColor="hyperlink"/>
                <w:sz w:val="22"/>
                <w:szCs w:val="20"/>
                <w:u w:val="single"/>
                <w:lang w:eastAsia="en-US"/>
              </w:rPr>
              <w:t>Legal Notice</w:t>
            </w:r>
          </w:hyperlink>
          <w:r w:rsidRPr="00BC5D11">
            <w:rPr>
              <w:rFonts w:ascii="Arial" w:eastAsiaTheme="minorEastAsia" w:hAnsi="Arial" w:cs="Arial"/>
              <w:sz w:val="22"/>
              <w:szCs w:val="20"/>
              <w:lang w:eastAsia="en-US"/>
            </w:rPr>
            <w:t>.</w:t>
          </w:r>
        </w:p>
        <w:p w14:paraId="3A400863"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b/>
              <w:sz w:val="22"/>
              <w:szCs w:val="20"/>
              <w:lang w:eastAsia="en-US"/>
            </w:rPr>
            <w:t>Who should read this paper</w:t>
          </w:r>
        </w:p>
        <w:p w14:paraId="458E9DCC" w14:textId="77777777" w:rsidR="00984423" w:rsidRPr="00BC5D11" w:rsidRDefault="00984423" w:rsidP="00984423">
          <w:pPr>
            <w:spacing w:after="250" w:line="276" w:lineRule="auto"/>
            <w:jc w:val="both"/>
            <w:rPr>
              <w:rFonts w:ascii="Arial" w:hAnsi="Arial" w:cs="Arial"/>
              <w:lang w:val="en-US"/>
            </w:rPr>
          </w:pPr>
          <w:r w:rsidRPr="00BC5D11">
            <w:rPr>
              <w:rFonts w:ascii="Arial" w:hAnsi="Arial" w:cs="Arial"/>
              <w:sz w:val="22"/>
              <w:szCs w:val="22"/>
              <w:lang w:eastAsia="it-IT"/>
            </w:rPr>
            <w:t>This consultation paper is interesting for you if you are a trading venue, an APA, an SI or a consumer of market data.</w:t>
          </w:r>
        </w:p>
      </w:sdtContent>
    </w:sdt>
    <w:p w14:paraId="0B48812A" w14:textId="77777777" w:rsidR="00984423" w:rsidRPr="00BC5D11" w:rsidRDefault="00984423" w:rsidP="00984423">
      <w:pPr>
        <w:spacing w:after="120" w:line="276" w:lineRule="auto"/>
        <w:rPr>
          <w:rFonts w:ascii="Arial" w:hAnsi="Arial" w:cs="Arial"/>
          <w:lang w:val="en-US"/>
        </w:rPr>
      </w:pPr>
    </w:p>
    <w:p w14:paraId="778FEADE" w14:textId="77777777" w:rsidR="00984423" w:rsidRPr="00BC5D11" w:rsidRDefault="00984423" w:rsidP="00984423">
      <w:pPr>
        <w:spacing w:after="120" w:line="276" w:lineRule="auto"/>
        <w:rPr>
          <w:rFonts w:ascii="Arial" w:hAnsi="Arial" w:cs="Arial"/>
          <w:lang w:val="en-US"/>
        </w:rPr>
      </w:pPr>
    </w:p>
    <w:p w14:paraId="673232D8" w14:textId="77777777" w:rsidR="00984423" w:rsidRPr="00BC5D11" w:rsidRDefault="00984423" w:rsidP="00984423">
      <w:pPr>
        <w:pStyle w:val="berschrift1"/>
        <w:numPr>
          <w:ilvl w:val="0"/>
          <w:numId w:val="0"/>
        </w:numPr>
        <w:spacing w:line="276" w:lineRule="auto"/>
        <w:rPr>
          <w:rFonts w:ascii="Arial" w:hAnsi="Arial" w:cs="Arial"/>
          <w:sz w:val="24"/>
          <w:szCs w:val="24"/>
          <w:lang w:val="en-US"/>
        </w:rPr>
      </w:pPr>
      <w:r w:rsidRPr="00BC5D11">
        <w:rPr>
          <w:rFonts w:ascii="Arial" w:hAnsi="Arial" w:cs="Arial"/>
          <w:sz w:val="24"/>
          <w:szCs w:val="24"/>
          <w:lang w:val="en-US"/>
        </w:rPr>
        <w:br w:type="page"/>
      </w:r>
    </w:p>
    <w:p w14:paraId="0BD56D67" w14:textId="77777777" w:rsidR="00984423" w:rsidRPr="00BC5D11" w:rsidRDefault="00984423" w:rsidP="00984423">
      <w:pPr>
        <w:spacing w:line="276" w:lineRule="auto"/>
        <w:rPr>
          <w:rFonts w:ascii="Arial" w:hAnsi="Arial" w:cs="Arial"/>
          <w:b/>
          <w:sz w:val="28"/>
          <w:szCs w:val="28"/>
          <w:lang w:val="en-US"/>
        </w:rPr>
      </w:pPr>
      <w:bookmarkStart w:id="1" w:name="_Toc515564428"/>
    </w:p>
    <w:p w14:paraId="15D2AF3C" w14:textId="77777777" w:rsidR="00984423" w:rsidRPr="00BC5D11" w:rsidRDefault="00984423" w:rsidP="00984423">
      <w:pPr>
        <w:spacing w:line="276" w:lineRule="auto"/>
        <w:rPr>
          <w:rFonts w:ascii="Arial" w:hAnsi="Arial" w:cs="Arial"/>
          <w:b/>
          <w:sz w:val="28"/>
          <w:szCs w:val="28"/>
          <w:lang w:val="en-US"/>
        </w:rPr>
      </w:pPr>
    </w:p>
    <w:p w14:paraId="4E9947B8" w14:textId="77777777" w:rsidR="00984423" w:rsidRPr="00BC5D11" w:rsidRDefault="00984423" w:rsidP="00984423">
      <w:pPr>
        <w:spacing w:line="276" w:lineRule="auto"/>
        <w:rPr>
          <w:rFonts w:ascii="Arial" w:hAnsi="Arial" w:cs="Arial"/>
          <w:b/>
          <w:sz w:val="28"/>
          <w:szCs w:val="28"/>
          <w:lang w:val="en-US"/>
        </w:rPr>
      </w:pPr>
    </w:p>
    <w:p w14:paraId="69613D26" w14:textId="77777777" w:rsidR="00984423" w:rsidRPr="00BC5D11" w:rsidRDefault="00984423" w:rsidP="00984423">
      <w:pPr>
        <w:keepNext/>
        <w:keepLines/>
        <w:spacing w:before="320" w:after="250" w:line="276" w:lineRule="auto"/>
        <w:jc w:val="both"/>
        <w:outlineLvl w:val="0"/>
        <w:rPr>
          <w:rFonts w:ascii="Arial" w:eastAsiaTheme="majorEastAsia" w:hAnsi="Arial" w:cs="Arial"/>
          <w:b/>
          <w:sz w:val="32"/>
          <w:szCs w:val="32"/>
          <w:lang w:val="en-US" w:eastAsia="en-US"/>
        </w:rPr>
      </w:pPr>
      <w:r w:rsidRPr="00BC5D11">
        <w:rPr>
          <w:rFonts w:ascii="Arial" w:eastAsiaTheme="majorEastAsia" w:hAnsi="Arial" w:cs="Arial"/>
          <w:b/>
          <w:sz w:val="32"/>
          <w:szCs w:val="32"/>
          <w:lang w:val="en-US"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84423" w:rsidRPr="00F6575F" w14:paraId="6293E8D1" w14:textId="77777777" w:rsidTr="00B60ED2">
        <w:tc>
          <w:tcPr>
            <w:tcW w:w="3929" w:type="dxa"/>
            <w:shd w:val="clear" w:color="auto" w:fill="auto"/>
          </w:tcPr>
          <w:p w14:paraId="5273DCCE" w14:textId="77777777" w:rsidR="00984423" w:rsidRPr="00BC5D11" w:rsidRDefault="00984423" w:rsidP="00B60ED2">
            <w:pPr>
              <w:rPr>
                <w:rFonts w:ascii="Arial" w:hAnsi="Arial" w:cs="Arial"/>
                <w:sz w:val="22"/>
                <w:lang w:val="en-US" w:eastAsia="de-DE"/>
              </w:rPr>
            </w:pPr>
            <w:r w:rsidRPr="00BC5D11">
              <w:rPr>
                <w:rFonts w:ascii="Arial" w:hAnsi="Arial" w:cs="Arial"/>
                <w:sz w:val="22"/>
                <w:lang w:val="en-US" w:eastAsia="de-DE"/>
              </w:rPr>
              <w:t>Name of the company / organisation</w:t>
            </w:r>
          </w:p>
        </w:tc>
        <w:sdt>
          <w:sdtPr>
            <w:rPr>
              <w:rFonts w:ascii="Arial" w:hAnsi="Arial" w:cs="Arial"/>
              <w:color w:val="808080"/>
              <w:sz w:val="20"/>
              <w:lang w:eastAsia="de-DE"/>
            </w:rPr>
            <w:id w:val="-1905066999"/>
            <w:placeholder>
              <w:docPart w:val="CE74A0FD359A46749F716E2EB93E2B8A"/>
            </w:placeholder>
            <w:text/>
          </w:sdtPr>
          <w:sdtEndPr/>
          <w:sdtContent>
            <w:tc>
              <w:tcPr>
                <w:tcW w:w="5595" w:type="dxa"/>
                <w:shd w:val="clear" w:color="auto" w:fill="auto"/>
              </w:tcPr>
              <w:p w14:paraId="41EAAA4B" w14:textId="7E6002CD" w:rsidR="00984423" w:rsidRPr="00BC5D11" w:rsidRDefault="00FF3EDB" w:rsidP="00B60ED2">
                <w:pPr>
                  <w:rPr>
                    <w:rFonts w:ascii="Arial" w:hAnsi="Arial" w:cs="Arial"/>
                    <w:color w:val="808080"/>
                    <w:sz w:val="20"/>
                    <w:lang w:eastAsia="de-DE"/>
                  </w:rPr>
                </w:pPr>
                <w:r w:rsidRPr="00BC5D11">
                  <w:rPr>
                    <w:rFonts w:ascii="Arial" w:hAnsi="Arial" w:cs="Arial"/>
                    <w:color w:val="808080"/>
                    <w:sz w:val="20"/>
                    <w:lang w:eastAsia="de-DE"/>
                  </w:rPr>
                  <w:t>Deutsche Börse Group (DBG)</w:t>
                </w:r>
              </w:p>
            </w:tc>
          </w:sdtContent>
        </w:sdt>
      </w:tr>
      <w:tr w:rsidR="00984423" w:rsidRPr="00F6575F" w14:paraId="6E65739C" w14:textId="77777777" w:rsidTr="00B60ED2">
        <w:tc>
          <w:tcPr>
            <w:tcW w:w="3929" w:type="dxa"/>
            <w:shd w:val="clear" w:color="auto" w:fill="auto"/>
          </w:tcPr>
          <w:p w14:paraId="5F579781" w14:textId="77777777" w:rsidR="00984423" w:rsidRPr="00BC5D11" w:rsidRDefault="00984423" w:rsidP="00B60ED2">
            <w:pPr>
              <w:rPr>
                <w:rFonts w:ascii="Arial" w:hAnsi="Arial" w:cs="Arial"/>
                <w:sz w:val="22"/>
                <w:lang w:eastAsia="de-DE"/>
              </w:rPr>
            </w:pPr>
            <w:r w:rsidRPr="00BC5D11">
              <w:rPr>
                <w:rFonts w:ascii="Arial" w:hAnsi="Arial" w:cs="Arial"/>
                <w:sz w:val="22"/>
                <w:lang w:eastAsia="de-DE"/>
              </w:rPr>
              <w:t>Activity</w:t>
            </w:r>
          </w:p>
        </w:tc>
        <w:tc>
          <w:tcPr>
            <w:tcW w:w="5595" w:type="dxa"/>
            <w:shd w:val="clear" w:color="auto" w:fill="auto"/>
          </w:tcPr>
          <w:p w14:paraId="3E5C1A30" w14:textId="075C30EA" w:rsidR="00984423" w:rsidRPr="00BC5D11" w:rsidRDefault="00C75A0F" w:rsidP="00B60ED2">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F3EDB" w:rsidRPr="00BC5D11">
                  <w:rPr>
                    <w:rFonts w:ascii="Arial" w:hAnsi="Arial" w:cs="Arial"/>
                    <w:sz w:val="20"/>
                    <w:lang w:eastAsia="de-DE"/>
                  </w:rPr>
                  <w:t>Regulated markets/Exchanges/Trading Systems</w:t>
                </w:r>
              </w:sdtContent>
            </w:sdt>
          </w:p>
        </w:tc>
      </w:tr>
      <w:tr w:rsidR="00984423" w:rsidRPr="00F6575F" w14:paraId="341B9BB4" w14:textId="77777777" w:rsidTr="00B60ED2">
        <w:tc>
          <w:tcPr>
            <w:tcW w:w="3929" w:type="dxa"/>
            <w:shd w:val="clear" w:color="auto" w:fill="auto"/>
          </w:tcPr>
          <w:p w14:paraId="45110F26" w14:textId="77777777" w:rsidR="00984423" w:rsidRPr="00BC5D11" w:rsidRDefault="00984423" w:rsidP="00B60ED2">
            <w:pPr>
              <w:rPr>
                <w:rFonts w:ascii="Arial" w:hAnsi="Arial" w:cs="Arial"/>
                <w:sz w:val="22"/>
                <w:lang w:eastAsia="de-DE"/>
              </w:rPr>
            </w:pPr>
            <w:r w:rsidRPr="00BC5D11">
              <w:rPr>
                <w:rFonts w:ascii="Arial" w:hAnsi="Arial" w:cs="Arial"/>
                <w:sz w:val="22"/>
                <w:lang w:eastAsia="de-DE"/>
              </w:rPr>
              <w:t>Are you representing an association?</w:t>
            </w:r>
          </w:p>
        </w:tc>
        <w:sdt>
          <w:sdtPr>
            <w:rPr>
              <w:rFonts w:ascii="Segoe UI Symbol" w:hAnsi="Segoe UI Symbol" w:cs="Segoe UI Symbo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A7EF8CD" w14:textId="77777777" w:rsidR="00984423" w:rsidRPr="00BC5D11" w:rsidRDefault="00984423" w:rsidP="00B60ED2">
                <w:pPr>
                  <w:rPr>
                    <w:rFonts w:ascii="Arial" w:hAnsi="Arial" w:cs="Arial"/>
                    <w:sz w:val="20"/>
                    <w:lang w:eastAsia="de-DE"/>
                  </w:rPr>
                </w:pPr>
                <w:r w:rsidRPr="00BC5D11">
                  <w:rPr>
                    <w:rFonts w:ascii="Segoe UI Symbol" w:hAnsi="Segoe UI Symbol" w:cs="Segoe UI Symbol"/>
                    <w:sz w:val="20"/>
                    <w:lang w:eastAsia="de-DE"/>
                  </w:rPr>
                  <w:t>☐</w:t>
                </w:r>
              </w:p>
            </w:tc>
          </w:sdtContent>
        </w:sdt>
      </w:tr>
      <w:tr w:rsidR="00984423" w:rsidRPr="00F6575F" w14:paraId="1494F7A0" w14:textId="77777777" w:rsidTr="00B60ED2">
        <w:tc>
          <w:tcPr>
            <w:tcW w:w="3929" w:type="dxa"/>
            <w:shd w:val="clear" w:color="auto" w:fill="auto"/>
          </w:tcPr>
          <w:p w14:paraId="223109F4" w14:textId="77777777" w:rsidR="00984423" w:rsidRPr="00BC5D11" w:rsidRDefault="00984423" w:rsidP="00B60ED2">
            <w:pPr>
              <w:rPr>
                <w:rFonts w:ascii="Arial" w:hAnsi="Arial" w:cs="Arial"/>
                <w:sz w:val="22"/>
                <w:lang w:eastAsia="de-DE"/>
              </w:rPr>
            </w:pPr>
            <w:r w:rsidRPr="00BC5D11">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33307466196D4DD085FDE4C3414522E1"/>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E57AD02" w14:textId="3843D7A7" w:rsidR="00984423" w:rsidRPr="00BC5D11" w:rsidRDefault="00FF3EDB" w:rsidP="00B60ED2">
                <w:pPr>
                  <w:rPr>
                    <w:rFonts w:ascii="Arial" w:hAnsi="Arial" w:cs="Arial"/>
                    <w:sz w:val="20"/>
                    <w:lang w:eastAsia="de-DE"/>
                  </w:rPr>
                </w:pPr>
                <w:r w:rsidRPr="00BC5D11">
                  <w:rPr>
                    <w:rFonts w:ascii="Arial" w:hAnsi="Arial" w:cs="Arial"/>
                    <w:sz w:val="20"/>
                    <w:lang w:eastAsia="de-DE"/>
                  </w:rPr>
                  <w:t>Germany</w:t>
                </w:r>
              </w:p>
            </w:tc>
          </w:sdtContent>
        </w:sdt>
      </w:tr>
    </w:tbl>
    <w:p w14:paraId="31EC7D0F" w14:textId="77777777" w:rsidR="00984423" w:rsidRPr="00BC5D11" w:rsidRDefault="00984423" w:rsidP="00984423">
      <w:pPr>
        <w:spacing w:after="120" w:line="264" w:lineRule="auto"/>
        <w:jc w:val="both"/>
        <w:rPr>
          <w:rFonts w:ascii="Arial" w:eastAsiaTheme="minorEastAsia" w:hAnsi="Arial" w:cs="Arial"/>
          <w:sz w:val="22"/>
          <w:szCs w:val="20"/>
          <w:lang w:eastAsia="en-US"/>
        </w:rPr>
      </w:pPr>
    </w:p>
    <w:p w14:paraId="58866A4F" w14:textId="77777777" w:rsidR="00984423" w:rsidRPr="00BC5D11" w:rsidRDefault="00984423" w:rsidP="00984423">
      <w:pPr>
        <w:spacing w:after="120" w:line="264" w:lineRule="auto"/>
        <w:jc w:val="both"/>
        <w:rPr>
          <w:rFonts w:ascii="Arial" w:eastAsiaTheme="minorEastAsia" w:hAnsi="Arial" w:cs="Arial"/>
          <w:sz w:val="22"/>
          <w:szCs w:val="20"/>
          <w:lang w:eastAsia="en-US"/>
        </w:rPr>
      </w:pPr>
    </w:p>
    <w:p w14:paraId="37A94BF1" w14:textId="77777777" w:rsidR="00984423" w:rsidRPr="00BC5D11" w:rsidRDefault="00984423" w:rsidP="00984423">
      <w:pPr>
        <w:spacing w:after="120" w:line="264" w:lineRule="auto"/>
        <w:jc w:val="both"/>
        <w:rPr>
          <w:rFonts w:ascii="Arial" w:eastAsiaTheme="minorEastAsia" w:hAnsi="Arial" w:cs="Arial"/>
          <w:sz w:val="22"/>
          <w:szCs w:val="20"/>
          <w:lang w:eastAsia="en-US"/>
        </w:rPr>
      </w:pPr>
    </w:p>
    <w:p w14:paraId="74D31DF6" w14:textId="77777777" w:rsidR="00984423" w:rsidRPr="00BC5D11" w:rsidRDefault="00984423" w:rsidP="00984423">
      <w:pPr>
        <w:keepNext/>
        <w:keepLines/>
        <w:spacing w:before="320" w:after="250" w:line="276" w:lineRule="auto"/>
        <w:ind w:left="431" w:hanging="431"/>
        <w:jc w:val="both"/>
        <w:outlineLvl w:val="0"/>
        <w:rPr>
          <w:rFonts w:ascii="Arial" w:eastAsiaTheme="majorEastAsia" w:hAnsi="Arial" w:cs="Arial"/>
          <w:b/>
          <w:sz w:val="32"/>
          <w:szCs w:val="32"/>
          <w:lang w:eastAsia="en-US"/>
        </w:rPr>
      </w:pPr>
      <w:r w:rsidRPr="00BC5D11">
        <w:rPr>
          <w:rFonts w:ascii="Arial" w:eastAsiaTheme="majorEastAsia" w:hAnsi="Arial" w:cs="Arial"/>
          <w:b/>
          <w:sz w:val="32"/>
          <w:szCs w:val="32"/>
          <w:lang w:eastAsia="en-US"/>
        </w:rPr>
        <w:t>Introduction</w:t>
      </w:r>
    </w:p>
    <w:p w14:paraId="62315629" w14:textId="77777777" w:rsidR="00984423" w:rsidRPr="00BC5D11" w:rsidRDefault="00984423" w:rsidP="00984423">
      <w:pPr>
        <w:spacing w:after="250" w:line="276" w:lineRule="auto"/>
        <w:jc w:val="both"/>
        <w:rPr>
          <w:rFonts w:ascii="Arial" w:eastAsiaTheme="minorEastAsia" w:hAnsi="Arial" w:cs="Arial"/>
          <w:b/>
          <w:i/>
          <w:sz w:val="22"/>
          <w:szCs w:val="20"/>
          <w:lang w:eastAsia="en-US"/>
        </w:rPr>
      </w:pPr>
      <w:r w:rsidRPr="00BC5D11">
        <w:rPr>
          <w:rFonts w:ascii="Arial" w:eastAsiaTheme="minorEastAsia" w:hAnsi="Arial" w:cs="Arial"/>
          <w:b/>
          <w:i/>
          <w:sz w:val="22"/>
          <w:szCs w:val="20"/>
          <w:lang w:eastAsia="en-US"/>
        </w:rPr>
        <w:t>Please make your introductory comments below, if any</w:t>
      </w:r>
    </w:p>
    <w:p w14:paraId="19C33D09" w14:textId="21B2620E"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&lt;ESMA_COMMENT_GOMD_1&gt;</w:t>
      </w:r>
    </w:p>
    <w:p w14:paraId="1DE96A70" w14:textId="31B5D7BD" w:rsidR="00653D30" w:rsidRPr="00BC5D11" w:rsidRDefault="00653D30" w:rsidP="007601FA">
      <w:pPr>
        <w:spacing w:after="160"/>
        <w:jc w:val="both"/>
        <w:rPr>
          <w:rFonts w:ascii="Arial" w:eastAsiaTheme="minorEastAsia" w:hAnsi="Arial" w:cs="Arial"/>
          <w:sz w:val="22"/>
          <w:szCs w:val="20"/>
          <w:lang w:eastAsia="en-US"/>
        </w:rPr>
      </w:pPr>
      <w:bookmarkStart w:id="2" w:name="_Hlk60834294"/>
      <w:r w:rsidRPr="00BC5D11">
        <w:rPr>
          <w:rFonts w:ascii="Arial" w:eastAsiaTheme="minorEastAsia" w:hAnsi="Arial" w:cs="Arial"/>
          <w:sz w:val="22"/>
          <w:szCs w:val="20"/>
          <w:lang w:eastAsia="en-US"/>
        </w:rPr>
        <w:t xml:space="preserve">As an integrated provider of financial services and financial market infrastructures, Deutsche Börse Group (DBG) operates trading venues (Regulated Markets (RMs), Multilateral Trading Facilities (MTFs) and an Organized Trading Facility (OTF) as well as market data and index services, and furthermore Central Counterparties, Central Securities Depositories and a Trade Repository. DBG is thus subject to MiFID II/MiFIR transparency and reporting obligations and appreciates the opportunity to respond to ESMA’s consultation on its </w:t>
      </w:r>
      <w:r w:rsidR="00026F28" w:rsidRPr="00BC5D11">
        <w:rPr>
          <w:rFonts w:ascii="Arial" w:eastAsiaTheme="minorEastAsia" w:hAnsi="Arial" w:cs="Arial"/>
          <w:sz w:val="22"/>
          <w:szCs w:val="20"/>
          <w:lang w:eastAsia="en-US"/>
        </w:rPr>
        <w:t>g</w:t>
      </w:r>
      <w:r w:rsidRPr="00BC5D11">
        <w:rPr>
          <w:rFonts w:ascii="Arial" w:eastAsiaTheme="minorEastAsia" w:hAnsi="Arial" w:cs="Arial"/>
          <w:sz w:val="22"/>
          <w:szCs w:val="20"/>
          <w:lang w:eastAsia="en-US"/>
        </w:rPr>
        <w:t>uidelines on the MiFID II/MiFIR obligations on market data.</w:t>
      </w:r>
    </w:p>
    <w:bookmarkEnd w:id="2"/>
    <w:p w14:paraId="3016F1B4" w14:textId="79543CA2"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 xml:space="preserve">As highlighted in our responses to the ESMA consultation on market data and the CTP in 2019 as well as to the Commission’s consultation on the </w:t>
      </w:r>
      <w:r w:rsidR="007C2ED9">
        <w:rPr>
          <w:rFonts w:ascii="Arial" w:eastAsiaTheme="minorEastAsia" w:hAnsi="Arial" w:cs="Arial"/>
          <w:sz w:val="22"/>
          <w:szCs w:val="20"/>
          <w:lang w:eastAsia="en-US"/>
        </w:rPr>
        <w:t xml:space="preserve">priorities of the </w:t>
      </w:r>
      <w:r w:rsidRPr="002C055C">
        <w:rPr>
          <w:rFonts w:ascii="Arial" w:eastAsiaTheme="minorEastAsia" w:hAnsi="Arial" w:cs="Arial"/>
          <w:sz w:val="22"/>
          <w:szCs w:val="20"/>
          <w:lang w:eastAsia="en-US"/>
        </w:rPr>
        <w:t xml:space="preserve">review of MiFID II/MiFIR in 2020, DBG is not supportive of strict sectoral regulation in the context of the pricing of market data, which goes beyond generally applicable rules and regulations (such as competition law) and which finally turns financial market supervisors into price regulators. Regulatory interventions may interfere with competitive forces and may lead to negative unintended consequences for EU </w:t>
      </w:r>
      <w:r w:rsidR="00FB30CD">
        <w:rPr>
          <w:rFonts w:ascii="Arial" w:eastAsiaTheme="minorEastAsia" w:hAnsi="Arial" w:cs="Arial"/>
          <w:sz w:val="22"/>
          <w:szCs w:val="20"/>
          <w:lang w:eastAsia="en-US"/>
        </w:rPr>
        <w:t>c</w:t>
      </w:r>
      <w:r w:rsidRPr="002C055C">
        <w:rPr>
          <w:rFonts w:ascii="Arial" w:eastAsiaTheme="minorEastAsia" w:hAnsi="Arial" w:cs="Arial"/>
          <w:sz w:val="22"/>
          <w:szCs w:val="20"/>
          <w:lang w:eastAsia="en-US"/>
        </w:rPr>
        <w:t xml:space="preserve">apital </w:t>
      </w:r>
      <w:r w:rsidR="00FB30CD">
        <w:rPr>
          <w:rFonts w:ascii="Arial" w:eastAsiaTheme="minorEastAsia" w:hAnsi="Arial" w:cs="Arial"/>
          <w:sz w:val="22"/>
          <w:szCs w:val="20"/>
          <w:lang w:eastAsia="en-US"/>
        </w:rPr>
        <w:t>m</w:t>
      </w:r>
      <w:r w:rsidRPr="002C055C">
        <w:rPr>
          <w:rFonts w:ascii="Arial" w:eastAsiaTheme="minorEastAsia" w:hAnsi="Arial" w:cs="Arial"/>
          <w:sz w:val="22"/>
          <w:szCs w:val="20"/>
          <w:lang w:eastAsia="en-US"/>
        </w:rPr>
        <w:t>arkets</w:t>
      </w:r>
      <w:r w:rsidR="0036323B">
        <w:rPr>
          <w:rFonts w:ascii="Arial" w:eastAsiaTheme="minorEastAsia" w:hAnsi="Arial" w:cs="Arial"/>
          <w:sz w:val="22"/>
          <w:szCs w:val="20"/>
          <w:lang w:eastAsia="en-US"/>
        </w:rPr>
        <w:t>, especially during structural changes.</w:t>
      </w:r>
      <w:r w:rsidRPr="002C055C">
        <w:rPr>
          <w:rFonts w:ascii="Arial" w:eastAsiaTheme="minorEastAsia" w:hAnsi="Arial" w:cs="Arial"/>
          <w:sz w:val="22"/>
          <w:szCs w:val="20"/>
          <w:lang w:eastAsia="en-US"/>
        </w:rPr>
        <w:t xml:space="preserve"> Therefore, they are usually kept to </w:t>
      </w:r>
      <w:r w:rsidR="00626BF6">
        <w:rPr>
          <w:rFonts w:ascii="Arial" w:eastAsiaTheme="minorEastAsia" w:hAnsi="Arial" w:cs="Arial"/>
          <w:sz w:val="22"/>
          <w:szCs w:val="20"/>
          <w:lang w:eastAsia="en-US"/>
        </w:rPr>
        <w:t>cases of market failure</w:t>
      </w:r>
      <w:r w:rsidR="0036323B">
        <w:rPr>
          <w:rFonts w:ascii="Arial" w:eastAsiaTheme="minorEastAsia" w:hAnsi="Arial" w:cs="Arial"/>
          <w:sz w:val="22"/>
          <w:szCs w:val="20"/>
          <w:lang w:eastAsia="en-US"/>
        </w:rPr>
        <w:t xml:space="preserve"> or significant barriers to entry, none of which there is proof of evidence</w:t>
      </w:r>
      <w:r w:rsidRPr="002C055C">
        <w:rPr>
          <w:rFonts w:ascii="Arial" w:eastAsiaTheme="minorEastAsia" w:hAnsi="Arial" w:cs="Arial"/>
          <w:sz w:val="22"/>
          <w:szCs w:val="20"/>
          <w:lang w:eastAsia="en-US"/>
        </w:rPr>
        <w:t>.</w:t>
      </w:r>
    </w:p>
    <w:p w14:paraId="7B435151" w14:textId="537FC171"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 xml:space="preserve">While there is ample noise that trading venues such as exchanges generate too much revenue from market data to the detriment of market participants and investors, fact-based evidence indicates the contrary. </w:t>
      </w:r>
      <w:r w:rsidR="00A63DE0">
        <w:rPr>
          <w:rFonts w:ascii="Arial" w:eastAsiaTheme="minorEastAsia" w:hAnsi="Arial" w:cs="Arial"/>
          <w:sz w:val="22"/>
          <w:szCs w:val="20"/>
          <w:lang w:eastAsia="en-US"/>
        </w:rPr>
        <w:t xml:space="preserve">OXERA </w:t>
      </w:r>
      <w:r w:rsidRPr="002C055C">
        <w:rPr>
          <w:rFonts w:ascii="Arial" w:eastAsiaTheme="minorEastAsia" w:hAnsi="Arial" w:cs="Arial"/>
          <w:sz w:val="22"/>
          <w:szCs w:val="20"/>
          <w:lang w:eastAsia="en-US"/>
        </w:rPr>
        <w:t xml:space="preserve">neither finds any </w:t>
      </w:r>
      <w:r w:rsidR="00C52DFE">
        <w:rPr>
          <w:rFonts w:ascii="Arial" w:eastAsiaTheme="minorEastAsia" w:hAnsi="Arial" w:cs="Arial"/>
          <w:sz w:val="22"/>
          <w:szCs w:val="20"/>
          <w:lang w:eastAsia="en-US"/>
        </w:rPr>
        <w:t xml:space="preserve">detrimental effects of recovering costs through market data fees for end users, nor any </w:t>
      </w:r>
      <w:r w:rsidRPr="002C055C">
        <w:rPr>
          <w:rFonts w:ascii="Arial" w:eastAsiaTheme="minorEastAsia" w:hAnsi="Arial" w:cs="Arial"/>
          <w:sz w:val="22"/>
          <w:szCs w:val="20"/>
          <w:lang w:eastAsia="en-US"/>
        </w:rPr>
        <w:t xml:space="preserve">negative impacts on market efficiency nor on competition. “For example, in theory, if market data fees were very high, this could affect the viability of new trading venues that do not have their own price formation process and use market data from stock exchanges as an input. However, the significant growth in dark trading, SIs and new entrant trading venues suggests that their business models are not being undermined, and that current market data fee levels enable them to operate effectively. In sum, the economic analysis does not provide evidence that the current charging structures for market data are leading to detrimental market outcomes for investors. Although the responses </w:t>
      </w:r>
      <w:r w:rsidRPr="002C055C">
        <w:rPr>
          <w:rFonts w:ascii="Arial" w:eastAsiaTheme="minorEastAsia" w:hAnsi="Arial" w:cs="Arial"/>
          <w:sz w:val="22"/>
          <w:szCs w:val="20"/>
          <w:lang w:eastAsia="en-US"/>
        </w:rPr>
        <w:lastRenderedPageBreak/>
        <w:t>to the ESMA consultation contained analyses of market data expenditure and fees, there was no evidence of any distortionary impact on market functioning and/or poor outcomes for end-investors.”</w:t>
      </w:r>
      <w:r w:rsidR="002B0E14">
        <w:rPr>
          <w:rStyle w:val="Funotenzeichen"/>
          <w:rFonts w:eastAsiaTheme="minorEastAsia" w:cs="Arial"/>
          <w:szCs w:val="20"/>
          <w:lang w:eastAsia="en-US"/>
        </w:rPr>
        <w:footnoteReference w:id="2"/>
      </w:r>
      <w:r w:rsidRPr="002C055C">
        <w:rPr>
          <w:rFonts w:ascii="Arial" w:eastAsiaTheme="minorEastAsia" w:hAnsi="Arial" w:cs="Arial"/>
          <w:sz w:val="22"/>
          <w:szCs w:val="20"/>
          <w:lang w:eastAsia="en-US"/>
        </w:rPr>
        <w:t xml:space="preserve"> </w:t>
      </w:r>
    </w:p>
    <w:p w14:paraId="609382D7" w14:textId="672CFD31" w:rsidR="002C055C" w:rsidRPr="002C055C" w:rsidRDefault="006D7E56" w:rsidP="007601FA">
      <w:pPr>
        <w:spacing w:after="160"/>
        <w:jc w:val="both"/>
        <w:rPr>
          <w:rFonts w:ascii="Arial" w:eastAsiaTheme="minorEastAsia" w:hAnsi="Arial" w:cs="Arial"/>
          <w:sz w:val="22"/>
          <w:szCs w:val="20"/>
          <w:lang w:eastAsia="en-US"/>
        </w:rPr>
      </w:pPr>
      <w:r w:rsidRPr="006D7E56">
        <w:rPr>
          <w:rFonts w:ascii="Arial" w:eastAsiaTheme="minorEastAsia" w:hAnsi="Arial" w:cs="Arial"/>
          <w:sz w:val="22"/>
          <w:szCs w:val="20"/>
          <w:lang w:eastAsia="en-US"/>
        </w:rPr>
        <w:t>The production and dissemination of market data by primary exchanges has not prevented but facilitated a very dynamic competitive environment in Europe</w:t>
      </w:r>
      <w:r>
        <w:rPr>
          <w:rFonts w:ascii="Arial" w:eastAsiaTheme="minorEastAsia" w:hAnsi="Arial" w:cs="Arial"/>
          <w:sz w:val="22"/>
          <w:szCs w:val="20"/>
          <w:lang w:eastAsia="en-US"/>
        </w:rPr>
        <w:t>.</w:t>
      </w:r>
      <w:r w:rsidRPr="006D7E56">
        <w:t xml:space="preserve"> </w:t>
      </w:r>
      <w:r w:rsidRPr="006D7E56">
        <w:rPr>
          <w:rFonts w:ascii="Arial" w:eastAsiaTheme="minorEastAsia" w:hAnsi="Arial" w:cs="Arial"/>
          <w:sz w:val="22"/>
          <w:szCs w:val="20"/>
          <w:lang w:eastAsia="en-US"/>
        </w:rPr>
        <w:t>In addition</w:t>
      </w:r>
      <w:r>
        <w:rPr>
          <w:rFonts w:ascii="Arial" w:eastAsiaTheme="minorEastAsia" w:hAnsi="Arial" w:cs="Arial"/>
          <w:sz w:val="22"/>
          <w:szCs w:val="20"/>
          <w:lang w:eastAsia="en-US"/>
        </w:rPr>
        <w:t>, i</w:t>
      </w:r>
      <w:r w:rsidRPr="002C055C">
        <w:rPr>
          <w:rFonts w:ascii="Arial" w:eastAsiaTheme="minorEastAsia" w:hAnsi="Arial" w:cs="Arial"/>
          <w:sz w:val="22"/>
          <w:szCs w:val="20"/>
          <w:lang w:eastAsia="en-US"/>
        </w:rPr>
        <w:t xml:space="preserve">n light of a lack of evidence of any market failure and the non-existence of barriers to entry to EU equity markets or </w:t>
      </w:r>
      <w:r w:rsidR="0036323B">
        <w:rPr>
          <w:rFonts w:ascii="Arial" w:eastAsiaTheme="minorEastAsia" w:hAnsi="Arial" w:cs="Arial"/>
          <w:sz w:val="22"/>
          <w:szCs w:val="20"/>
          <w:lang w:eastAsia="en-US"/>
        </w:rPr>
        <w:t xml:space="preserve">exchange </w:t>
      </w:r>
      <w:r w:rsidRPr="002C055C">
        <w:rPr>
          <w:rFonts w:ascii="Arial" w:eastAsiaTheme="minorEastAsia" w:hAnsi="Arial" w:cs="Arial"/>
          <w:sz w:val="22"/>
          <w:szCs w:val="20"/>
          <w:lang w:eastAsia="en-US"/>
        </w:rPr>
        <w:t>markets data, there is no need for sector-specific regulation.</w:t>
      </w:r>
      <w:r w:rsidRPr="00C52DFE">
        <w:rPr>
          <w:rFonts w:ascii="Arial" w:eastAsiaTheme="minorEastAsia" w:hAnsi="Arial" w:cs="Arial"/>
          <w:sz w:val="22"/>
          <w:szCs w:val="20"/>
          <w:lang w:eastAsia="en-US"/>
        </w:rPr>
        <w:t xml:space="preserve"> </w:t>
      </w:r>
      <w:r>
        <w:rPr>
          <w:rFonts w:ascii="Arial" w:eastAsiaTheme="minorEastAsia" w:hAnsi="Arial" w:cs="Arial"/>
          <w:sz w:val="22"/>
          <w:szCs w:val="20"/>
          <w:lang w:eastAsia="en-US"/>
        </w:rPr>
        <w:t xml:space="preserve"> </w:t>
      </w:r>
      <w:r w:rsidR="002C055C" w:rsidRPr="002C055C">
        <w:rPr>
          <w:rFonts w:ascii="Arial" w:eastAsiaTheme="minorEastAsia" w:hAnsi="Arial" w:cs="Arial"/>
          <w:sz w:val="22"/>
          <w:szCs w:val="20"/>
          <w:lang w:eastAsia="en-US"/>
        </w:rPr>
        <w:t>In this context</w:t>
      </w:r>
      <w:r w:rsidR="00675497">
        <w:rPr>
          <w:rFonts w:ascii="Arial" w:eastAsiaTheme="minorEastAsia" w:hAnsi="Arial" w:cs="Arial"/>
          <w:sz w:val="22"/>
          <w:szCs w:val="20"/>
          <w:lang w:eastAsia="en-US"/>
        </w:rPr>
        <w:t>,</w:t>
      </w:r>
      <w:r w:rsidR="002C055C" w:rsidRPr="002C055C">
        <w:rPr>
          <w:rFonts w:ascii="Arial" w:eastAsiaTheme="minorEastAsia" w:hAnsi="Arial" w:cs="Arial"/>
          <w:sz w:val="22"/>
          <w:szCs w:val="20"/>
          <w:lang w:eastAsia="en-US"/>
        </w:rPr>
        <w:t xml:space="preserve"> OXERA clearly points out </w:t>
      </w:r>
      <w:r w:rsidR="0036323B" w:rsidRPr="002C055C">
        <w:rPr>
          <w:rFonts w:ascii="Arial" w:eastAsiaTheme="minorEastAsia" w:hAnsi="Arial" w:cs="Arial"/>
          <w:sz w:val="22"/>
          <w:szCs w:val="20"/>
          <w:lang w:eastAsia="en-US"/>
        </w:rPr>
        <w:t>in its report to the European Commission on Primary and Secondary Markets</w:t>
      </w:r>
      <w:r w:rsidR="0036323B">
        <w:rPr>
          <w:rStyle w:val="Funotenzeichen"/>
          <w:rFonts w:eastAsiaTheme="minorEastAsia" w:cs="Arial"/>
          <w:szCs w:val="20"/>
          <w:lang w:eastAsia="en-US"/>
        </w:rPr>
        <w:footnoteReference w:id="3"/>
      </w:r>
      <w:r w:rsidR="0036323B">
        <w:rPr>
          <w:rFonts w:ascii="Arial" w:eastAsiaTheme="minorEastAsia" w:hAnsi="Arial" w:cs="Arial"/>
          <w:sz w:val="22"/>
          <w:szCs w:val="20"/>
          <w:lang w:eastAsia="en-US"/>
        </w:rPr>
        <w:t xml:space="preserve"> </w:t>
      </w:r>
      <w:r w:rsidR="002C055C" w:rsidRPr="002C055C">
        <w:rPr>
          <w:rFonts w:ascii="Arial" w:eastAsiaTheme="minorEastAsia" w:hAnsi="Arial" w:cs="Arial"/>
          <w:sz w:val="22"/>
          <w:szCs w:val="20"/>
          <w:lang w:eastAsia="en-US"/>
        </w:rPr>
        <w:t>that there are no barriers to entry to the EU market</w:t>
      </w:r>
      <w:r>
        <w:rPr>
          <w:rFonts w:ascii="Arial" w:eastAsiaTheme="minorEastAsia" w:hAnsi="Arial" w:cs="Arial"/>
          <w:sz w:val="22"/>
          <w:szCs w:val="20"/>
          <w:lang w:eastAsia="en-US"/>
        </w:rPr>
        <w:t xml:space="preserve"> but ample execution choices</w:t>
      </w:r>
      <w:r w:rsidR="002C055C" w:rsidRPr="002C055C">
        <w:rPr>
          <w:rFonts w:ascii="Arial" w:eastAsiaTheme="minorEastAsia" w:hAnsi="Arial" w:cs="Arial"/>
          <w:sz w:val="22"/>
          <w:szCs w:val="20"/>
          <w:lang w:eastAsia="en-US"/>
        </w:rPr>
        <w:t>.</w:t>
      </w:r>
      <w:r>
        <w:rPr>
          <w:rFonts w:ascii="Arial" w:eastAsiaTheme="minorEastAsia" w:hAnsi="Arial" w:cs="Arial"/>
          <w:sz w:val="22"/>
          <w:szCs w:val="20"/>
          <w:lang w:eastAsia="en-US"/>
        </w:rPr>
        <w:t xml:space="preserve"> </w:t>
      </w:r>
      <w:r w:rsidR="002C055C" w:rsidRPr="002C055C">
        <w:rPr>
          <w:rFonts w:ascii="Arial" w:eastAsiaTheme="minorEastAsia" w:hAnsi="Arial" w:cs="Arial"/>
          <w:sz w:val="22"/>
          <w:szCs w:val="20"/>
          <w:lang w:eastAsia="en-US"/>
        </w:rPr>
        <w:t>Furthermore, ESMA’s Annual Statistical Report on EU securities markets</w:t>
      </w:r>
      <w:r>
        <w:rPr>
          <w:rStyle w:val="Funotenzeichen"/>
          <w:rFonts w:eastAsiaTheme="minorEastAsia" w:cs="Arial"/>
          <w:szCs w:val="20"/>
          <w:lang w:eastAsia="en-US"/>
        </w:rPr>
        <w:footnoteReference w:id="4"/>
      </w:r>
      <w:r>
        <w:rPr>
          <w:rFonts w:ascii="Arial" w:eastAsiaTheme="minorEastAsia" w:hAnsi="Arial" w:cs="Arial"/>
          <w:sz w:val="22"/>
          <w:szCs w:val="20"/>
          <w:lang w:eastAsia="en-US"/>
        </w:rPr>
        <w:t xml:space="preserve"> </w:t>
      </w:r>
      <w:r w:rsidR="002C055C" w:rsidRPr="002C055C">
        <w:rPr>
          <w:rFonts w:ascii="Arial" w:eastAsiaTheme="minorEastAsia" w:hAnsi="Arial" w:cs="Arial"/>
          <w:sz w:val="22"/>
          <w:szCs w:val="20"/>
          <w:lang w:eastAsia="en-US"/>
        </w:rPr>
        <w:t xml:space="preserve">provides statistical evidence of the existing competition within the EU. Overall the number of SIs within the EU has grown to 223 as of today according to ESMA’s list. Equity SIs have grown from 15 before MiFID II/MiFIR to 73 in 2019. </w:t>
      </w:r>
      <w:r w:rsidRPr="002C055C">
        <w:rPr>
          <w:rFonts w:ascii="Arial" w:eastAsiaTheme="minorEastAsia" w:hAnsi="Arial" w:cs="Arial"/>
          <w:sz w:val="22"/>
          <w:szCs w:val="20"/>
          <w:lang w:eastAsia="en-US"/>
        </w:rPr>
        <w:t>As regards share turnover in terms of traded volume in 2019,</w:t>
      </w:r>
      <w:r>
        <w:rPr>
          <w:rFonts w:ascii="Arial" w:eastAsiaTheme="minorEastAsia" w:hAnsi="Arial" w:cs="Arial"/>
          <w:sz w:val="22"/>
          <w:szCs w:val="20"/>
          <w:lang w:eastAsia="en-US"/>
        </w:rPr>
        <w:t xml:space="preserve"> the top ranks are covered by an MTF,</w:t>
      </w:r>
      <w:r w:rsidRPr="002C055C">
        <w:rPr>
          <w:rFonts w:ascii="Arial" w:eastAsiaTheme="minorEastAsia" w:hAnsi="Arial" w:cs="Arial"/>
          <w:sz w:val="22"/>
          <w:szCs w:val="20"/>
          <w:lang w:eastAsia="en-US"/>
        </w:rPr>
        <w:t xml:space="preserve"> followed by an SI </w:t>
      </w:r>
      <w:r>
        <w:rPr>
          <w:rFonts w:ascii="Arial" w:eastAsiaTheme="minorEastAsia" w:hAnsi="Arial" w:cs="Arial"/>
          <w:sz w:val="22"/>
          <w:szCs w:val="20"/>
          <w:lang w:eastAsia="en-US"/>
        </w:rPr>
        <w:t xml:space="preserve">and an exchange (all based in the </w:t>
      </w:r>
      <w:r w:rsidRPr="0036323B">
        <w:rPr>
          <w:rFonts w:ascii="Arial" w:eastAsiaTheme="minorEastAsia" w:hAnsi="Arial" w:cs="Arial"/>
          <w:sz w:val="22"/>
          <w:szCs w:val="20"/>
          <w:lang w:eastAsia="en-US"/>
        </w:rPr>
        <w:t xml:space="preserve">UK). </w:t>
      </w:r>
      <w:r w:rsidR="002C055C" w:rsidRPr="0036323B">
        <w:rPr>
          <w:rFonts w:ascii="Arial" w:eastAsiaTheme="minorEastAsia" w:hAnsi="Arial" w:cs="Arial"/>
          <w:sz w:val="22"/>
          <w:szCs w:val="20"/>
          <w:lang w:eastAsia="en-US"/>
        </w:rPr>
        <w:t>A study of Liquid Metrix</w:t>
      </w:r>
      <w:r w:rsidR="00980805" w:rsidRPr="0036323B">
        <w:rPr>
          <w:rStyle w:val="Funotenzeichen"/>
          <w:rFonts w:eastAsiaTheme="minorEastAsia" w:cs="Arial"/>
          <w:szCs w:val="20"/>
          <w:lang w:eastAsia="en-US"/>
        </w:rPr>
        <w:footnoteReference w:id="5"/>
      </w:r>
      <w:r w:rsidR="00C52DFE" w:rsidRPr="0036323B">
        <w:rPr>
          <w:rFonts w:ascii="Arial" w:eastAsiaTheme="minorEastAsia" w:hAnsi="Arial" w:cs="Arial"/>
          <w:sz w:val="22"/>
          <w:szCs w:val="20"/>
          <w:lang w:eastAsia="en-US"/>
        </w:rPr>
        <w:t xml:space="preserve"> </w:t>
      </w:r>
      <w:r w:rsidR="002C055C" w:rsidRPr="0036323B">
        <w:rPr>
          <w:rFonts w:ascii="Arial" w:eastAsiaTheme="minorEastAsia" w:hAnsi="Arial" w:cs="Arial"/>
          <w:sz w:val="22"/>
          <w:szCs w:val="20"/>
          <w:lang w:eastAsia="en-US"/>
        </w:rPr>
        <w:t>indicates that from nine reviewed SIs, one was almost only exec</w:t>
      </w:r>
      <w:r w:rsidR="002C055C" w:rsidRPr="002C055C">
        <w:rPr>
          <w:rFonts w:ascii="Arial" w:eastAsiaTheme="minorEastAsia" w:hAnsi="Arial" w:cs="Arial"/>
          <w:sz w:val="22"/>
          <w:szCs w:val="20"/>
          <w:lang w:eastAsia="en-US"/>
        </w:rPr>
        <w:t xml:space="preserve">uting at mid-point of exchanges (using exchange data), while the others used mid-point rather extensively as well. </w:t>
      </w:r>
    </w:p>
    <w:p w14:paraId="160F5A09" w14:textId="267F5C4D" w:rsidR="002C055C" w:rsidRPr="002C055C" w:rsidRDefault="00C52DFE" w:rsidP="007601FA">
      <w:pPr>
        <w:spacing w:after="160"/>
        <w:jc w:val="both"/>
        <w:rPr>
          <w:rFonts w:ascii="Arial" w:eastAsiaTheme="minorEastAsia" w:hAnsi="Arial" w:cs="Arial"/>
          <w:sz w:val="22"/>
          <w:szCs w:val="20"/>
          <w:lang w:eastAsia="en-US"/>
        </w:rPr>
      </w:pPr>
      <w:r w:rsidRPr="00C52DFE">
        <w:rPr>
          <w:rFonts w:ascii="Arial" w:eastAsiaTheme="minorEastAsia" w:hAnsi="Arial" w:cs="Arial"/>
          <w:sz w:val="22"/>
          <w:szCs w:val="20"/>
          <w:lang w:eastAsia="en-US"/>
        </w:rPr>
        <w:t xml:space="preserve">Price regulation of the provision of market data as well as further guidelines should be considered against this background. </w:t>
      </w:r>
      <w:r w:rsidR="002C055C" w:rsidRPr="002C055C">
        <w:rPr>
          <w:rFonts w:ascii="Arial" w:eastAsiaTheme="minorEastAsia" w:hAnsi="Arial" w:cs="Arial"/>
          <w:sz w:val="22"/>
          <w:szCs w:val="20"/>
          <w:lang w:eastAsia="en-US"/>
        </w:rPr>
        <w:t>We would like to take a step back and summarize where we already stand as of today in the regulatory chain of price regulation:</w:t>
      </w:r>
    </w:p>
    <w:p w14:paraId="65FDBC45" w14:textId="28E60EDF" w:rsidR="002C055C" w:rsidRPr="002C055C" w:rsidRDefault="002C055C" w:rsidP="007601FA">
      <w:pPr>
        <w:spacing w:after="160"/>
        <w:ind w:left="567" w:hanging="283"/>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a.</w:t>
      </w:r>
      <w:r w:rsidRPr="002C055C">
        <w:rPr>
          <w:rFonts w:ascii="Arial" w:eastAsiaTheme="minorEastAsia" w:hAnsi="Arial" w:cs="Arial"/>
          <w:sz w:val="22"/>
          <w:szCs w:val="20"/>
          <w:lang w:eastAsia="en-US"/>
        </w:rPr>
        <w:tab/>
      </w:r>
      <w:r w:rsidRPr="002C055C">
        <w:rPr>
          <w:rFonts w:ascii="Arial" w:eastAsiaTheme="minorEastAsia" w:hAnsi="Arial" w:cs="Arial"/>
          <w:b/>
          <w:sz w:val="22"/>
          <w:szCs w:val="20"/>
          <w:lang w:eastAsia="en-US"/>
        </w:rPr>
        <w:t>Obligation of transparency</w:t>
      </w:r>
      <w:r w:rsidRPr="002C055C">
        <w:rPr>
          <w:rFonts w:ascii="Arial" w:eastAsiaTheme="minorEastAsia" w:hAnsi="Arial" w:cs="Arial"/>
          <w:sz w:val="22"/>
          <w:szCs w:val="20"/>
          <w:lang w:eastAsia="en-US"/>
        </w:rPr>
        <w:t xml:space="preserve"> (on products, prices and general methodologies)</w:t>
      </w:r>
      <w:r w:rsidR="00626BF6">
        <w:rPr>
          <w:rFonts w:ascii="Arial" w:eastAsiaTheme="minorEastAsia" w:hAnsi="Arial" w:cs="Arial"/>
          <w:sz w:val="22"/>
          <w:szCs w:val="20"/>
          <w:lang w:eastAsia="en-US"/>
        </w:rPr>
        <w:t xml:space="preserve"> applies</w:t>
      </w:r>
      <w:r w:rsidRPr="002C055C">
        <w:rPr>
          <w:rFonts w:ascii="Arial" w:eastAsiaTheme="minorEastAsia" w:hAnsi="Arial" w:cs="Arial"/>
          <w:sz w:val="22"/>
          <w:szCs w:val="20"/>
          <w:lang w:eastAsia="en-US"/>
        </w:rPr>
        <w:t>;</w:t>
      </w:r>
    </w:p>
    <w:p w14:paraId="522C9B53" w14:textId="3E321B6A" w:rsidR="002C055C" w:rsidRPr="002C055C" w:rsidRDefault="002C055C" w:rsidP="007601FA">
      <w:pPr>
        <w:spacing w:after="160"/>
        <w:ind w:left="567" w:hanging="283"/>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b.</w:t>
      </w:r>
      <w:r w:rsidRPr="002C055C">
        <w:rPr>
          <w:rFonts w:ascii="Arial" w:eastAsiaTheme="minorEastAsia" w:hAnsi="Arial" w:cs="Arial"/>
          <w:sz w:val="22"/>
          <w:szCs w:val="20"/>
          <w:lang w:eastAsia="en-US"/>
        </w:rPr>
        <w:tab/>
      </w:r>
      <w:r w:rsidRPr="002C055C">
        <w:rPr>
          <w:rFonts w:ascii="Arial" w:eastAsiaTheme="minorEastAsia" w:hAnsi="Arial" w:cs="Arial"/>
          <w:b/>
          <w:sz w:val="22"/>
          <w:szCs w:val="20"/>
          <w:lang w:eastAsia="en-US"/>
        </w:rPr>
        <w:t>Obligation to non-discrimination</w:t>
      </w:r>
      <w:r w:rsidRPr="002C055C">
        <w:rPr>
          <w:rFonts w:ascii="Arial" w:eastAsiaTheme="minorEastAsia" w:hAnsi="Arial" w:cs="Arial"/>
          <w:sz w:val="22"/>
          <w:szCs w:val="20"/>
          <w:lang w:eastAsia="en-US"/>
        </w:rPr>
        <w:t xml:space="preserve"> (as regards the provision of market data)</w:t>
      </w:r>
      <w:r w:rsidR="00626BF6">
        <w:rPr>
          <w:rFonts w:ascii="Arial" w:eastAsiaTheme="minorEastAsia" w:hAnsi="Arial" w:cs="Arial"/>
          <w:sz w:val="22"/>
          <w:szCs w:val="20"/>
          <w:lang w:eastAsia="en-US"/>
        </w:rPr>
        <w:t xml:space="preserve"> applies</w:t>
      </w:r>
      <w:r w:rsidRPr="002C055C">
        <w:rPr>
          <w:rFonts w:ascii="Arial" w:eastAsiaTheme="minorEastAsia" w:hAnsi="Arial" w:cs="Arial"/>
          <w:sz w:val="22"/>
          <w:szCs w:val="20"/>
          <w:lang w:eastAsia="en-US"/>
        </w:rPr>
        <w:t xml:space="preserve">;  </w:t>
      </w:r>
    </w:p>
    <w:p w14:paraId="144FAD73" w14:textId="62C783EA" w:rsidR="002C055C" w:rsidRPr="002C055C" w:rsidRDefault="002C055C" w:rsidP="007601FA">
      <w:pPr>
        <w:spacing w:after="160"/>
        <w:ind w:left="567" w:hanging="283"/>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c.</w:t>
      </w:r>
      <w:r w:rsidRPr="002C055C">
        <w:rPr>
          <w:rFonts w:ascii="Arial" w:eastAsiaTheme="minorEastAsia" w:hAnsi="Arial" w:cs="Arial"/>
          <w:sz w:val="22"/>
          <w:szCs w:val="20"/>
          <w:lang w:eastAsia="en-US"/>
        </w:rPr>
        <w:tab/>
      </w:r>
      <w:r w:rsidRPr="002C055C">
        <w:rPr>
          <w:rFonts w:ascii="Arial" w:eastAsiaTheme="minorEastAsia" w:hAnsi="Arial" w:cs="Arial"/>
          <w:b/>
          <w:sz w:val="22"/>
          <w:szCs w:val="20"/>
          <w:lang w:eastAsia="en-US"/>
        </w:rPr>
        <w:t>References to and proposals on cost accounting and price setting and how it should be conducted</w:t>
      </w:r>
      <w:r w:rsidR="00C52DFE">
        <w:rPr>
          <w:rFonts w:ascii="Arial" w:eastAsiaTheme="minorEastAsia" w:hAnsi="Arial" w:cs="Arial"/>
          <w:b/>
          <w:sz w:val="22"/>
          <w:szCs w:val="20"/>
          <w:lang w:eastAsia="en-US"/>
        </w:rPr>
        <w:t xml:space="preserve"> </w:t>
      </w:r>
      <w:r w:rsidR="00C52DFE">
        <w:rPr>
          <w:rFonts w:ascii="Arial" w:eastAsiaTheme="minorEastAsia" w:hAnsi="Arial" w:cs="Arial"/>
          <w:sz w:val="22"/>
          <w:szCs w:val="20"/>
          <w:lang w:eastAsia="en-US"/>
        </w:rPr>
        <w:t xml:space="preserve">are </w:t>
      </w:r>
      <w:r w:rsidR="00626BF6">
        <w:rPr>
          <w:rFonts w:ascii="Arial" w:eastAsiaTheme="minorEastAsia" w:hAnsi="Arial" w:cs="Arial"/>
          <w:sz w:val="22"/>
          <w:szCs w:val="20"/>
          <w:lang w:eastAsia="en-US"/>
        </w:rPr>
        <w:t>included</w:t>
      </w:r>
      <w:r w:rsidR="00C52DFE">
        <w:rPr>
          <w:rFonts w:ascii="Arial" w:eastAsiaTheme="minorEastAsia" w:hAnsi="Arial" w:cs="Arial"/>
          <w:sz w:val="22"/>
          <w:szCs w:val="20"/>
          <w:lang w:eastAsia="en-US"/>
        </w:rPr>
        <w:t xml:space="preserve"> by ESMA </w:t>
      </w:r>
      <w:r w:rsidRPr="002C055C">
        <w:rPr>
          <w:rFonts w:ascii="Arial" w:eastAsiaTheme="minorEastAsia" w:hAnsi="Arial" w:cs="Arial"/>
          <w:sz w:val="22"/>
          <w:szCs w:val="20"/>
          <w:lang w:eastAsia="en-US"/>
        </w:rPr>
        <w:t xml:space="preserve">; </w:t>
      </w:r>
    </w:p>
    <w:p w14:paraId="4FBDD6A4" w14:textId="01E0DED9" w:rsidR="002C055C" w:rsidRPr="002C055C" w:rsidRDefault="002C055C" w:rsidP="007601FA">
      <w:pPr>
        <w:spacing w:after="160"/>
        <w:ind w:left="568" w:hanging="284"/>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d.</w:t>
      </w:r>
      <w:r w:rsidRPr="002C055C">
        <w:rPr>
          <w:rFonts w:ascii="Arial" w:eastAsiaTheme="minorEastAsia" w:hAnsi="Arial" w:cs="Arial"/>
          <w:sz w:val="22"/>
          <w:szCs w:val="20"/>
          <w:lang w:eastAsia="en-US"/>
        </w:rPr>
        <w:tab/>
      </w:r>
      <w:r w:rsidRPr="002C055C">
        <w:rPr>
          <w:rFonts w:ascii="Arial" w:eastAsiaTheme="minorEastAsia" w:hAnsi="Arial" w:cs="Arial"/>
          <w:b/>
          <w:sz w:val="22"/>
          <w:szCs w:val="20"/>
          <w:lang w:eastAsia="en-US"/>
        </w:rPr>
        <w:t>Obligation of harmonization on transparency and contractual terms</w:t>
      </w:r>
      <w:r w:rsidR="00C52DFE">
        <w:rPr>
          <w:rFonts w:ascii="Arial" w:eastAsiaTheme="minorEastAsia" w:hAnsi="Arial" w:cs="Arial"/>
          <w:b/>
          <w:sz w:val="22"/>
          <w:szCs w:val="20"/>
          <w:lang w:eastAsia="en-US"/>
        </w:rPr>
        <w:t xml:space="preserve"> </w:t>
      </w:r>
      <w:r w:rsidR="00C52DFE">
        <w:rPr>
          <w:rFonts w:ascii="Arial" w:eastAsiaTheme="minorEastAsia" w:hAnsi="Arial" w:cs="Arial"/>
          <w:sz w:val="22"/>
          <w:szCs w:val="20"/>
          <w:lang w:eastAsia="en-US"/>
        </w:rPr>
        <w:t>are proposed by ESMA</w:t>
      </w:r>
      <w:r w:rsidRPr="002C055C">
        <w:rPr>
          <w:rFonts w:ascii="Arial" w:eastAsiaTheme="minorEastAsia" w:hAnsi="Arial" w:cs="Arial"/>
          <w:sz w:val="22"/>
          <w:szCs w:val="20"/>
          <w:lang w:eastAsia="en-US"/>
        </w:rPr>
        <w:t xml:space="preserve">. </w:t>
      </w:r>
    </w:p>
    <w:p w14:paraId="71B166DB" w14:textId="77777777" w:rsidR="00322DD2" w:rsidRDefault="006D7E56" w:rsidP="007601FA">
      <w:pPr>
        <w:spacing w:after="160"/>
        <w:jc w:val="both"/>
        <w:rPr>
          <w:rFonts w:ascii="Arial" w:eastAsiaTheme="minorEastAsia" w:hAnsi="Arial" w:cs="Arial"/>
          <w:sz w:val="22"/>
          <w:szCs w:val="20"/>
          <w:lang w:eastAsia="en-US"/>
        </w:rPr>
      </w:pPr>
      <w:r>
        <w:rPr>
          <w:rFonts w:ascii="Arial" w:eastAsiaTheme="minorEastAsia" w:hAnsi="Arial" w:cs="Arial"/>
          <w:sz w:val="22"/>
          <w:szCs w:val="20"/>
          <w:lang w:eastAsia="en-US"/>
        </w:rPr>
        <w:t>A</w:t>
      </w:r>
      <w:r w:rsidR="002C055C" w:rsidRPr="002C055C">
        <w:rPr>
          <w:rFonts w:ascii="Arial" w:eastAsiaTheme="minorEastAsia" w:hAnsi="Arial" w:cs="Arial"/>
          <w:sz w:val="22"/>
          <w:szCs w:val="20"/>
          <w:lang w:eastAsia="en-US"/>
        </w:rPr>
        <w:t xml:space="preserve">lready today, </w:t>
      </w:r>
      <w:r>
        <w:rPr>
          <w:rFonts w:ascii="Arial" w:eastAsiaTheme="minorEastAsia" w:hAnsi="Arial" w:cs="Arial"/>
          <w:sz w:val="22"/>
          <w:szCs w:val="20"/>
          <w:lang w:eastAsia="en-US"/>
        </w:rPr>
        <w:t>comprehensive</w:t>
      </w:r>
      <w:r w:rsidR="002C055C" w:rsidRPr="002C055C">
        <w:rPr>
          <w:rFonts w:ascii="Arial" w:eastAsiaTheme="minorEastAsia" w:hAnsi="Arial" w:cs="Arial"/>
          <w:sz w:val="22"/>
          <w:szCs w:val="20"/>
          <w:lang w:eastAsia="en-US"/>
        </w:rPr>
        <w:t xml:space="preserve"> regulatory </w:t>
      </w:r>
      <w:r>
        <w:rPr>
          <w:rFonts w:ascii="Arial" w:eastAsiaTheme="minorEastAsia" w:hAnsi="Arial" w:cs="Arial"/>
          <w:sz w:val="22"/>
          <w:szCs w:val="20"/>
          <w:lang w:eastAsia="en-US"/>
        </w:rPr>
        <w:t>requirements are</w:t>
      </w:r>
      <w:r w:rsidRPr="002C055C">
        <w:rPr>
          <w:rFonts w:ascii="Arial" w:eastAsiaTheme="minorEastAsia" w:hAnsi="Arial" w:cs="Arial"/>
          <w:sz w:val="22"/>
          <w:szCs w:val="20"/>
          <w:lang w:eastAsia="en-US"/>
        </w:rPr>
        <w:t xml:space="preserve"> </w:t>
      </w:r>
      <w:r w:rsidR="002C055C" w:rsidRPr="002C055C">
        <w:rPr>
          <w:rFonts w:ascii="Arial" w:eastAsiaTheme="minorEastAsia" w:hAnsi="Arial" w:cs="Arial"/>
          <w:sz w:val="22"/>
          <w:szCs w:val="20"/>
          <w:lang w:eastAsia="en-US"/>
        </w:rPr>
        <w:t xml:space="preserve">being applied, while there is no fact-based evidence for a market failure or barriers to entry </w:t>
      </w:r>
      <w:r>
        <w:rPr>
          <w:rFonts w:ascii="Arial" w:eastAsiaTheme="minorEastAsia" w:hAnsi="Arial" w:cs="Arial"/>
          <w:sz w:val="22"/>
          <w:szCs w:val="20"/>
          <w:lang w:eastAsia="en-US"/>
        </w:rPr>
        <w:t xml:space="preserve">to EU equity markets </w:t>
      </w:r>
      <w:r w:rsidR="002C055C" w:rsidRPr="002C055C">
        <w:rPr>
          <w:rFonts w:ascii="Arial" w:eastAsiaTheme="minorEastAsia" w:hAnsi="Arial" w:cs="Arial"/>
          <w:sz w:val="22"/>
          <w:szCs w:val="20"/>
          <w:lang w:eastAsia="en-US"/>
        </w:rPr>
        <w:t xml:space="preserve">due to pricing of exchange market data, to the best of our knowledge. Thus, we would not see any necessity, </w:t>
      </w:r>
      <w:r w:rsidRPr="002C055C">
        <w:rPr>
          <w:rFonts w:ascii="Arial" w:eastAsiaTheme="minorEastAsia" w:hAnsi="Arial" w:cs="Arial"/>
          <w:sz w:val="22"/>
          <w:szCs w:val="20"/>
          <w:lang w:eastAsia="en-US"/>
        </w:rPr>
        <w:t xml:space="preserve">for </w:t>
      </w:r>
      <w:r w:rsidR="002C055C" w:rsidRPr="002C055C">
        <w:rPr>
          <w:rFonts w:ascii="Arial" w:eastAsiaTheme="minorEastAsia" w:hAnsi="Arial" w:cs="Arial"/>
          <w:sz w:val="22"/>
          <w:szCs w:val="20"/>
          <w:lang w:eastAsia="en-US"/>
        </w:rPr>
        <w:t>ESMA to become more descriptive. We would like to remind that the principle of proportionality should be the guiding principle for regulators who should become active only in case of market failure</w:t>
      </w:r>
      <w:r w:rsidR="006C16D2">
        <w:rPr>
          <w:rFonts w:ascii="Arial" w:eastAsiaTheme="minorEastAsia" w:hAnsi="Arial" w:cs="Arial"/>
          <w:sz w:val="22"/>
          <w:szCs w:val="20"/>
          <w:lang w:eastAsia="en-US"/>
        </w:rPr>
        <w:t xml:space="preserve"> or significant barriers to entry</w:t>
      </w:r>
      <w:r w:rsidR="00C52DFE">
        <w:rPr>
          <w:rFonts w:ascii="Arial" w:eastAsiaTheme="minorEastAsia" w:hAnsi="Arial" w:cs="Arial"/>
          <w:sz w:val="22"/>
          <w:szCs w:val="20"/>
          <w:lang w:eastAsia="en-US"/>
        </w:rPr>
        <w:t xml:space="preserve">. </w:t>
      </w:r>
    </w:p>
    <w:p w14:paraId="451F4D33" w14:textId="099D46CA"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As regards ESMA</w:t>
      </w:r>
      <w:r w:rsidR="00C52DFE">
        <w:rPr>
          <w:rFonts w:ascii="Arial" w:eastAsiaTheme="minorEastAsia" w:hAnsi="Arial" w:cs="Arial"/>
          <w:sz w:val="22"/>
          <w:szCs w:val="20"/>
          <w:lang w:eastAsia="en-US"/>
        </w:rPr>
        <w:t>’</w:t>
      </w:r>
      <w:r w:rsidRPr="002C055C">
        <w:rPr>
          <w:rFonts w:ascii="Arial" w:eastAsiaTheme="minorEastAsia" w:hAnsi="Arial" w:cs="Arial"/>
          <w:sz w:val="22"/>
          <w:szCs w:val="20"/>
          <w:lang w:eastAsia="en-US"/>
        </w:rPr>
        <w:t>s proposals we would now like to highlight the following points:</w:t>
      </w:r>
    </w:p>
    <w:p w14:paraId="5CE16502" w14:textId="77777777" w:rsidR="002C055C" w:rsidRPr="002C055C" w:rsidRDefault="002C055C" w:rsidP="007601FA">
      <w:pPr>
        <w:spacing w:after="160"/>
        <w:jc w:val="both"/>
        <w:rPr>
          <w:rFonts w:ascii="Arial" w:eastAsiaTheme="minorEastAsia" w:hAnsi="Arial" w:cs="Arial"/>
          <w:b/>
          <w:sz w:val="22"/>
          <w:szCs w:val="20"/>
          <w:lang w:eastAsia="en-US"/>
        </w:rPr>
      </w:pPr>
      <w:r w:rsidRPr="002C055C">
        <w:rPr>
          <w:rFonts w:ascii="Arial" w:eastAsiaTheme="minorEastAsia" w:hAnsi="Arial" w:cs="Arial"/>
          <w:b/>
          <w:sz w:val="22"/>
          <w:szCs w:val="20"/>
          <w:lang w:eastAsia="en-US"/>
        </w:rPr>
        <w:t>Pricing methodology and margins</w:t>
      </w:r>
    </w:p>
    <w:p w14:paraId="4DECE281" w14:textId="503060BF"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DBG considers that disclosing detailed cost allocation keys and the explanation around the determination of margins could go beyond the scope of the current transparency plus approach and undermine competition among market data providers. While we support the provision of comprehensive information to our supervisor,</w:t>
      </w:r>
      <w:r w:rsidR="00927971">
        <w:rPr>
          <w:rFonts w:ascii="Arial" w:eastAsiaTheme="minorEastAsia" w:hAnsi="Arial" w:cs="Arial"/>
          <w:sz w:val="22"/>
          <w:szCs w:val="20"/>
          <w:lang w:eastAsia="en-US"/>
        </w:rPr>
        <w:t xml:space="preserve"> we do not think that</w:t>
      </w:r>
      <w:r w:rsidRPr="002C055C">
        <w:rPr>
          <w:rFonts w:ascii="Arial" w:eastAsiaTheme="minorEastAsia" w:hAnsi="Arial" w:cs="Arial"/>
          <w:sz w:val="22"/>
          <w:szCs w:val="20"/>
          <w:lang w:eastAsia="en-US"/>
        </w:rPr>
        <w:t xml:space="preserve"> a detailed disclosure to the </w:t>
      </w:r>
      <w:r w:rsidRPr="002C055C">
        <w:rPr>
          <w:rFonts w:ascii="Arial" w:eastAsiaTheme="minorEastAsia" w:hAnsi="Arial" w:cs="Arial"/>
          <w:sz w:val="22"/>
          <w:szCs w:val="20"/>
          <w:lang w:eastAsia="en-US"/>
        </w:rPr>
        <w:lastRenderedPageBreak/>
        <w:t xml:space="preserve">public is </w:t>
      </w:r>
      <w:r w:rsidR="00927971">
        <w:rPr>
          <w:rFonts w:ascii="Arial" w:eastAsiaTheme="minorEastAsia" w:hAnsi="Arial" w:cs="Arial"/>
          <w:sz w:val="22"/>
          <w:szCs w:val="20"/>
          <w:lang w:eastAsia="en-US"/>
        </w:rPr>
        <w:t>required</w:t>
      </w:r>
      <w:r w:rsidRPr="002C055C">
        <w:rPr>
          <w:rFonts w:ascii="Arial" w:eastAsiaTheme="minorEastAsia" w:hAnsi="Arial" w:cs="Arial"/>
          <w:sz w:val="22"/>
          <w:szCs w:val="20"/>
          <w:lang w:eastAsia="en-US"/>
        </w:rPr>
        <w:t xml:space="preserve">.  </w:t>
      </w:r>
      <w:r w:rsidR="00225E84" w:rsidRPr="00927971">
        <w:rPr>
          <w:rFonts w:ascii="Arial" w:eastAsiaTheme="minorEastAsia" w:hAnsi="Arial" w:cs="Arial"/>
          <w:sz w:val="22"/>
          <w:szCs w:val="20"/>
          <w:lang w:eastAsia="en-US"/>
        </w:rPr>
        <w:t>Competent authorities</w:t>
      </w:r>
      <w:r w:rsidR="00225E84">
        <w:rPr>
          <w:rFonts w:ascii="Arial" w:eastAsiaTheme="minorEastAsia" w:hAnsi="Arial" w:cs="Arial"/>
          <w:sz w:val="22"/>
          <w:szCs w:val="20"/>
          <w:lang w:eastAsia="en-US"/>
        </w:rPr>
        <w:t>’</w:t>
      </w:r>
      <w:r w:rsidR="00225E84" w:rsidRPr="00927971">
        <w:rPr>
          <w:rFonts w:ascii="Arial" w:eastAsiaTheme="minorEastAsia" w:hAnsi="Arial" w:cs="Arial"/>
          <w:sz w:val="22"/>
          <w:szCs w:val="20"/>
          <w:lang w:eastAsia="en-US"/>
        </w:rPr>
        <w:t xml:space="preserve"> insight into the cost methodology by trading venues,  should provide sufficient trust to all stakeholders involved that pricing is fairly conducted by trading venues.</w:t>
      </w:r>
    </w:p>
    <w:p w14:paraId="13BA5478" w14:textId="77777777" w:rsidR="002C055C" w:rsidRPr="002C055C" w:rsidRDefault="002C055C" w:rsidP="007601FA">
      <w:pPr>
        <w:spacing w:after="160"/>
        <w:jc w:val="both"/>
        <w:rPr>
          <w:rFonts w:ascii="Arial" w:eastAsiaTheme="minorEastAsia" w:hAnsi="Arial" w:cs="Arial"/>
          <w:b/>
          <w:sz w:val="22"/>
          <w:szCs w:val="20"/>
          <w:lang w:eastAsia="en-US"/>
        </w:rPr>
      </w:pPr>
      <w:r w:rsidRPr="002C055C">
        <w:rPr>
          <w:rFonts w:ascii="Arial" w:eastAsiaTheme="minorEastAsia" w:hAnsi="Arial" w:cs="Arial"/>
          <w:b/>
          <w:sz w:val="22"/>
          <w:szCs w:val="20"/>
          <w:lang w:eastAsia="en-US"/>
        </w:rPr>
        <w:t xml:space="preserve">Joint cost </w:t>
      </w:r>
    </w:p>
    <w:p w14:paraId="6E473EC1" w14:textId="489741F8"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ESMA’s proposal states that joint costs shall not be allocated according to the revenues generated by the trading business on the one hand and the market data business on the other hand. In this context it is important to recall that data and trading represent joint products, one cannot exist without the other</w:t>
      </w:r>
      <w:r w:rsidR="00675497">
        <w:rPr>
          <w:rStyle w:val="Funotenzeichen"/>
          <w:rFonts w:eastAsiaTheme="minorEastAsia" w:cs="Arial"/>
          <w:szCs w:val="20"/>
          <w:lang w:eastAsia="en-US"/>
        </w:rPr>
        <w:footnoteReference w:id="6"/>
      </w:r>
      <w:r w:rsidR="00675497">
        <w:rPr>
          <w:rStyle w:val="Funotenzeichen"/>
          <w:rFonts w:eastAsiaTheme="minorEastAsia" w:cs="Arial"/>
          <w:szCs w:val="20"/>
          <w:lang w:eastAsia="en-US"/>
        </w:rPr>
        <w:footnoteReference w:id="7"/>
      </w:r>
      <w:r w:rsidRPr="002C055C">
        <w:rPr>
          <w:rFonts w:ascii="Arial" w:eastAsiaTheme="minorEastAsia" w:hAnsi="Arial" w:cs="Arial"/>
          <w:sz w:val="22"/>
          <w:szCs w:val="20"/>
          <w:lang w:eastAsia="en-US"/>
        </w:rPr>
        <w:t>, and as such there can be no risk of cross-subsidization. We therefore suggest that ESMA still allows the use of revenue-based cost allocation for joint cost.</w:t>
      </w:r>
      <w:r w:rsidR="00927971" w:rsidRPr="00927971">
        <w:t xml:space="preserve"> </w:t>
      </w:r>
      <w:r w:rsidR="00927971" w:rsidRPr="00927971">
        <w:rPr>
          <w:rFonts w:ascii="Arial" w:eastAsiaTheme="minorEastAsia" w:hAnsi="Arial" w:cs="Arial"/>
          <w:sz w:val="22"/>
          <w:szCs w:val="20"/>
          <w:lang w:eastAsia="en-US"/>
        </w:rPr>
        <w:t>Any new to established methodology of cost allocation in addition to the existing carries the risk of inconsistencies. In addition</w:t>
      </w:r>
      <w:r w:rsidR="00927971">
        <w:rPr>
          <w:rFonts w:ascii="Arial" w:eastAsiaTheme="minorEastAsia" w:hAnsi="Arial" w:cs="Arial"/>
          <w:sz w:val="22"/>
          <w:szCs w:val="20"/>
          <w:lang w:eastAsia="en-US"/>
        </w:rPr>
        <w:t>,</w:t>
      </w:r>
      <w:r w:rsidR="00927971" w:rsidRPr="00927971">
        <w:rPr>
          <w:rFonts w:ascii="Arial" w:eastAsiaTheme="minorEastAsia" w:hAnsi="Arial" w:cs="Arial"/>
          <w:sz w:val="22"/>
          <w:szCs w:val="20"/>
          <w:lang w:eastAsia="en-US"/>
        </w:rPr>
        <w:t xml:space="preserve"> the setup of another shadow accounting with a separate RCB cost allocation methodology leads to higher costs and resources. </w:t>
      </w:r>
      <w:r w:rsidRPr="002C055C">
        <w:rPr>
          <w:rFonts w:ascii="Arial" w:eastAsiaTheme="minorEastAsia" w:hAnsi="Arial" w:cs="Arial"/>
          <w:sz w:val="22"/>
          <w:szCs w:val="20"/>
          <w:lang w:eastAsia="en-US"/>
        </w:rPr>
        <w:t>Providing mandatory guidelines on accounting could go well beyond the scope of the current transparency plus model and might come very close to the issuance of clear price regulation. Cost allocation should therefore clearly remain at the discretion of market data providers (respectively the data sources</w:t>
      </w:r>
      <w:r w:rsidR="00322DD2">
        <w:rPr>
          <w:rFonts w:ascii="Arial" w:eastAsiaTheme="minorEastAsia" w:hAnsi="Arial" w:cs="Arial"/>
          <w:sz w:val="22"/>
          <w:szCs w:val="20"/>
          <w:lang w:eastAsia="en-US"/>
        </w:rPr>
        <w:t xml:space="preserve"> for the avoidance of doubt</w:t>
      </w:r>
      <w:r w:rsidRPr="002C055C">
        <w:rPr>
          <w:rFonts w:ascii="Arial" w:eastAsiaTheme="minorEastAsia" w:hAnsi="Arial" w:cs="Arial"/>
          <w:sz w:val="22"/>
          <w:szCs w:val="20"/>
          <w:lang w:eastAsia="en-US"/>
        </w:rPr>
        <w:t xml:space="preserve">). Furthermore, we recommend that there should be a clear distinction between joint and common cost which might occur as well in the context of products which are not joint products. </w:t>
      </w:r>
    </w:p>
    <w:p w14:paraId="3E3F7709" w14:textId="77777777" w:rsidR="002C055C" w:rsidRPr="002C055C" w:rsidRDefault="002C055C" w:rsidP="007601FA">
      <w:pPr>
        <w:spacing w:after="160"/>
        <w:jc w:val="both"/>
        <w:rPr>
          <w:rFonts w:ascii="Arial" w:eastAsiaTheme="minorEastAsia" w:hAnsi="Arial" w:cs="Arial"/>
          <w:b/>
          <w:sz w:val="22"/>
          <w:szCs w:val="20"/>
          <w:lang w:eastAsia="en-US"/>
        </w:rPr>
      </w:pPr>
      <w:r w:rsidRPr="002C055C">
        <w:rPr>
          <w:rFonts w:ascii="Arial" w:eastAsiaTheme="minorEastAsia" w:hAnsi="Arial" w:cs="Arial"/>
          <w:b/>
          <w:sz w:val="22"/>
          <w:szCs w:val="20"/>
          <w:lang w:eastAsia="en-US"/>
        </w:rPr>
        <w:t xml:space="preserve">Definition of users / Value of market data </w:t>
      </w:r>
    </w:p>
    <w:p w14:paraId="23C6771A" w14:textId="1CDEC6E3"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 xml:space="preserve">DBG appreciates that ESMA supports the value </w:t>
      </w:r>
      <w:r w:rsidR="00927971">
        <w:rPr>
          <w:rFonts w:ascii="Arial" w:eastAsiaTheme="minorEastAsia" w:hAnsi="Arial" w:cs="Arial"/>
          <w:sz w:val="22"/>
          <w:szCs w:val="20"/>
          <w:lang w:eastAsia="en-US"/>
        </w:rPr>
        <w:t>that</w:t>
      </w:r>
      <w:r w:rsidRPr="002C055C">
        <w:rPr>
          <w:rFonts w:ascii="Arial" w:eastAsiaTheme="minorEastAsia" w:hAnsi="Arial" w:cs="Arial"/>
          <w:sz w:val="22"/>
          <w:szCs w:val="20"/>
          <w:lang w:eastAsia="en-US"/>
        </w:rPr>
        <w:t xml:space="preserve"> data represents to the user, when defining data licenses for various user groups. This is in line with economics literature, confirming that </w:t>
      </w:r>
      <w:r w:rsidR="00322DD2">
        <w:rPr>
          <w:rFonts w:ascii="Arial" w:eastAsiaTheme="minorEastAsia" w:hAnsi="Arial" w:cs="Arial"/>
          <w:sz w:val="22"/>
          <w:szCs w:val="20"/>
          <w:lang w:eastAsia="en-US"/>
        </w:rPr>
        <w:t>such a</w:t>
      </w:r>
      <w:r w:rsidRPr="002C055C">
        <w:rPr>
          <w:rFonts w:ascii="Arial" w:eastAsiaTheme="minorEastAsia" w:hAnsi="Arial" w:cs="Arial"/>
          <w:sz w:val="22"/>
          <w:szCs w:val="20"/>
          <w:lang w:eastAsia="en-US"/>
        </w:rPr>
        <w:t xml:space="preserve"> behavio</w:t>
      </w:r>
      <w:r w:rsidR="007C2ED9">
        <w:rPr>
          <w:rFonts w:ascii="Arial" w:eastAsiaTheme="minorEastAsia" w:hAnsi="Arial" w:cs="Arial"/>
          <w:sz w:val="22"/>
          <w:szCs w:val="20"/>
          <w:lang w:eastAsia="en-US"/>
        </w:rPr>
        <w:t>u</w:t>
      </w:r>
      <w:r w:rsidRPr="002C055C">
        <w:rPr>
          <w:rFonts w:ascii="Arial" w:eastAsiaTheme="minorEastAsia" w:hAnsi="Arial" w:cs="Arial"/>
          <w:sz w:val="22"/>
          <w:szCs w:val="20"/>
          <w:lang w:eastAsia="en-US"/>
        </w:rPr>
        <w:t xml:space="preserve">r </w:t>
      </w:r>
      <w:r w:rsidR="00322DD2">
        <w:rPr>
          <w:rFonts w:ascii="Arial" w:eastAsiaTheme="minorEastAsia" w:hAnsi="Arial" w:cs="Arial"/>
          <w:sz w:val="22"/>
          <w:szCs w:val="20"/>
          <w:lang w:eastAsia="en-US"/>
        </w:rPr>
        <w:t xml:space="preserve">indeed </w:t>
      </w:r>
      <w:r w:rsidRPr="002C055C">
        <w:rPr>
          <w:rFonts w:ascii="Arial" w:eastAsiaTheme="minorEastAsia" w:hAnsi="Arial" w:cs="Arial"/>
          <w:sz w:val="22"/>
          <w:szCs w:val="20"/>
          <w:lang w:eastAsia="en-US"/>
        </w:rPr>
        <w:t>maximi</w:t>
      </w:r>
      <w:r w:rsidR="00927971">
        <w:rPr>
          <w:rFonts w:ascii="Arial" w:eastAsiaTheme="minorEastAsia" w:hAnsi="Arial" w:cs="Arial"/>
          <w:sz w:val="22"/>
          <w:szCs w:val="20"/>
          <w:lang w:eastAsia="en-US"/>
        </w:rPr>
        <w:t>z</w:t>
      </w:r>
      <w:r w:rsidRPr="002C055C">
        <w:rPr>
          <w:rFonts w:ascii="Arial" w:eastAsiaTheme="minorEastAsia" w:hAnsi="Arial" w:cs="Arial"/>
          <w:sz w:val="22"/>
          <w:szCs w:val="20"/>
          <w:lang w:eastAsia="en-US"/>
        </w:rPr>
        <w:t>es welfare</w:t>
      </w:r>
      <w:r w:rsidR="00927971">
        <w:rPr>
          <w:rStyle w:val="Funotenzeichen"/>
          <w:rFonts w:eastAsiaTheme="minorEastAsia" w:cs="Arial"/>
          <w:szCs w:val="20"/>
          <w:lang w:eastAsia="en-US"/>
        </w:rPr>
        <w:footnoteReference w:id="8"/>
      </w:r>
      <w:r w:rsidRPr="002C055C">
        <w:rPr>
          <w:rFonts w:ascii="Arial" w:eastAsiaTheme="minorEastAsia" w:hAnsi="Arial" w:cs="Arial"/>
          <w:sz w:val="22"/>
          <w:szCs w:val="20"/>
          <w:lang w:eastAsia="en-US"/>
        </w:rPr>
        <w:t xml:space="preserve">. This ensures widely spread transparency, e.g. to private investors, large institutions and third-party business entities alike, while taking note of the value the data carries for each of these customer groups/use cases. </w:t>
      </w:r>
    </w:p>
    <w:p w14:paraId="0FD3EA54" w14:textId="09FC6B4C" w:rsidR="002C055C" w:rsidRPr="002C055C" w:rsidRDefault="002C055C" w:rsidP="007601FA">
      <w:pPr>
        <w:spacing w:after="160"/>
        <w:jc w:val="both"/>
        <w:rPr>
          <w:rFonts w:ascii="Arial" w:eastAsiaTheme="minorEastAsia" w:hAnsi="Arial" w:cs="Arial"/>
          <w:b/>
          <w:sz w:val="22"/>
          <w:szCs w:val="20"/>
          <w:lang w:eastAsia="en-US"/>
        </w:rPr>
      </w:pPr>
      <w:r w:rsidRPr="002C055C">
        <w:rPr>
          <w:rFonts w:ascii="Arial" w:eastAsiaTheme="minorEastAsia" w:hAnsi="Arial" w:cs="Arial"/>
          <w:b/>
          <w:sz w:val="22"/>
          <w:szCs w:val="20"/>
          <w:lang w:eastAsia="en-US"/>
        </w:rPr>
        <w:t xml:space="preserve">Active user / </w:t>
      </w:r>
      <w:r w:rsidR="00322DD2">
        <w:rPr>
          <w:rFonts w:ascii="Arial" w:eastAsiaTheme="minorEastAsia" w:hAnsi="Arial" w:cs="Arial"/>
          <w:b/>
          <w:sz w:val="22"/>
          <w:szCs w:val="20"/>
          <w:lang w:eastAsia="en-US"/>
        </w:rPr>
        <w:t>U</w:t>
      </w:r>
      <w:r w:rsidR="00BE122B">
        <w:rPr>
          <w:rFonts w:ascii="Arial" w:eastAsiaTheme="minorEastAsia" w:hAnsi="Arial" w:cs="Arial"/>
          <w:b/>
          <w:sz w:val="22"/>
          <w:szCs w:val="20"/>
          <w:lang w:eastAsia="en-US"/>
        </w:rPr>
        <w:t>ser</w:t>
      </w:r>
      <w:r w:rsidR="00322DD2">
        <w:rPr>
          <w:rFonts w:ascii="Arial" w:eastAsiaTheme="minorEastAsia" w:hAnsi="Arial" w:cs="Arial"/>
          <w:b/>
          <w:sz w:val="22"/>
          <w:szCs w:val="20"/>
          <w:lang w:eastAsia="en-US"/>
        </w:rPr>
        <w:t xml:space="preserve"> ID / </w:t>
      </w:r>
      <w:r w:rsidRPr="002C055C">
        <w:rPr>
          <w:rFonts w:ascii="Arial" w:eastAsiaTheme="minorEastAsia" w:hAnsi="Arial" w:cs="Arial"/>
          <w:b/>
          <w:sz w:val="22"/>
          <w:szCs w:val="20"/>
          <w:lang w:eastAsia="en-US"/>
        </w:rPr>
        <w:t xml:space="preserve">Product netting </w:t>
      </w:r>
    </w:p>
    <w:p w14:paraId="4FD14FBD" w14:textId="4D184907" w:rsidR="002C055C" w:rsidRP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 xml:space="preserve">DBG does not support </w:t>
      </w:r>
      <w:r w:rsidR="00322DD2">
        <w:rPr>
          <w:rFonts w:ascii="Arial" w:eastAsiaTheme="minorEastAsia" w:hAnsi="Arial" w:cs="Arial"/>
          <w:sz w:val="22"/>
          <w:szCs w:val="20"/>
          <w:lang w:eastAsia="en-US"/>
        </w:rPr>
        <w:t xml:space="preserve">though </w:t>
      </w:r>
      <w:r w:rsidRPr="002C055C">
        <w:rPr>
          <w:rFonts w:ascii="Arial" w:eastAsiaTheme="minorEastAsia" w:hAnsi="Arial" w:cs="Arial"/>
          <w:sz w:val="22"/>
          <w:szCs w:val="20"/>
          <w:lang w:eastAsia="en-US"/>
        </w:rPr>
        <w:t>ESMA</w:t>
      </w:r>
      <w:r w:rsidR="00927971">
        <w:rPr>
          <w:rFonts w:ascii="Arial" w:eastAsiaTheme="minorEastAsia" w:hAnsi="Arial" w:cs="Arial"/>
          <w:sz w:val="22"/>
          <w:szCs w:val="20"/>
          <w:lang w:eastAsia="en-US"/>
        </w:rPr>
        <w:t>’</w:t>
      </w:r>
      <w:r w:rsidRPr="002C055C">
        <w:rPr>
          <w:rFonts w:ascii="Arial" w:eastAsiaTheme="minorEastAsia" w:hAnsi="Arial" w:cs="Arial"/>
          <w:sz w:val="22"/>
          <w:szCs w:val="20"/>
          <w:lang w:eastAsia="en-US"/>
        </w:rPr>
        <w:t xml:space="preserve">s proposal as regards </w:t>
      </w:r>
      <w:r w:rsidR="00322DD2">
        <w:rPr>
          <w:rFonts w:ascii="Arial" w:eastAsiaTheme="minorEastAsia" w:hAnsi="Arial" w:cs="Arial"/>
          <w:sz w:val="22"/>
          <w:szCs w:val="20"/>
          <w:lang w:eastAsia="en-US"/>
        </w:rPr>
        <w:t>“</w:t>
      </w:r>
      <w:r w:rsidRPr="002C055C">
        <w:rPr>
          <w:rFonts w:ascii="Arial" w:eastAsiaTheme="minorEastAsia" w:hAnsi="Arial" w:cs="Arial"/>
          <w:sz w:val="22"/>
          <w:szCs w:val="20"/>
          <w:lang w:eastAsia="en-US"/>
        </w:rPr>
        <w:t>active user</w:t>
      </w:r>
      <w:r w:rsidR="00322DD2">
        <w:rPr>
          <w:rFonts w:ascii="Arial" w:eastAsiaTheme="minorEastAsia" w:hAnsi="Arial" w:cs="Arial"/>
          <w:sz w:val="22"/>
          <w:szCs w:val="20"/>
          <w:lang w:eastAsia="en-US"/>
        </w:rPr>
        <w:t>”</w:t>
      </w:r>
      <w:r w:rsidRPr="002C055C">
        <w:rPr>
          <w:rFonts w:ascii="Arial" w:eastAsiaTheme="minorEastAsia" w:hAnsi="Arial" w:cs="Arial"/>
          <w:sz w:val="22"/>
          <w:szCs w:val="20"/>
          <w:lang w:eastAsia="en-US"/>
        </w:rPr>
        <w:t xml:space="preserve"> schemes</w:t>
      </w:r>
      <w:r w:rsidR="00322DD2">
        <w:rPr>
          <w:rFonts w:ascii="Arial" w:eastAsiaTheme="minorEastAsia" w:hAnsi="Arial" w:cs="Arial"/>
          <w:sz w:val="22"/>
          <w:szCs w:val="20"/>
          <w:lang w:eastAsia="en-US"/>
        </w:rPr>
        <w:t>,</w:t>
      </w:r>
      <w:r w:rsidRPr="002C055C">
        <w:rPr>
          <w:rFonts w:ascii="Arial" w:eastAsiaTheme="minorEastAsia" w:hAnsi="Arial" w:cs="Arial"/>
          <w:sz w:val="22"/>
          <w:szCs w:val="20"/>
          <w:lang w:eastAsia="en-US"/>
        </w:rPr>
        <w:t xml:space="preserve"> </w:t>
      </w:r>
      <w:r w:rsidR="00322DD2" w:rsidRPr="00322DD2">
        <w:rPr>
          <w:rFonts w:ascii="Arial" w:eastAsiaTheme="minorEastAsia" w:hAnsi="Arial" w:cs="Arial"/>
          <w:sz w:val="22"/>
          <w:szCs w:val="20"/>
          <w:lang w:eastAsia="en-US"/>
        </w:rPr>
        <w:t xml:space="preserve">respectively the “active user” definition as the </w:t>
      </w:r>
      <w:r w:rsidR="000E311F">
        <w:rPr>
          <w:rFonts w:ascii="Arial" w:eastAsiaTheme="minorEastAsia" w:hAnsi="Arial" w:cs="Arial"/>
          <w:sz w:val="22"/>
          <w:szCs w:val="20"/>
          <w:lang w:eastAsia="en-US"/>
        </w:rPr>
        <w:t>only</w:t>
      </w:r>
      <w:r w:rsidR="00322DD2" w:rsidRPr="00322DD2">
        <w:rPr>
          <w:rFonts w:ascii="Arial" w:eastAsiaTheme="minorEastAsia" w:hAnsi="Arial" w:cs="Arial"/>
          <w:sz w:val="22"/>
          <w:szCs w:val="20"/>
          <w:lang w:eastAsia="en-US"/>
        </w:rPr>
        <w:t xml:space="preserve"> unit of count for display usage,  nor the “U</w:t>
      </w:r>
      <w:r w:rsidR="00BE122B">
        <w:rPr>
          <w:rFonts w:ascii="Arial" w:eastAsiaTheme="minorEastAsia" w:hAnsi="Arial" w:cs="Arial"/>
          <w:sz w:val="22"/>
          <w:szCs w:val="20"/>
          <w:lang w:eastAsia="en-US"/>
        </w:rPr>
        <w:t>ser</w:t>
      </w:r>
      <w:r w:rsidR="00322DD2" w:rsidRPr="00322DD2">
        <w:rPr>
          <w:rFonts w:ascii="Arial" w:eastAsiaTheme="minorEastAsia" w:hAnsi="Arial" w:cs="Arial"/>
          <w:sz w:val="22"/>
          <w:szCs w:val="20"/>
          <w:lang w:eastAsia="en-US"/>
        </w:rPr>
        <w:t xml:space="preserve"> ID” as the </w:t>
      </w:r>
      <w:r w:rsidR="000E311F">
        <w:rPr>
          <w:rFonts w:ascii="Arial" w:eastAsiaTheme="minorEastAsia" w:hAnsi="Arial" w:cs="Arial"/>
          <w:sz w:val="22"/>
          <w:szCs w:val="20"/>
          <w:lang w:eastAsia="en-US"/>
        </w:rPr>
        <w:t>only</w:t>
      </w:r>
      <w:r w:rsidR="00322DD2" w:rsidRPr="00322DD2">
        <w:rPr>
          <w:rFonts w:ascii="Arial" w:eastAsiaTheme="minorEastAsia" w:hAnsi="Arial" w:cs="Arial"/>
          <w:sz w:val="22"/>
          <w:szCs w:val="20"/>
          <w:lang w:eastAsia="en-US"/>
        </w:rPr>
        <w:t xml:space="preserve"> unit of count for non-display data. Both proposals are options available to customers, but hardly used, and only by certain customers, as it is extremely complex to administer for all parties included. For the same reasons, we do not support either</w:t>
      </w:r>
      <w:r w:rsidR="00322DD2">
        <w:rPr>
          <w:rFonts w:ascii="Arial" w:eastAsiaTheme="minorEastAsia" w:hAnsi="Arial" w:cs="Arial"/>
          <w:sz w:val="22"/>
          <w:szCs w:val="20"/>
          <w:lang w:eastAsia="en-US"/>
        </w:rPr>
        <w:t xml:space="preserve"> the</w:t>
      </w:r>
      <w:r w:rsidRPr="002C055C">
        <w:rPr>
          <w:rFonts w:ascii="Arial" w:eastAsiaTheme="minorEastAsia" w:hAnsi="Arial" w:cs="Arial"/>
          <w:sz w:val="22"/>
          <w:szCs w:val="20"/>
          <w:lang w:eastAsia="en-US"/>
        </w:rPr>
        <w:t xml:space="preserve"> full netting of product versions or use cases across data licensees as the prescribed way of accounting data fees. Netting of different product versions</w:t>
      </w:r>
      <w:r w:rsidR="00927971">
        <w:rPr>
          <w:rFonts w:ascii="Arial" w:eastAsiaTheme="minorEastAsia" w:hAnsi="Arial" w:cs="Arial"/>
          <w:sz w:val="22"/>
          <w:szCs w:val="20"/>
          <w:lang w:eastAsia="en-US"/>
        </w:rPr>
        <w:t xml:space="preserve"> does exist but</w:t>
      </w:r>
      <w:r w:rsidRPr="002C055C">
        <w:rPr>
          <w:rFonts w:ascii="Arial" w:eastAsiaTheme="minorEastAsia" w:hAnsi="Arial" w:cs="Arial"/>
          <w:sz w:val="22"/>
          <w:szCs w:val="20"/>
          <w:lang w:eastAsia="en-US"/>
        </w:rPr>
        <w:t xml:space="preserve"> is no standard. The current proposals would require significant investments on trading venues side</w:t>
      </w:r>
      <w:r w:rsidR="00927971">
        <w:rPr>
          <w:rFonts w:ascii="Arial" w:eastAsiaTheme="minorEastAsia" w:hAnsi="Arial" w:cs="Arial"/>
          <w:sz w:val="22"/>
          <w:szCs w:val="20"/>
          <w:lang w:eastAsia="en-US"/>
        </w:rPr>
        <w:t xml:space="preserve"> </w:t>
      </w:r>
      <w:r w:rsidR="00927971" w:rsidRPr="00927971">
        <w:rPr>
          <w:rFonts w:ascii="Arial" w:eastAsiaTheme="minorEastAsia" w:hAnsi="Arial" w:cs="Arial"/>
          <w:sz w:val="22"/>
          <w:szCs w:val="20"/>
          <w:lang w:eastAsia="en-US"/>
        </w:rPr>
        <w:t>to establish direct billing systems</w:t>
      </w:r>
      <w:r w:rsidRPr="002C055C">
        <w:rPr>
          <w:rFonts w:ascii="Arial" w:eastAsiaTheme="minorEastAsia" w:hAnsi="Arial" w:cs="Arial"/>
          <w:sz w:val="22"/>
          <w:szCs w:val="20"/>
          <w:lang w:eastAsia="en-US"/>
        </w:rPr>
        <w:t xml:space="preserve"> </w:t>
      </w:r>
      <w:r w:rsidR="00927971" w:rsidRPr="00927971">
        <w:rPr>
          <w:rFonts w:ascii="Arial" w:eastAsiaTheme="minorEastAsia" w:hAnsi="Arial" w:cs="Arial"/>
          <w:sz w:val="22"/>
          <w:szCs w:val="20"/>
          <w:lang w:eastAsia="en-US"/>
        </w:rPr>
        <w:t xml:space="preserve">for the customers, who would have to invest in data management tools and administrative systems at their end. </w:t>
      </w:r>
      <w:r w:rsidR="00322DD2">
        <w:rPr>
          <w:rFonts w:ascii="Arial" w:eastAsiaTheme="minorEastAsia" w:hAnsi="Arial" w:cs="Arial"/>
          <w:sz w:val="22"/>
          <w:szCs w:val="20"/>
          <w:lang w:eastAsia="en-US"/>
        </w:rPr>
        <w:t xml:space="preserve">Administration cost for the industry would rise. </w:t>
      </w:r>
      <w:r w:rsidR="00927971" w:rsidRPr="00927971">
        <w:rPr>
          <w:rFonts w:ascii="Arial" w:eastAsiaTheme="minorEastAsia" w:hAnsi="Arial" w:cs="Arial"/>
          <w:sz w:val="22"/>
          <w:szCs w:val="20"/>
          <w:lang w:eastAsia="en-US"/>
        </w:rPr>
        <w:t xml:space="preserve">The current practice to invoice the data where the data are entitled is </w:t>
      </w:r>
      <w:r w:rsidR="00927971">
        <w:rPr>
          <w:rFonts w:ascii="Arial" w:eastAsiaTheme="minorEastAsia" w:hAnsi="Arial" w:cs="Arial"/>
          <w:sz w:val="22"/>
          <w:szCs w:val="20"/>
          <w:lang w:eastAsia="en-US"/>
        </w:rPr>
        <w:t>t</w:t>
      </w:r>
      <w:r w:rsidR="00927971" w:rsidRPr="00927971">
        <w:rPr>
          <w:rFonts w:ascii="Arial" w:eastAsiaTheme="minorEastAsia" w:hAnsi="Arial" w:cs="Arial"/>
          <w:sz w:val="22"/>
          <w:szCs w:val="20"/>
          <w:lang w:eastAsia="en-US"/>
        </w:rPr>
        <w:t xml:space="preserve">he currently preferred solution by </w:t>
      </w:r>
      <w:r w:rsidR="005C2E02">
        <w:rPr>
          <w:rFonts w:ascii="Arial" w:eastAsiaTheme="minorEastAsia" w:hAnsi="Arial" w:cs="Arial"/>
          <w:sz w:val="22"/>
          <w:szCs w:val="20"/>
          <w:lang w:eastAsia="en-US"/>
        </w:rPr>
        <w:t>many</w:t>
      </w:r>
      <w:r w:rsidR="00322DD2">
        <w:rPr>
          <w:rFonts w:ascii="Arial" w:eastAsiaTheme="minorEastAsia" w:hAnsi="Arial" w:cs="Arial"/>
          <w:sz w:val="22"/>
          <w:szCs w:val="20"/>
          <w:lang w:eastAsia="en-US"/>
        </w:rPr>
        <w:t xml:space="preserve"> </w:t>
      </w:r>
      <w:r w:rsidR="00927971" w:rsidRPr="00927971">
        <w:rPr>
          <w:rFonts w:ascii="Arial" w:eastAsiaTheme="minorEastAsia" w:hAnsi="Arial" w:cs="Arial"/>
          <w:sz w:val="22"/>
          <w:szCs w:val="20"/>
          <w:lang w:eastAsia="en-US"/>
        </w:rPr>
        <w:t>market participants</w:t>
      </w:r>
      <w:r w:rsidRPr="002C055C">
        <w:rPr>
          <w:rFonts w:ascii="Arial" w:eastAsiaTheme="minorEastAsia" w:hAnsi="Arial" w:cs="Arial"/>
          <w:sz w:val="22"/>
          <w:szCs w:val="20"/>
          <w:lang w:eastAsia="en-US"/>
        </w:rPr>
        <w:t xml:space="preserve">. </w:t>
      </w:r>
    </w:p>
    <w:p w14:paraId="2BECDA7B" w14:textId="77777777" w:rsidR="002C055C" w:rsidRPr="002C055C" w:rsidRDefault="002C055C" w:rsidP="007601FA">
      <w:pPr>
        <w:spacing w:after="160"/>
        <w:jc w:val="both"/>
        <w:rPr>
          <w:rFonts w:ascii="Arial" w:eastAsiaTheme="minorEastAsia" w:hAnsi="Arial" w:cs="Arial"/>
          <w:b/>
          <w:sz w:val="22"/>
          <w:szCs w:val="20"/>
          <w:lang w:eastAsia="en-US"/>
        </w:rPr>
      </w:pPr>
      <w:r w:rsidRPr="002C055C">
        <w:rPr>
          <w:rFonts w:ascii="Arial" w:eastAsiaTheme="minorEastAsia" w:hAnsi="Arial" w:cs="Arial"/>
          <w:b/>
          <w:sz w:val="22"/>
          <w:szCs w:val="20"/>
          <w:lang w:eastAsia="en-US"/>
        </w:rPr>
        <w:t>Contract definitions</w:t>
      </w:r>
    </w:p>
    <w:p w14:paraId="4B680389" w14:textId="387DF923" w:rsidR="002C055C" w:rsidRDefault="002C055C" w:rsidP="007601FA">
      <w:pPr>
        <w:spacing w:after="160"/>
        <w:jc w:val="both"/>
        <w:rPr>
          <w:rFonts w:ascii="Arial" w:eastAsiaTheme="minorEastAsia" w:hAnsi="Arial" w:cs="Arial"/>
          <w:sz w:val="22"/>
          <w:szCs w:val="20"/>
          <w:lang w:eastAsia="en-US"/>
        </w:rPr>
      </w:pPr>
      <w:r w:rsidRPr="002C055C">
        <w:rPr>
          <w:rFonts w:ascii="Arial" w:eastAsiaTheme="minorEastAsia" w:hAnsi="Arial" w:cs="Arial"/>
          <w:sz w:val="22"/>
          <w:szCs w:val="20"/>
          <w:lang w:eastAsia="en-US"/>
        </w:rPr>
        <w:t xml:space="preserve">DBG generally </w:t>
      </w:r>
      <w:r w:rsidR="00927971">
        <w:rPr>
          <w:rFonts w:ascii="Arial" w:eastAsiaTheme="minorEastAsia" w:hAnsi="Arial" w:cs="Arial"/>
          <w:sz w:val="22"/>
          <w:szCs w:val="20"/>
          <w:lang w:eastAsia="en-US"/>
        </w:rPr>
        <w:t>supports</w:t>
      </w:r>
      <w:r w:rsidRPr="002C055C">
        <w:rPr>
          <w:rFonts w:ascii="Arial" w:eastAsiaTheme="minorEastAsia" w:hAnsi="Arial" w:cs="Arial"/>
          <w:sz w:val="22"/>
          <w:szCs w:val="20"/>
          <w:lang w:eastAsia="en-US"/>
        </w:rPr>
        <w:t xml:space="preserve"> ESMA</w:t>
      </w:r>
      <w:r w:rsidR="00927971">
        <w:rPr>
          <w:rFonts w:ascii="Arial" w:eastAsiaTheme="minorEastAsia" w:hAnsi="Arial" w:cs="Arial"/>
          <w:sz w:val="22"/>
          <w:szCs w:val="20"/>
          <w:lang w:eastAsia="en-US"/>
        </w:rPr>
        <w:t>’</w:t>
      </w:r>
      <w:r w:rsidRPr="002C055C">
        <w:rPr>
          <w:rFonts w:ascii="Arial" w:eastAsiaTheme="minorEastAsia" w:hAnsi="Arial" w:cs="Arial"/>
          <w:sz w:val="22"/>
          <w:szCs w:val="20"/>
          <w:lang w:eastAsia="en-US"/>
        </w:rPr>
        <w:t>s aim for a certain harmonization of contractual definitions. We would like to point out that this harmonization already implies a reduction in the contractual freedom of exchanges</w:t>
      </w:r>
      <w:r w:rsidR="00A63DE0" w:rsidRPr="002C055C">
        <w:rPr>
          <w:rFonts w:ascii="Arial" w:eastAsiaTheme="minorEastAsia" w:hAnsi="Arial" w:cs="Arial"/>
          <w:sz w:val="22"/>
          <w:szCs w:val="20"/>
          <w:lang w:eastAsia="en-US"/>
        </w:rPr>
        <w:t>, and as such an interference with exchanges rights to conduct business in the EU</w:t>
      </w:r>
      <w:r w:rsidRPr="002C055C">
        <w:rPr>
          <w:rFonts w:ascii="Arial" w:eastAsiaTheme="minorEastAsia" w:hAnsi="Arial" w:cs="Arial"/>
          <w:sz w:val="22"/>
          <w:szCs w:val="20"/>
          <w:lang w:eastAsia="en-US"/>
        </w:rPr>
        <w:t xml:space="preserve">. However, we do see value in supporting ESMA in this respect as well as market participants in the aim to </w:t>
      </w:r>
      <w:r w:rsidR="00927971">
        <w:rPr>
          <w:rFonts w:ascii="Arial" w:eastAsiaTheme="minorEastAsia" w:hAnsi="Arial" w:cs="Arial"/>
          <w:sz w:val="22"/>
          <w:szCs w:val="20"/>
          <w:lang w:eastAsia="en-US"/>
        </w:rPr>
        <w:t xml:space="preserve">have a common terminology to </w:t>
      </w:r>
      <w:r w:rsidRPr="002C055C">
        <w:rPr>
          <w:rFonts w:ascii="Arial" w:eastAsiaTheme="minorEastAsia" w:hAnsi="Arial" w:cs="Arial"/>
          <w:sz w:val="22"/>
          <w:szCs w:val="20"/>
          <w:lang w:eastAsia="en-US"/>
        </w:rPr>
        <w:t>better understand exchanges</w:t>
      </w:r>
      <w:r w:rsidR="00927971">
        <w:rPr>
          <w:rFonts w:ascii="Arial" w:eastAsiaTheme="minorEastAsia" w:hAnsi="Arial" w:cs="Arial"/>
          <w:sz w:val="22"/>
          <w:szCs w:val="20"/>
          <w:lang w:eastAsia="en-US"/>
        </w:rPr>
        <w:t>’ contracts and</w:t>
      </w:r>
      <w:r w:rsidRPr="002C055C">
        <w:rPr>
          <w:rFonts w:ascii="Arial" w:eastAsiaTheme="minorEastAsia" w:hAnsi="Arial" w:cs="Arial"/>
          <w:sz w:val="22"/>
          <w:szCs w:val="20"/>
          <w:lang w:eastAsia="en-US"/>
        </w:rPr>
        <w:t xml:space="preserve"> policies. We would </w:t>
      </w:r>
      <w:r w:rsidR="00927971" w:rsidRPr="00927971">
        <w:rPr>
          <w:rFonts w:ascii="Arial" w:eastAsiaTheme="minorEastAsia" w:hAnsi="Arial" w:cs="Arial"/>
          <w:sz w:val="22"/>
          <w:szCs w:val="20"/>
          <w:lang w:eastAsia="en-US"/>
        </w:rPr>
        <w:t>suggest using ESMA’s proposals as best practices and</w:t>
      </w:r>
      <w:r w:rsidR="00927971">
        <w:rPr>
          <w:rFonts w:ascii="Arial" w:eastAsiaTheme="minorEastAsia" w:hAnsi="Arial" w:cs="Arial"/>
          <w:sz w:val="22"/>
          <w:szCs w:val="20"/>
          <w:lang w:eastAsia="en-US"/>
        </w:rPr>
        <w:t xml:space="preserve"> </w:t>
      </w:r>
      <w:r w:rsidRPr="002C055C">
        <w:rPr>
          <w:rFonts w:ascii="Arial" w:eastAsiaTheme="minorEastAsia" w:hAnsi="Arial" w:cs="Arial"/>
          <w:sz w:val="22"/>
          <w:szCs w:val="20"/>
          <w:lang w:eastAsia="en-US"/>
        </w:rPr>
        <w:t xml:space="preserve">point </w:t>
      </w:r>
      <w:r w:rsidRPr="002C055C">
        <w:rPr>
          <w:rFonts w:ascii="Arial" w:eastAsiaTheme="minorEastAsia" w:hAnsi="Arial" w:cs="Arial"/>
          <w:sz w:val="22"/>
          <w:szCs w:val="20"/>
          <w:lang w:eastAsia="en-US"/>
        </w:rPr>
        <w:lastRenderedPageBreak/>
        <w:t>out that DBG as member of FESE supports FESE</w:t>
      </w:r>
      <w:r w:rsidR="00927971">
        <w:rPr>
          <w:rFonts w:ascii="Arial" w:eastAsiaTheme="minorEastAsia" w:hAnsi="Arial" w:cs="Arial"/>
          <w:sz w:val="22"/>
          <w:szCs w:val="20"/>
          <w:lang w:eastAsia="en-US"/>
        </w:rPr>
        <w:t>’</w:t>
      </w:r>
      <w:r w:rsidRPr="002C055C">
        <w:rPr>
          <w:rFonts w:ascii="Arial" w:eastAsiaTheme="minorEastAsia" w:hAnsi="Arial" w:cs="Arial"/>
          <w:sz w:val="22"/>
          <w:szCs w:val="20"/>
          <w:lang w:eastAsia="en-US"/>
        </w:rPr>
        <w:t>s proposals in this respect. FESE and its members are proposing harmonized definitions, which will achieve ESMAs targets, while being acceptable for exchanges. Any strict harmonization, reducing companies</w:t>
      </w:r>
      <w:r w:rsidR="00927971">
        <w:rPr>
          <w:rFonts w:ascii="Arial" w:eastAsiaTheme="minorEastAsia" w:hAnsi="Arial" w:cs="Arial"/>
          <w:sz w:val="22"/>
          <w:szCs w:val="20"/>
          <w:lang w:eastAsia="en-US"/>
        </w:rPr>
        <w:t>’</w:t>
      </w:r>
      <w:r w:rsidRPr="002C055C">
        <w:rPr>
          <w:rFonts w:ascii="Arial" w:eastAsiaTheme="minorEastAsia" w:hAnsi="Arial" w:cs="Arial"/>
          <w:sz w:val="22"/>
          <w:szCs w:val="20"/>
          <w:lang w:eastAsia="en-US"/>
        </w:rPr>
        <w:t xml:space="preserve"> right to conduct their business freely within the EU, should definitely be avoided in order to avoid unintended negative side effects.</w:t>
      </w:r>
    </w:p>
    <w:p w14:paraId="353A1D7D" w14:textId="396FA608" w:rsidR="00927971" w:rsidRPr="00927971" w:rsidRDefault="00927971" w:rsidP="007601FA">
      <w:pPr>
        <w:spacing w:after="160"/>
        <w:rPr>
          <w:rFonts w:ascii="Arial" w:eastAsiaTheme="minorEastAsia" w:hAnsi="Arial" w:cs="Arial"/>
          <w:b/>
          <w:sz w:val="22"/>
          <w:szCs w:val="20"/>
          <w:lang w:eastAsia="en-US"/>
        </w:rPr>
      </w:pPr>
      <w:r w:rsidRPr="00927971">
        <w:rPr>
          <w:rFonts w:ascii="Arial" w:eastAsiaTheme="minorEastAsia" w:hAnsi="Arial" w:cs="Arial"/>
          <w:b/>
          <w:sz w:val="22"/>
          <w:szCs w:val="20"/>
          <w:lang w:eastAsia="en-US"/>
        </w:rPr>
        <w:t>Implementation</w:t>
      </w:r>
    </w:p>
    <w:p w14:paraId="5D26FED6" w14:textId="6E7504E2" w:rsidR="00A370FF" w:rsidRPr="00BC5D11" w:rsidRDefault="00F365F9" w:rsidP="007601FA">
      <w:pPr>
        <w:spacing w:after="160"/>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Finally, w</w:t>
      </w:r>
      <w:r w:rsidR="00A370FF" w:rsidRPr="00BC5D11">
        <w:rPr>
          <w:rFonts w:ascii="Arial" w:eastAsiaTheme="minorEastAsia" w:hAnsi="Arial" w:cs="Arial"/>
          <w:sz w:val="22"/>
          <w:szCs w:val="20"/>
          <w:lang w:eastAsia="en-US"/>
        </w:rPr>
        <w:t>e would like to point to the fact that implementing the guidelines will be a time-consuming and burdensome process as it includes changing contractual relationships and will impact internal pricing and governance models for example</w:t>
      </w:r>
      <w:r w:rsidR="00927971" w:rsidRPr="00927971">
        <w:t xml:space="preserve"> </w:t>
      </w:r>
      <w:r w:rsidR="00927971" w:rsidRPr="00927971">
        <w:rPr>
          <w:rFonts w:ascii="Arial" w:eastAsiaTheme="minorEastAsia" w:hAnsi="Arial" w:cs="Arial"/>
          <w:sz w:val="22"/>
          <w:szCs w:val="20"/>
          <w:lang w:eastAsia="en-US"/>
        </w:rPr>
        <w:t>as well as external established processes with our customers</w:t>
      </w:r>
      <w:r w:rsidR="00927971">
        <w:rPr>
          <w:rFonts w:ascii="Arial" w:eastAsiaTheme="minorEastAsia" w:hAnsi="Arial" w:cs="Arial"/>
          <w:sz w:val="22"/>
          <w:szCs w:val="20"/>
          <w:lang w:eastAsia="en-US"/>
        </w:rPr>
        <w:t xml:space="preserve"> </w:t>
      </w:r>
      <w:r w:rsidR="00A370FF" w:rsidRPr="00BC5D11">
        <w:rPr>
          <w:rFonts w:ascii="Arial" w:eastAsiaTheme="minorEastAsia" w:hAnsi="Arial" w:cs="Arial"/>
          <w:sz w:val="22"/>
          <w:szCs w:val="20"/>
          <w:lang w:eastAsia="en-US"/>
        </w:rPr>
        <w:t xml:space="preserve">. The requirement that the guidelines should become effective immediately after introduction would </w:t>
      </w:r>
      <w:r w:rsidR="00927971">
        <w:rPr>
          <w:rFonts w:ascii="Arial" w:eastAsiaTheme="minorEastAsia" w:hAnsi="Arial" w:cs="Arial"/>
          <w:sz w:val="22"/>
          <w:szCs w:val="20"/>
          <w:lang w:eastAsia="en-US"/>
        </w:rPr>
        <w:t>not be feasible</w:t>
      </w:r>
      <w:r w:rsidR="00A370FF" w:rsidRPr="00BC5D11">
        <w:rPr>
          <w:rFonts w:ascii="Arial" w:eastAsiaTheme="minorEastAsia" w:hAnsi="Arial" w:cs="Arial"/>
          <w:sz w:val="22"/>
          <w:szCs w:val="20"/>
          <w:lang w:eastAsia="en-US"/>
        </w:rPr>
        <w:t xml:space="preserve"> in our view</w:t>
      </w:r>
      <w:r w:rsidR="00927971">
        <w:rPr>
          <w:rFonts w:ascii="Arial" w:eastAsiaTheme="minorEastAsia" w:hAnsi="Arial" w:cs="Arial"/>
          <w:sz w:val="22"/>
          <w:szCs w:val="20"/>
          <w:lang w:eastAsia="en-US"/>
        </w:rPr>
        <w:t xml:space="preserve"> </w:t>
      </w:r>
      <w:r w:rsidR="00075EF1">
        <w:rPr>
          <w:rFonts w:ascii="Arial" w:eastAsiaTheme="minorEastAsia" w:hAnsi="Arial" w:cs="Arial"/>
          <w:sz w:val="22"/>
          <w:szCs w:val="20"/>
          <w:lang w:eastAsia="en-US"/>
        </w:rPr>
        <w:t>because of the high technical impacts on administrative systems</w:t>
      </w:r>
      <w:r w:rsidR="00A370FF" w:rsidRPr="00BC5D11">
        <w:rPr>
          <w:rFonts w:ascii="Arial" w:eastAsiaTheme="minorEastAsia" w:hAnsi="Arial" w:cs="Arial"/>
          <w:sz w:val="22"/>
          <w:szCs w:val="20"/>
          <w:lang w:eastAsia="en-US"/>
        </w:rPr>
        <w:t>. We would therefore like to suggest a transition period to grant sufficient time for any required changes to existing practices – both for providers of market data as well as for customers using market data.</w:t>
      </w:r>
    </w:p>
    <w:p w14:paraId="2FDD67AF" w14:textId="24EC573F" w:rsidR="00653D30" w:rsidRPr="00BC5D11" w:rsidRDefault="00653D30" w:rsidP="007601FA">
      <w:pPr>
        <w:spacing w:after="160"/>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DBG trusts that our comments are a useful contribution to the draft guidelines on market data and remain at the disposal of ESMA for any questions and additional feedback.</w:t>
      </w:r>
    </w:p>
    <w:p w14:paraId="6953B00B" w14:textId="77777777" w:rsidR="00984423" w:rsidRPr="00BC5D11" w:rsidRDefault="00984423" w:rsidP="00984423">
      <w:pPr>
        <w:spacing w:after="250" w:line="276" w:lineRule="auto"/>
        <w:jc w:val="both"/>
        <w:rPr>
          <w:rFonts w:ascii="Arial" w:eastAsiaTheme="minorEastAsia" w:hAnsi="Arial" w:cs="Arial"/>
          <w:sz w:val="22"/>
          <w:szCs w:val="20"/>
          <w:lang w:eastAsia="en-US"/>
        </w:rPr>
      </w:pPr>
      <w:r w:rsidRPr="00BC5D11">
        <w:rPr>
          <w:rFonts w:ascii="Arial" w:eastAsiaTheme="minorEastAsia" w:hAnsi="Arial" w:cs="Arial"/>
          <w:sz w:val="22"/>
          <w:szCs w:val="20"/>
          <w:lang w:eastAsia="en-US"/>
        </w:rPr>
        <w:t>&lt;ESMA_COMMENT_GOMD_1&gt;</w:t>
      </w:r>
    </w:p>
    <w:p w14:paraId="4A958C28" w14:textId="77777777" w:rsidR="00984423" w:rsidRPr="00BC5D11" w:rsidRDefault="00984423" w:rsidP="00984423">
      <w:pPr>
        <w:spacing w:line="276" w:lineRule="auto"/>
        <w:rPr>
          <w:rFonts w:ascii="Arial" w:hAnsi="Arial" w:cs="Arial"/>
          <w:b/>
          <w:sz w:val="28"/>
          <w:szCs w:val="28"/>
        </w:rPr>
      </w:pPr>
    </w:p>
    <w:p w14:paraId="662EC587" w14:textId="77777777" w:rsidR="00984423" w:rsidRPr="00BC5D11" w:rsidRDefault="00984423" w:rsidP="00984423">
      <w:pPr>
        <w:spacing w:line="276" w:lineRule="auto"/>
        <w:rPr>
          <w:rFonts w:ascii="Arial" w:hAnsi="Arial" w:cs="Arial"/>
          <w:b/>
          <w:sz w:val="28"/>
          <w:szCs w:val="28"/>
        </w:rPr>
      </w:pPr>
    </w:p>
    <w:p w14:paraId="2B5CB492" w14:textId="77777777" w:rsidR="00984423" w:rsidRPr="00BC5D11" w:rsidRDefault="00984423" w:rsidP="00984423">
      <w:pPr>
        <w:spacing w:line="276" w:lineRule="auto"/>
        <w:rPr>
          <w:rFonts w:ascii="Arial" w:hAnsi="Arial" w:cs="Arial"/>
          <w:b/>
          <w:sz w:val="28"/>
          <w:szCs w:val="28"/>
        </w:rPr>
      </w:pPr>
    </w:p>
    <w:p w14:paraId="1E88076E" w14:textId="78ED7F11" w:rsidR="00984423" w:rsidRPr="00BC5D11" w:rsidRDefault="00984423" w:rsidP="00984423">
      <w:pPr>
        <w:spacing w:line="276" w:lineRule="auto"/>
        <w:rPr>
          <w:rFonts w:ascii="Arial" w:hAnsi="Arial" w:cs="Arial"/>
          <w:b/>
          <w:sz w:val="28"/>
          <w:szCs w:val="28"/>
        </w:rPr>
      </w:pPr>
    </w:p>
    <w:p w14:paraId="4A30AA0F" w14:textId="4B884815" w:rsidR="009B1D06" w:rsidRPr="00BC5D11" w:rsidRDefault="009B1D06" w:rsidP="00984423">
      <w:pPr>
        <w:spacing w:line="276" w:lineRule="auto"/>
        <w:rPr>
          <w:rFonts w:ascii="Arial" w:hAnsi="Arial" w:cs="Arial"/>
          <w:b/>
          <w:sz w:val="28"/>
          <w:szCs w:val="28"/>
        </w:rPr>
      </w:pPr>
    </w:p>
    <w:p w14:paraId="46423CAC" w14:textId="77777777" w:rsidR="009B1D06" w:rsidRPr="00BC5D11" w:rsidRDefault="009B1D06" w:rsidP="00984423">
      <w:pPr>
        <w:spacing w:line="276" w:lineRule="auto"/>
        <w:rPr>
          <w:rFonts w:ascii="Arial" w:hAnsi="Arial" w:cs="Arial"/>
          <w:b/>
          <w:sz w:val="28"/>
          <w:szCs w:val="28"/>
        </w:rPr>
      </w:pPr>
    </w:p>
    <w:p w14:paraId="6391B7E3" w14:textId="35103627" w:rsidR="00984423" w:rsidRPr="00BC5D11" w:rsidRDefault="00984423" w:rsidP="00984423">
      <w:pPr>
        <w:spacing w:line="276" w:lineRule="auto"/>
        <w:rPr>
          <w:rFonts w:ascii="Arial" w:hAnsi="Arial" w:cs="Arial"/>
          <w:b/>
          <w:sz w:val="28"/>
          <w:szCs w:val="28"/>
        </w:rPr>
      </w:pPr>
    </w:p>
    <w:p w14:paraId="49FA4F1C" w14:textId="22B9AFF4" w:rsidR="00C4381C" w:rsidRPr="00BC5D11" w:rsidRDefault="00C4381C" w:rsidP="00984423">
      <w:pPr>
        <w:spacing w:line="276" w:lineRule="auto"/>
        <w:rPr>
          <w:rFonts w:ascii="Arial" w:hAnsi="Arial" w:cs="Arial"/>
          <w:b/>
          <w:sz w:val="28"/>
          <w:szCs w:val="28"/>
        </w:rPr>
      </w:pPr>
    </w:p>
    <w:p w14:paraId="489FE1C2" w14:textId="77777777" w:rsidR="00C4381C" w:rsidRPr="00BC5D11" w:rsidRDefault="00C4381C" w:rsidP="00984423">
      <w:pPr>
        <w:spacing w:line="276" w:lineRule="auto"/>
        <w:rPr>
          <w:rFonts w:ascii="Arial" w:hAnsi="Arial" w:cs="Arial"/>
          <w:b/>
          <w:sz w:val="28"/>
          <w:szCs w:val="28"/>
        </w:rPr>
      </w:pPr>
    </w:p>
    <w:p w14:paraId="569C56F9" w14:textId="77777777" w:rsidR="00980805" w:rsidRDefault="00980805">
      <w:pPr>
        <w:spacing w:after="160" w:line="259" w:lineRule="auto"/>
        <w:rPr>
          <w:rFonts w:ascii="Arial" w:hAnsi="Arial" w:cs="Arial"/>
          <w:b/>
          <w:sz w:val="28"/>
          <w:szCs w:val="28"/>
        </w:rPr>
      </w:pPr>
      <w:r>
        <w:rPr>
          <w:rFonts w:ascii="Arial" w:hAnsi="Arial" w:cs="Arial"/>
          <w:b/>
          <w:sz w:val="28"/>
          <w:szCs w:val="28"/>
        </w:rPr>
        <w:br w:type="page"/>
      </w:r>
    </w:p>
    <w:p w14:paraId="3E1A8E87" w14:textId="05EC5598" w:rsidR="00984423" w:rsidRPr="00BC5D11" w:rsidRDefault="00984423" w:rsidP="00984423">
      <w:pPr>
        <w:spacing w:line="276" w:lineRule="auto"/>
        <w:rPr>
          <w:rFonts w:ascii="Arial" w:hAnsi="Arial" w:cs="Arial"/>
          <w:b/>
          <w:sz w:val="28"/>
          <w:szCs w:val="28"/>
        </w:rPr>
      </w:pPr>
      <w:r w:rsidRPr="00BC5D11">
        <w:rPr>
          <w:rFonts w:ascii="Arial" w:hAnsi="Arial" w:cs="Arial"/>
          <w:b/>
          <w:sz w:val="28"/>
          <w:szCs w:val="28"/>
        </w:rPr>
        <w:lastRenderedPageBreak/>
        <w:t xml:space="preserve">Questions </w:t>
      </w:r>
    </w:p>
    <w:p w14:paraId="1BDAB8E5" w14:textId="77777777" w:rsidR="00984423" w:rsidRPr="00BC5D11" w:rsidRDefault="00984423" w:rsidP="00984423">
      <w:pPr>
        <w:spacing w:line="276" w:lineRule="auto"/>
        <w:rPr>
          <w:rFonts w:ascii="Arial" w:hAnsi="Arial" w:cs="Arial"/>
          <w:b/>
          <w:sz w:val="28"/>
          <w:szCs w:val="28"/>
        </w:rPr>
      </w:pPr>
    </w:p>
    <w:p w14:paraId="30F3F997"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bookmarkStart w:id="3" w:name="_Hlk54104951"/>
      <w:bookmarkEnd w:id="1"/>
      <w:r w:rsidRPr="00F6575F">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1ABAEBE0" w14:textId="77777777" w:rsidR="00984423" w:rsidRPr="00BC5D11" w:rsidRDefault="00984423" w:rsidP="00984423">
      <w:pPr>
        <w:spacing w:after="160" w:line="259" w:lineRule="auto"/>
        <w:rPr>
          <w:rFonts w:ascii="Arial" w:eastAsia="Calibri" w:hAnsi="Arial" w:cs="Arial"/>
          <w:sz w:val="22"/>
          <w:szCs w:val="22"/>
          <w:lang w:val="en-US" w:eastAsia="en-US"/>
        </w:rPr>
      </w:pPr>
      <w:r w:rsidRPr="00BC5D11">
        <w:rPr>
          <w:rFonts w:ascii="Arial" w:eastAsia="Calibri" w:hAnsi="Arial" w:cs="Arial"/>
          <w:sz w:val="22"/>
          <w:szCs w:val="22"/>
          <w:lang w:val="en-US" w:eastAsia="en-US"/>
        </w:rPr>
        <w:t>&lt;ESMA_QUESTION_GOMD_1&gt;</w:t>
      </w:r>
    </w:p>
    <w:p w14:paraId="4EF7C188" w14:textId="7ACEBE07" w:rsidR="003D48E9" w:rsidRPr="00BC5D11" w:rsidRDefault="003D48E9" w:rsidP="007601FA">
      <w:pPr>
        <w:spacing w:after="160"/>
        <w:jc w:val="both"/>
        <w:rPr>
          <w:rFonts w:ascii="Arial" w:eastAsia="Calibri" w:hAnsi="Arial" w:cs="Arial"/>
          <w:sz w:val="22"/>
          <w:szCs w:val="22"/>
          <w:lang w:val="en-US" w:eastAsia="en-US"/>
        </w:rPr>
      </w:pPr>
      <w:r w:rsidRPr="00BC5D11">
        <w:rPr>
          <w:rFonts w:ascii="Arial" w:eastAsia="Calibri" w:hAnsi="Arial" w:cs="Arial"/>
          <w:sz w:val="22"/>
          <w:szCs w:val="22"/>
          <w:lang w:val="en-US" w:eastAsia="en-US"/>
        </w:rPr>
        <w:t xml:space="preserve">DBG agrees with covering in the </w:t>
      </w:r>
      <w:r w:rsidR="001365E8" w:rsidRPr="00BC5D11">
        <w:rPr>
          <w:rFonts w:ascii="Arial" w:eastAsia="Calibri" w:hAnsi="Arial" w:cs="Arial"/>
          <w:sz w:val="22"/>
          <w:szCs w:val="22"/>
          <w:lang w:val="en-US" w:eastAsia="en-US"/>
        </w:rPr>
        <w:t>g</w:t>
      </w:r>
      <w:r w:rsidRPr="00BC5D11">
        <w:rPr>
          <w:rFonts w:ascii="Arial" w:eastAsia="Calibri" w:hAnsi="Arial" w:cs="Arial"/>
          <w:sz w:val="22"/>
          <w:szCs w:val="22"/>
          <w:lang w:val="en-US" w:eastAsia="en-US"/>
        </w:rPr>
        <w:t>uidelines also market data providers offering market data free of charge for the requirements not explicitly exempted in the Level 2 requirements, e.g. the requirements to make market data available to all customers on the same terms and conditions, to have scalable capacities in place to ensure that customers can obtain timely access to market data at all times on a non-discriminatory basis, and to offer unbundled market data, as well as the provisions on delayed data.</w:t>
      </w:r>
    </w:p>
    <w:p w14:paraId="381B6EAF" w14:textId="394A73C6" w:rsidR="00447FFB" w:rsidRPr="00BC5D11" w:rsidRDefault="003D48E9" w:rsidP="007601FA">
      <w:pPr>
        <w:spacing w:after="160"/>
        <w:jc w:val="both"/>
        <w:rPr>
          <w:rFonts w:ascii="Arial" w:eastAsia="Calibri" w:hAnsi="Arial" w:cs="Arial"/>
          <w:sz w:val="22"/>
          <w:szCs w:val="22"/>
          <w:lang w:val="en-US" w:eastAsia="en-US"/>
        </w:rPr>
      </w:pPr>
      <w:r w:rsidRPr="00BC5D11">
        <w:rPr>
          <w:rFonts w:ascii="Arial" w:eastAsia="Calibri" w:hAnsi="Arial" w:cs="Arial"/>
          <w:sz w:val="22"/>
          <w:szCs w:val="22"/>
          <w:lang w:val="en-US" w:eastAsia="en-US"/>
        </w:rPr>
        <w:t xml:space="preserve">We </w:t>
      </w:r>
      <w:r w:rsidR="0088463A" w:rsidRPr="00BC5D11">
        <w:rPr>
          <w:rFonts w:ascii="Arial" w:eastAsia="Calibri" w:hAnsi="Arial" w:cs="Arial"/>
          <w:sz w:val="22"/>
          <w:szCs w:val="22"/>
          <w:lang w:val="en-US" w:eastAsia="en-US"/>
        </w:rPr>
        <w:t>strongly support ESMA</w:t>
      </w:r>
      <w:r w:rsidR="00FF3EDB" w:rsidRPr="00BC5D11">
        <w:rPr>
          <w:rFonts w:ascii="Arial" w:eastAsia="Calibri" w:hAnsi="Arial" w:cs="Arial"/>
          <w:sz w:val="22"/>
          <w:szCs w:val="22"/>
          <w:lang w:val="en-US" w:eastAsia="en-US"/>
        </w:rPr>
        <w:t>’</w:t>
      </w:r>
      <w:r w:rsidR="0088463A" w:rsidRPr="00BC5D11">
        <w:rPr>
          <w:rFonts w:ascii="Arial" w:eastAsia="Calibri" w:hAnsi="Arial" w:cs="Arial"/>
          <w:sz w:val="22"/>
          <w:szCs w:val="22"/>
          <w:lang w:val="en-US" w:eastAsia="en-US"/>
        </w:rPr>
        <w:t>s view as regards equal regulatory treatment of trading venues, Systematic Internali</w:t>
      </w:r>
      <w:r w:rsidR="00C71F25" w:rsidRPr="00BC5D11">
        <w:rPr>
          <w:rFonts w:ascii="Arial" w:eastAsia="Calibri" w:hAnsi="Arial" w:cs="Arial"/>
          <w:sz w:val="22"/>
          <w:szCs w:val="22"/>
          <w:lang w:val="en-US" w:eastAsia="en-US"/>
        </w:rPr>
        <w:t>z</w:t>
      </w:r>
      <w:r w:rsidR="0088463A" w:rsidRPr="00BC5D11">
        <w:rPr>
          <w:rFonts w:ascii="Arial" w:eastAsia="Calibri" w:hAnsi="Arial" w:cs="Arial"/>
          <w:sz w:val="22"/>
          <w:szCs w:val="22"/>
          <w:lang w:val="en-US" w:eastAsia="en-US"/>
        </w:rPr>
        <w:t>ers (S</w:t>
      </w:r>
      <w:r w:rsidR="00F37CD8" w:rsidRPr="00BC5D11">
        <w:rPr>
          <w:rFonts w:ascii="Arial" w:eastAsia="Calibri" w:hAnsi="Arial" w:cs="Arial"/>
          <w:sz w:val="22"/>
          <w:szCs w:val="22"/>
          <w:lang w:val="en-US" w:eastAsia="en-US"/>
        </w:rPr>
        <w:t>I</w:t>
      </w:r>
      <w:r w:rsidR="0088463A" w:rsidRPr="00BC5D11">
        <w:rPr>
          <w:rFonts w:ascii="Arial" w:eastAsia="Calibri" w:hAnsi="Arial" w:cs="Arial"/>
          <w:sz w:val="22"/>
          <w:szCs w:val="22"/>
          <w:lang w:val="en-US" w:eastAsia="en-US"/>
        </w:rPr>
        <w:t xml:space="preserve">s), and APAs. </w:t>
      </w:r>
      <w:r w:rsidR="00431742" w:rsidRPr="00BC5D11">
        <w:rPr>
          <w:rFonts w:ascii="Arial" w:eastAsia="Calibri" w:hAnsi="Arial" w:cs="Arial"/>
          <w:sz w:val="22"/>
          <w:szCs w:val="22"/>
          <w:lang w:val="en-US" w:eastAsia="en-US"/>
        </w:rPr>
        <w:t>The principle of ‘s</w:t>
      </w:r>
      <w:r w:rsidR="0088463A" w:rsidRPr="00BC5D11">
        <w:rPr>
          <w:rFonts w:ascii="Arial" w:eastAsia="Calibri" w:hAnsi="Arial" w:cs="Arial"/>
          <w:sz w:val="22"/>
          <w:szCs w:val="22"/>
          <w:lang w:val="en-US" w:eastAsia="en-US"/>
        </w:rPr>
        <w:t>ame business</w:t>
      </w:r>
      <w:r w:rsidR="00431742" w:rsidRPr="00BC5D11">
        <w:rPr>
          <w:rFonts w:ascii="Arial" w:eastAsia="Calibri" w:hAnsi="Arial" w:cs="Arial"/>
          <w:sz w:val="22"/>
          <w:szCs w:val="22"/>
          <w:lang w:val="en-US" w:eastAsia="en-US"/>
        </w:rPr>
        <w:t>,</w:t>
      </w:r>
      <w:r w:rsidR="0088463A" w:rsidRPr="00BC5D11">
        <w:rPr>
          <w:rFonts w:ascii="Arial" w:eastAsia="Calibri" w:hAnsi="Arial" w:cs="Arial"/>
          <w:sz w:val="22"/>
          <w:szCs w:val="22"/>
          <w:lang w:val="en-US" w:eastAsia="en-US"/>
        </w:rPr>
        <w:t xml:space="preserve"> same rules</w:t>
      </w:r>
      <w:r w:rsidR="00431742" w:rsidRPr="00BC5D11">
        <w:rPr>
          <w:rFonts w:ascii="Arial" w:eastAsia="Calibri" w:hAnsi="Arial" w:cs="Arial"/>
          <w:sz w:val="22"/>
          <w:szCs w:val="22"/>
          <w:lang w:val="en-US" w:eastAsia="en-US"/>
        </w:rPr>
        <w:t>’</w:t>
      </w:r>
      <w:r w:rsidR="00E10E46" w:rsidRPr="00BC5D11">
        <w:rPr>
          <w:rFonts w:ascii="Arial" w:eastAsia="Calibri" w:hAnsi="Arial" w:cs="Arial"/>
          <w:sz w:val="22"/>
          <w:szCs w:val="22"/>
          <w:lang w:val="en-US" w:eastAsia="en-US"/>
        </w:rPr>
        <w:t xml:space="preserve"> should always apply within the EU</w:t>
      </w:r>
      <w:r w:rsidRPr="00BC5D11">
        <w:rPr>
          <w:rFonts w:ascii="Arial" w:eastAsia="Calibri" w:hAnsi="Arial" w:cs="Arial"/>
          <w:sz w:val="22"/>
          <w:szCs w:val="22"/>
          <w:lang w:val="en-US" w:eastAsia="en-US"/>
        </w:rPr>
        <w:t xml:space="preserve"> </w:t>
      </w:r>
      <w:r w:rsidR="00815777" w:rsidRPr="00BC5D11">
        <w:rPr>
          <w:rFonts w:ascii="Arial" w:eastAsia="Calibri" w:hAnsi="Arial" w:cs="Arial"/>
          <w:sz w:val="22"/>
          <w:szCs w:val="22"/>
          <w:lang w:val="en-US" w:eastAsia="en-US"/>
        </w:rPr>
        <w:t>as otherwise those entities not being subject to the rules would have a competitive advantage compared to those entities that need to comply with the rules.</w:t>
      </w:r>
    </w:p>
    <w:p w14:paraId="30572EEF" w14:textId="37D553F3" w:rsidR="00447FFB" w:rsidRPr="009263D2" w:rsidRDefault="006761A5"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In this context w</w:t>
      </w:r>
      <w:r w:rsidR="004131C4" w:rsidRPr="00F6575F">
        <w:rPr>
          <w:rFonts w:ascii="Arial" w:eastAsia="Calibri" w:hAnsi="Arial" w:cs="Arial"/>
          <w:sz w:val="22"/>
          <w:szCs w:val="22"/>
          <w:lang w:val="en-US" w:eastAsia="en-US"/>
        </w:rPr>
        <w:t>e would deem it important as well that like trading venues</w:t>
      </w:r>
      <w:r w:rsidR="00431742" w:rsidRPr="00F6575F">
        <w:rPr>
          <w:rFonts w:ascii="Arial" w:eastAsia="Calibri" w:hAnsi="Arial" w:cs="Arial"/>
          <w:sz w:val="22"/>
          <w:szCs w:val="22"/>
          <w:lang w:val="en-US" w:eastAsia="en-US"/>
        </w:rPr>
        <w:t>,</w:t>
      </w:r>
      <w:r w:rsidR="004131C4" w:rsidRPr="00F6575F">
        <w:rPr>
          <w:rFonts w:ascii="Arial" w:eastAsia="Calibri" w:hAnsi="Arial" w:cs="Arial"/>
          <w:sz w:val="22"/>
          <w:szCs w:val="22"/>
          <w:lang w:val="en-US" w:eastAsia="en-US"/>
        </w:rPr>
        <w:t xml:space="preserve"> SIs would </w:t>
      </w:r>
      <w:r w:rsidR="00815777" w:rsidRPr="00F6575F">
        <w:rPr>
          <w:rFonts w:ascii="Arial" w:eastAsia="Calibri" w:hAnsi="Arial" w:cs="Arial"/>
          <w:sz w:val="22"/>
          <w:szCs w:val="22"/>
          <w:lang w:val="en-US" w:eastAsia="en-US"/>
        </w:rPr>
        <w:t xml:space="preserve">also </w:t>
      </w:r>
      <w:r w:rsidR="004131C4" w:rsidRPr="00F6575F">
        <w:rPr>
          <w:rFonts w:ascii="Arial" w:eastAsia="Calibri" w:hAnsi="Arial" w:cs="Arial"/>
          <w:sz w:val="22"/>
          <w:szCs w:val="22"/>
          <w:lang w:val="en-US" w:eastAsia="en-US"/>
        </w:rPr>
        <w:t xml:space="preserve">be legally required to provide delayed data free of charge to the public, including via their homepage. This should be seen as well in the context of the </w:t>
      </w:r>
      <w:r w:rsidR="004131C4" w:rsidRPr="009263D2">
        <w:rPr>
          <w:rFonts w:ascii="Arial" w:eastAsia="Calibri" w:hAnsi="Arial" w:cs="Arial"/>
          <w:sz w:val="22"/>
          <w:szCs w:val="22"/>
          <w:lang w:val="en-US" w:eastAsia="en-US"/>
        </w:rPr>
        <w:t xml:space="preserve">recent ESMA </w:t>
      </w:r>
      <w:r w:rsidR="00447FFB" w:rsidRPr="009263D2">
        <w:rPr>
          <w:rFonts w:ascii="Arial" w:eastAsia="Calibri" w:hAnsi="Arial" w:cs="Arial"/>
          <w:sz w:val="22"/>
          <w:szCs w:val="22"/>
          <w:lang w:val="en-US" w:eastAsia="en-US"/>
        </w:rPr>
        <w:t xml:space="preserve">Annual </w:t>
      </w:r>
      <w:r w:rsidR="004131C4" w:rsidRPr="009263D2">
        <w:rPr>
          <w:rFonts w:ascii="Arial" w:eastAsia="Calibri" w:hAnsi="Arial" w:cs="Arial"/>
          <w:sz w:val="22"/>
          <w:szCs w:val="22"/>
          <w:lang w:val="en-US" w:eastAsia="en-US"/>
        </w:rPr>
        <w:t xml:space="preserve">Statistical Report </w:t>
      </w:r>
      <w:r w:rsidR="00447FFB" w:rsidRPr="009263D2">
        <w:rPr>
          <w:rFonts w:ascii="Arial" w:eastAsia="Calibri" w:hAnsi="Arial" w:cs="Arial"/>
          <w:sz w:val="22"/>
          <w:szCs w:val="22"/>
          <w:lang w:val="en-US" w:eastAsia="en-US"/>
        </w:rPr>
        <w:t>on EU securities markets</w:t>
      </w:r>
      <w:r w:rsidR="00A6228D" w:rsidRPr="009263D2">
        <w:rPr>
          <w:rStyle w:val="Funotenzeichen"/>
          <w:rFonts w:eastAsia="Calibri" w:cs="Arial"/>
          <w:szCs w:val="22"/>
          <w:lang w:val="en-US" w:eastAsia="en-US"/>
        </w:rPr>
        <w:footnoteReference w:id="9"/>
      </w:r>
      <w:r w:rsidR="004131C4" w:rsidRPr="009263D2">
        <w:rPr>
          <w:rFonts w:ascii="Arial" w:eastAsia="Calibri" w:hAnsi="Arial" w:cs="Arial"/>
          <w:sz w:val="22"/>
          <w:szCs w:val="22"/>
          <w:lang w:val="en-US" w:eastAsia="en-US"/>
        </w:rPr>
        <w:t>, which</w:t>
      </w:r>
      <w:r w:rsidR="000A6EAD" w:rsidRPr="009263D2">
        <w:rPr>
          <w:rFonts w:ascii="Arial" w:eastAsia="Calibri" w:hAnsi="Arial" w:cs="Arial"/>
          <w:sz w:val="22"/>
          <w:szCs w:val="22"/>
          <w:lang w:val="en-US" w:eastAsia="en-US"/>
        </w:rPr>
        <w:t xml:space="preserve"> shows that in 2019, SIs trading volumes in equity instruments amounted to EUR 5.7tn, representing slightly less than 20% of total equity trading in the EEA. </w:t>
      </w:r>
      <w:r w:rsidR="00447FFB" w:rsidRPr="009263D2">
        <w:rPr>
          <w:rFonts w:ascii="Arial" w:eastAsia="Calibri" w:hAnsi="Arial" w:cs="Arial"/>
          <w:sz w:val="22"/>
          <w:szCs w:val="22"/>
          <w:lang w:val="en-US" w:eastAsia="en-US"/>
        </w:rPr>
        <w:t xml:space="preserve">We </w:t>
      </w:r>
      <w:r w:rsidR="00C771B8" w:rsidRPr="009263D2">
        <w:rPr>
          <w:rFonts w:ascii="Arial" w:eastAsia="Calibri" w:hAnsi="Arial" w:cs="Arial"/>
          <w:sz w:val="22"/>
          <w:szCs w:val="22"/>
          <w:lang w:val="en-US" w:eastAsia="en-US"/>
        </w:rPr>
        <w:t>think that</w:t>
      </w:r>
      <w:r w:rsidR="00815777" w:rsidRPr="009263D2">
        <w:rPr>
          <w:rFonts w:ascii="Arial" w:eastAsia="Calibri" w:hAnsi="Arial" w:cs="Arial"/>
          <w:sz w:val="22"/>
          <w:szCs w:val="22"/>
          <w:lang w:val="en-US" w:eastAsia="en-US"/>
        </w:rPr>
        <w:t xml:space="preserve"> </w:t>
      </w:r>
      <w:r w:rsidR="00447FFB" w:rsidRPr="009263D2">
        <w:rPr>
          <w:rFonts w:ascii="Arial" w:eastAsia="Calibri" w:hAnsi="Arial" w:cs="Arial"/>
          <w:sz w:val="22"/>
          <w:szCs w:val="22"/>
          <w:lang w:val="en-US" w:eastAsia="en-US"/>
        </w:rPr>
        <w:t xml:space="preserve">the provision of data by such large venues </w:t>
      </w:r>
      <w:r w:rsidR="00C771B8" w:rsidRPr="009263D2">
        <w:rPr>
          <w:rFonts w:ascii="Arial" w:eastAsia="Calibri" w:hAnsi="Arial" w:cs="Arial"/>
          <w:sz w:val="22"/>
          <w:szCs w:val="22"/>
          <w:lang w:val="en-US" w:eastAsia="en-US"/>
        </w:rPr>
        <w:t>is just</w:t>
      </w:r>
      <w:r w:rsidR="00815777" w:rsidRPr="009263D2">
        <w:rPr>
          <w:rFonts w:ascii="Arial" w:eastAsia="Calibri" w:hAnsi="Arial" w:cs="Arial"/>
          <w:sz w:val="22"/>
          <w:szCs w:val="22"/>
          <w:lang w:val="en-US" w:eastAsia="en-US"/>
        </w:rPr>
        <w:t xml:space="preserve"> </w:t>
      </w:r>
      <w:r w:rsidR="00447FFB" w:rsidRPr="009263D2">
        <w:rPr>
          <w:rFonts w:ascii="Arial" w:eastAsia="Calibri" w:hAnsi="Arial" w:cs="Arial"/>
          <w:sz w:val="22"/>
          <w:szCs w:val="22"/>
          <w:lang w:val="en-US" w:eastAsia="en-US"/>
        </w:rPr>
        <w:t>as important</w:t>
      </w:r>
      <w:r w:rsidR="00EC781A" w:rsidRPr="009263D2">
        <w:rPr>
          <w:rFonts w:ascii="Arial" w:eastAsia="Calibri" w:hAnsi="Arial" w:cs="Arial"/>
          <w:sz w:val="22"/>
          <w:szCs w:val="22"/>
          <w:lang w:val="en-US" w:eastAsia="en-US"/>
        </w:rPr>
        <w:t xml:space="preserve"> as</w:t>
      </w:r>
      <w:r w:rsidR="00447FFB" w:rsidRPr="009263D2">
        <w:rPr>
          <w:rFonts w:ascii="Arial" w:eastAsia="Calibri" w:hAnsi="Arial" w:cs="Arial"/>
          <w:sz w:val="22"/>
          <w:szCs w:val="22"/>
          <w:lang w:val="en-US" w:eastAsia="en-US"/>
        </w:rPr>
        <w:t xml:space="preserve"> </w:t>
      </w:r>
      <w:r w:rsidR="00815777" w:rsidRPr="009263D2">
        <w:rPr>
          <w:rFonts w:ascii="Arial" w:eastAsia="Calibri" w:hAnsi="Arial" w:cs="Arial"/>
          <w:sz w:val="22"/>
          <w:szCs w:val="22"/>
          <w:lang w:val="en-US" w:eastAsia="en-US"/>
        </w:rPr>
        <w:t>the provision of data by regulated markets</w:t>
      </w:r>
      <w:r w:rsidR="00447FFB" w:rsidRPr="009263D2">
        <w:rPr>
          <w:rFonts w:ascii="Arial" w:eastAsia="Calibri" w:hAnsi="Arial" w:cs="Arial"/>
          <w:sz w:val="22"/>
          <w:szCs w:val="22"/>
          <w:lang w:val="en-US" w:eastAsia="en-US"/>
        </w:rPr>
        <w:t>.</w:t>
      </w:r>
      <w:r w:rsidR="00431742" w:rsidRPr="009263D2">
        <w:rPr>
          <w:rFonts w:ascii="Arial" w:eastAsia="Calibri" w:hAnsi="Arial" w:cs="Arial"/>
          <w:sz w:val="22"/>
          <w:szCs w:val="22"/>
          <w:lang w:val="en-US" w:eastAsia="en-US"/>
        </w:rPr>
        <w:t xml:space="preserve"> </w:t>
      </w:r>
    </w:p>
    <w:p w14:paraId="5697B533" w14:textId="77777777" w:rsidR="00984423" w:rsidRPr="009263D2" w:rsidRDefault="00984423" w:rsidP="00984423">
      <w:pPr>
        <w:spacing w:after="160" w:line="259" w:lineRule="auto"/>
        <w:rPr>
          <w:rFonts w:ascii="Arial" w:eastAsia="Calibri" w:hAnsi="Arial" w:cs="Arial"/>
          <w:sz w:val="22"/>
          <w:szCs w:val="22"/>
          <w:lang w:val="en-US" w:eastAsia="en-US"/>
        </w:rPr>
      </w:pPr>
      <w:r w:rsidRPr="009263D2">
        <w:rPr>
          <w:rFonts w:ascii="Arial" w:eastAsia="Calibri" w:hAnsi="Arial" w:cs="Arial"/>
          <w:sz w:val="22"/>
          <w:szCs w:val="22"/>
          <w:lang w:val="en-US" w:eastAsia="en-US"/>
        </w:rPr>
        <w:t>&lt;ESMA_QUESTION_GOMD_1&gt;</w:t>
      </w:r>
    </w:p>
    <w:p w14:paraId="150F4091" w14:textId="77777777" w:rsidR="00984423" w:rsidRPr="009263D2" w:rsidRDefault="00984423" w:rsidP="00984423">
      <w:pPr>
        <w:spacing w:after="160" w:line="259" w:lineRule="auto"/>
        <w:rPr>
          <w:rFonts w:ascii="Arial" w:eastAsia="Calibri" w:hAnsi="Arial" w:cs="Arial"/>
          <w:sz w:val="22"/>
          <w:szCs w:val="22"/>
          <w:lang w:val="en-US" w:eastAsia="en-US"/>
        </w:rPr>
      </w:pPr>
    </w:p>
    <w:p w14:paraId="052CC8C1" w14:textId="77777777" w:rsidR="00984423" w:rsidRPr="009263D2" w:rsidRDefault="00984423" w:rsidP="00984423">
      <w:pPr>
        <w:spacing w:after="250" w:line="276" w:lineRule="auto"/>
        <w:ind w:left="720" w:hanging="360"/>
        <w:contextualSpacing/>
        <w:jc w:val="both"/>
        <w:rPr>
          <w:rFonts w:ascii="Arial" w:hAnsi="Arial" w:cs="Arial"/>
          <w:b/>
          <w:sz w:val="22"/>
          <w:szCs w:val="22"/>
          <w:lang w:val="en-US" w:eastAsia="en-US"/>
        </w:rPr>
      </w:pPr>
      <w:r w:rsidRPr="009263D2">
        <w:rPr>
          <w:rFonts w:ascii="Arial" w:hAnsi="Arial" w:cs="Arial"/>
          <w:b/>
          <w:sz w:val="22"/>
          <w:szCs w:val="22"/>
          <w:lang w:val="en-US" w:eastAsia="en-US"/>
        </w:rPr>
        <w:t xml:space="preserve">Q2: Do you agree with Guideline 1? If not, please justify. </w:t>
      </w:r>
    </w:p>
    <w:p w14:paraId="221E51EE" w14:textId="77777777" w:rsidR="00984423" w:rsidRPr="009263D2" w:rsidRDefault="00984423" w:rsidP="00984423">
      <w:pPr>
        <w:spacing w:after="160" w:line="259" w:lineRule="auto"/>
        <w:rPr>
          <w:rFonts w:ascii="Arial" w:eastAsia="Calibri" w:hAnsi="Arial" w:cs="Arial"/>
          <w:sz w:val="22"/>
          <w:szCs w:val="22"/>
          <w:lang w:val="en-US" w:eastAsia="en-US"/>
        </w:rPr>
      </w:pPr>
      <w:r w:rsidRPr="009263D2">
        <w:rPr>
          <w:rFonts w:ascii="Arial" w:eastAsia="Calibri" w:hAnsi="Arial" w:cs="Arial"/>
          <w:sz w:val="22"/>
          <w:szCs w:val="22"/>
          <w:lang w:val="en-US" w:eastAsia="en-US"/>
        </w:rPr>
        <w:t>&lt;ESMA_QUESTION_GOMD_2&gt;</w:t>
      </w:r>
    </w:p>
    <w:p w14:paraId="7D6E3577" w14:textId="5B029B2E" w:rsidR="00A150C2" w:rsidRPr="00A15456" w:rsidRDefault="00A150C2" w:rsidP="007601FA">
      <w:pPr>
        <w:spacing w:after="160"/>
        <w:jc w:val="both"/>
        <w:rPr>
          <w:rFonts w:ascii="Arial" w:eastAsia="Calibri" w:hAnsi="Arial" w:cs="Arial"/>
          <w:sz w:val="22"/>
          <w:szCs w:val="22"/>
          <w:lang w:val="en-US" w:eastAsia="en-US"/>
        </w:rPr>
      </w:pPr>
      <w:r w:rsidRPr="009263D2">
        <w:rPr>
          <w:rFonts w:ascii="Arial" w:eastAsia="Calibri" w:hAnsi="Arial" w:cs="Arial"/>
          <w:sz w:val="22"/>
          <w:szCs w:val="22"/>
          <w:lang w:val="en-US" w:eastAsia="en-US"/>
        </w:rPr>
        <w:t xml:space="preserve">DBG strongly supports </w:t>
      </w:r>
      <w:r w:rsidR="008269A4" w:rsidRPr="009263D2">
        <w:rPr>
          <w:rFonts w:ascii="Arial" w:eastAsia="Calibri" w:hAnsi="Arial" w:cs="Arial"/>
          <w:sz w:val="22"/>
          <w:szCs w:val="22"/>
          <w:lang w:val="en-US" w:eastAsia="en-US"/>
        </w:rPr>
        <w:t xml:space="preserve">ESMA’s </w:t>
      </w:r>
      <w:r w:rsidRPr="009263D2">
        <w:rPr>
          <w:rFonts w:ascii="Arial" w:eastAsia="Calibri" w:hAnsi="Arial" w:cs="Arial"/>
          <w:sz w:val="22"/>
          <w:szCs w:val="22"/>
          <w:lang w:val="en-US" w:eastAsia="en-US"/>
        </w:rPr>
        <w:t xml:space="preserve">recommendation in its </w:t>
      </w:r>
      <w:r w:rsidR="00961E95" w:rsidRPr="009263D2">
        <w:rPr>
          <w:rFonts w:ascii="Arial" w:eastAsia="Calibri" w:hAnsi="Arial" w:cs="Arial"/>
          <w:sz w:val="22"/>
          <w:szCs w:val="22"/>
          <w:lang w:val="en-US" w:eastAsia="en-US"/>
        </w:rPr>
        <w:t xml:space="preserve">MiFID II/MiFIR Review Report </w:t>
      </w:r>
      <w:r w:rsidR="00827A30" w:rsidRPr="00827A30">
        <w:rPr>
          <w:rFonts w:ascii="Arial" w:eastAsia="Calibri" w:hAnsi="Arial" w:cs="Arial"/>
          <w:sz w:val="22"/>
          <w:szCs w:val="22"/>
          <w:lang w:val="en-US" w:eastAsia="en-US"/>
        </w:rPr>
        <w:t>on the development in prices of pre- and post-trade data and on the consolidated tape for equity data</w:t>
      </w:r>
      <w:r w:rsidR="00A6228D" w:rsidRPr="009263D2">
        <w:rPr>
          <w:rStyle w:val="Funotenzeichen"/>
          <w:rFonts w:eastAsia="Calibri" w:cs="Arial"/>
          <w:szCs w:val="22"/>
          <w:lang w:val="en-US" w:eastAsia="en-US"/>
        </w:rPr>
        <w:footnoteReference w:id="10"/>
      </w:r>
      <w:r w:rsidR="00961E95" w:rsidRPr="009263D2" w:rsidDel="00961E95">
        <w:rPr>
          <w:rFonts w:ascii="Arial" w:eastAsia="Calibri" w:hAnsi="Arial" w:cs="Arial"/>
          <w:sz w:val="22"/>
          <w:szCs w:val="22"/>
          <w:lang w:val="en-US" w:eastAsia="en-US"/>
        </w:rPr>
        <w:t xml:space="preserve"> </w:t>
      </w:r>
      <w:r w:rsidRPr="009263D2">
        <w:rPr>
          <w:rFonts w:ascii="Arial" w:eastAsia="Calibri" w:hAnsi="Arial" w:cs="Arial"/>
          <w:sz w:val="22"/>
          <w:szCs w:val="22"/>
          <w:lang w:val="en-US" w:eastAsia="en-US"/>
        </w:rPr>
        <w:t>to continue the transparency plus model. This is justified in our view as</w:t>
      </w:r>
      <w:r w:rsidR="00906FE9" w:rsidRPr="009263D2">
        <w:rPr>
          <w:rFonts w:ascii="Arial" w:eastAsia="Calibri" w:hAnsi="Arial" w:cs="Arial"/>
          <w:sz w:val="22"/>
          <w:szCs w:val="22"/>
          <w:lang w:val="en-US" w:eastAsia="en-US"/>
        </w:rPr>
        <w:t>,</w:t>
      </w:r>
      <w:r w:rsidRPr="009263D2">
        <w:rPr>
          <w:rFonts w:ascii="Arial" w:eastAsia="Calibri" w:hAnsi="Arial" w:cs="Arial"/>
          <w:sz w:val="22"/>
          <w:szCs w:val="22"/>
          <w:lang w:val="en-US" w:eastAsia="en-US"/>
        </w:rPr>
        <w:t xml:space="preserve"> indeed, there is no fact-based evidence of a market failure </w:t>
      </w:r>
      <w:r w:rsidR="00906FE9" w:rsidRPr="009263D2">
        <w:rPr>
          <w:rFonts w:ascii="Arial" w:eastAsia="Calibri" w:hAnsi="Arial" w:cs="Arial"/>
          <w:sz w:val="22"/>
          <w:szCs w:val="22"/>
          <w:lang w:val="en-US" w:eastAsia="en-US"/>
        </w:rPr>
        <w:t>in the EU</w:t>
      </w:r>
      <w:r w:rsidR="00E63C3D" w:rsidRPr="009263D2">
        <w:rPr>
          <w:rFonts w:ascii="Arial" w:eastAsia="Calibri" w:hAnsi="Arial" w:cs="Arial"/>
          <w:sz w:val="22"/>
          <w:szCs w:val="22"/>
          <w:lang w:val="en-US" w:eastAsia="en-US"/>
        </w:rPr>
        <w:t>,</w:t>
      </w:r>
      <w:r w:rsidR="00906FE9" w:rsidRPr="009263D2">
        <w:rPr>
          <w:rFonts w:ascii="Arial" w:eastAsia="Calibri" w:hAnsi="Arial" w:cs="Arial"/>
          <w:sz w:val="22"/>
          <w:szCs w:val="22"/>
          <w:lang w:val="en-US" w:eastAsia="en-US"/>
        </w:rPr>
        <w:t xml:space="preserve"> </w:t>
      </w:r>
      <w:r w:rsidR="00E63C3D" w:rsidRPr="009263D2">
        <w:rPr>
          <w:rFonts w:ascii="Arial" w:eastAsia="Calibri" w:hAnsi="Arial" w:cs="Arial"/>
          <w:sz w:val="22"/>
          <w:szCs w:val="22"/>
          <w:lang w:val="en-US" w:eastAsia="en-US"/>
        </w:rPr>
        <w:t>n</w:t>
      </w:r>
      <w:r w:rsidRPr="009263D2">
        <w:rPr>
          <w:rFonts w:ascii="Arial" w:eastAsia="Calibri" w:hAnsi="Arial" w:cs="Arial"/>
          <w:sz w:val="22"/>
          <w:szCs w:val="22"/>
          <w:lang w:val="en-US" w:eastAsia="en-US"/>
        </w:rPr>
        <w:t xml:space="preserve">or </w:t>
      </w:r>
      <w:r w:rsidR="008269A4" w:rsidRPr="009263D2">
        <w:rPr>
          <w:rFonts w:ascii="Arial" w:eastAsia="Calibri" w:hAnsi="Arial" w:cs="Arial"/>
          <w:sz w:val="22"/>
          <w:szCs w:val="22"/>
          <w:lang w:val="en-US" w:eastAsia="en-US"/>
        </w:rPr>
        <w:t xml:space="preserve">are there any </w:t>
      </w:r>
      <w:r w:rsidRPr="009263D2">
        <w:rPr>
          <w:rFonts w:ascii="Arial" w:eastAsia="Calibri" w:hAnsi="Arial" w:cs="Arial"/>
          <w:sz w:val="22"/>
          <w:szCs w:val="22"/>
          <w:lang w:val="en-US" w:eastAsia="en-US"/>
        </w:rPr>
        <w:t>barriers to entry</w:t>
      </w:r>
      <w:r w:rsidR="007C2CF3" w:rsidRPr="009263D2">
        <w:rPr>
          <w:rStyle w:val="Funotenzeichen"/>
          <w:rFonts w:eastAsia="Calibri" w:cs="Arial"/>
          <w:szCs w:val="22"/>
          <w:lang w:val="en-US" w:eastAsia="en-US"/>
        </w:rPr>
        <w:footnoteReference w:id="11"/>
      </w:r>
      <w:r w:rsidR="009263D2">
        <w:rPr>
          <w:rFonts w:ascii="Arial" w:eastAsia="Calibri" w:hAnsi="Arial" w:cs="Arial"/>
          <w:sz w:val="22"/>
          <w:szCs w:val="22"/>
          <w:lang w:val="en-US" w:eastAsia="en-US"/>
        </w:rPr>
        <w:t xml:space="preserve"> </w:t>
      </w:r>
      <w:r w:rsidR="007C2CF3" w:rsidRPr="009263D2">
        <w:rPr>
          <w:rStyle w:val="Funotenzeichen"/>
          <w:rFonts w:eastAsia="Calibri" w:cs="Arial"/>
          <w:szCs w:val="22"/>
          <w:lang w:val="en-US" w:eastAsia="en-US"/>
        </w:rPr>
        <w:footnoteReference w:id="12"/>
      </w:r>
      <w:r w:rsidRPr="009263D2">
        <w:rPr>
          <w:rFonts w:ascii="Arial" w:eastAsia="Calibri" w:hAnsi="Arial" w:cs="Arial"/>
          <w:sz w:val="22"/>
          <w:szCs w:val="22"/>
          <w:lang w:val="en-US" w:eastAsia="en-US"/>
        </w:rPr>
        <w:t xml:space="preserve">. In </w:t>
      </w:r>
      <w:r w:rsidR="00E33A2B" w:rsidRPr="009263D2">
        <w:rPr>
          <w:rFonts w:ascii="Arial" w:eastAsia="Calibri" w:hAnsi="Arial" w:cs="Arial"/>
          <w:sz w:val="22"/>
          <w:szCs w:val="22"/>
          <w:lang w:val="en-US" w:eastAsia="en-US"/>
        </w:rPr>
        <w:t xml:space="preserve">this context </w:t>
      </w:r>
      <w:r w:rsidRPr="009263D2">
        <w:rPr>
          <w:rFonts w:ascii="Arial" w:eastAsia="Calibri" w:hAnsi="Arial" w:cs="Arial"/>
          <w:sz w:val="22"/>
          <w:szCs w:val="22"/>
          <w:lang w:val="en-US" w:eastAsia="en-US"/>
        </w:rPr>
        <w:t>the current requirements introduced by MiFI</w:t>
      </w:r>
      <w:r w:rsidR="00961E95" w:rsidRPr="009263D2">
        <w:rPr>
          <w:rFonts w:ascii="Arial" w:eastAsia="Calibri" w:hAnsi="Arial" w:cs="Arial"/>
          <w:sz w:val="22"/>
          <w:szCs w:val="22"/>
          <w:lang w:val="en-US" w:eastAsia="en-US"/>
        </w:rPr>
        <w:t>D II</w:t>
      </w:r>
      <w:r w:rsidRPr="009263D2">
        <w:rPr>
          <w:rFonts w:ascii="Arial" w:eastAsia="Calibri" w:hAnsi="Arial" w:cs="Arial"/>
          <w:sz w:val="22"/>
          <w:szCs w:val="22"/>
          <w:lang w:val="en-US" w:eastAsia="en-US"/>
        </w:rPr>
        <w:t>/MiFI</w:t>
      </w:r>
      <w:r w:rsidR="00961E95" w:rsidRPr="009263D2">
        <w:rPr>
          <w:rFonts w:ascii="Arial" w:eastAsia="Calibri" w:hAnsi="Arial" w:cs="Arial"/>
          <w:sz w:val="22"/>
          <w:szCs w:val="22"/>
          <w:lang w:val="en-US" w:eastAsia="en-US"/>
        </w:rPr>
        <w:t>R</w:t>
      </w:r>
      <w:r w:rsidRPr="009263D2">
        <w:rPr>
          <w:rFonts w:ascii="Arial" w:eastAsia="Calibri" w:hAnsi="Arial" w:cs="Arial"/>
          <w:sz w:val="22"/>
          <w:szCs w:val="22"/>
          <w:lang w:val="en-US" w:eastAsia="en-US"/>
        </w:rPr>
        <w:t xml:space="preserve"> already go quite far.</w:t>
      </w:r>
      <w:r w:rsidR="00906FE9" w:rsidRPr="009263D2">
        <w:rPr>
          <w:rFonts w:ascii="Arial" w:eastAsia="Calibri" w:hAnsi="Arial" w:cs="Arial"/>
          <w:sz w:val="22"/>
          <w:szCs w:val="22"/>
          <w:lang w:val="en-US" w:eastAsia="en-US"/>
        </w:rPr>
        <w:t xml:space="preserve"> </w:t>
      </w:r>
      <w:r w:rsidR="008269A4" w:rsidRPr="009263D2">
        <w:rPr>
          <w:rFonts w:ascii="Arial" w:eastAsia="Calibri" w:hAnsi="Arial" w:cs="Arial"/>
          <w:sz w:val="22"/>
          <w:szCs w:val="22"/>
          <w:lang w:val="en-US" w:eastAsia="en-US"/>
        </w:rPr>
        <w:t xml:space="preserve">ESMA’s </w:t>
      </w:r>
      <w:r w:rsidR="00240B2B" w:rsidRPr="009263D2">
        <w:rPr>
          <w:rFonts w:ascii="Arial" w:eastAsia="Calibri" w:hAnsi="Arial" w:cs="Arial"/>
          <w:sz w:val="22"/>
          <w:szCs w:val="22"/>
          <w:lang w:val="en-US" w:eastAsia="en-US"/>
        </w:rPr>
        <w:t xml:space="preserve">proposed </w:t>
      </w:r>
      <w:r w:rsidR="00906FE9" w:rsidRPr="009263D2">
        <w:rPr>
          <w:rFonts w:ascii="Arial" w:eastAsia="Calibri" w:hAnsi="Arial" w:cs="Arial"/>
          <w:sz w:val="22"/>
          <w:szCs w:val="22"/>
          <w:lang w:val="en-US" w:eastAsia="en-US"/>
        </w:rPr>
        <w:t>Guideline 1</w:t>
      </w:r>
      <w:r w:rsidR="00E63C3D" w:rsidRPr="009263D2">
        <w:rPr>
          <w:rFonts w:ascii="Arial" w:eastAsia="Calibri" w:hAnsi="Arial" w:cs="Arial"/>
          <w:sz w:val="22"/>
          <w:szCs w:val="22"/>
          <w:lang w:val="en-US" w:eastAsia="en-US"/>
        </w:rPr>
        <w:t>, however, contains several additional requirements which could go beyond proportionate measures and which would come closer to price regulation already, turning supervisors into price regulators</w:t>
      </w:r>
      <w:r w:rsidR="007C2CF3" w:rsidRPr="009263D2">
        <w:rPr>
          <w:rStyle w:val="Funotenzeichen"/>
          <w:rFonts w:eastAsia="Calibri" w:cs="Arial"/>
          <w:szCs w:val="22"/>
          <w:lang w:val="en-US" w:eastAsia="en-US"/>
        </w:rPr>
        <w:footnoteReference w:id="13"/>
      </w:r>
      <w:r w:rsidR="00E63C3D" w:rsidRPr="009263D2">
        <w:rPr>
          <w:rFonts w:ascii="Arial" w:eastAsia="Calibri" w:hAnsi="Arial" w:cs="Arial"/>
          <w:sz w:val="22"/>
          <w:szCs w:val="22"/>
          <w:lang w:val="en-US" w:eastAsia="en-US"/>
        </w:rPr>
        <w:t xml:space="preserve"> .</w:t>
      </w:r>
      <w:r w:rsidR="00E63C3D" w:rsidRPr="00A15456">
        <w:rPr>
          <w:rFonts w:ascii="Arial" w:eastAsia="Calibri" w:hAnsi="Arial" w:cs="Arial"/>
          <w:sz w:val="22"/>
          <w:szCs w:val="22"/>
          <w:lang w:val="en-US" w:eastAsia="en-US"/>
        </w:rPr>
        <w:t xml:space="preserve"> We would therefore </w:t>
      </w:r>
      <w:r w:rsidR="008269A4" w:rsidRPr="00A15456">
        <w:rPr>
          <w:rFonts w:ascii="Arial" w:eastAsia="Calibri" w:hAnsi="Arial" w:cs="Arial"/>
          <w:sz w:val="22"/>
          <w:szCs w:val="22"/>
          <w:lang w:val="en-US" w:eastAsia="en-US"/>
        </w:rPr>
        <w:t xml:space="preserve">think </w:t>
      </w:r>
      <w:r w:rsidR="00240B2B" w:rsidRPr="00A15456">
        <w:rPr>
          <w:rFonts w:ascii="Arial" w:eastAsia="Calibri" w:hAnsi="Arial" w:cs="Arial"/>
          <w:sz w:val="22"/>
          <w:szCs w:val="22"/>
          <w:lang w:val="en-US" w:eastAsia="en-US"/>
        </w:rPr>
        <w:t>that some proposal</w:t>
      </w:r>
      <w:r w:rsidR="00E63C3D" w:rsidRPr="00A15456">
        <w:rPr>
          <w:rFonts w:ascii="Arial" w:eastAsia="Calibri" w:hAnsi="Arial" w:cs="Arial"/>
          <w:sz w:val="22"/>
          <w:szCs w:val="22"/>
          <w:lang w:val="en-US" w:eastAsia="en-US"/>
        </w:rPr>
        <w:t>s</w:t>
      </w:r>
      <w:r w:rsidR="00240B2B" w:rsidRPr="00A15456">
        <w:rPr>
          <w:rFonts w:ascii="Arial" w:eastAsia="Calibri" w:hAnsi="Arial" w:cs="Arial"/>
          <w:sz w:val="22"/>
          <w:szCs w:val="22"/>
          <w:lang w:val="en-US" w:eastAsia="en-US"/>
        </w:rPr>
        <w:t xml:space="preserve"> </w:t>
      </w:r>
      <w:r w:rsidR="00E63C3D" w:rsidRPr="00A15456">
        <w:rPr>
          <w:rFonts w:ascii="Arial" w:eastAsia="Calibri" w:hAnsi="Arial" w:cs="Arial"/>
          <w:sz w:val="22"/>
          <w:szCs w:val="22"/>
          <w:lang w:val="en-US" w:eastAsia="en-US"/>
        </w:rPr>
        <w:t xml:space="preserve">require </w:t>
      </w:r>
      <w:r w:rsidR="00240B2B" w:rsidRPr="00A15456">
        <w:rPr>
          <w:rFonts w:ascii="Arial" w:eastAsia="Calibri" w:hAnsi="Arial" w:cs="Arial"/>
          <w:sz w:val="22"/>
          <w:szCs w:val="22"/>
          <w:lang w:val="en-US" w:eastAsia="en-US"/>
        </w:rPr>
        <w:t>reconsider</w:t>
      </w:r>
      <w:r w:rsidR="00E63C3D" w:rsidRPr="00A15456">
        <w:rPr>
          <w:rFonts w:ascii="Arial" w:eastAsia="Calibri" w:hAnsi="Arial" w:cs="Arial"/>
          <w:sz w:val="22"/>
          <w:szCs w:val="22"/>
          <w:lang w:val="en-US" w:eastAsia="en-US"/>
        </w:rPr>
        <w:t>ation</w:t>
      </w:r>
      <w:r w:rsidR="00240B2B" w:rsidRPr="00A15456">
        <w:rPr>
          <w:rFonts w:ascii="Arial" w:eastAsia="Calibri" w:hAnsi="Arial" w:cs="Arial"/>
          <w:sz w:val="22"/>
          <w:szCs w:val="22"/>
          <w:lang w:val="en-US" w:eastAsia="en-US"/>
        </w:rPr>
        <w:t xml:space="preserve">, especially in the light of </w:t>
      </w:r>
      <w:r w:rsidR="00E63C3D" w:rsidRPr="00A15456">
        <w:rPr>
          <w:rFonts w:ascii="Arial" w:eastAsia="Calibri" w:hAnsi="Arial" w:cs="Arial"/>
          <w:sz w:val="22"/>
          <w:szCs w:val="22"/>
          <w:lang w:val="en-US" w:eastAsia="en-US"/>
        </w:rPr>
        <w:t>a lack of fact-based evidence</w:t>
      </w:r>
      <w:r w:rsidR="00240B2B" w:rsidRPr="00A15456">
        <w:rPr>
          <w:rFonts w:ascii="Arial" w:eastAsia="Calibri" w:hAnsi="Arial" w:cs="Arial"/>
          <w:sz w:val="22"/>
          <w:szCs w:val="22"/>
          <w:lang w:val="en-US" w:eastAsia="en-US"/>
        </w:rPr>
        <w:t>.</w:t>
      </w:r>
    </w:p>
    <w:p w14:paraId="6AFC647D" w14:textId="34CC1E53" w:rsidR="00A150C2" w:rsidRPr="00A15456" w:rsidRDefault="00240B2B" w:rsidP="00172804">
      <w:pPr>
        <w:spacing w:after="160"/>
        <w:ind w:left="708" w:hanging="708"/>
        <w:rPr>
          <w:rFonts w:ascii="Arial" w:eastAsia="Calibri" w:hAnsi="Arial" w:cs="Arial"/>
          <w:b/>
          <w:sz w:val="22"/>
          <w:szCs w:val="22"/>
          <w:lang w:val="en-US"/>
        </w:rPr>
      </w:pPr>
      <w:r w:rsidRPr="00A15456">
        <w:rPr>
          <w:rFonts w:ascii="Arial" w:eastAsia="Calibri" w:hAnsi="Arial" w:cs="Arial"/>
          <w:b/>
          <w:sz w:val="22"/>
          <w:szCs w:val="22"/>
          <w:lang w:val="en-US"/>
        </w:rPr>
        <w:lastRenderedPageBreak/>
        <w:t>DBG supports methodology to be shared with supervisors</w:t>
      </w:r>
      <w:r w:rsidR="00A150C2" w:rsidRPr="00A15456">
        <w:rPr>
          <w:rFonts w:ascii="Arial" w:eastAsia="Calibri" w:hAnsi="Arial" w:cs="Arial"/>
          <w:b/>
          <w:sz w:val="22"/>
          <w:szCs w:val="22"/>
          <w:lang w:val="en-US"/>
        </w:rPr>
        <w:t xml:space="preserve"> </w:t>
      </w:r>
    </w:p>
    <w:p w14:paraId="687BA945" w14:textId="2A88C556" w:rsidR="00FD4A62" w:rsidRPr="00F6575F" w:rsidRDefault="00240B2B" w:rsidP="007601FA">
      <w:pPr>
        <w:spacing w:after="160"/>
        <w:jc w:val="both"/>
        <w:rPr>
          <w:rFonts w:ascii="Arial" w:hAnsi="Arial" w:cs="Arial"/>
          <w:sz w:val="22"/>
          <w:szCs w:val="22"/>
          <w:highlight w:val="yellow"/>
          <w:lang w:val="en-US"/>
        </w:rPr>
      </w:pPr>
      <w:r w:rsidRPr="00A15456">
        <w:rPr>
          <w:rFonts w:ascii="Arial" w:eastAsia="Calibri" w:hAnsi="Arial" w:cs="Arial"/>
          <w:sz w:val="22"/>
          <w:szCs w:val="22"/>
          <w:lang w:val="en-US" w:eastAsia="en-US"/>
        </w:rPr>
        <w:t>DBG</w:t>
      </w:r>
      <w:r w:rsidR="00A150C2" w:rsidRPr="00A15456">
        <w:rPr>
          <w:rFonts w:ascii="Arial" w:eastAsia="Calibri" w:hAnsi="Arial" w:cs="Arial"/>
          <w:sz w:val="22"/>
          <w:szCs w:val="22"/>
          <w:lang w:val="en-US" w:eastAsia="en-US"/>
        </w:rPr>
        <w:t xml:space="preserve"> generally agree</w:t>
      </w:r>
      <w:r w:rsidRPr="00A15456">
        <w:rPr>
          <w:rFonts w:ascii="Arial" w:eastAsia="Calibri" w:hAnsi="Arial" w:cs="Arial"/>
          <w:sz w:val="22"/>
          <w:szCs w:val="22"/>
          <w:lang w:val="en-US" w:eastAsia="en-US"/>
        </w:rPr>
        <w:t>s</w:t>
      </w:r>
      <w:r w:rsidR="00A150C2" w:rsidRPr="00A15456">
        <w:rPr>
          <w:rFonts w:ascii="Arial" w:eastAsia="Calibri" w:hAnsi="Arial" w:cs="Arial"/>
          <w:sz w:val="22"/>
          <w:szCs w:val="22"/>
          <w:lang w:val="en-US" w:eastAsia="en-US"/>
        </w:rPr>
        <w:t xml:space="preserve"> with having a clear and documented methodology in place which is used for the calculation of market data fees. We support </w:t>
      </w:r>
      <w:r w:rsidR="00C771B8" w:rsidRPr="00A15456">
        <w:rPr>
          <w:rFonts w:ascii="Arial" w:eastAsia="Calibri" w:hAnsi="Arial" w:cs="Arial"/>
          <w:sz w:val="22"/>
          <w:szCs w:val="22"/>
          <w:lang w:val="en-US" w:eastAsia="en-US"/>
        </w:rPr>
        <w:t xml:space="preserve">the idea </w:t>
      </w:r>
      <w:r w:rsidR="00A150C2" w:rsidRPr="00A15456">
        <w:rPr>
          <w:rFonts w:ascii="Arial" w:eastAsia="Calibri" w:hAnsi="Arial" w:cs="Arial"/>
          <w:sz w:val="22"/>
          <w:szCs w:val="22"/>
          <w:lang w:val="en-US" w:eastAsia="en-US"/>
        </w:rPr>
        <w:t xml:space="preserve">that the methodology </w:t>
      </w:r>
      <w:r w:rsidR="00C771B8" w:rsidRPr="00A15456">
        <w:rPr>
          <w:rFonts w:ascii="Arial" w:eastAsia="Calibri" w:hAnsi="Arial" w:cs="Arial"/>
          <w:sz w:val="22"/>
          <w:szCs w:val="22"/>
          <w:lang w:val="en-US" w:eastAsia="en-US"/>
        </w:rPr>
        <w:t>should remain up to date (which includes both regular reviews and ad hoc reviews in case this is required)</w:t>
      </w:r>
      <w:r w:rsidR="00A150C2" w:rsidRPr="00A15456">
        <w:rPr>
          <w:rFonts w:ascii="Arial" w:eastAsia="Calibri" w:hAnsi="Arial" w:cs="Arial"/>
          <w:sz w:val="22"/>
          <w:szCs w:val="22"/>
          <w:lang w:val="en-US" w:eastAsia="en-US"/>
        </w:rPr>
        <w:t xml:space="preserve">. </w:t>
      </w:r>
      <w:r w:rsidRPr="00A15456">
        <w:rPr>
          <w:rFonts w:ascii="Arial" w:hAnsi="Arial" w:cs="Arial"/>
          <w:sz w:val="22"/>
          <w:szCs w:val="22"/>
          <w:lang w:val="en-US"/>
        </w:rPr>
        <w:t>H</w:t>
      </w:r>
      <w:r w:rsidR="00A150C2" w:rsidRPr="00A15456">
        <w:rPr>
          <w:rFonts w:ascii="Arial" w:hAnsi="Arial" w:cs="Arial"/>
          <w:sz w:val="22"/>
          <w:szCs w:val="22"/>
          <w:lang w:val="en-US"/>
        </w:rPr>
        <w:t xml:space="preserve">owever, a comprehensive methodology should only be shared with </w:t>
      </w:r>
      <w:r w:rsidR="0008327E" w:rsidRPr="00A15456">
        <w:rPr>
          <w:rFonts w:ascii="Arial" w:hAnsi="Arial" w:cs="Arial"/>
          <w:sz w:val="22"/>
          <w:szCs w:val="22"/>
          <w:lang w:val="en-US"/>
        </w:rPr>
        <w:t>competent authorities</w:t>
      </w:r>
      <w:r w:rsidR="00A150C2" w:rsidRPr="00A15456">
        <w:rPr>
          <w:rFonts w:ascii="Arial" w:hAnsi="Arial" w:cs="Arial"/>
          <w:sz w:val="22"/>
          <w:szCs w:val="22"/>
          <w:lang w:val="en-US"/>
        </w:rPr>
        <w:t xml:space="preserve">, not with the public, </w:t>
      </w:r>
      <w:r w:rsidR="008269A4" w:rsidRPr="00A15456">
        <w:rPr>
          <w:rFonts w:ascii="Arial" w:hAnsi="Arial" w:cs="Arial"/>
          <w:sz w:val="22"/>
          <w:szCs w:val="22"/>
          <w:lang w:val="en-US"/>
        </w:rPr>
        <w:t>in order to avoid the disclosure of confidential information</w:t>
      </w:r>
      <w:r w:rsidR="00A150C2" w:rsidRPr="00A15456">
        <w:rPr>
          <w:rFonts w:ascii="Arial" w:hAnsi="Arial" w:cs="Arial"/>
          <w:sz w:val="22"/>
          <w:szCs w:val="22"/>
          <w:lang w:val="en-US"/>
        </w:rPr>
        <w:t xml:space="preserve">. </w:t>
      </w:r>
      <w:r w:rsidR="003D6749" w:rsidRPr="00A15456">
        <w:rPr>
          <w:rFonts w:ascii="Arial" w:hAnsi="Arial" w:cs="Arial"/>
          <w:sz w:val="22"/>
          <w:szCs w:val="22"/>
          <w:lang w:val="en-US"/>
        </w:rPr>
        <w:t>I</w:t>
      </w:r>
      <w:r w:rsidR="00A150C2" w:rsidRPr="00A15456">
        <w:rPr>
          <w:rFonts w:ascii="Arial" w:hAnsi="Arial" w:cs="Arial"/>
          <w:sz w:val="22"/>
          <w:szCs w:val="22"/>
          <w:lang w:val="en-US"/>
        </w:rPr>
        <w:t>nformation disclosed to the</w:t>
      </w:r>
      <w:r w:rsidR="00A150C2" w:rsidRPr="00A15456">
        <w:rPr>
          <w:lang w:val="en-US"/>
        </w:rPr>
        <w:t xml:space="preserve"> </w:t>
      </w:r>
      <w:r w:rsidR="00A150C2" w:rsidRPr="00A15456">
        <w:rPr>
          <w:rFonts w:ascii="Arial" w:eastAsia="Calibri" w:hAnsi="Arial" w:cs="Arial"/>
          <w:sz w:val="22"/>
          <w:szCs w:val="22"/>
          <w:lang w:val="en-US" w:eastAsia="en-US"/>
        </w:rPr>
        <w:t xml:space="preserve">public </w:t>
      </w:r>
      <w:r w:rsidR="003D6749" w:rsidRPr="00A15456">
        <w:rPr>
          <w:rFonts w:ascii="Arial" w:eastAsia="Calibri" w:hAnsi="Arial" w:cs="Arial"/>
          <w:sz w:val="22"/>
          <w:szCs w:val="22"/>
          <w:lang w:val="en-US" w:eastAsia="en-US"/>
        </w:rPr>
        <w:t xml:space="preserve">(and thereby to competitors) </w:t>
      </w:r>
      <w:r w:rsidR="00E63C3D" w:rsidRPr="00A15456">
        <w:rPr>
          <w:rFonts w:ascii="Arial" w:eastAsia="Calibri" w:hAnsi="Arial" w:cs="Arial"/>
          <w:sz w:val="22"/>
          <w:szCs w:val="22"/>
          <w:lang w:val="en-US" w:eastAsia="en-US"/>
        </w:rPr>
        <w:t>should</w:t>
      </w:r>
      <w:r w:rsidR="00A150C2" w:rsidRPr="00A15456">
        <w:rPr>
          <w:rFonts w:ascii="Arial" w:eastAsia="Calibri" w:hAnsi="Arial" w:cs="Arial"/>
          <w:sz w:val="22"/>
          <w:szCs w:val="22"/>
          <w:lang w:val="en-US" w:eastAsia="en-US"/>
        </w:rPr>
        <w:t xml:space="preserve"> be more</w:t>
      </w:r>
      <w:r w:rsidR="00E63C3D" w:rsidRPr="00A15456">
        <w:rPr>
          <w:rFonts w:ascii="Arial" w:eastAsia="Calibri" w:hAnsi="Arial" w:cs="Arial"/>
          <w:sz w:val="22"/>
          <w:szCs w:val="22"/>
          <w:lang w:val="en-US" w:eastAsia="en-US"/>
        </w:rPr>
        <w:t xml:space="preserve"> generic</w:t>
      </w:r>
      <w:r w:rsidR="00A150C2" w:rsidRPr="00A15456">
        <w:rPr>
          <w:rFonts w:ascii="Arial" w:eastAsia="Calibri" w:hAnsi="Arial" w:cs="Arial"/>
          <w:sz w:val="22"/>
          <w:szCs w:val="22"/>
          <w:lang w:val="en-US" w:eastAsia="en-US"/>
        </w:rPr>
        <w:t xml:space="preserve">. It is our understanding, however, that </w:t>
      </w:r>
      <w:bookmarkStart w:id="5" w:name="_Hlk60838144"/>
      <w:r w:rsidR="00A150C2" w:rsidRPr="00A15456">
        <w:rPr>
          <w:rFonts w:ascii="Arial" w:eastAsia="Calibri" w:hAnsi="Arial" w:cs="Arial"/>
          <w:sz w:val="22"/>
          <w:szCs w:val="22"/>
          <w:lang w:val="en-US" w:eastAsia="en-US"/>
        </w:rPr>
        <w:t xml:space="preserve">as long as </w:t>
      </w:r>
      <w:r w:rsidR="00F06B9F" w:rsidRPr="00A15456">
        <w:rPr>
          <w:rFonts w:ascii="Arial" w:eastAsia="Calibri" w:hAnsi="Arial" w:cs="Arial"/>
          <w:sz w:val="22"/>
          <w:szCs w:val="22"/>
          <w:lang w:val="en-US" w:eastAsia="en-US"/>
        </w:rPr>
        <w:t>competent authorities</w:t>
      </w:r>
      <w:r w:rsidR="00A150C2" w:rsidRPr="00A15456">
        <w:rPr>
          <w:rFonts w:ascii="Arial" w:eastAsia="Calibri" w:hAnsi="Arial" w:cs="Arial"/>
          <w:sz w:val="22"/>
          <w:szCs w:val="22"/>
          <w:lang w:val="en-US" w:eastAsia="en-US"/>
        </w:rPr>
        <w:t xml:space="preserve"> have all necessary information available, </w:t>
      </w:r>
      <w:r w:rsidR="008269A4" w:rsidRPr="00A15456">
        <w:rPr>
          <w:rFonts w:ascii="Arial" w:eastAsia="Calibri" w:hAnsi="Arial" w:cs="Arial"/>
          <w:sz w:val="22"/>
          <w:szCs w:val="22"/>
          <w:lang w:val="en-US" w:eastAsia="en-US"/>
        </w:rPr>
        <w:t xml:space="preserve">this </w:t>
      </w:r>
      <w:r w:rsidR="00A150C2" w:rsidRPr="00A15456">
        <w:rPr>
          <w:rFonts w:ascii="Arial" w:eastAsia="Calibri" w:hAnsi="Arial" w:cs="Arial"/>
          <w:sz w:val="22"/>
          <w:szCs w:val="22"/>
          <w:lang w:val="en-US" w:eastAsia="en-US"/>
        </w:rPr>
        <w:t xml:space="preserve">should </w:t>
      </w:r>
      <w:r w:rsidR="008269A4" w:rsidRPr="00A15456">
        <w:rPr>
          <w:rFonts w:ascii="Arial" w:eastAsia="Calibri" w:hAnsi="Arial" w:cs="Arial"/>
          <w:sz w:val="22"/>
          <w:szCs w:val="22"/>
          <w:lang w:val="en-US" w:eastAsia="en-US"/>
        </w:rPr>
        <w:t xml:space="preserve">provide </w:t>
      </w:r>
      <w:r w:rsidR="00A150C2" w:rsidRPr="00A15456">
        <w:rPr>
          <w:rFonts w:ascii="Arial" w:eastAsia="Calibri" w:hAnsi="Arial" w:cs="Arial"/>
          <w:sz w:val="22"/>
          <w:szCs w:val="22"/>
          <w:lang w:val="en-US" w:eastAsia="en-US"/>
        </w:rPr>
        <w:t xml:space="preserve">sufficient </w:t>
      </w:r>
      <w:r w:rsidR="008269A4" w:rsidRPr="00A15456">
        <w:rPr>
          <w:rFonts w:ascii="Arial" w:eastAsia="Calibri" w:hAnsi="Arial" w:cs="Arial"/>
          <w:sz w:val="22"/>
          <w:szCs w:val="22"/>
          <w:lang w:val="en-US" w:eastAsia="en-US"/>
        </w:rPr>
        <w:t>comfort to all stakeholders involved</w:t>
      </w:r>
      <w:r w:rsidR="00E63C3D" w:rsidRPr="00A15456">
        <w:rPr>
          <w:rFonts w:ascii="Arial" w:eastAsia="Calibri" w:hAnsi="Arial" w:cs="Arial"/>
          <w:sz w:val="22"/>
          <w:szCs w:val="22"/>
          <w:lang w:val="en-US" w:eastAsia="en-US"/>
        </w:rPr>
        <w:t xml:space="preserve"> that pricing is fairly conducted by </w:t>
      </w:r>
      <w:r w:rsidR="00A150C2" w:rsidRPr="00A15456">
        <w:rPr>
          <w:rFonts w:ascii="Arial" w:eastAsia="Calibri" w:hAnsi="Arial" w:cs="Arial"/>
          <w:sz w:val="22"/>
          <w:szCs w:val="22"/>
          <w:lang w:val="en-US" w:eastAsia="en-US"/>
        </w:rPr>
        <w:t>trading venues</w:t>
      </w:r>
      <w:bookmarkEnd w:id="5"/>
      <w:r w:rsidR="00A150C2" w:rsidRPr="00A15456">
        <w:rPr>
          <w:rFonts w:ascii="Arial" w:eastAsia="Calibri" w:hAnsi="Arial" w:cs="Arial"/>
          <w:sz w:val="22"/>
          <w:szCs w:val="22"/>
          <w:lang w:val="en-US" w:eastAsia="en-US"/>
        </w:rPr>
        <w:t xml:space="preserve">. We would agree with a reduced set of information made available to the public. </w:t>
      </w:r>
      <w:r w:rsidR="00C84377" w:rsidRPr="00C84377">
        <w:rPr>
          <w:rFonts w:ascii="Arial" w:eastAsia="Calibri" w:hAnsi="Arial" w:cs="Arial"/>
          <w:sz w:val="22"/>
          <w:szCs w:val="22"/>
          <w:lang w:val="en-US" w:eastAsia="en-US"/>
        </w:rPr>
        <w:t xml:space="preserve">Therefore, we suggest for public disclosure, a rather brief explanation of the accounting methodology for setting the fees of market data only. The explanation should provide, inter alia, a brief summary of relevant costs included in the fees of market data and some general information on allocation keys for joint costs. </w:t>
      </w:r>
      <w:r w:rsidR="00FD4A62" w:rsidRPr="00A15456">
        <w:rPr>
          <w:rFonts w:ascii="Arial" w:hAnsi="Arial" w:cs="Arial"/>
          <w:sz w:val="22"/>
          <w:szCs w:val="22"/>
          <w:lang w:val="en-US"/>
        </w:rPr>
        <w:t xml:space="preserve">As </w:t>
      </w:r>
      <w:r w:rsidR="008269A4" w:rsidRPr="00A15456">
        <w:rPr>
          <w:rFonts w:ascii="Arial" w:hAnsi="Arial" w:cs="Arial"/>
          <w:sz w:val="22"/>
          <w:szCs w:val="22"/>
          <w:lang w:val="en-US"/>
        </w:rPr>
        <w:t xml:space="preserve">set </w:t>
      </w:r>
      <w:r w:rsidR="00FD4A62" w:rsidRPr="00A15456">
        <w:rPr>
          <w:rFonts w:ascii="Arial" w:hAnsi="Arial" w:cs="Arial"/>
          <w:sz w:val="22"/>
          <w:szCs w:val="22"/>
          <w:lang w:val="en-US"/>
        </w:rPr>
        <w:t xml:space="preserve">out above, DBG is of the opinion that explanations around the determination of margins and </w:t>
      </w:r>
      <w:r w:rsidR="00322DD2">
        <w:rPr>
          <w:rFonts w:ascii="Arial" w:hAnsi="Arial" w:cs="Arial"/>
          <w:sz w:val="22"/>
          <w:szCs w:val="22"/>
          <w:lang w:val="en-US"/>
        </w:rPr>
        <w:t xml:space="preserve">detailed </w:t>
      </w:r>
      <w:r w:rsidR="00FD4A62" w:rsidRPr="00A15456">
        <w:rPr>
          <w:rFonts w:ascii="Arial" w:hAnsi="Arial" w:cs="Arial"/>
          <w:sz w:val="22"/>
          <w:szCs w:val="22"/>
          <w:lang w:val="en-US"/>
        </w:rPr>
        <w:t>allocation keys, included in standardi</w:t>
      </w:r>
      <w:r w:rsidR="009263D2">
        <w:rPr>
          <w:rFonts w:ascii="Arial" w:hAnsi="Arial" w:cs="Arial"/>
          <w:sz w:val="22"/>
          <w:szCs w:val="22"/>
          <w:lang w:val="en-US"/>
        </w:rPr>
        <w:t>z</w:t>
      </w:r>
      <w:r w:rsidR="00FD4A62" w:rsidRPr="00A15456">
        <w:rPr>
          <w:rFonts w:ascii="Arial" w:hAnsi="Arial" w:cs="Arial"/>
          <w:sz w:val="22"/>
          <w:szCs w:val="22"/>
          <w:lang w:val="en-US"/>
        </w:rPr>
        <w:t xml:space="preserve">ed publication formats, could go well beyond the scope of the transparency plus approach. </w:t>
      </w:r>
    </w:p>
    <w:p w14:paraId="11E850CF" w14:textId="15FC6A22" w:rsidR="00A150C2" w:rsidRPr="00A15456" w:rsidRDefault="00A150C2" w:rsidP="007601FA">
      <w:pPr>
        <w:spacing w:after="160"/>
        <w:rPr>
          <w:rFonts w:ascii="Arial" w:eastAsia="Calibri" w:hAnsi="Arial" w:cs="Arial"/>
          <w:b/>
          <w:sz w:val="22"/>
          <w:szCs w:val="22"/>
          <w:lang w:val="en-US"/>
        </w:rPr>
      </w:pPr>
      <w:r w:rsidRPr="00A15456">
        <w:rPr>
          <w:rFonts w:ascii="Arial" w:eastAsia="Calibri" w:hAnsi="Arial" w:cs="Arial"/>
          <w:b/>
          <w:sz w:val="22"/>
          <w:szCs w:val="22"/>
          <w:lang w:val="en-US"/>
        </w:rPr>
        <w:t xml:space="preserve">Joint cost </w:t>
      </w:r>
      <w:r w:rsidR="00FD4A62" w:rsidRPr="00A15456">
        <w:rPr>
          <w:rFonts w:ascii="Arial" w:eastAsia="Calibri" w:hAnsi="Arial" w:cs="Arial"/>
          <w:b/>
          <w:sz w:val="22"/>
          <w:szCs w:val="22"/>
          <w:lang w:val="en-US"/>
        </w:rPr>
        <w:t xml:space="preserve">of trading and market data </w:t>
      </w:r>
    </w:p>
    <w:p w14:paraId="66A8F76A" w14:textId="3AB9533E" w:rsidR="00D84AF9" w:rsidRPr="00F6575F" w:rsidRDefault="00D84AF9" w:rsidP="007601FA">
      <w:pPr>
        <w:spacing w:after="160"/>
        <w:jc w:val="both"/>
        <w:rPr>
          <w:rFonts w:ascii="Arial" w:hAnsi="Arial" w:cs="Arial"/>
          <w:sz w:val="22"/>
          <w:szCs w:val="22"/>
          <w:highlight w:val="yellow"/>
          <w:lang w:val="en-US"/>
        </w:rPr>
      </w:pPr>
      <w:r w:rsidRPr="00A15456">
        <w:rPr>
          <w:rFonts w:ascii="Arial" w:hAnsi="Arial" w:cs="Arial"/>
          <w:sz w:val="22"/>
          <w:szCs w:val="22"/>
          <w:lang w:val="en-US"/>
        </w:rPr>
        <w:t xml:space="preserve">Prescribing market data providers how to allocate (joint) costs, in our view goes beyond achieving transparency and are rather measures of strict price </w:t>
      </w:r>
      <w:r w:rsidRPr="00225E84">
        <w:rPr>
          <w:rFonts w:ascii="Arial" w:hAnsi="Arial" w:cs="Arial"/>
          <w:sz w:val="22"/>
          <w:szCs w:val="22"/>
          <w:lang w:val="en-US"/>
        </w:rPr>
        <w:t xml:space="preserve">regulation </w:t>
      </w:r>
      <w:r w:rsidR="00225E84" w:rsidRPr="00225E84">
        <w:rPr>
          <w:rFonts w:ascii="Arial" w:hAnsi="Arial" w:cs="Arial"/>
          <w:sz w:val="22"/>
          <w:szCs w:val="22"/>
          <w:lang w:val="en-US"/>
        </w:rPr>
        <w:t>as seen in the Post or Telecommunication sector</w:t>
      </w:r>
      <w:r w:rsidRPr="006B0C7E">
        <w:rPr>
          <w:rFonts w:ascii="Arial" w:hAnsi="Arial" w:cs="Arial"/>
          <w:sz w:val="22"/>
          <w:szCs w:val="22"/>
          <w:lang w:val="en-US"/>
        </w:rPr>
        <w:t>.</w:t>
      </w:r>
      <w:r w:rsidRPr="00A15456">
        <w:rPr>
          <w:rFonts w:ascii="Arial" w:hAnsi="Arial" w:cs="Arial"/>
          <w:sz w:val="22"/>
          <w:szCs w:val="22"/>
          <w:lang w:val="en-US"/>
        </w:rPr>
        <w:t xml:space="preserve"> Cost allocation should therefore remain at the discretion of market data providers.</w:t>
      </w:r>
      <w:r w:rsidR="0072652D" w:rsidRPr="00A15456">
        <w:rPr>
          <w:rFonts w:ascii="Arial" w:hAnsi="Arial" w:cs="Arial"/>
          <w:sz w:val="22"/>
          <w:szCs w:val="22"/>
          <w:lang w:val="en-US"/>
        </w:rPr>
        <w:t xml:space="preserve"> </w:t>
      </w:r>
    </w:p>
    <w:p w14:paraId="04A5218A" w14:textId="0E0809A8" w:rsidR="006B0E3B" w:rsidRPr="009263D2" w:rsidRDefault="00787C37" w:rsidP="007601FA">
      <w:pPr>
        <w:spacing w:after="160"/>
        <w:jc w:val="both"/>
        <w:rPr>
          <w:rFonts w:ascii="Arial" w:eastAsia="Calibri" w:hAnsi="Arial" w:cs="Arial"/>
          <w:sz w:val="22"/>
          <w:szCs w:val="22"/>
          <w:lang w:val="en-US"/>
        </w:rPr>
      </w:pPr>
      <w:r w:rsidRPr="00A15456">
        <w:rPr>
          <w:rFonts w:ascii="Arial" w:eastAsia="Calibri" w:hAnsi="Arial" w:cs="Arial"/>
          <w:sz w:val="22"/>
          <w:szCs w:val="22"/>
          <w:lang w:val="en-US"/>
        </w:rPr>
        <w:t>We note</w:t>
      </w:r>
      <w:r w:rsidR="00F3364F" w:rsidRPr="00A15456">
        <w:rPr>
          <w:rFonts w:ascii="Arial" w:eastAsia="Calibri" w:hAnsi="Arial" w:cs="Arial"/>
          <w:sz w:val="22"/>
          <w:szCs w:val="22"/>
          <w:lang w:val="en-US"/>
        </w:rPr>
        <w:t xml:space="preserve"> that </w:t>
      </w:r>
      <w:r w:rsidRPr="00A15456">
        <w:rPr>
          <w:rFonts w:ascii="Arial" w:eastAsia="Calibri" w:hAnsi="Arial" w:cs="Arial"/>
          <w:sz w:val="22"/>
          <w:szCs w:val="22"/>
          <w:lang w:val="en-US"/>
        </w:rPr>
        <w:t xml:space="preserve">ESMA’s </w:t>
      </w:r>
      <w:r w:rsidR="006B0E3B" w:rsidRPr="00A15456">
        <w:rPr>
          <w:rFonts w:ascii="Arial" w:eastAsia="Calibri" w:hAnsi="Arial" w:cs="Arial"/>
          <w:sz w:val="22"/>
          <w:szCs w:val="22"/>
          <w:lang w:val="en-US"/>
        </w:rPr>
        <w:t xml:space="preserve">proposal </w:t>
      </w:r>
      <w:r w:rsidR="00F3364F" w:rsidRPr="00A15456">
        <w:rPr>
          <w:rFonts w:ascii="Arial" w:eastAsia="Calibri" w:hAnsi="Arial" w:cs="Arial"/>
          <w:sz w:val="22"/>
          <w:szCs w:val="22"/>
          <w:lang w:val="en-US"/>
        </w:rPr>
        <w:t xml:space="preserve">states </w:t>
      </w:r>
      <w:r w:rsidR="006B0E3B" w:rsidRPr="00A15456">
        <w:rPr>
          <w:rFonts w:ascii="Arial" w:eastAsia="Calibri" w:hAnsi="Arial" w:cs="Arial"/>
          <w:sz w:val="22"/>
          <w:szCs w:val="22"/>
          <w:lang w:val="en-US"/>
        </w:rPr>
        <w:t>that joint cost</w:t>
      </w:r>
      <w:r w:rsidRPr="00A15456">
        <w:rPr>
          <w:rFonts w:ascii="Arial" w:eastAsia="Calibri" w:hAnsi="Arial" w:cs="Arial"/>
          <w:sz w:val="22"/>
          <w:szCs w:val="22"/>
          <w:lang w:val="en-US"/>
        </w:rPr>
        <w:t>s</w:t>
      </w:r>
      <w:r w:rsidR="006B0E3B" w:rsidRPr="00A15456">
        <w:rPr>
          <w:rFonts w:ascii="Arial" w:eastAsia="Calibri" w:hAnsi="Arial" w:cs="Arial"/>
          <w:sz w:val="22"/>
          <w:szCs w:val="22"/>
          <w:lang w:val="en-US"/>
        </w:rPr>
        <w:t xml:space="preserve"> shall not be allocated according to the revenues generated by the trading </w:t>
      </w:r>
      <w:r w:rsidRPr="00A15456">
        <w:rPr>
          <w:rFonts w:ascii="Arial" w:eastAsia="Calibri" w:hAnsi="Arial" w:cs="Arial"/>
          <w:sz w:val="22"/>
          <w:szCs w:val="22"/>
          <w:lang w:val="en-US"/>
        </w:rPr>
        <w:t xml:space="preserve">business on the one hand </w:t>
      </w:r>
      <w:r w:rsidR="006B0E3B" w:rsidRPr="00A15456">
        <w:rPr>
          <w:rFonts w:ascii="Arial" w:eastAsia="Calibri" w:hAnsi="Arial" w:cs="Arial"/>
          <w:sz w:val="22"/>
          <w:szCs w:val="22"/>
          <w:lang w:val="en-US"/>
        </w:rPr>
        <w:t xml:space="preserve">and </w:t>
      </w:r>
      <w:r w:rsidRPr="00A15456">
        <w:rPr>
          <w:rFonts w:ascii="Arial" w:eastAsia="Calibri" w:hAnsi="Arial" w:cs="Arial"/>
          <w:sz w:val="22"/>
          <w:szCs w:val="22"/>
          <w:lang w:val="en-US"/>
        </w:rPr>
        <w:t xml:space="preserve">the </w:t>
      </w:r>
      <w:r w:rsidR="006B0E3B" w:rsidRPr="00A15456">
        <w:rPr>
          <w:rFonts w:ascii="Arial" w:eastAsia="Calibri" w:hAnsi="Arial" w:cs="Arial"/>
          <w:sz w:val="22"/>
          <w:szCs w:val="22"/>
          <w:lang w:val="en-US"/>
        </w:rPr>
        <w:t>market data</w:t>
      </w:r>
      <w:r w:rsidRPr="00A15456">
        <w:rPr>
          <w:rFonts w:ascii="Arial" w:eastAsia="Calibri" w:hAnsi="Arial" w:cs="Arial"/>
          <w:sz w:val="22"/>
          <w:szCs w:val="22"/>
          <w:lang w:val="en-US"/>
        </w:rPr>
        <w:t xml:space="preserve"> business on the other</w:t>
      </w:r>
      <w:r w:rsidR="00F3364F" w:rsidRPr="00A15456">
        <w:rPr>
          <w:rFonts w:ascii="Arial" w:eastAsia="Calibri" w:hAnsi="Arial" w:cs="Arial"/>
          <w:sz w:val="22"/>
          <w:szCs w:val="22"/>
          <w:lang w:val="en-US"/>
        </w:rPr>
        <w:t>.</w:t>
      </w:r>
      <w:r w:rsidR="006B0E3B" w:rsidRPr="00A15456">
        <w:rPr>
          <w:rFonts w:ascii="Arial" w:eastAsia="Calibri" w:hAnsi="Arial" w:cs="Arial"/>
          <w:sz w:val="22"/>
          <w:szCs w:val="22"/>
          <w:lang w:val="en-US"/>
        </w:rPr>
        <w:t xml:space="preserve"> </w:t>
      </w:r>
      <w:r w:rsidR="00F3364F" w:rsidRPr="00A15456">
        <w:rPr>
          <w:rFonts w:ascii="Arial" w:eastAsia="Calibri" w:hAnsi="Arial" w:cs="Arial"/>
          <w:sz w:val="22"/>
          <w:szCs w:val="22"/>
          <w:lang w:val="en-US"/>
        </w:rPr>
        <w:t>We understand that revenue-based allocations are not the pre</w:t>
      </w:r>
      <w:r w:rsidR="00B179A2" w:rsidRPr="00A15456">
        <w:rPr>
          <w:rFonts w:ascii="Arial" w:eastAsia="Calibri" w:hAnsi="Arial" w:cs="Arial"/>
          <w:sz w:val="22"/>
          <w:szCs w:val="22"/>
          <w:lang w:val="en-US"/>
        </w:rPr>
        <w:t>ferred</w:t>
      </w:r>
      <w:r w:rsidR="00F3364F" w:rsidRPr="00A15456">
        <w:rPr>
          <w:rFonts w:ascii="Arial" w:eastAsia="Calibri" w:hAnsi="Arial" w:cs="Arial"/>
          <w:sz w:val="22"/>
          <w:szCs w:val="22"/>
          <w:lang w:val="en-US"/>
        </w:rPr>
        <w:t xml:space="preserve"> allocation key</w:t>
      </w:r>
      <w:r w:rsidR="00B179A2" w:rsidRPr="00A15456">
        <w:rPr>
          <w:rFonts w:ascii="Arial" w:eastAsia="Calibri" w:hAnsi="Arial" w:cs="Arial"/>
          <w:sz w:val="22"/>
          <w:szCs w:val="22"/>
          <w:lang w:val="en-US"/>
        </w:rPr>
        <w:t>s</w:t>
      </w:r>
      <w:r w:rsidR="00F3364F" w:rsidRPr="00A15456">
        <w:rPr>
          <w:rFonts w:ascii="Arial" w:eastAsia="Calibri" w:hAnsi="Arial" w:cs="Arial"/>
          <w:sz w:val="22"/>
          <w:szCs w:val="22"/>
          <w:lang w:val="en-US"/>
        </w:rPr>
        <w:t xml:space="preserve"> in case of </w:t>
      </w:r>
      <w:r w:rsidR="00FD4A62" w:rsidRPr="00A15456">
        <w:rPr>
          <w:rFonts w:ascii="Arial" w:eastAsia="Calibri" w:hAnsi="Arial" w:cs="Arial"/>
          <w:sz w:val="22"/>
          <w:szCs w:val="22"/>
          <w:lang w:val="en-US"/>
        </w:rPr>
        <w:t xml:space="preserve">strict </w:t>
      </w:r>
      <w:r w:rsidR="00F3364F" w:rsidRPr="00A15456">
        <w:rPr>
          <w:rFonts w:ascii="Arial" w:eastAsia="Calibri" w:hAnsi="Arial" w:cs="Arial"/>
          <w:sz w:val="22"/>
          <w:szCs w:val="22"/>
          <w:lang w:val="en-US"/>
        </w:rPr>
        <w:t>price regulation, however, it</w:t>
      </w:r>
      <w:r w:rsidR="00FD4A62" w:rsidRPr="00A15456">
        <w:rPr>
          <w:rFonts w:ascii="Arial" w:eastAsia="Calibri" w:hAnsi="Arial" w:cs="Arial"/>
          <w:sz w:val="22"/>
          <w:szCs w:val="22"/>
          <w:lang w:val="en-US"/>
        </w:rPr>
        <w:t>s application</w:t>
      </w:r>
      <w:r w:rsidR="00F3364F" w:rsidRPr="00A15456">
        <w:rPr>
          <w:rFonts w:ascii="Arial" w:eastAsia="Calibri" w:hAnsi="Arial" w:cs="Arial"/>
          <w:sz w:val="22"/>
          <w:szCs w:val="22"/>
          <w:lang w:val="en-US"/>
        </w:rPr>
        <w:t xml:space="preserve"> is not ruled out</w:t>
      </w:r>
      <w:r w:rsidR="00FD4A62" w:rsidRPr="00A15456">
        <w:rPr>
          <w:rFonts w:ascii="Arial" w:eastAsia="Calibri" w:hAnsi="Arial" w:cs="Arial"/>
          <w:sz w:val="22"/>
          <w:szCs w:val="22"/>
          <w:lang w:val="en-US"/>
        </w:rPr>
        <w:t xml:space="preserve"> either</w:t>
      </w:r>
      <w:r w:rsidR="00F3364F" w:rsidRPr="00A15456">
        <w:rPr>
          <w:rFonts w:ascii="Arial" w:eastAsia="Calibri" w:hAnsi="Arial" w:cs="Arial"/>
          <w:sz w:val="22"/>
          <w:szCs w:val="22"/>
          <w:lang w:val="en-US"/>
        </w:rPr>
        <w:t xml:space="preserve">. In this context it is important to recall that </w:t>
      </w:r>
      <w:r w:rsidR="006B0E3B" w:rsidRPr="00A15456">
        <w:rPr>
          <w:rFonts w:ascii="Arial" w:eastAsia="Calibri" w:hAnsi="Arial" w:cs="Arial"/>
          <w:sz w:val="22"/>
          <w:szCs w:val="22"/>
          <w:lang w:val="en-US"/>
        </w:rPr>
        <w:t>data and trading represent joint products, one cannot exist without the other</w:t>
      </w:r>
      <w:r w:rsidR="007C2CF3" w:rsidRPr="009263D2">
        <w:rPr>
          <w:rStyle w:val="Funotenzeichen"/>
          <w:rFonts w:eastAsia="Calibri" w:cs="Arial"/>
          <w:szCs w:val="22"/>
          <w:lang w:val="en-US"/>
        </w:rPr>
        <w:footnoteReference w:id="14"/>
      </w:r>
      <w:r w:rsidR="006B0E3B" w:rsidRPr="009263D2">
        <w:rPr>
          <w:rFonts w:ascii="Arial" w:eastAsia="Calibri" w:hAnsi="Arial" w:cs="Arial"/>
          <w:sz w:val="22"/>
          <w:szCs w:val="22"/>
          <w:lang w:val="en-US"/>
        </w:rPr>
        <w:t>, and as such there can be no risk of cross-subsidization.</w:t>
      </w:r>
      <w:r w:rsidR="00F3364F" w:rsidRPr="009263D2">
        <w:rPr>
          <w:rFonts w:ascii="Arial" w:eastAsia="Calibri" w:hAnsi="Arial" w:cs="Arial"/>
          <w:sz w:val="22"/>
          <w:szCs w:val="22"/>
          <w:lang w:val="en-US"/>
        </w:rPr>
        <w:t xml:space="preserve"> We therefore suggest that ESMA </w:t>
      </w:r>
      <w:r w:rsidR="0008327E" w:rsidRPr="009263D2">
        <w:rPr>
          <w:rFonts w:ascii="Arial" w:eastAsia="Calibri" w:hAnsi="Arial" w:cs="Arial"/>
          <w:sz w:val="22"/>
          <w:szCs w:val="22"/>
          <w:lang w:val="en-US"/>
        </w:rPr>
        <w:t>still allows</w:t>
      </w:r>
      <w:r w:rsidR="00FD4A62" w:rsidRPr="009263D2">
        <w:rPr>
          <w:rFonts w:ascii="Arial" w:eastAsia="Calibri" w:hAnsi="Arial" w:cs="Arial"/>
          <w:sz w:val="22"/>
          <w:szCs w:val="22"/>
          <w:lang w:val="en-US"/>
        </w:rPr>
        <w:t xml:space="preserve"> the use of revenue-based cost allocation for joint cost.</w:t>
      </w:r>
      <w:r w:rsidRPr="009263D2">
        <w:rPr>
          <w:rFonts w:ascii="Arial" w:eastAsia="Calibri" w:hAnsi="Arial" w:cs="Arial"/>
          <w:sz w:val="22"/>
          <w:szCs w:val="22"/>
          <w:lang w:val="en-US"/>
        </w:rPr>
        <w:t xml:space="preserve"> </w:t>
      </w:r>
    </w:p>
    <w:p w14:paraId="3A92DDBA" w14:textId="6567329E" w:rsidR="00A150C2" w:rsidRPr="00F6575F" w:rsidRDefault="00FD4A62" w:rsidP="007601FA">
      <w:pPr>
        <w:spacing w:after="160"/>
        <w:jc w:val="both"/>
        <w:rPr>
          <w:rFonts w:ascii="Arial" w:eastAsia="Calibri" w:hAnsi="Arial" w:cs="Arial"/>
          <w:sz w:val="22"/>
          <w:szCs w:val="22"/>
          <w:lang w:val="en-US"/>
        </w:rPr>
      </w:pPr>
      <w:r w:rsidRPr="009263D2">
        <w:rPr>
          <w:rFonts w:ascii="Arial" w:eastAsia="Calibri" w:hAnsi="Arial" w:cs="Arial"/>
          <w:sz w:val="22"/>
          <w:szCs w:val="22"/>
          <w:lang w:val="en-US"/>
        </w:rPr>
        <w:t xml:space="preserve">Furthermore, </w:t>
      </w:r>
      <w:r w:rsidR="00A150C2" w:rsidRPr="009263D2">
        <w:rPr>
          <w:rFonts w:ascii="Arial" w:eastAsia="Calibri" w:hAnsi="Arial" w:cs="Arial"/>
          <w:sz w:val="22"/>
          <w:szCs w:val="22"/>
          <w:lang w:val="en-US"/>
        </w:rPr>
        <w:t xml:space="preserve">ESMA proposes that “joint cost shall be cost that cannot be solely attributed to the production and dissemination of market data such as </w:t>
      </w:r>
      <w:r w:rsidR="00656798" w:rsidRPr="009263D2">
        <w:rPr>
          <w:rFonts w:ascii="Arial" w:eastAsia="Calibri" w:hAnsi="Arial" w:cs="Arial"/>
          <w:sz w:val="22"/>
          <w:szCs w:val="22"/>
          <w:lang w:val="en-US"/>
        </w:rPr>
        <w:t xml:space="preserve">the </w:t>
      </w:r>
      <w:r w:rsidR="00A150C2" w:rsidRPr="009263D2">
        <w:rPr>
          <w:rFonts w:ascii="Arial" w:eastAsia="Calibri" w:hAnsi="Arial" w:cs="Arial"/>
          <w:sz w:val="22"/>
          <w:szCs w:val="22"/>
          <w:lang w:val="en-US"/>
        </w:rPr>
        <w:t>lease of office</w:t>
      </w:r>
      <w:r w:rsidR="00656798" w:rsidRPr="009263D2">
        <w:rPr>
          <w:rFonts w:ascii="Arial" w:eastAsia="Calibri" w:hAnsi="Arial" w:cs="Arial"/>
          <w:sz w:val="22"/>
          <w:szCs w:val="22"/>
          <w:lang w:val="en-US"/>
        </w:rPr>
        <w:t>s</w:t>
      </w:r>
      <w:r w:rsidR="00A150C2" w:rsidRPr="009263D2">
        <w:rPr>
          <w:rFonts w:ascii="Arial" w:eastAsia="Calibri" w:hAnsi="Arial" w:cs="Arial"/>
          <w:sz w:val="22"/>
          <w:szCs w:val="22"/>
          <w:lang w:val="en-US"/>
        </w:rPr>
        <w:t xml:space="preserve"> or salaries of administrative staff”.</w:t>
      </w:r>
      <w:r w:rsidRPr="009263D2">
        <w:rPr>
          <w:rFonts w:ascii="Arial" w:eastAsia="Calibri" w:hAnsi="Arial" w:cs="Arial"/>
          <w:sz w:val="22"/>
          <w:szCs w:val="22"/>
          <w:lang w:val="en-US"/>
        </w:rPr>
        <w:t xml:space="preserve"> According to economic literature</w:t>
      </w:r>
      <w:r w:rsidR="00603A9C" w:rsidRPr="009263D2">
        <w:rPr>
          <w:rStyle w:val="Funotenzeichen"/>
          <w:rFonts w:eastAsia="Calibri" w:cs="Arial"/>
          <w:szCs w:val="22"/>
          <w:lang w:val="en-US"/>
        </w:rPr>
        <w:footnoteReference w:id="15"/>
      </w:r>
      <w:r w:rsidRPr="009263D2">
        <w:rPr>
          <w:rFonts w:ascii="Arial" w:eastAsia="Calibri" w:hAnsi="Arial" w:cs="Arial"/>
          <w:sz w:val="22"/>
          <w:szCs w:val="22"/>
          <w:lang w:val="en-US"/>
        </w:rPr>
        <w:t xml:space="preserve"> ,</w:t>
      </w:r>
      <w:r w:rsidRPr="00A15456">
        <w:rPr>
          <w:rFonts w:ascii="Arial" w:eastAsia="Calibri" w:hAnsi="Arial" w:cs="Arial"/>
          <w:sz w:val="22"/>
          <w:szCs w:val="22"/>
          <w:lang w:val="en-US"/>
        </w:rPr>
        <w:t xml:space="preserve"> joint cost indeed is the cost attributed to trading and production of data at the same time</w:t>
      </w:r>
      <w:r w:rsidR="00A150C2" w:rsidRPr="00A15456">
        <w:rPr>
          <w:rFonts w:ascii="Arial" w:eastAsia="Calibri" w:hAnsi="Arial" w:cs="Arial"/>
          <w:sz w:val="22"/>
          <w:szCs w:val="22"/>
          <w:lang w:val="en-US"/>
        </w:rPr>
        <w:t xml:space="preserve">. </w:t>
      </w:r>
      <w:r w:rsidRPr="00A15456">
        <w:rPr>
          <w:rFonts w:ascii="Arial" w:eastAsia="Calibri" w:hAnsi="Arial" w:cs="Arial"/>
          <w:sz w:val="22"/>
          <w:szCs w:val="22"/>
          <w:lang w:val="en-US"/>
        </w:rPr>
        <w:t xml:space="preserve">While salaries </w:t>
      </w:r>
      <w:r w:rsidR="00184596" w:rsidRPr="00A15456">
        <w:rPr>
          <w:rFonts w:ascii="Arial" w:eastAsia="Calibri" w:hAnsi="Arial" w:cs="Arial"/>
          <w:sz w:val="22"/>
          <w:szCs w:val="22"/>
          <w:lang w:val="en-US"/>
        </w:rPr>
        <w:t xml:space="preserve">of </w:t>
      </w:r>
      <w:r w:rsidRPr="00A15456">
        <w:rPr>
          <w:rFonts w:ascii="Arial" w:eastAsia="Calibri" w:hAnsi="Arial" w:cs="Arial"/>
          <w:sz w:val="22"/>
          <w:szCs w:val="22"/>
          <w:lang w:val="en-US"/>
        </w:rPr>
        <w:t xml:space="preserve">administrative staff may </w:t>
      </w:r>
      <w:r w:rsidR="00F06B9F" w:rsidRPr="00A15456">
        <w:rPr>
          <w:rFonts w:ascii="Arial" w:eastAsia="Calibri" w:hAnsi="Arial" w:cs="Arial"/>
          <w:sz w:val="22"/>
          <w:szCs w:val="22"/>
          <w:lang w:val="en-US"/>
        </w:rPr>
        <w:t xml:space="preserve">be </w:t>
      </w:r>
      <w:r w:rsidRPr="00A15456">
        <w:rPr>
          <w:rFonts w:ascii="Arial" w:eastAsia="Calibri" w:hAnsi="Arial" w:cs="Arial"/>
          <w:sz w:val="22"/>
          <w:szCs w:val="22"/>
          <w:lang w:val="en-US"/>
        </w:rPr>
        <w:t>subsume</w:t>
      </w:r>
      <w:r w:rsidR="00F06B9F" w:rsidRPr="00A15456">
        <w:rPr>
          <w:rFonts w:ascii="Arial" w:eastAsia="Calibri" w:hAnsi="Arial" w:cs="Arial"/>
          <w:sz w:val="22"/>
          <w:szCs w:val="22"/>
          <w:lang w:val="en-US"/>
        </w:rPr>
        <w:t>d</w:t>
      </w:r>
      <w:r w:rsidRPr="00A15456">
        <w:rPr>
          <w:rFonts w:ascii="Arial" w:eastAsia="Calibri" w:hAnsi="Arial" w:cs="Arial"/>
          <w:sz w:val="22"/>
          <w:szCs w:val="22"/>
          <w:lang w:val="en-US"/>
        </w:rPr>
        <w:t xml:space="preserve"> under joint cost, they could be common cost as well. </w:t>
      </w:r>
      <w:r w:rsidR="00A150C2" w:rsidRPr="00A15456">
        <w:rPr>
          <w:rFonts w:ascii="Arial" w:eastAsia="Calibri" w:hAnsi="Arial" w:cs="Arial"/>
          <w:sz w:val="22"/>
          <w:szCs w:val="22"/>
          <w:lang w:val="en-US"/>
        </w:rPr>
        <w:t xml:space="preserve">The joint product nature of trade execution and market data services has important economic implications. With joint products, the production costs of the outputs (market data and trading) cannot be fully separated. This is clearly the case of trade execution and market data services where there are fixed costs that have to be incurred to produce either product. This is an important difference which </w:t>
      </w:r>
      <w:r w:rsidR="00A15B7F" w:rsidRPr="00A15456">
        <w:rPr>
          <w:rFonts w:ascii="Arial" w:eastAsia="Calibri" w:hAnsi="Arial" w:cs="Arial"/>
          <w:sz w:val="22"/>
          <w:szCs w:val="22"/>
          <w:lang w:val="en-US"/>
        </w:rPr>
        <w:t xml:space="preserve">we recommend </w:t>
      </w:r>
      <w:r w:rsidRPr="00A15456">
        <w:rPr>
          <w:rFonts w:ascii="Arial" w:eastAsia="Calibri" w:hAnsi="Arial" w:cs="Arial"/>
          <w:sz w:val="22"/>
          <w:szCs w:val="22"/>
          <w:lang w:val="en-US"/>
        </w:rPr>
        <w:t xml:space="preserve">should </w:t>
      </w:r>
      <w:r w:rsidR="00A150C2" w:rsidRPr="00A15456">
        <w:rPr>
          <w:rFonts w:ascii="Arial" w:eastAsia="Calibri" w:hAnsi="Arial" w:cs="Arial"/>
          <w:sz w:val="22"/>
          <w:szCs w:val="22"/>
          <w:lang w:val="en-US"/>
        </w:rPr>
        <w:t xml:space="preserve">be taken into account by ESMA. Not taking this difference into account would </w:t>
      </w:r>
      <w:r w:rsidR="00A15B7F" w:rsidRPr="00A15456">
        <w:rPr>
          <w:rFonts w:ascii="Arial" w:eastAsia="Calibri" w:hAnsi="Arial" w:cs="Arial"/>
          <w:sz w:val="22"/>
          <w:szCs w:val="22"/>
          <w:lang w:val="en-US"/>
        </w:rPr>
        <w:t xml:space="preserve">in our view </w:t>
      </w:r>
      <w:r w:rsidR="0008327E" w:rsidRPr="00A15456">
        <w:rPr>
          <w:rFonts w:ascii="Arial" w:eastAsia="Calibri" w:hAnsi="Arial" w:cs="Arial"/>
          <w:sz w:val="22"/>
          <w:szCs w:val="22"/>
          <w:lang w:val="en-US"/>
        </w:rPr>
        <w:t>contrast with</w:t>
      </w:r>
      <w:r w:rsidR="00A150C2" w:rsidRPr="00A15456">
        <w:rPr>
          <w:rFonts w:ascii="Arial" w:eastAsia="Calibri" w:hAnsi="Arial" w:cs="Arial"/>
          <w:sz w:val="22"/>
          <w:szCs w:val="22"/>
          <w:lang w:val="en-US"/>
        </w:rPr>
        <w:t xml:space="preserve"> current regulation as well as economists understanding. </w:t>
      </w:r>
    </w:p>
    <w:p w14:paraId="5EE48ECD" w14:textId="65C30153" w:rsidR="00A150C2" w:rsidRPr="00A15456" w:rsidRDefault="00FD4A62" w:rsidP="007601FA">
      <w:pPr>
        <w:spacing w:after="160"/>
        <w:rPr>
          <w:rFonts w:ascii="Arial" w:eastAsia="Calibri" w:hAnsi="Arial" w:cs="Arial"/>
          <w:sz w:val="22"/>
          <w:szCs w:val="22"/>
          <w:lang w:val="en-US" w:eastAsia="en-US"/>
        </w:rPr>
      </w:pPr>
      <w:r w:rsidRPr="00A15456">
        <w:rPr>
          <w:rFonts w:ascii="Arial" w:eastAsia="Calibri" w:hAnsi="Arial" w:cs="Arial"/>
          <w:sz w:val="22"/>
          <w:szCs w:val="22"/>
          <w:lang w:val="en-US" w:eastAsia="en-US"/>
        </w:rPr>
        <w:t xml:space="preserve">In the light of the above arguments </w:t>
      </w:r>
      <w:r w:rsidR="00A150C2" w:rsidRPr="00A15456">
        <w:rPr>
          <w:rFonts w:ascii="Arial" w:eastAsia="Calibri" w:hAnsi="Arial" w:cs="Arial"/>
          <w:sz w:val="22"/>
          <w:szCs w:val="22"/>
          <w:lang w:val="en-US" w:eastAsia="en-US"/>
        </w:rPr>
        <w:t xml:space="preserve">DBG </w:t>
      </w:r>
      <w:r w:rsidRPr="00A15456">
        <w:rPr>
          <w:rFonts w:ascii="Arial" w:eastAsia="Calibri" w:hAnsi="Arial" w:cs="Arial"/>
          <w:sz w:val="22"/>
          <w:szCs w:val="22"/>
          <w:lang w:val="en-US" w:eastAsia="en-US"/>
        </w:rPr>
        <w:t xml:space="preserve">would like to </w:t>
      </w:r>
      <w:r w:rsidR="00A150C2" w:rsidRPr="00A15456">
        <w:rPr>
          <w:rFonts w:ascii="Arial" w:eastAsia="Calibri" w:hAnsi="Arial" w:cs="Arial"/>
          <w:sz w:val="22"/>
          <w:szCs w:val="22"/>
          <w:lang w:val="en-US" w:eastAsia="en-US"/>
        </w:rPr>
        <w:t>propose the following rewording</w:t>
      </w:r>
      <w:r w:rsidR="00A15B7F" w:rsidRPr="00A15456">
        <w:rPr>
          <w:rFonts w:ascii="Arial" w:eastAsia="Calibri" w:hAnsi="Arial" w:cs="Arial"/>
          <w:sz w:val="22"/>
          <w:szCs w:val="22"/>
          <w:lang w:val="en-US" w:eastAsia="en-US"/>
        </w:rPr>
        <w:t>s</w:t>
      </w:r>
      <w:r w:rsidR="00A150C2" w:rsidRPr="00A15456">
        <w:rPr>
          <w:rFonts w:ascii="Arial" w:eastAsia="Calibri" w:hAnsi="Arial" w:cs="Arial"/>
          <w:sz w:val="22"/>
          <w:szCs w:val="22"/>
          <w:lang w:val="en-US" w:eastAsia="en-US"/>
        </w:rPr>
        <w:t xml:space="preserve">: </w:t>
      </w:r>
    </w:p>
    <w:p w14:paraId="31F33336" w14:textId="4D1F3F7D" w:rsidR="006C1173" w:rsidRDefault="00A150C2" w:rsidP="007601FA">
      <w:pPr>
        <w:autoSpaceDE w:val="0"/>
        <w:autoSpaceDN w:val="0"/>
        <w:adjustRightInd w:val="0"/>
        <w:spacing w:after="160"/>
        <w:jc w:val="both"/>
        <w:rPr>
          <w:rFonts w:ascii="Arial" w:eastAsiaTheme="minorHAnsi" w:hAnsi="Arial" w:cs="Arial"/>
          <w:color w:val="000000"/>
          <w:sz w:val="22"/>
          <w:szCs w:val="22"/>
          <w:lang w:val="en-US" w:eastAsia="en-US"/>
        </w:rPr>
      </w:pPr>
      <w:r w:rsidRPr="00F6575F">
        <w:rPr>
          <w:rFonts w:ascii="Arial" w:eastAsiaTheme="minorHAnsi" w:hAnsi="Arial" w:cs="Arial"/>
          <w:b/>
          <w:bCs/>
          <w:color w:val="000000"/>
          <w:sz w:val="22"/>
          <w:szCs w:val="22"/>
          <w:lang w:val="en-US" w:eastAsia="en-US"/>
        </w:rPr>
        <w:t xml:space="preserve">“Guideline 1: </w:t>
      </w:r>
      <w:r w:rsidRPr="00F6575F">
        <w:rPr>
          <w:rFonts w:ascii="Arial" w:eastAsiaTheme="minorHAnsi" w:hAnsi="Arial" w:cs="Arial"/>
          <w:color w:val="000000"/>
          <w:sz w:val="22"/>
          <w:szCs w:val="22"/>
          <w:lang w:val="en-US" w:eastAsia="en-US"/>
        </w:rPr>
        <w:t xml:space="preserve">Market data providers should have a clear and documented methodology for setting the price of market data, </w:t>
      </w:r>
      <w:r w:rsidRPr="00F6575F">
        <w:rPr>
          <w:rFonts w:ascii="Arial" w:eastAsiaTheme="minorHAnsi" w:hAnsi="Arial" w:cs="Arial"/>
          <w:color w:val="FF0000"/>
          <w:sz w:val="22"/>
          <w:szCs w:val="22"/>
          <w:lang w:val="en-US" w:eastAsia="en-US"/>
        </w:rPr>
        <w:t>to be shared</w:t>
      </w:r>
      <w:r w:rsidRPr="00F6575F">
        <w:rPr>
          <w:rFonts w:ascii="Arial" w:eastAsiaTheme="minorHAnsi" w:hAnsi="Arial" w:cs="Arial"/>
          <w:color w:val="000000"/>
          <w:sz w:val="22"/>
          <w:szCs w:val="22"/>
          <w:lang w:val="en-US" w:eastAsia="en-US"/>
        </w:rPr>
        <w:t xml:space="preserve"> </w:t>
      </w:r>
      <w:r w:rsidRPr="00F6575F">
        <w:rPr>
          <w:rFonts w:ascii="Arial" w:eastAsiaTheme="minorHAnsi" w:hAnsi="Arial" w:cs="Arial"/>
          <w:color w:val="FF0000"/>
          <w:sz w:val="22"/>
          <w:szCs w:val="22"/>
          <w:lang w:val="en-US" w:eastAsia="en-US"/>
        </w:rPr>
        <w:t>with their supervisors on request</w:t>
      </w:r>
      <w:r w:rsidRPr="00F6575F">
        <w:rPr>
          <w:rFonts w:ascii="Arial" w:eastAsiaTheme="minorHAnsi" w:hAnsi="Arial" w:cs="Arial"/>
          <w:color w:val="000000"/>
          <w:sz w:val="22"/>
          <w:szCs w:val="22"/>
          <w:lang w:val="en-US" w:eastAsia="en-US"/>
        </w:rPr>
        <w:t xml:space="preserve">. The methodology should remain up to date, and hence be reviewed on a regular basis, at least annually. Market data providers may need to adjust their methodology over time and account </w:t>
      </w:r>
      <w:r w:rsidRPr="00F6575F">
        <w:rPr>
          <w:rFonts w:ascii="Arial" w:eastAsiaTheme="minorHAnsi" w:hAnsi="Arial" w:cs="Arial"/>
          <w:color w:val="000000"/>
          <w:sz w:val="22"/>
          <w:szCs w:val="22"/>
          <w:lang w:val="en-US" w:eastAsia="en-US"/>
        </w:rPr>
        <w:lastRenderedPageBreak/>
        <w:t>for changes in marginal costs. For example, if a market data provider allocates a portion of investments in IT infrastructure to the cost of production and dissemination of market data, the market data provider is expected to consider the depreciation and amorti</w:t>
      </w:r>
      <w:r w:rsidR="00B652F5">
        <w:rPr>
          <w:rFonts w:ascii="Arial" w:eastAsiaTheme="minorHAnsi" w:hAnsi="Arial" w:cs="Arial"/>
          <w:color w:val="000000"/>
          <w:sz w:val="22"/>
          <w:szCs w:val="22"/>
          <w:lang w:val="en-US" w:eastAsia="en-US"/>
        </w:rPr>
        <w:t>z</w:t>
      </w:r>
      <w:r w:rsidRPr="00F6575F">
        <w:rPr>
          <w:rFonts w:ascii="Arial" w:eastAsiaTheme="minorHAnsi" w:hAnsi="Arial" w:cs="Arial"/>
          <w:color w:val="000000"/>
          <w:sz w:val="22"/>
          <w:szCs w:val="22"/>
          <w:lang w:val="en-US" w:eastAsia="en-US"/>
        </w:rPr>
        <w:t xml:space="preserve">ation of the investments when allocating these costs. </w:t>
      </w:r>
    </w:p>
    <w:p w14:paraId="40E864FA" w14:textId="0ECF0578" w:rsidR="00A150C2" w:rsidRPr="00F6575F" w:rsidRDefault="00A150C2" w:rsidP="007601FA">
      <w:pPr>
        <w:autoSpaceDE w:val="0"/>
        <w:autoSpaceDN w:val="0"/>
        <w:adjustRightInd w:val="0"/>
        <w:spacing w:after="160"/>
        <w:jc w:val="both"/>
        <w:rPr>
          <w:rFonts w:ascii="Arial" w:eastAsiaTheme="minorHAnsi" w:hAnsi="Arial" w:cs="Arial"/>
          <w:color w:val="000000"/>
          <w:sz w:val="22"/>
          <w:szCs w:val="22"/>
          <w:lang w:val="en-US" w:eastAsia="en-US"/>
        </w:rPr>
      </w:pPr>
      <w:r w:rsidRPr="00F6575F">
        <w:rPr>
          <w:rFonts w:ascii="Arial" w:eastAsiaTheme="minorHAnsi" w:hAnsi="Arial" w:cs="Arial"/>
          <w:color w:val="000000"/>
          <w:sz w:val="22"/>
          <w:szCs w:val="22"/>
          <w:lang w:val="en-US" w:eastAsia="en-US"/>
        </w:rPr>
        <w:t xml:space="preserve">Market data providers should explain in their methodology whether a margin is included </w:t>
      </w:r>
      <w:r w:rsidRPr="00F6575F">
        <w:rPr>
          <w:rFonts w:ascii="Arial" w:eastAsiaTheme="minorHAnsi" w:hAnsi="Arial" w:cs="Arial"/>
          <w:strike/>
          <w:color w:val="FF0000"/>
          <w:sz w:val="22"/>
          <w:szCs w:val="22"/>
          <w:lang w:val="en-US" w:eastAsia="en-US"/>
        </w:rPr>
        <w:t>and how that margin has been determined.</w:t>
      </w:r>
      <w:r w:rsidRPr="00F6575F">
        <w:rPr>
          <w:rFonts w:ascii="Arial" w:eastAsiaTheme="minorHAnsi" w:hAnsi="Arial" w:cs="Arial"/>
          <w:color w:val="000000"/>
          <w:sz w:val="22"/>
          <w:szCs w:val="22"/>
          <w:lang w:val="en-US" w:eastAsia="en-US"/>
        </w:rPr>
        <w:t xml:space="preserve">” </w:t>
      </w:r>
    </w:p>
    <w:p w14:paraId="1A7EF330" w14:textId="7FFC7407" w:rsidR="00A150C2" w:rsidRDefault="00A150C2" w:rsidP="007601FA">
      <w:pPr>
        <w:autoSpaceDE w:val="0"/>
        <w:autoSpaceDN w:val="0"/>
        <w:adjustRightInd w:val="0"/>
        <w:spacing w:after="160"/>
        <w:jc w:val="both"/>
        <w:rPr>
          <w:rFonts w:ascii="Arial" w:eastAsiaTheme="minorHAnsi" w:hAnsi="Arial" w:cs="Arial"/>
          <w:color w:val="000000"/>
          <w:sz w:val="22"/>
          <w:szCs w:val="22"/>
          <w:lang w:val="en-US" w:eastAsia="en-US"/>
        </w:rPr>
      </w:pPr>
      <w:r w:rsidRPr="00F6575F">
        <w:rPr>
          <w:rFonts w:ascii="Arial" w:eastAsiaTheme="minorHAnsi" w:hAnsi="Arial" w:cs="Arial"/>
          <w:color w:val="000000"/>
          <w:sz w:val="22"/>
          <w:szCs w:val="22"/>
          <w:lang w:val="en-US" w:eastAsia="en-US"/>
        </w:rPr>
        <w:t>We recommend t</w:t>
      </w:r>
      <w:r w:rsidR="00D97810" w:rsidRPr="00F6575F">
        <w:rPr>
          <w:rFonts w:ascii="Arial" w:eastAsiaTheme="minorHAnsi" w:hAnsi="Arial" w:cs="Arial"/>
          <w:color w:val="000000"/>
          <w:sz w:val="22"/>
          <w:szCs w:val="22"/>
          <w:lang w:val="en-US" w:eastAsia="en-US"/>
        </w:rPr>
        <w:t>hat ESMA</w:t>
      </w:r>
      <w:r w:rsidRPr="00F6575F">
        <w:rPr>
          <w:rFonts w:ascii="Arial" w:eastAsiaTheme="minorHAnsi" w:hAnsi="Arial" w:cs="Arial"/>
          <w:color w:val="000000"/>
          <w:sz w:val="22"/>
          <w:szCs w:val="22"/>
          <w:lang w:val="en-US" w:eastAsia="en-US"/>
        </w:rPr>
        <w:t xml:space="preserve"> abstain</w:t>
      </w:r>
      <w:r w:rsidR="00D97810" w:rsidRPr="00F6575F">
        <w:rPr>
          <w:rFonts w:ascii="Arial" w:eastAsiaTheme="minorHAnsi" w:hAnsi="Arial" w:cs="Arial"/>
          <w:color w:val="000000"/>
          <w:sz w:val="22"/>
          <w:szCs w:val="22"/>
          <w:lang w:val="en-US" w:eastAsia="en-US"/>
        </w:rPr>
        <w:t>s</w:t>
      </w:r>
      <w:r w:rsidRPr="00F6575F">
        <w:rPr>
          <w:rFonts w:ascii="Arial" w:eastAsiaTheme="minorHAnsi" w:hAnsi="Arial" w:cs="Arial"/>
          <w:color w:val="000000"/>
          <w:sz w:val="22"/>
          <w:szCs w:val="22"/>
          <w:lang w:val="en-US" w:eastAsia="en-US"/>
        </w:rPr>
        <w:t xml:space="preserve"> from </w:t>
      </w:r>
      <w:r w:rsidR="00D97810" w:rsidRPr="00F6575F">
        <w:rPr>
          <w:rFonts w:ascii="Arial" w:eastAsiaTheme="minorHAnsi" w:hAnsi="Arial" w:cs="Arial"/>
          <w:color w:val="000000"/>
          <w:sz w:val="22"/>
          <w:szCs w:val="22"/>
          <w:lang w:val="en-US" w:eastAsia="en-US"/>
        </w:rPr>
        <w:t xml:space="preserve">the suggested </w:t>
      </w:r>
      <w:r w:rsidRPr="00F6575F">
        <w:rPr>
          <w:rFonts w:ascii="Arial" w:eastAsiaTheme="minorHAnsi" w:hAnsi="Arial" w:cs="Arial"/>
          <w:color w:val="000000"/>
          <w:sz w:val="22"/>
          <w:szCs w:val="22"/>
          <w:lang w:val="en-US" w:eastAsia="en-US"/>
        </w:rPr>
        <w:t xml:space="preserve">cost definition as this would go too far, taking into account </w:t>
      </w:r>
      <w:r w:rsidR="00A15B7F" w:rsidRPr="00F6575F">
        <w:rPr>
          <w:rFonts w:ascii="Arial" w:eastAsiaTheme="minorHAnsi" w:hAnsi="Arial" w:cs="Arial"/>
          <w:color w:val="000000"/>
          <w:sz w:val="22"/>
          <w:szCs w:val="22"/>
          <w:lang w:val="en-US" w:eastAsia="en-US"/>
        </w:rPr>
        <w:t xml:space="preserve">missing </w:t>
      </w:r>
      <w:r w:rsidRPr="00F6575F">
        <w:rPr>
          <w:rFonts w:ascii="Arial" w:eastAsiaTheme="minorHAnsi" w:hAnsi="Arial" w:cs="Arial"/>
          <w:color w:val="000000"/>
          <w:sz w:val="22"/>
          <w:szCs w:val="22"/>
          <w:lang w:val="en-US" w:eastAsia="en-US"/>
        </w:rPr>
        <w:t xml:space="preserve">facts </w:t>
      </w:r>
      <w:r w:rsidR="00A15B7F" w:rsidRPr="00F6575F">
        <w:rPr>
          <w:rFonts w:ascii="Arial" w:eastAsiaTheme="minorHAnsi" w:hAnsi="Arial" w:cs="Arial"/>
          <w:color w:val="000000"/>
          <w:sz w:val="22"/>
          <w:szCs w:val="22"/>
          <w:lang w:val="en-US" w:eastAsia="en-US"/>
        </w:rPr>
        <w:t xml:space="preserve">of </w:t>
      </w:r>
      <w:r w:rsidRPr="00F6575F">
        <w:rPr>
          <w:rFonts w:ascii="Arial" w:eastAsiaTheme="minorHAnsi" w:hAnsi="Arial" w:cs="Arial"/>
          <w:color w:val="000000"/>
          <w:sz w:val="22"/>
          <w:szCs w:val="22"/>
          <w:lang w:val="en-US" w:eastAsia="en-US"/>
        </w:rPr>
        <w:t xml:space="preserve">market failure or barriers to entry </w:t>
      </w:r>
      <w:r w:rsidR="00A15B7F" w:rsidRPr="00F6575F">
        <w:rPr>
          <w:rFonts w:ascii="Arial" w:eastAsiaTheme="minorHAnsi" w:hAnsi="Arial" w:cs="Arial"/>
          <w:color w:val="000000"/>
          <w:sz w:val="22"/>
          <w:szCs w:val="22"/>
          <w:lang w:val="en-US" w:eastAsia="en-US"/>
        </w:rPr>
        <w:t xml:space="preserve">induced by </w:t>
      </w:r>
      <w:r w:rsidRPr="00F6575F">
        <w:rPr>
          <w:rFonts w:ascii="Arial" w:eastAsiaTheme="minorHAnsi" w:hAnsi="Arial" w:cs="Arial"/>
          <w:color w:val="000000"/>
          <w:sz w:val="22"/>
          <w:szCs w:val="22"/>
          <w:lang w:val="en-US" w:eastAsia="en-US"/>
        </w:rPr>
        <w:t>exchange market data fees, to the contrary</w:t>
      </w:r>
      <w:r w:rsidR="003F3890" w:rsidRPr="00F6575F">
        <w:rPr>
          <w:rFonts w:ascii="Arial" w:eastAsiaTheme="minorHAnsi" w:hAnsi="Arial" w:cs="Arial"/>
          <w:color w:val="000000"/>
          <w:sz w:val="22"/>
          <w:szCs w:val="22"/>
          <w:lang w:val="en-US" w:eastAsia="en-US"/>
        </w:rPr>
        <w:t>.</w:t>
      </w:r>
      <w:r w:rsidRPr="00F6575F">
        <w:rPr>
          <w:rFonts w:ascii="Arial" w:eastAsiaTheme="minorHAnsi" w:hAnsi="Arial" w:cs="Arial"/>
          <w:color w:val="000000"/>
          <w:sz w:val="22"/>
          <w:szCs w:val="22"/>
          <w:lang w:val="en-US" w:eastAsia="en-US"/>
        </w:rPr>
        <w:t xml:space="preserve"> In case ESMA </w:t>
      </w:r>
      <w:r w:rsidR="00D97810" w:rsidRPr="00F6575F">
        <w:rPr>
          <w:rFonts w:ascii="Arial" w:eastAsiaTheme="minorHAnsi" w:hAnsi="Arial" w:cs="Arial"/>
          <w:color w:val="000000"/>
          <w:sz w:val="22"/>
          <w:szCs w:val="22"/>
          <w:lang w:val="en-US" w:eastAsia="en-US"/>
        </w:rPr>
        <w:t xml:space="preserve">would </w:t>
      </w:r>
      <w:r w:rsidRPr="00F6575F">
        <w:rPr>
          <w:rFonts w:ascii="Arial" w:eastAsiaTheme="minorHAnsi" w:hAnsi="Arial" w:cs="Arial"/>
          <w:color w:val="000000"/>
          <w:sz w:val="22"/>
          <w:szCs w:val="22"/>
          <w:lang w:val="en-US" w:eastAsia="en-US"/>
        </w:rPr>
        <w:t>continue to promote the guidelines</w:t>
      </w:r>
      <w:r w:rsidR="00D97810" w:rsidRPr="00F6575F">
        <w:rPr>
          <w:rFonts w:ascii="Arial" w:eastAsiaTheme="minorHAnsi" w:hAnsi="Arial" w:cs="Arial"/>
          <w:color w:val="000000"/>
          <w:sz w:val="22"/>
          <w:szCs w:val="22"/>
          <w:lang w:val="en-US" w:eastAsia="en-US"/>
        </w:rPr>
        <w:t xml:space="preserve"> on cost</w:t>
      </w:r>
      <w:r w:rsidRPr="00F6575F">
        <w:rPr>
          <w:rFonts w:ascii="Arial" w:eastAsiaTheme="minorHAnsi" w:hAnsi="Arial" w:cs="Arial"/>
          <w:color w:val="000000"/>
          <w:sz w:val="22"/>
          <w:szCs w:val="22"/>
          <w:lang w:val="en-US" w:eastAsia="en-US"/>
        </w:rPr>
        <w:t xml:space="preserve">, </w:t>
      </w:r>
      <w:r w:rsidR="00A15B7F" w:rsidRPr="00F6575F">
        <w:rPr>
          <w:rFonts w:ascii="Arial" w:eastAsiaTheme="minorHAnsi" w:hAnsi="Arial" w:cs="Arial"/>
          <w:color w:val="000000"/>
          <w:sz w:val="22"/>
          <w:szCs w:val="22"/>
          <w:lang w:val="en-US" w:eastAsia="en-US"/>
        </w:rPr>
        <w:t xml:space="preserve">we suggest </w:t>
      </w:r>
      <w:r w:rsidRPr="00F6575F">
        <w:rPr>
          <w:rFonts w:ascii="Arial" w:eastAsiaTheme="minorHAnsi" w:hAnsi="Arial" w:cs="Arial"/>
          <w:color w:val="000000"/>
          <w:sz w:val="22"/>
          <w:szCs w:val="22"/>
          <w:lang w:val="en-US" w:eastAsia="en-US"/>
        </w:rPr>
        <w:t>the following adaptions</w:t>
      </w:r>
      <w:r w:rsidR="00D97810" w:rsidRPr="00F6575F">
        <w:rPr>
          <w:rFonts w:ascii="Arial" w:eastAsiaTheme="minorHAnsi" w:hAnsi="Arial" w:cs="Arial"/>
          <w:color w:val="000000"/>
          <w:sz w:val="22"/>
          <w:szCs w:val="22"/>
          <w:lang w:val="en-US" w:eastAsia="en-US"/>
        </w:rPr>
        <w:t xml:space="preserve"> at least</w:t>
      </w:r>
      <w:r w:rsidRPr="00F6575F">
        <w:rPr>
          <w:rFonts w:ascii="Arial" w:eastAsiaTheme="minorHAnsi" w:hAnsi="Arial" w:cs="Arial"/>
          <w:color w:val="000000"/>
          <w:sz w:val="22"/>
          <w:szCs w:val="22"/>
          <w:lang w:val="en-US" w:eastAsia="en-US"/>
        </w:rPr>
        <w:t>, for a common understanding:</w:t>
      </w:r>
    </w:p>
    <w:p w14:paraId="79D23427" w14:textId="0BBF65FA" w:rsidR="002F0DA4" w:rsidRDefault="002F0DA4" w:rsidP="007601FA">
      <w:pPr>
        <w:autoSpaceDE w:val="0"/>
        <w:autoSpaceDN w:val="0"/>
        <w:adjustRightInd w:val="0"/>
        <w:spacing w:after="160"/>
        <w:jc w:val="both"/>
        <w:rPr>
          <w:rFonts w:ascii="Arial" w:eastAsiaTheme="minorHAnsi" w:hAnsi="Arial" w:cs="Arial"/>
          <w:color w:val="FF0000"/>
          <w:sz w:val="22"/>
          <w:szCs w:val="22"/>
          <w:lang w:val="en-US" w:eastAsia="en-US"/>
        </w:rPr>
      </w:pPr>
      <w:r>
        <w:rPr>
          <w:rFonts w:ascii="Arial" w:eastAsiaTheme="minorHAnsi" w:hAnsi="Arial" w:cs="Arial"/>
          <w:color w:val="000000"/>
          <w:sz w:val="22"/>
          <w:szCs w:val="22"/>
          <w:lang w:val="en-US" w:eastAsia="en-US"/>
        </w:rPr>
        <w:t>“</w:t>
      </w:r>
      <w:r w:rsidRPr="002F0DA4">
        <w:rPr>
          <w:rFonts w:ascii="Arial" w:eastAsiaTheme="minorHAnsi" w:hAnsi="Arial" w:cs="Arial"/>
          <w:color w:val="FF0000"/>
          <w:sz w:val="22"/>
          <w:szCs w:val="22"/>
          <w:lang w:val="en-US" w:eastAsia="en-US"/>
        </w:rPr>
        <w:t xml:space="preserve">In order to ensure that the allocation of costs for producing and disseminating market data reflects the actual costs of producing and disseminating market data and ultimately the fees charged to customers, </w:t>
      </w:r>
      <w:r w:rsidRPr="002F0DA4">
        <w:rPr>
          <w:rFonts w:ascii="Arial" w:eastAsiaTheme="minorHAnsi" w:hAnsi="Arial" w:cs="Arial"/>
          <w:strike/>
          <w:color w:val="FF0000"/>
          <w:sz w:val="22"/>
          <w:szCs w:val="22"/>
          <w:lang w:val="en-US" w:eastAsia="en-US"/>
        </w:rPr>
        <w:t>T</w:t>
      </w:r>
      <w:r w:rsidRPr="002F0DA4">
        <w:rPr>
          <w:rFonts w:ascii="Arial" w:eastAsiaTheme="minorHAnsi" w:hAnsi="Arial" w:cs="Arial"/>
          <w:color w:val="FF0000"/>
          <w:sz w:val="22"/>
          <w:szCs w:val="22"/>
          <w:lang w:val="en-US" w:eastAsia="en-US"/>
        </w:rPr>
        <w:t>t</w:t>
      </w:r>
      <w:r w:rsidRPr="002F0DA4">
        <w:rPr>
          <w:rFonts w:ascii="Arial" w:eastAsiaTheme="minorHAnsi" w:hAnsi="Arial" w:cs="Arial"/>
          <w:color w:val="000000"/>
          <w:sz w:val="22"/>
          <w:szCs w:val="22"/>
          <w:lang w:val="en-US" w:eastAsia="en-US"/>
        </w:rPr>
        <w:t xml:space="preserve">he methodology should </w:t>
      </w:r>
      <w:r w:rsidRPr="00241F38">
        <w:rPr>
          <w:rFonts w:ascii="Arial" w:eastAsiaTheme="minorHAnsi" w:hAnsi="Arial" w:cs="Arial"/>
          <w:strike/>
          <w:color w:val="FF0000"/>
          <w:sz w:val="22"/>
          <w:szCs w:val="22"/>
          <w:lang w:val="en-US" w:eastAsia="en-US"/>
        </w:rPr>
        <w:t>demonstrate</w:t>
      </w:r>
      <w:r w:rsidRPr="002F0DA4">
        <w:rPr>
          <w:rFonts w:ascii="Arial" w:eastAsiaTheme="minorHAnsi" w:hAnsi="Arial" w:cs="Arial"/>
          <w:color w:val="000000"/>
          <w:sz w:val="22"/>
          <w:szCs w:val="22"/>
          <w:lang w:val="en-US" w:eastAsia="en-US"/>
        </w:rPr>
        <w:t xml:space="preserve"> </w:t>
      </w:r>
      <w:r w:rsidRPr="00241F38">
        <w:rPr>
          <w:rFonts w:ascii="Arial" w:eastAsiaTheme="minorHAnsi" w:hAnsi="Arial" w:cs="Arial"/>
          <w:strike/>
          <w:color w:val="FF0000"/>
          <w:sz w:val="22"/>
          <w:szCs w:val="22"/>
          <w:lang w:val="en-US" w:eastAsia="en-US"/>
        </w:rPr>
        <w:t>how the price for market data is based on the costs for the production and dissemination of market data. The methodology should also identify the costs that are solely attributable to the production and dissemination of market data (i.e. direct costs) and the costs that are shared with other services (i.e. joint costs).</w:t>
      </w:r>
      <w:r w:rsidRPr="002F0DA4">
        <w:rPr>
          <w:rFonts w:ascii="Arial" w:eastAsiaTheme="minorHAnsi" w:hAnsi="Arial" w:cs="Arial"/>
          <w:color w:val="000000"/>
          <w:sz w:val="22"/>
          <w:szCs w:val="22"/>
          <w:lang w:val="en-US" w:eastAsia="en-US"/>
        </w:rPr>
        <w:t xml:space="preserve"> </w:t>
      </w:r>
      <w:r>
        <w:rPr>
          <w:rFonts w:ascii="Arial" w:eastAsiaTheme="minorHAnsi" w:hAnsi="Arial" w:cs="Arial"/>
          <w:color w:val="FF0000"/>
          <w:sz w:val="22"/>
          <w:szCs w:val="22"/>
          <w:lang w:val="en-US" w:eastAsia="en-US"/>
        </w:rPr>
        <w:t xml:space="preserve">include </w:t>
      </w:r>
      <w:r w:rsidRPr="002F0DA4">
        <w:rPr>
          <w:rFonts w:ascii="Arial" w:eastAsiaTheme="minorHAnsi" w:hAnsi="Arial" w:cs="Arial"/>
          <w:color w:val="FF0000"/>
          <w:sz w:val="22"/>
          <w:szCs w:val="22"/>
          <w:lang w:val="en-US" w:eastAsia="en-US"/>
        </w:rPr>
        <w:t>an appropriate justification on the costs included in the fees for market data.</w:t>
      </w:r>
    </w:p>
    <w:p w14:paraId="725144E2" w14:textId="53523D23" w:rsidR="002F0DA4" w:rsidRPr="00241F38" w:rsidRDefault="002F0DA4" w:rsidP="007601FA">
      <w:pPr>
        <w:autoSpaceDE w:val="0"/>
        <w:autoSpaceDN w:val="0"/>
        <w:adjustRightInd w:val="0"/>
        <w:spacing w:after="160"/>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The cost should include, but not be limited to,</w:t>
      </w:r>
    </w:p>
    <w:p w14:paraId="32CC93F4" w14:textId="31CDD1B1" w:rsidR="002F0DA4" w:rsidRPr="00241F38" w:rsidRDefault="002F0DA4" w:rsidP="007601FA">
      <w:pPr>
        <w:autoSpaceDE w:val="0"/>
        <w:autoSpaceDN w:val="0"/>
        <w:adjustRightInd w:val="0"/>
        <w:spacing w:after="160"/>
        <w:ind w:left="426" w:hanging="426"/>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(i)</w:t>
      </w:r>
      <w:r>
        <w:rPr>
          <w:rFonts w:ascii="Arial" w:eastAsiaTheme="minorHAnsi" w:hAnsi="Arial" w:cs="Arial"/>
          <w:color w:val="FF0000"/>
          <w:sz w:val="22"/>
          <w:szCs w:val="22"/>
          <w:lang w:val="en-US" w:eastAsia="en-US"/>
        </w:rPr>
        <w:tab/>
      </w:r>
      <w:r w:rsidRPr="00241F38">
        <w:rPr>
          <w:rFonts w:ascii="Arial" w:eastAsiaTheme="minorHAnsi" w:hAnsi="Arial" w:cs="Arial"/>
          <w:color w:val="FF0000"/>
          <w:sz w:val="22"/>
          <w:szCs w:val="22"/>
          <w:lang w:val="en-US" w:eastAsia="en-US"/>
        </w:rPr>
        <w:t>the cost solely attributable to data production</w:t>
      </w:r>
      <w:r w:rsidR="002C5CFE">
        <w:rPr>
          <w:rStyle w:val="Funotenzeichen"/>
          <w:rFonts w:eastAsiaTheme="minorHAnsi" w:cs="Arial"/>
          <w:color w:val="FF0000"/>
          <w:szCs w:val="22"/>
          <w:lang w:val="en-US" w:eastAsia="en-US"/>
        </w:rPr>
        <w:footnoteReference w:id="16"/>
      </w:r>
      <w:r>
        <w:rPr>
          <w:rFonts w:ascii="Arial" w:eastAsiaTheme="minorHAnsi" w:hAnsi="Arial" w:cs="Arial"/>
          <w:color w:val="FF0000"/>
          <w:sz w:val="22"/>
          <w:szCs w:val="22"/>
          <w:lang w:val="en-US" w:eastAsia="en-US"/>
        </w:rPr>
        <w:t>;</w:t>
      </w:r>
    </w:p>
    <w:p w14:paraId="6D54C93C" w14:textId="2FA853DF" w:rsidR="002F0DA4" w:rsidRPr="00241F38" w:rsidRDefault="002F0DA4" w:rsidP="007601FA">
      <w:pPr>
        <w:autoSpaceDE w:val="0"/>
        <w:autoSpaceDN w:val="0"/>
        <w:adjustRightInd w:val="0"/>
        <w:spacing w:after="160"/>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 xml:space="preserve">(ii)  </w:t>
      </w:r>
      <w:r>
        <w:rPr>
          <w:rFonts w:ascii="Arial" w:eastAsiaTheme="minorHAnsi" w:hAnsi="Arial" w:cs="Arial"/>
          <w:color w:val="FF0000"/>
          <w:sz w:val="22"/>
          <w:szCs w:val="22"/>
          <w:lang w:val="en-US" w:eastAsia="en-US"/>
        </w:rPr>
        <w:t xml:space="preserve"> </w:t>
      </w:r>
      <w:r w:rsidRPr="00241F38">
        <w:rPr>
          <w:rFonts w:ascii="Arial" w:eastAsiaTheme="minorHAnsi" w:hAnsi="Arial" w:cs="Arial"/>
          <w:color w:val="FF0000"/>
          <w:sz w:val="22"/>
          <w:szCs w:val="22"/>
          <w:lang w:val="en-US" w:eastAsia="en-US"/>
        </w:rPr>
        <w:t>the cost solely attributable to data administration and dissemination</w:t>
      </w:r>
      <w:r>
        <w:rPr>
          <w:rFonts w:ascii="Arial" w:eastAsiaTheme="minorHAnsi" w:hAnsi="Arial" w:cs="Arial"/>
          <w:color w:val="FF0000"/>
          <w:sz w:val="22"/>
          <w:szCs w:val="22"/>
          <w:lang w:val="en-US" w:eastAsia="en-US"/>
        </w:rPr>
        <w:t>;</w:t>
      </w:r>
      <w:r w:rsidRPr="00241F38">
        <w:rPr>
          <w:rFonts w:ascii="Arial" w:eastAsiaTheme="minorHAnsi" w:hAnsi="Arial" w:cs="Arial"/>
          <w:color w:val="FF0000"/>
          <w:sz w:val="22"/>
          <w:szCs w:val="22"/>
          <w:lang w:val="en-US" w:eastAsia="en-US"/>
        </w:rPr>
        <w:t xml:space="preserve"> and</w:t>
      </w:r>
    </w:p>
    <w:p w14:paraId="48B7DBAC" w14:textId="356169A3" w:rsidR="002F0DA4" w:rsidRPr="00241F38" w:rsidRDefault="002F0DA4" w:rsidP="007601FA">
      <w:pPr>
        <w:autoSpaceDE w:val="0"/>
        <w:autoSpaceDN w:val="0"/>
        <w:adjustRightInd w:val="0"/>
        <w:spacing w:after="160"/>
        <w:ind w:left="426" w:hanging="426"/>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(iii) common costs, which cannot be solely attributed to the production, administration and dissemination of market data, such as an adequate share of general management overheads, shared with other business verticals, including, but not limited to, premises and administrative staff.</w:t>
      </w:r>
    </w:p>
    <w:p w14:paraId="3982C6D5" w14:textId="3B8BDC69" w:rsidR="002F0DA4" w:rsidRPr="00241F38" w:rsidRDefault="002F0DA4" w:rsidP="007601FA">
      <w:pPr>
        <w:autoSpaceDE w:val="0"/>
        <w:autoSpaceDN w:val="0"/>
        <w:adjustRightInd w:val="0"/>
        <w:spacing w:after="160"/>
        <w:jc w:val="both"/>
        <w:rPr>
          <w:rFonts w:ascii="Arial" w:eastAsiaTheme="minorHAnsi" w:hAnsi="Arial" w:cs="Arial"/>
          <w:color w:val="FF0000"/>
          <w:sz w:val="22"/>
          <w:szCs w:val="22"/>
          <w:lang w:val="en-US" w:eastAsia="en-US"/>
        </w:rPr>
      </w:pPr>
      <w:r w:rsidRPr="002F0DA4">
        <w:rPr>
          <w:rFonts w:ascii="Arial" w:eastAsiaTheme="minorHAnsi" w:hAnsi="Arial" w:cs="Arial"/>
          <w:color w:val="000000"/>
          <w:sz w:val="22"/>
          <w:szCs w:val="22"/>
          <w:lang w:val="en-US" w:eastAsia="en-US"/>
        </w:rPr>
        <w:t xml:space="preserve">Where relevant, further distinction should be made between </w:t>
      </w:r>
      <w:r w:rsidRPr="00241F38">
        <w:rPr>
          <w:rFonts w:ascii="Arial" w:eastAsiaTheme="minorHAnsi" w:hAnsi="Arial" w:cs="Arial"/>
          <w:strike/>
          <w:color w:val="FF0000"/>
          <w:sz w:val="22"/>
          <w:szCs w:val="22"/>
          <w:lang w:val="en-US" w:eastAsia="en-US"/>
        </w:rPr>
        <w:t>variable costs and fixed costs for both direct and joint costs.</w:t>
      </w:r>
    </w:p>
    <w:p w14:paraId="317F961F" w14:textId="273E1525" w:rsidR="002F0DA4" w:rsidRPr="00241F38" w:rsidRDefault="002F0DA4" w:rsidP="00430D29">
      <w:pPr>
        <w:autoSpaceDE w:val="0"/>
        <w:autoSpaceDN w:val="0"/>
        <w:adjustRightInd w:val="0"/>
        <w:spacing w:after="160"/>
        <w:ind w:left="426" w:hanging="426"/>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a.</w:t>
      </w:r>
      <w:r w:rsidRPr="00241F38">
        <w:rPr>
          <w:rFonts w:ascii="Arial" w:eastAsiaTheme="minorHAnsi" w:hAnsi="Arial" w:cs="Arial"/>
          <w:color w:val="FF0000"/>
          <w:sz w:val="22"/>
          <w:szCs w:val="22"/>
          <w:lang w:val="en-US" w:eastAsia="en-US"/>
        </w:rPr>
        <w:tab/>
        <w:t>variable costs, incurred for the production and the dissemination of one additional unit of market data</w:t>
      </w:r>
      <w:r>
        <w:rPr>
          <w:rFonts w:ascii="Arial" w:eastAsiaTheme="minorHAnsi" w:hAnsi="Arial" w:cs="Arial"/>
          <w:color w:val="FF0000"/>
          <w:sz w:val="22"/>
          <w:szCs w:val="22"/>
          <w:lang w:val="en-US" w:eastAsia="en-US"/>
        </w:rPr>
        <w:t>;</w:t>
      </w:r>
      <w:r w:rsidRPr="00241F38">
        <w:rPr>
          <w:rFonts w:ascii="Arial" w:eastAsiaTheme="minorHAnsi" w:hAnsi="Arial" w:cs="Arial"/>
          <w:color w:val="FF0000"/>
          <w:sz w:val="22"/>
          <w:szCs w:val="22"/>
          <w:lang w:val="en-US" w:eastAsia="en-US"/>
        </w:rPr>
        <w:t xml:space="preserve"> and</w:t>
      </w:r>
    </w:p>
    <w:p w14:paraId="1A543D48" w14:textId="06AF0306" w:rsidR="002F0DA4" w:rsidRPr="00241F38" w:rsidRDefault="002F0DA4" w:rsidP="00430D29">
      <w:pPr>
        <w:autoSpaceDE w:val="0"/>
        <w:autoSpaceDN w:val="0"/>
        <w:adjustRightInd w:val="0"/>
        <w:spacing w:after="160"/>
        <w:ind w:left="426" w:hanging="426"/>
        <w:jc w:val="both"/>
        <w:rPr>
          <w:rFonts w:ascii="Arial" w:eastAsiaTheme="minorHAnsi" w:hAnsi="Arial" w:cs="Arial"/>
          <w:color w:val="FF0000"/>
          <w:sz w:val="22"/>
          <w:szCs w:val="22"/>
          <w:lang w:val="en-US" w:eastAsia="en-US"/>
        </w:rPr>
      </w:pPr>
      <w:r w:rsidRPr="00241F38">
        <w:rPr>
          <w:rFonts w:ascii="Arial" w:eastAsiaTheme="minorHAnsi" w:hAnsi="Arial" w:cs="Arial"/>
          <w:color w:val="FF0000"/>
          <w:sz w:val="22"/>
          <w:szCs w:val="22"/>
          <w:lang w:val="en-US" w:eastAsia="en-US"/>
        </w:rPr>
        <w:t>b.</w:t>
      </w:r>
      <w:r w:rsidRPr="00241F38">
        <w:rPr>
          <w:rFonts w:ascii="Arial" w:eastAsiaTheme="minorHAnsi" w:hAnsi="Arial" w:cs="Arial"/>
          <w:color w:val="FF0000"/>
          <w:sz w:val="22"/>
          <w:szCs w:val="22"/>
          <w:lang w:val="en-US" w:eastAsia="en-US"/>
        </w:rPr>
        <w:tab/>
        <w:t>fixed costs, that do not vary with the volume of market data produced and disseminated.”</w:t>
      </w:r>
    </w:p>
    <w:p w14:paraId="6912A01C" w14:textId="62EEE4B7" w:rsidR="002F0DA4" w:rsidRDefault="002F0DA4" w:rsidP="007601FA">
      <w:pPr>
        <w:autoSpaceDE w:val="0"/>
        <w:autoSpaceDN w:val="0"/>
        <w:adjustRightInd w:val="0"/>
        <w:spacing w:after="160"/>
        <w:jc w:val="both"/>
        <w:rPr>
          <w:rFonts w:ascii="Arial" w:eastAsiaTheme="minorHAnsi" w:hAnsi="Arial" w:cs="Arial"/>
          <w:strike/>
          <w:color w:val="FF0000"/>
          <w:sz w:val="22"/>
          <w:szCs w:val="22"/>
          <w:lang w:val="en-US" w:eastAsia="en-US"/>
        </w:rPr>
      </w:pPr>
      <w:r w:rsidRPr="00241F38">
        <w:rPr>
          <w:rFonts w:ascii="Arial" w:eastAsiaTheme="minorHAnsi" w:hAnsi="Arial" w:cs="Arial"/>
          <w:strike/>
          <w:color w:val="FF0000"/>
          <w:sz w:val="22"/>
          <w:szCs w:val="22"/>
          <w:lang w:val="en-US" w:eastAsia="en-US"/>
        </w:rPr>
        <w:t>Direct costs should be understood as costs that are solely attributable to the production and dissemination of market data such as working hours of market data staff. Joint costs should be costs that cannot be solely attributed to the production and dissemination of market data such as the lease of offices or salaries of administrative staff. Variable costs should be costs incurred for the production and the dissemination of one additional unit of market data and fixed costs should be costs that do not vary with the volume of market data produced and disseminated.</w:t>
      </w:r>
    </w:p>
    <w:p w14:paraId="0A953DFF" w14:textId="77777777" w:rsidR="002F0DA4" w:rsidRPr="00241F38" w:rsidRDefault="002F0DA4" w:rsidP="007601FA">
      <w:pPr>
        <w:autoSpaceDE w:val="0"/>
        <w:autoSpaceDN w:val="0"/>
        <w:adjustRightInd w:val="0"/>
        <w:spacing w:after="160"/>
        <w:jc w:val="both"/>
        <w:rPr>
          <w:rFonts w:ascii="Arial" w:eastAsiaTheme="minorHAnsi" w:hAnsi="Arial" w:cs="Arial"/>
          <w:strike/>
          <w:color w:val="FF0000"/>
          <w:sz w:val="22"/>
          <w:szCs w:val="22"/>
          <w:lang w:val="en-US" w:eastAsia="en-US"/>
        </w:rPr>
      </w:pPr>
      <w:r w:rsidRPr="00241F38">
        <w:rPr>
          <w:rFonts w:ascii="Arial" w:eastAsiaTheme="minorHAnsi" w:hAnsi="Arial" w:cs="Arial"/>
          <w:strike/>
          <w:color w:val="FF0000"/>
          <w:sz w:val="22"/>
          <w:szCs w:val="22"/>
          <w:lang w:val="en-US" w:eastAsia="en-US"/>
        </w:rPr>
        <w:t xml:space="preserve">In order to ensure that the allocation of costs for producing and disseminating market data reflects the actual costs of producing and disseminating market data and ultimately the fees charged to customers, the methodology should include an appropriate justification on the costs included in the fees for market data. For example, market data providers should not allocate joint costs according to the revenues generated by the different services and activities of their company because this practice is contradictory to the obligation to set market data fees (i.e. </w:t>
      </w:r>
      <w:r w:rsidRPr="00241F38">
        <w:rPr>
          <w:rFonts w:ascii="Arial" w:eastAsiaTheme="minorHAnsi" w:hAnsi="Arial" w:cs="Arial"/>
          <w:strike/>
          <w:color w:val="FF0000"/>
          <w:sz w:val="22"/>
          <w:szCs w:val="22"/>
          <w:lang w:val="en-US" w:eastAsia="en-US"/>
        </w:rPr>
        <w:lastRenderedPageBreak/>
        <w:t>revenues of the market data business) based on costs of producing and disseminating market data.</w:t>
      </w:r>
    </w:p>
    <w:p w14:paraId="5654590C"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&lt;ESMA_QUESTION_GOMD_2&gt;</w:t>
      </w:r>
    </w:p>
    <w:p w14:paraId="7CE91545" w14:textId="77777777" w:rsidR="00984423" w:rsidRPr="00F6575F" w:rsidRDefault="00984423" w:rsidP="00984423">
      <w:pPr>
        <w:spacing w:after="160" w:line="259" w:lineRule="auto"/>
        <w:rPr>
          <w:rFonts w:ascii="Arial" w:eastAsia="Calibri" w:hAnsi="Arial" w:cs="Arial"/>
          <w:sz w:val="22"/>
          <w:szCs w:val="22"/>
          <w:lang w:val="en-US" w:eastAsia="en-US"/>
        </w:rPr>
      </w:pPr>
    </w:p>
    <w:p w14:paraId="14E1F832"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Q3: Do you think ESMA should clarify other aspects of the accounting methodologies for setting up the fees of market data? If yes, please explain.</w:t>
      </w:r>
    </w:p>
    <w:p w14:paraId="70112003" w14:textId="46C7B118" w:rsidR="00D97810" w:rsidRPr="00A15456" w:rsidRDefault="00984423" w:rsidP="007601FA">
      <w:pPr>
        <w:spacing w:after="160"/>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&lt;ESMA_QUESTION_GOMD_3&gt;</w:t>
      </w:r>
    </w:p>
    <w:p w14:paraId="7ACC8D7E" w14:textId="34443646" w:rsidR="00D97810" w:rsidRPr="00F6575F" w:rsidRDefault="00D97810" w:rsidP="007601FA">
      <w:pPr>
        <w:spacing w:after="160"/>
        <w:jc w:val="both"/>
        <w:rPr>
          <w:rFonts w:ascii="Arial" w:eastAsiaTheme="minorHAnsi" w:hAnsi="Arial" w:cs="Arial"/>
          <w:color w:val="000000"/>
          <w:sz w:val="22"/>
          <w:szCs w:val="22"/>
          <w:lang w:val="en-US" w:eastAsia="en-US"/>
        </w:rPr>
      </w:pPr>
      <w:r w:rsidRPr="00A15456">
        <w:rPr>
          <w:rFonts w:ascii="Arial" w:eastAsiaTheme="minorHAnsi" w:hAnsi="Arial" w:cs="Arial"/>
          <w:color w:val="000000"/>
          <w:sz w:val="22"/>
          <w:szCs w:val="22"/>
          <w:lang w:val="en-US" w:eastAsia="en-US"/>
        </w:rPr>
        <w:t>DBG</w:t>
      </w:r>
      <w:r w:rsidRPr="00F6575F">
        <w:rPr>
          <w:rFonts w:ascii="Arial" w:eastAsiaTheme="minorHAnsi" w:hAnsi="Arial" w:cs="Arial"/>
          <w:color w:val="000000"/>
          <w:sz w:val="22"/>
          <w:szCs w:val="22"/>
          <w:lang w:val="en-US" w:eastAsia="en-US"/>
        </w:rPr>
        <w:t xml:space="preserve"> considers that examples and descriptions of the types of costs that are taken into account to set the price for market data as well as principles according to which direct and variable joint costs are allocated and fixed joint costs are apportioned are sufficient aspects to reflect accounting methodologies. This scope of information to be disclosed should already increase the usability and comparability of the information</w:t>
      </w:r>
      <w:r w:rsidR="00624714" w:rsidRPr="00F6575F">
        <w:rPr>
          <w:rFonts w:ascii="Arial" w:eastAsiaTheme="minorHAnsi" w:hAnsi="Arial" w:cs="Arial"/>
          <w:color w:val="000000"/>
          <w:sz w:val="22"/>
          <w:szCs w:val="22"/>
          <w:lang w:val="en-US" w:eastAsia="en-US"/>
        </w:rPr>
        <w:t>.</w:t>
      </w:r>
      <w:r w:rsidRPr="00F6575F">
        <w:rPr>
          <w:rFonts w:ascii="Arial" w:eastAsiaTheme="minorHAnsi" w:hAnsi="Arial" w:cs="Arial"/>
          <w:color w:val="000000"/>
          <w:sz w:val="22"/>
          <w:szCs w:val="22"/>
          <w:lang w:val="en-US" w:eastAsia="en-US"/>
        </w:rPr>
        <w:t xml:space="preserve"> DBG believes, however, that disclosing </w:t>
      </w:r>
      <w:r w:rsidR="005A2FE9" w:rsidRPr="00F6575F">
        <w:rPr>
          <w:rFonts w:ascii="Arial" w:eastAsiaTheme="minorHAnsi" w:hAnsi="Arial" w:cs="Arial"/>
          <w:color w:val="000000"/>
          <w:sz w:val="22"/>
          <w:szCs w:val="22"/>
          <w:lang w:val="en-US" w:eastAsia="en-US"/>
        </w:rPr>
        <w:t xml:space="preserve">detailed </w:t>
      </w:r>
      <w:r w:rsidRPr="00F6575F">
        <w:rPr>
          <w:rFonts w:ascii="Arial" w:eastAsiaTheme="minorHAnsi" w:hAnsi="Arial" w:cs="Arial"/>
          <w:color w:val="000000"/>
          <w:sz w:val="22"/>
          <w:szCs w:val="22"/>
          <w:lang w:val="en-US" w:eastAsia="en-US"/>
        </w:rPr>
        <w:t xml:space="preserve">allocation keys and explanations around the determination of margins </w:t>
      </w:r>
      <w:r w:rsidR="004E3FC5" w:rsidRPr="00F6575F">
        <w:rPr>
          <w:rFonts w:ascii="Arial" w:eastAsiaTheme="minorHAnsi" w:hAnsi="Arial" w:cs="Arial"/>
          <w:color w:val="000000"/>
          <w:sz w:val="22"/>
          <w:szCs w:val="22"/>
          <w:lang w:val="en-US" w:eastAsia="en-US"/>
        </w:rPr>
        <w:t xml:space="preserve">will </w:t>
      </w:r>
      <w:r w:rsidRPr="00F6575F">
        <w:rPr>
          <w:rFonts w:ascii="Arial" w:eastAsiaTheme="minorHAnsi" w:hAnsi="Arial" w:cs="Arial"/>
          <w:color w:val="000000"/>
          <w:sz w:val="22"/>
          <w:szCs w:val="22"/>
          <w:lang w:val="en-US" w:eastAsia="en-US"/>
        </w:rPr>
        <w:t>go beyond the scope of the current transparency plus approach</w:t>
      </w:r>
      <w:r w:rsidR="00065355" w:rsidRPr="00F6575F">
        <w:rPr>
          <w:rFonts w:ascii="Arial" w:eastAsiaTheme="minorHAnsi" w:hAnsi="Arial" w:cs="Arial"/>
          <w:color w:val="000000"/>
          <w:sz w:val="22"/>
          <w:szCs w:val="22"/>
          <w:lang w:val="en-US" w:eastAsia="en-US"/>
        </w:rPr>
        <w:t>.</w:t>
      </w:r>
      <w:r w:rsidRPr="00F6575F">
        <w:rPr>
          <w:rFonts w:ascii="Arial" w:eastAsiaTheme="minorHAnsi" w:hAnsi="Arial" w:cs="Arial"/>
          <w:color w:val="000000"/>
          <w:sz w:val="22"/>
          <w:szCs w:val="22"/>
          <w:lang w:val="en-US" w:eastAsia="en-US"/>
        </w:rPr>
        <w:t xml:space="preserve"> </w:t>
      </w:r>
      <w:r w:rsidR="00065355" w:rsidRPr="00F6575F">
        <w:rPr>
          <w:rFonts w:ascii="Arial" w:eastAsiaTheme="minorHAnsi" w:hAnsi="Arial" w:cs="Arial"/>
          <w:color w:val="000000"/>
          <w:sz w:val="22"/>
          <w:szCs w:val="22"/>
          <w:lang w:val="en-US" w:eastAsia="en-US"/>
        </w:rPr>
        <w:t>Extended</w:t>
      </w:r>
      <w:r w:rsidRPr="00F6575F">
        <w:rPr>
          <w:rFonts w:ascii="Arial" w:eastAsiaTheme="minorHAnsi" w:hAnsi="Arial" w:cs="Arial"/>
          <w:color w:val="000000"/>
          <w:sz w:val="22"/>
          <w:szCs w:val="22"/>
          <w:lang w:val="en-US" w:eastAsia="en-US"/>
        </w:rPr>
        <w:t xml:space="preserve"> industry harmoni</w:t>
      </w:r>
      <w:r w:rsidR="003657C9" w:rsidRPr="00F6575F">
        <w:rPr>
          <w:rFonts w:ascii="Arial" w:eastAsiaTheme="minorHAnsi" w:hAnsi="Arial" w:cs="Arial"/>
          <w:color w:val="000000"/>
          <w:sz w:val="22"/>
          <w:szCs w:val="22"/>
          <w:lang w:val="en-US" w:eastAsia="en-US"/>
        </w:rPr>
        <w:t>z</w:t>
      </w:r>
      <w:r w:rsidRPr="00F6575F">
        <w:rPr>
          <w:rFonts w:ascii="Arial" w:eastAsiaTheme="minorHAnsi" w:hAnsi="Arial" w:cs="Arial"/>
          <w:color w:val="000000"/>
          <w:sz w:val="22"/>
          <w:szCs w:val="22"/>
          <w:lang w:val="en-US" w:eastAsia="en-US"/>
        </w:rPr>
        <w:t xml:space="preserve">ation could also be highly sensitive from a competition law </w:t>
      </w:r>
      <w:r w:rsidR="00624714" w:rsidRPr="00F6575F">
        <w:rPr>
          <w:rFonts w:ascii="Arial" w:eastAsiaTheme="minorHAnsi" w:hAnsi="Arial" w:cs="Arial"/>
          <w:color w:val="000000"/>
          <w:sz w:val="22"/>
          <w:szCs w:val="22"/>
          <w:lang w:val="en-US" w:eastAsia="en-US"/>
        </w:rPr>
        <w:t>perspective</w:t>
      </w:r>
      <w:r w:rsidRPr="00F6575F">
        <w:rPr>
          <w:rFonts w:ascii="Arial" w:eastAsiaTheme="minorHAnsi" w:hAnsi="Arial" w:cs="Arial"/>
          <w:color w:val="000000"/>
          <w:sz w:val="22"/>
          <w:szCs w:val="22"/>
          <w:lang w:val="en-US" w:eastAsia="en-US"/>
        </w:rPr>
        <w:t>.</w:t>
      </w:r>
      <w:r w:rsidR="00624714" w:rsidRPr="00F6575F">
        <w:rPr>
          <w:rFonts w:ascii="Arial" w:eastAsiaTheme="minorHAnsi" w:hAnsi="Arial" w:cs="Arial"/>
          <w:color w:val="000000"/>
          <w:sz w:val="22"/>
          <w:szCs w:val="22"/>
          <w:lang w:val="en-US" w:eastAsia="en-US"/>
        </w:rPr>
        <w:t xml:space="preserve"> </w:t>
      </w:r>
    </w:p>
    <w:p w14:paraId="5472857D"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&lt;ESMA_QUESTION_GOMD_3&gt;</w:t>
      </w:r>
    </w:p>
    <w:p w14:paraId="4877DE15" w14:textId="77777777" w:rsidR="00984423" w:rsidRPr="00F6575F" w:rsidRDefault="00984423" w:rsidP="00984423">
      <w:pPr>
        <w:spacing w:after="160" w:line="259" w:lineRule="auto"/>
        <w:rPr>
          <w:rFonts w:ascii="Arial" w:eastAsia="Calibri" w:hAnsi="Arial" w:cs="Arial"/>
          <w:sz w:val="22"/>
          <w:szCs w:val="22"/>
          <w:lang w:val="en-US" w:eastAsia="en-US"/>
        </w:rPr>
      </w:pPr>
    </w:p>
    <w:p w14:paraId="398FA505"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56BA7F0A" w14:textId="301AF23D" w:rsidR="004013D8" w:rsidRPr="00A15456" w:rsidRDefault="00984423" w:rsidP="004013D8">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&lt;ESMA_QUESTION_GOMD_4&gt;</w:t>
      </w:r>
    </w:p>
    <w:p w14:paraId="6B4893EC" w14:textId="4EF119F9" w:rsidR="008923B2" w:rsidRPr="00F6575F" w:rsidRDefault="00065355"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L</w:t>
      </w:r>
      <w:r w:rsidR="008923B2" w:rsidRPr="00F6575F">
        <w:rPr>
          <w:rFonts w:ascii="Arial" w:eastAsia="Calibri" w:hAnsi="Arial" w:cs="Arial"/>
          <w:sz w:val="22"/>
          <w:szCs w:val="22"/>
          <w:lang w:val="en-US" w:eastAsia="en-US"/>
        </w:rPr>
        <w:t xml:space="preserve">icensors of market data (such as trading venues) license market data on </w:t>
      </w:r>
      <w:r w:rsidRPr="00F6575F">
        <w:rPr>
          <w:rFonts w:ascii="Arial" w:eastAsia="Calibri" w:hAnsi="Arial" w:cs="Arial"/>
          <w:sz w:val="22"/>
          <w:szCs w:val="22"/>
          <w:lang w:val="en-US" w:eastAsia="en-US"/>
        </w:rPr>
        <w:t xml:space="preserve">the basis of </w:t>
      </w:r>
      <w:r w:rsidR="008923B2" w:rsidRPr="00F6575F">
        <w:rPr>
          <w:rFonts w:ascii="Arial" w:eastAsia="Calibri" w:hAnsi="Arial" w:cs="Arial"/>
          <w:sz w:val="22"/>
          <w:szCs w:val="22"/>
          <w:lang w:val="en-US" w:eastAsia="en-US"/>
        </w:rPr>
        <w:t xml:space="preserve">Data License Agreements. The challenge licensors face from a legal perspective is that the licensed data cannot be tracked as other goods could be. In the moment, the licensed data is made available to the licensee, the licensor has no control over the usage of such data. From this end, (licensed) data can be qualified as </w:t>
      </w:r>
      <w:r w:rsidRPr="00F6575F">
        <w:rPr>
          <w:rFonts w:ascii="Arial" w:eastAsia="Calibri" w:hAnsi="Arial" w:cs="Arial"/>
          <w:sz w:val="22"/>
          <w:szCs w:val="22"/>
          <w:lang w:val="en-US" w:eastAsia="en-US"/>
        </w:rPr>
        <w:t>an</w:t>
      </w:r>
      <w:r w:rsidR="001A56A3" w:rsidRPr="00F6575F">
        <w:rPr>
          <w:rFonts w:ascii="Arial" w:eastAsia="Calibri" w:hAnsi="Arial" w:cs="Arial"/>
          <w:sz w:val="22"/>
          <w:szCs w:val="22"/>
          <w:lang w:val="en-US" w:eastAsia="en-US"/>
        </w:rPr>
        <w:t xml:space="preserve"> </w:t>
      </w:r>
      <w:r w:rsidR="008923B2" w:rsidRPr="00F6575F">
        <w:rPr>
          <w:rFonts w:ascii="Arial" w:eastAsia="Calibri" w:hAnsi="Arial" w:cs="Arial"/>
          <w:sz w:val="22"/>
          <w:szCs w:val="22"/>
          <w:lang w:val="en-US" w:eastAsia="en-US"/>
        </w:rPr>
        <w:t>“elusive good”.</w:t>
      </w:r>
    </w:p>
    <w:p w14:paraId="5A5FBD11" w14:textId="2C53F610" w:rsidR="008923B2" w:rsidRPr="00F6575F" w:rsidRDefault="004A5A0D"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I</w:t>
      </w:r>
      <w:r w:rsidR="00F34FEB" w:rsidRPr="00F6575F">
        <w:rPr>
          <w:rFonts w:ascii="Arial" w:eastAsia="Calibri" w:hAnsi="Arial" w:cs="Arial"/>
          <w:sz w:val="22"/>
          <w:szCs w:val="22"/>
          <w:lang w:val="en-US" w:eastAsia="en-US"/>
        </w:rPr>
        <w:t xml:space="preserve">t </w:t>
      </w:r>
      <w:r w:rsidR="008923B2" w:rsidRPr="00F6575F">
        <w:rPr>
          <w:rFonts w:ascii="Arial" w:eastAsia="Calibri" w:hAnsi="Arial" w:cs="Arial"/>
          <w:sz w:val="22"/>
          <w:szCs w:val="22"/>
          <w:lang w:val="en-US" w:eastAsia="en-US"/>
        </w:rPr>
        <w:t xml:space="preserve">is common market practice to </w:t>
      </w:r>
      <w:r w:rsidRPr="00F6575F">
        <w:rPr>
          <w:rFonts w:ascii="Arial" w:eastAsia="Calibri" w:hAnsi="Arial" w:cs="Arial"/>
          <w:sz w:val="22"/>
          <w:szCs w:val="22"/>
          <w:lang w:val="en-US" w:eastAsia="en-US"/>
        </w:rPr>
        <w:t xml:space="preserve">contractually </w:t>
      </w:r>
      <w:r w:rsidR="008923B2" w:rsidRPr="00F6575F">
        <w:rPr>
          <w:rFonts w:ascii="Arial" w:eastAsia="Calibri" w:hAnsi="Arial" w:cs="Arial"/>
          <w:sz w:val="22"/>
          <w:szCs w:val="22"/>
          <w:lang w:val="en-US" w:eastAsia="en-US"/>
        </w:rPr>
        <w:t>agree on certain contractual control mechanisms</w:t>
      </w:r>
      <w:r w:rsidR="00F34FEB" w:rsidRPr="00F6575F">
        <w:rPr>
          <w:rFonts w:ascii="Arial" w:eastAsia="Calibri" w:hAnsi="Arial" w:cs="Arial"/>
          <w:sz w:val="22"/>
          <w:szCs w:val="22"/>
          <w:lang w:val="en-US" w:eastAsia="en-US"/>
        </w:rPr>
        <w:t xml:space="preserve">, such as </w:t>
      </w:r>
      <w:r w:rsidR="008923B2" w:rsidRPr="00F6575F">
        <w:rPr>
          <w:rFonts w:ascii="Arial" w:eastAsia="Calibri" w:hAnsi="Arial" w:cs="Arial"/>
          <w:sz w:val="22"/>
          <w:szCs w:val="22"/>
          <w:lang w:val="en-US" w:eastAsia="en-US"/>
        </w:rPr>
        <w:t xml:space="preserve">(i) reporting on the usage of the licensed data and (ii) audit and information rights of the licensor. </w:t>
      </w:r>
    </w:p>
    <w:p w14:paraId="4E1AA8FD" w14:textId="77777777" w:rsidR="001A56A3" w:rsidRPr="00F6575F" w:rsidRDefault="001A56A3"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Having said that, we would like to make the following comments on Guideline 2:</w:t>
      </w:r>
    </w:p>
    <w:p w14:paraId="6FD1CCDF" w14:textId="77777777" w:rsidR="001A56A3" w:rsidRPr="00F6575F" w:rsidRDefault="001A56A3" w:rsidP="007601FA">
      <w:pPr>
        <w:pStyle w:val="Listenabsatz"/>
      </w:pPr>
      <w:r w:rsidRPr="00F6575F">
        <w:t>As a general note, Guideline 2 is not sufficiently clear and in its current form will not be able to fulfil its purpose, i.e. to provide helpful guidance for the interpretation of Article 7 of Commission Delegated Regulation (EU) 2017/567.</w:t>
      </w:r>
    </w:p>
    <w:p w14:paraId="5EAD747B" w14:textId="77777777" w:rsidR="001A56A3" w:rsidRPr="00F6575F" w:rsidRDefault="001A56A3" w:rsidP="007601FA">
      <w:pPr>
        <w:pStyle w:val="Listenabsatz"/>
      </w:pPr>
      <w:r w:rsidRPr="00F6575F">
        <w:t>In particular, the meaning of the term “penalties” is unclear. From a legal perspective, the following payments must be distinguished:</w:t>
      </w:r>
    </w:p>
    <w:p w14:paraId="3F5A7B0F" w14:textId="77777777" w:rsidR="001A56A3" w:rsidRPr="00F6575F" w:rsidRDefault="001A56A3" w:rsidP="007601FA">
      <w:pPr>
        <w:pStyle w:val="Listenabsatz"/>
      </w:pPr>
      <w:r w:rsidRPr="00F6575F">
        <w:t xml:space="preserve">Payment of the </w:t>
      </w:r>
      <w:r w:rsidRPr="00F6575F">
        <w:rPr>
          <w:u w:val="single"/>
        </w:rPr>
        <w:t>license fees</w:t>
      </w:r>
      <w:r w:rsidRPr="00F6575F">
        <w:t xml:space="preserve"> (as one of the main contractual obligations of the licensee);</w:t>
      </w:r>
    </w:p>
    <w:p w14:paraId="0D2FC944" w14:textId="5E43B43F" w:rsidR="001A56A3" w:rsidRPr="00F6575F" w:rsidRDefault="001A56A3" w:rsidP="007601FA">
      <w:pPr>
        <w:pStyle w:val="Listenabsatz"/>
      </w:pPr>
      <w:r w:rsidRPr="00F6575F">
        <w:t xml:space="preserve">Payment of </w:t>
      </w:r>
      <w:r w:rsidRPr="00F6575F">
        <w:rPr>
          <w:u w:val="single"/>
        </w:rPr>
        <w:t>interest</w:t>
      </w:r>
      <w:r w:rsidRPr="00F6575F">
        <w:t xml:space="preserve"> on the license fees that have not been paid on the due date;</w:t>
      </w:r>
    </w:p>
    <w:p w14:paraId="6666C55A" w14:textId="5A8C97B6" w:rsidR="008C3E14" w:rsidRPr="00F6575F" w:rsidRDefault="009B2935" w:rsidP="007601FA">
      <w:pPr>
        <w:pStyle w:val="Listenabsatz"/>
      </w:pPr>
      <w:r w:rsidRPr="00A15456">
        <w:t>Payment of interest on license fees not paid at the time of use due to the then non-compliance with the license;</w:t>
      </w:r>
      <w:r w:rsidRPr="00F6575F">
        <w:t xml:space="preserve"> </w:t>
      </w:r>
    </w:p>
    <w:p w14:paraId="7D48EEDF" w14:textId="77777777" w:rsidR="001A56A3" w:rsidRPr="00F6575F" w:rsidRDefault="001A56A3" w:rsidP="007601FA">
      <w:pPr>
        <w:pStyle w:val="Listenabsatz"/>
      </w:pPr>
      <w:r w:rsidRPr="00F6575F">
        <w:t xml:space="preserve">Payment of </w:t>
      </w:r>
      <w:r w:rsidRPr="00F6575F">
        <w:rPr>
          <w:u w:val="single"/>
        </w:rPr>
        <w:t>(contractual) penalties</w:t>
      </w:r>
      <w:r w:rsidRPr="00F6575F">
        <w:t xml:space="preserve"> (beyond the payment of license fees) in case of non-compliance with the terms of the Data License Agreement;</w:t>
      </w:r>
    </w:p>
    <w:p w14:paraId="7200D18D" w14:textId="7FD84DC9" w:rsidR="001A56A3" w:rsidRPr="00F6575F" w:rsidRDefault="001A56A3" w:rsidP="007601FA">
      <w:pPr>
        <w:pStyle w:val="Listenabsatz"/>
      </w:pPr>
      <w:r w:rsidRPr="00F6575F">
        <w:t xml:space="preserve">Payment of </w:t>
      </w:r>
      <w:r w:rsidRPr="00F6575F">
        <w:rPr>
          <w:u w:val="single"/>
        </w:rPr>
        <w:t>damages</w:t>
      </w:r>
      <w:r w:rsidRPr="00F6575F">
        <w:t xml:space="preserve"> (beyond the payment of license fees) in case the licensor suffers damages as a result of the non-compliance by the licensee with the terms of the Data License Agreement.</w:t>
      </w:r>
    </w:p>
    <w:p w14:paraId="247407D5" w14:textId="77777777" w:rsidR="001A56A3" w:rsidRPr="00A15456" w:rsidRDefault="001A56A3" w:rsidP="007601FA">
      <w:pPr>
        <w:spacing w:after="160"/>
        <w:ind w:left="708"/>
        <w:jc w:val="both"/>
        <w:rPr>
          <w:lang w:val="en-US"/>
        </w:rPr>
      </w:pPr>
      <w:r w:rsidRPr="00A15456">
        <w:rPr>
          <w:rFonts w:ascii="Arial" w:hAnsi="Arial" w:cs="Arial"/>
          <w:sz w:val="22"/>
          <w:szCs w:val="22"/>
          <w:lang w:val="en-US"/>
        </w:rPr>
        <w:lastRenderedPageBreak/>
        <w:t>On the one hand, the term “penalties” used by ESMA seems to indicate that Guideline 2 deals with contractual penalties. On the other hand, ESMA highlights that “[t]he level of penalties in case of non-compliance with the terms of the market data agreement should be based on the recovery of revenues which would have been generated in case of compliance with the license”. However, it is the core of a contractual penalty that is has a punitive character and goes beyond the pure payment of the license fee (which the licensee will have to pay in any case based on the contractual agreement). As it would therefore not make sense to cap a contractual penalty payment at the amount of the license fees, Guideline 2 could be read as not dealing with contractual penalties.</w:t>
      </w:r>
    </w:p>
    <w:p w14:paraId="125D48BA" w14:textId="066BA7D3" w:rsidR="001A56A3" w:rsidRPr="00F6575F" w:rsidRDefault="001A56A3" w:rsidP="007601FA">
      <w:pPr>
        <w:pStyle w:val="Listenabsatz"/>
      </w:pPr>
      <w:r w:rsidRPr="00F6575F">
        <w:t xml:space="preserve">The lack of clarity regarding the term “penalties” and ESMA’s “recovery of revenues” statement could even lead to the conclusion that ESMA intends to completely prohibit contractual penalties. This, however, would not be appropriate: The rationale of a contractual penalty is to ensure compliance by a contractual party with the terms of the contract, especially with such terms which are of </w:t>
      </w:r>
      <w:r w:rsidR="00140D1F" w:rsidRPr="00F6575F">
        <w:t>particular</w:t>
      </w:r>
      <w:r w:rsidRPr="00F6575F">
        <w:t xml:space="preserve"> importance for the counterparty. Market data providers have a legitimate interest that licensees use the market data only on the basis of a license that sufficiently covers the use. It is therefore common market practice to agree on a retention and reporting obligation of the licensee and on a contractual penalty payment in case of material breaches by the licensee of its obligations under the Data License Agreement, e.g. in case of incorrect or incomplete reporting by the licensee on the use of the market data. The licensor, however, in light of the “elusive good” character of market data (see above), must rely on the correctness and completeness of the reporting received from the licensee as otherwise he is not able to correctly determine the license fee. </w:t>
      </w:r>
    </w:p>
    <w:p w14:paraId="1FBBD2F3" w14:textId="77777777" w:rsidR="001A56A3" w:rsidRPr="00F6575F" w:rsidRDefault="001A56A3" w:rsidP="007601FA">
      <w:pPr>
        <w:pStyle w:val="Listenabsatz"/>
      </w:pPr>
      <w:r w:rsidRPr="00F6575F">
        <w:t>Guideline 2 seems to indicate that penalties can only be imposed “in consequence of an audit”. However, an audit should not be a condition precedent for the permissibility of a contractual penalty as there might be other ways to prove non-compliance by the licensee with the contract terms than by conducting an audit.</w:t>
      </w:r>
    </w:p>
    <w:p w14:paraId="039883C8" w14:textId="365F5FC8" w:rsidR="001A56A3" w:rsidRPr="00F6575F" w:rsidRDefault="001A56A3" w:rsidP="007601FA">
      <w:pPr>
        <w:pStyle w:val="Listenabsatz"/>
      </w:pPr>
      <w:r w:rsidRPr="00F6575F">
        <w:t xml:space="preserve">The “recovery of revenues” wording also seems to indicate that the payment by the licensee of appropriate interest in case of late payment of license fees shall be prohibited as the interest would have to be paid </w:t>
      </w:r>
      <w:r w:rsidRPr="00F6575F">
        <w:rPr>
          <w:i/>
          <w:iCs/>
        </w:rPr>
        <w:t>in addition to</w:t>
      </w:r>
      <w:r w:rsidRPr="00F6575F">
        <w:t xml:space="preserve"> the license fees owed by the licensee. However, </w:t>
      </w:r>
      <w:r w:rsidR="00894D96" w:rsidRPr="00F6575F">
        <w:t xml:space="preserve">penalties are an important instrument to ensure the level playing field between the licensees. Thus, </w:t>
      </w:r>
      <w:r w:rsidRPr="00F6575F">
        <w:t>we do not think that it is really ESMA’s intention to prohibit this market standard practice</w:t>
      </w:r>
      <w:r w:rsidR="00140D1F" w:rsidRPr="00F6575F">
        <w:t xml:space="preserve"> and that ESMA only wants to prohibit “excessive interest charging” (final sentence of Guideline 2)</w:t>
      </w:r>
      <w:r w:rsidRPr="00F6575F">
        <w:t>.</w:t>
      </w:r>
    </w:p>
    <w:p w14:paraId="0D04386C" w14:textId="2D87E034" w:rsidR="001A56A3" w:rsidRPr="00F6575F" w:rsidRDefault="001A56A3" w:rsidP="007601FA">
      <w:pPr>
        <w:pStyle w:val="Listenabsatz"/>
      </w:pPr>
      <w:r w:rsidRPr="00F6575F">
        <w:t xml:space="preserve">Under the standard </w:t>
      </w:r>
      <w:bookmarkStart w:id="7" w:name="_Hlk59116105"/>
      <w:r w:rsidRPr="00F6575F">
        <w:t>Data License Agreements</w:t>
      </w:r>
      <w:bookmarkEnd w:id="7"/>
      <w:r w:rsidRPr="00F6575F">
        <w:t xml:space="preserve">, the costs of an audit </w:t>
      </w:r>
      <w:r w:rsidR="00E5737E" w:rsidRPr="00F6575F">
        <w:t>are generally be borne by DB</w:t>
      </w:r>
      <w:r w:rsidR="00CA1214" w:rsidRPr="00F6575F">
        <w:t>G</w:t>
      </w:r>
      <w:r w:rsidR="00E5737E" w:rsidRPr="00F6575F">
        <w:t>. O</w:t>
      </w:r>
      <w:r w:rsidR="00553198" w:rsidRPr="00F6575F">
        <w:t xml:space="preserve">nly </w:t>
      </w:r>
      <w:r w:rsidRPr="00F6575F">
        <w:t>if the audit reveals that the reporting by the licensee has been materially incorrect</w:t>
      </w:r>
      <w:r w:rsidR="00553198" w:rsidRPr="00F6575F">
        <w:t xml:space="preserve"> and lead to underpayment</w:t>
      </w:r>
      <w:r w:rsidR="00E5737E" w:rsidRPr="00F6575F">
        <w:t xml:space="preserve"> of more than 10 percentage the costs must be borne by the licensee</w:t>
      </w:r>
      <w:r w:rsidRPr="00F6575F">
        <w:t>. ESMA’s “recovery of revenues” wording in Guideline 2 could be interpreted to prohibit such audit cost provisions as these necessarily result in an extra payment by the licensee which goes beyond the payment of the license fees. However, the costs of an audit constitute damages suffered by the licensor as a result of the non-compliance by the licensee with its reporting obligations which could be claimed already on the basis of the generally applicable civil law provisions. The claim for such damages should not be prohibited under Article 7 of Commission Delegated Regulation (EU) 2017/567.</w:t>
      </w:r>
    </w:p>
    <w:p w14:paraId="75F53384" w14:textId="2000030B" w:rsidR="001A56A3" w:rsidRPr="00F6575F" w:rsidRDefault="001A56A3" w:rsidP="007601FA">
      <w:pPr>
        <w:pStyle w:val="Listenabsatz"/>
      </w:pPr>
      <w:r w:rsidRPr="00F6575F">
        <w:t>Finally, we do not think that interest payments for late payment, contractual penalties and payments of damages should be considered when assessing the cost of market data. It is true that licensees might in some cases have to make such additional payments to the licensor. However, all these payments are based on non-compliance by the licensee with the terms of the Data License Agreement, i.e. on an “illegal act” of the licensee</w:t>
      </w:r>
      <w:r w:rsidR="00361B77" w:rsidRPr="00F6575F">
        <w:t>.</w:t>
      </w:r>
      <w:r w:rsidRPr="00F6575F">
        <w:t xml:space="preserve"> </w:t>
      </w:r>
      <w:r w:rsidR="00361B77" w:rsidRPr="00F6575F">
        <w:t>The</w:t>
      </w:r>
      <w:r w:rsidRPr="00F6575F">
        <w:t xml:space="preserve"> licensee could </w:t>
      </w:r>
      <w:r w:rsidR="00361B77" w:rsidRPr="00F6575F">
        <w:t xml:space="preserve">easily </w:t>
      </w:r>
      <w:r w:rsidRPr="00F6575F">
        <w:t xml:space="preserve">have avoided </w:t>
      </w:r>
      <w:r w:rsidR="00361B77" w:rsidRPr="00F6575F">
        <w:t xml:space="preserve">these additional payments </w:t>
      </w:r>
      <w:r w:rsidRPr="00F6575F">
        <w:t>by complying with the agreement.</w:t>
      </w:r>
    </w:p>
    <w:p w14:paraId="011A4E6C" w14:textId="19A6EF73" w:rsidR="001A56A3" w:rsidRPr="00A15456" w:rsidRDefault="001A56A3" w:rsidP="007601FA">
      <w:pPr>
        <w:spacing w:after="160"/>
        <w:jc w:val="both"/>
        <w:rPr>
          <w:lang w:val="en-US"/>
        </w:rPr>
      </w:pPr>
      <w:r w:rsidRPr="00A15456">
        <w:rPr>
          <w:rFonts w:ascii="Arial" w:hAnsi="Arial" w:cs="Arial"/>
          <w:sz w:val="22"/>
          <w:szCs w:val="22"/>
          <w:lang w:val="en-US"/>
        </w:rPr>
        <w:lastRenderedPageBreak/>
        <w:t>In light of the above</w:t>
      </w:r>
      <w:r w:rsidRPr="00A15456">
        <w:rPr>
          <w:rFonts w:ascii="Arial" w:eastAsia="Calibri" w:hAnsi="Arial" w:cs="Arial"/>
          <w:sz w:val="22"/>
          <w:szCs w:val="22"/>
          <w:lang w:val="en-US"/>
        </w:rPr>
        <w:t xml:space="preserve">, we would like to propose to ESMA to consider </w:t>
      </w:r>
      <w:r w:rsidRPr="00A15456">
        <w:rPr>
          <w:rFonts w:ascii="Arial" w:hAnsi="Arial" w:cs="Arial"/>
          <w:sz w:val="22"/>
          <w:szCs w:val="22"/>
          <w:lang w:val="en-US"/>
        </w:rPr>
        <w:t>a clarification of Guideline 2 regarding</w:t>
      </w:r>
      <w:r w:rsidRPr="00A15456">
        <w:rPr>
          <w:rFonts w:ascii="Arial" w:eastAsia="Calibri" w:hAnsi="Arial" w:cs="Arial"/>
          <w:sz w:val="22"/>
          <w:szCs w:val="22"/>
          <w:lang w:val="en-US"/>
        </w:rPr>
        <w:t xml:space="preserve"> (i) the legal terminology used in Guideline 2, (ii) the exact scope of Guideline 2, (iii) the general permissibility of contractual penalties (within the meaning described above) in cases where non-compliance by the licensee has been proven or where the licensee has not adhered to retention and reporting requirements and, thus, endangered the purpose of the Data License Agreement, (iv) the permissibility of charging of appropriate interest in case of late payment, and (v) the permissibility of audit cost recovery provisions. </w:t>
      </w:r>
    </w:p>
    <w:p w14:paraId="4E3EB806" w14:textId="30577F65" w:rsidR="00073C3E" w:rsidRPr="00F6575F" w:rsidRDefault="001A56A3" w:rsidP="007601FA">
      <w:pPr>
        <w:pStyle w:val="Listenabsatz"/>
      </w:pPr>
      <w:r w:rsidRPr="00F6575F">
        <w:t xml:space="preserve">Regarding the aspect of the burden of proof, we would like to note that placing the burden of proof, with respect to non-compliance by the licensee with the terms of the Data License Agreement, on the licensor is in our opinion not justified as the licensor has no insight into the business of the licensee and the involved functions and activities within the organization of the licensee. Consequently, Data License Agreements typically contain reporting obligations of the licensee in order to enable the licensor to </w:t>
      </w:r>
      <w:r w:rsidR="00E5737E" w:rsidRPr="00F6575F">
        <w:t>calculate the fees for the</w:t>
      </w:r>
      <w:r w:rsidRPr="00F6575F">
        <w:t xml:space="preserve"> usage of the data by the licensee. It is our understanding that the burden of proof question and the distribution of responsibilities regarding the reporting are two sides of the same coin: A prohibition imposed on the licensor to attribute the burden of proof to the licensee via reporting obligations would create an incentive for the licensee not to comply properly with the terms of the Data License Agreement and would deprive the licensor of the opportunity to gain an understanding (without the need to audit) of the factual usage of the licensed data. The prohibition to place the burden of proof (via a reporting obligation) on the licensee would very likely lead to an increase in the number of audits as the licensor would have to demonstrate and prove non-compliance by the licensee. We therefore would like to propose to ESMA to consider a clarification of the legal terminology used in Guideline 2 regarding the distinction between “burden of proof” and reporting or information requirements; standard contractual reporting obligations should not be prohibited.</w:t>
      </w:r>
    </w:p>
    <w:p w14:paraId="2BAE7BE7" w14:textId="6CC7F32E" w:rsidR="00A2060D" w:rsidRDefault="0065350F" w:rsidP="007601FA">
      <w:pPr>
        <w:pStyle w:val="Listenabsatz"/>
      </w:pPr>
      <w:r w:rsidRPr="00F6575F">
        <w:t>Within the scope of an audit i</w:t>
      </w:r>
      <w:r w:rsidR="00073C3E" w:rsidRPr="00F6575F">
        <w:t xml:space="preserve">t is DBG’s understanding to demonstrate that the data was available for use for the licensee (the audited party). Beyond that it is </w:t>
      </w:r>
      <w:r w:rsidR="002B1435" w:rsidRPr="00F6575F">
        <w:t xml:space="preserve">the </w:t>
      </w:r>
      <w:r w:rsidR="00073C3E" w:rsidRPr="00F6575F">
        <w:t xml:space="preserve">licensee’s burden to proof data was not used in a manner causing proper reporting and/or subscription to necessary licenses. Considering that the licensor has neither control over the data nor insight in the business of the licensee </w:t>
      </w:r>
      <w:r w:rsidR="007C6AB9" w:rsidRPr="00F6575F">
        <w:t>as well as</w:t>
      </w:r>
      <w:r w:rsidR="00073C3E" w:rsidRPr="00F6575F">
        <w:t xml:space="preserve"> the involved functions and activities within </w:t>
      </w:r>
      <w:r w:rsidR="00851445" w:rsidRPr="00F6575F">
        <w:t xml:space="preserve">the </w:t>
      </w:r>
      <w:r w:rsidR="00073C3E" w:rsidRPr="00F6575F">
        <w:t>licensee’s organization</w:t>
      </w:r>
      <w:r w:rsidR="007C6AB9" w:rsidRPr="00F6575F">
        <w:t>,</w:t>
      </w:r>
      <w:r w:rsidR="00073C3E" w:rsidRPr="00F6575F">
        <w:t xml:space="preserve"> it is a fair and well-balanced sharing of responsibilities.</w:t>
      </w:r>
    </w:p>
    <w:p w14:paraId="4DC912D0" w14:textId="2311B5A1" w:rsidR="00EC18CF" w:rsidRPr="00F6575F" w:rsidRDefault="00EC18CF" w:rsidP="007601FA">
      <w:pPr>
        <w:pStyle w:val="Listenabsatz"/>
      </w:pPr>
      <w:r w:rsidRPr="00EC18CF">
        <w:t>DBG has taken steps to decrease audits by</w:t>
      </w:r>
      <w:r>
        <w:t xml:space="preserve"> introducing a </w:t>
      </w:r>
      <w:r w:rsidRPr="00EC18CF">
        <w:t>data usage declaration in 2020, a questionnaire about data</w:t>
      </w:r>
      <w:r>
        <w:t xml:space="preserve"> usage which has to be completed by our licensees. With this data usage declaration, DBG is aiming to lower or avoid audit findings at a later point of time. The data usage declaration </w:t>
      </w:r>
      <w:r w:rsidRPr="00EC18CF">
        <w:t>includes questions which are based on the existing DBG Market Data Dissemination Agreement and allows to identify over- and under-licensing. Our goal is to actively support our licensees to be able to correctly assess the licenses required for the respective subscriber so that we can together ensure correct licensing of the contracting parties from the beginning</w:t>
      </w:r>
      <w:r>
        <w:t xml:space="preserve">. </w:t>
      </w:r>
    </w:p>
    <w:p w14:paraId="186ABAB7" w14:textId="53061708" w:rsidR="00984423" w:rsidRPr="007601FA" w:rsidRDefault="00984423" w:rsidP="00A2060D">
      <w:pPr>
        <w:spacing w:after="160" w:line="259" w:lineRule="auto"/>
        <w:rPr>
          <w:rFonts w:ascii="Arial" w:eastAsia="Calibri" w:hAnsi="Arial" w:cs="Arial"/>
          <w:sz w:val="22"/>
          <w:szCs w:val="22"/>
          <w:lang w:val="en-US" w:eastAsia="en-US"/>
        </w:rPr>
      </w:pPr>
      <w:r w:rsidRPr="007601FA">
        <w:rPr>
          <w:rFonts w:ascii="Arial" w:eastAsia="Calibri" w:hAnsi="Arial" w:cs="Arial"/>
          <w:sz w:val="22"/>
          <w:szCs w:val="22"/>
          <w:lang w:val="en-US" w:eastAsia="en-US"/>
        </w:rPr>
        <w:t>&lt;ESMA_QUESTION_GOMD_4&gt;</w:t>
      </w:r>
    </w:p>
    <w:p w14:paraId="5189B21B" w14:textId="77777777" w:rsidR="00984423" w:rsidRPr="00F6575F" w:rsidRDefault="00984423" w:rsidP="00984423">
      <w:pPr>
        <w:spacing w:after="160" w:line="259" w:lineRule="auto"/>
        <w:rPr>
          <w:rFonts w:ascii="Arial" w:eastAsia="Calibri" w:hAnsi="Arial" w:cs="Arial"/>
          <w:sz w:val="22"/>
          <w:szCs w:val="22"/>
          <w:lang w:val="en-US" w:eastAsia="en-US"/>
        </w:rPr>
      </w:pPr>
    </w:p>
    <w:p w14:paraId="2A82956B"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6EAAFB04" w14:textId="77777777"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&lt;ESMA_QUESTION_GOMD_5&gt;</w:t>
      </w:r>
    </w:p>
    <w:p w14:paraId="306CBDCB" w14:textId="00418640" w:rsidR="00B072CB" w:rsidRPr="00A15456" w:rsidRDefault="00C25FBB" w:rsidP="007601FA">
      <w:pPr>
        <w:spacing w:after="160"/>
        <w:jc w:val="both"/>
        <w:rPr>
          <w:rFonts w:ascii="Arial" w:eastAsia="Calibri" w:hAnsi="Arial" w:cs="Arial"/>
          <w:sz w:val="22"/>
          <w:szCs w:val="22"/>
          <w:lang w:val="en-US" w:eastAsia="en-US"/>
        </w:rPr>
      </w:pPr>
      <w:r w:rsidRPr="00A15456">
        <w:rPr>
          <w:rFonts w:ascii="Arial" w:eastAsia="Calibri" w:hAnsi="Arial" w:cs="Arial"/>
          <w:sz w:val="22"/>
          <w:szCs w:val="22"/>
          <w:lang w:val="en-US" w:eastAsia="en-US"/>
        </w:rPr>
        <w:t xml:space="preserve">We understand that ESMA is involved in discussions where arguments are submitted that audits increase cost of market data. </w:t>
      </w:r>
      <w:bookmarkStart w:id="8" w:name="_Hlk59203705"/>
      <w:r w:rsidR="00EA5457" w:rsidRPr="00A15456">
        <w:rPr>
          <w:rFonts w:ascii="Arial" w:eastAsia="Calibri" w:hAnsi="Arial" w:cs="Arial"/>
          <w:sz w:val="22"/>
          <w:szCs w:val="22"/>
          <w:lang w:val="en-US" w:eastAsia="en-US"/>
        </w:rPr>
        <w:t xml:space="preserve">However, the notion that audits could be conducted in </w:t>
      </w:r>
      <w:r w:rsidR="00EA5457" w:rsidRPr="00A15456">
        <w:rPr>
          <w:rFonts w:ascii="Arial" w:eastAsia="Calibri" w:hAnsi="Arial" w:cs="Arial"/>
          <w:sz w:val="22"/>
          <w:szCs w:val="22"/>
          <w:lang w:val="en-US" w:eastAsia="en-US"/>
        </w:rPr>
        <w:lastRenderedPageBreak/>
        <w:t>order to indirectly increase market data fees is flawed</w:t>
      </w:r>
      <w:r w:rsidR="00112939" w:rsidRPr="00A15456">
        <w:rPr>
          <w:rFonts w:ascii="Arial" w:eastAsia="Calibri" w:hAnsi="Arial" w:cs="Arial"/>
          <w:sz w:val="22"/>
          <w:szCs w:val="22"/>
          <w:lang w:val="en-US" w:eastAsia="en-US"/>
        </w:rPr>
        <w:t>.</w:t>
      </w:r>
      <w:r w:rsidR="00EA5457" w:rsidRPr="00A15456">
        <w:rPr>
          <w:rFonts w:ascii="Arial" w:eastAsia="Calibri" w:hAnsi="Arial" w:cs="Arial"/>
          <w:sz w:val="22"/>
          <w:szCs w:val="22"/>
          <w:lang w:val="en-US" w:eastAsia="en-US"/>
        </w:rPr>
        <w:t xml:space="preserve"> </w:t>
      </w:r>
      <w:r w:rsidR="009607D9" w:rsidRPr="00A15456">
        <w:rPr>
          <w:rFonts w:ascii="Arial" w:eastAsia="Calibri" w:hAnsi="Arial" w:cs="Arial"/>
          <w:sz w:val="22"/>
          <w:szCs w:val="22"/>
          <w:lang w:val="en-US" w:eastAsia="en-US"/>
        </w:rPr>
        <w:t xml:space="preserve">As </w:t>
      </w:r>
      <w:r w:rsidR="00EA5457" w:rsidRPr="00A15456">
        <w:rPr>
          <w:rFonts w:ascii="Arial" w:eastAsia="Calibri" w:hAnsi="Arial" w:cs="Arial"/>
          <w:sz w:val="22"/>
          <w:szCs w:val="22"/>
          <w:lang w:val="en-US" w:eastAsia="en-US"/>
        </w:rPr>
        <w:t>already outlined in our response to Q4</w:t>
      </w:r>
      <w:r w:rsidR="00CD041C" w:rsidRPr="00A15456">
        <w:rPr>
          <w:rFonts w:ascii="Arial" w:eastAsia="Calibri" w:hAnsi="Arial" w:cs="Arial"/>
          <w:sz w:val="22"/>
          <w:szCs w:val="22"/>
          <w:lang w:val="en-US" w:eastAsia="en-US"/>
        </w:rPr>
        <w:t xml:space="preserve"> audits may reveal incorrect or even missing licenses </w:t>
      </w:r>
      <w:r w:rsidR="007C6AB9" w:rsidRPr="00A15456">
        <w:rPr>
          <w:rFonts w:ascii="Arial" w:eastAsia="Calibri" w:hAnsi="Arial" w:cs="Arial"/>
          <w:sz w:val="22"/>
          <w:szCs w:val="22"/>
          <w:lang w:val="en-US" w:eastAsia="en-US"/>
        </w:rPr>
        <w:t>leading</w:t>
      </w:r>
      <w:r w:rsidR="00CD041C" w:rsidRPr="00A15456">
        <w:rPr>
          <w:rFonts w:ascii="Arial" w:eastAsia="Calibri" w:hAnsi="Arial" w:cs="Arial"/>
          <w:sz w:val="22"/>
          <w:szCs w:val="22"/>
          <w:lang w:val="en-US" w:eastAsia="en-US"/>
        </w:rPr>
        <w:t xml:space="preserve"> to payment of licensee fees at a later point of time and are </w:t>
      </w:r>
      <w:r w:rsidR="007C6AB9" w:rsidRPr="00A15456">
        <w:rPr>
          <w:rFonts w:ascii="Arial" w:eastAsia="Calibri" w:hAnsi="Arial" w:cs="Arial"/>
          <w:sz w:val="22"/>
          <w:szCs w:val="22"/>
          <w:lang w:val="en-US" w:eastAsia="en-US"/>
        </w:rPr>
        <w:t xml:space="preserve">hence </w:t>
      </w:r>
      <w:r w:rsidR="00CD041C" w:rsidRPr="00A15456">
        <w:rPr>
          <w:rFonts w:ascii="Arial" w:eastAsia="Calibri" w:hAnsi="Arial" w:cs="Arial"/>
          <w:sz w:val="22"/>
          <w:szCs w:val="22"/>
          <w:lang w:val="en-US" w:eastAsia="en-US"/>
        </w:rPr>
        <w:t xml:space="preserve">costs for market data. Thus, it is not a higher cost of market data, but the cost of market data owed to </w:t>
      </w:r>
      <w:r w:rsidR="007C6AB9" w:rsidRPr="00A15456">
        <w:rPr>
          <w:rFonts w:ascii="Arial" w:eastAsia="Calibri" w:hAnsi="Arial" w:cs="Arial"/>
          <w:sz w:val="22"/>
          <w:szCs w:val="22"/>
          <w:lang w:val="en-US" w:eastAsia="en-US"/>
        </w:rPr>
        <w:t xml:space="preserve">the </w:t>
      </w:r>
      <w:r w:rsidR="00CD041C" w:rsidRPr="00A15456">
        <w:rPr>
          <w:rFonts w:ascii="Arial" w:eastAsia="Calibri" w:hAnsi="Arial" w:cs="Arial"/>
          <w:sz w:val="22"/>
          <w:szCs w:val="22"/>
          <w:lang w:val="en-US" w:eastAsia="en-US"/>
        </w:rPr>
        <w:t>licensor. In addition</w:t>
      </w:r>
      <w:r w:rsidR="007601FA">
        <w:rPr>
          <w:rFonts w:ascii="Arial" w:eastAsia="Calibri" w:hAnsi="Arial" w:cs="Arial"/>
          <w:sz w:val="22"/>
          <w:szCs w:val="22"/>
          <w:lang w:val="en-US" w:eastAsia="en-US"/>
        </w:rPr>
        <w:t>,</w:t>
      </w:r>
      <w:r w:rsidR="00EA5457" w:rsidRPr="00A15456">
        <w:rPr>
          <w:rFonts w:ascii="Arial" w:eastAsia="Calibri" w:hAnsi="Arial" w:cs="Arial"/>
          <w:sz w:val="22"/>
          <w:szCs w:val="22"/>
          <w:lang w:val="en-US" w:eastAsia="en-US"/>
        </w:rPr>
        <w:t xml:space="preserve"> we do not think that interest payments for late payment, contractual penalties and payments of damages should be considered when assessing the cost of market data. All these extra payments are based on non-compliance by the licensee with the terms of the Data License Agreement and can be avoided by the li</w:t>
      </w:r>
      <w:r w:rsidR="00112939" w:rsidRPr="00A15456">
        <w:rPr>
          <w:rFonts w:ascii="Arial" w:eastAsia="Calibri" w:hAnsi="Arial" w:cs="Arial"/>
          <w:sz w:val="22"/>
          <w:szCs w:val="22"/>
          <w:lang w:val="en-US" w:eastAsia="en-US"/>
        </w:rPr>
        <w:t>cen</w:t>
      </w:r>
      <w:r w:rsidR="00EA5457" w:rsidRPr="00A15456">
        <w:rPr>
          <w:rFonts w:ascii="Arial" w:eastAsia="Calibri" w:hAnsi="Arial" w:cs="Arial"/>
          <w:sz w:val="22"/>
          <w:szCs w:val="22"/>
          <w:lang w:val="en-US" w:eastAsia="en-US"/>
        </w:rPr>
        <w:t xml:space="preserve">see. </w:t>
      </w:r>
      <w:r w:rsidR="00EC18CF" w:rsidRPr="00EC18CF">
        <w:rPr>
          <w:rFonts w:ascii="Arial" w:eastAsia="Calibri" w:hAnsi="Arial" w:cs="Arial"/>
          <w:sz w:val="22"/>
          <w:szCs w:val="22"/>
          <w:lang w:val="en-US" w:eastAsia="en-US"/>
        </w:rPr>
        <w:t>As already outlined in our response to Q4</w:t>
      </w:r>
      <w:r w:rsidR="00EC18CF">
        <w:rPr>
          <w:rFonts w:ascii="Arial" w:eastAsia="Calibri" w:hAnsi="Arial" w:cs="Arial"/>
          <w:sz w:val="22"/>
          <w:szCs w:val="22"/>
          <w:lang w:val="en-US" w:eastAsia="en-US"/>
        </w:rPr>
        <w:t>,</w:t>
      </w:r>
      <w:r w:rsidR="00EC18CF" w:rsidRPr="00EC18CF">
        <w:rPr>
          <w:rFonts w:ascii="Arial" w:eastAsia="Calibri" w:hAnsi="Arial" w:cs="Arial"/>
          <w:sz w:val="22"/>
          <w:szCs w:val="22"/>
          <w:lang w:val="en-US" w:eastAsia="en-US"/>
        </w:rPr>
        <w:t xml:space="preserve"> DBG is aiming to reduce the risk of non-compliance by introducing a data usage declaration in 2020, a questionnaire about data usage that has the goal to actively support our licensees to be able to correctly assess the licenses required and thus lower or avoid audit findings at a later point of time</w:t>
      </w:r>
      <w:r w:rsidR="00EC18CF">
        <w:rPr>
          <w:rFonts w:ascii="Arial" w:eastAsia="Calibri" w:hAnsi="Arial" w:cs="Arial"/>
          <w:sz w:val="22"/>
          <w:szCs w:val="22"/>
          <w:lang w:val="en-US" w:eastAsia="en-US"/>
        </w:rPr>
        <w:t xml:space="preserve">. </w:t>
      </w:r>
      <w:r w:rsidR="00EA5457" w:rsidRPr="00A15456">
        <w:rPr>
          <w:rFonts w:ascii="Arial" w:eastAsia="Calibri" w:hAnsi="Arial" w:cs="Arial"/>
          <w:sz w:val="22"/>
          <w:szCs w:val="22"/>
          <w:lang w:val="en-US" w:eastAsia="en-US"/>
        </w:rPr>
        <w:t>We therefore</w:t>
      </w:r>
      <w:r w:rsidR="00B072CB" w:rsidRPr="00A15456">
        <w:rPr>
          <w:rFonts w:ascii="Arial" w:eastAsia="Calibri" w:hAnsi="Arial" w:cs="Arial"/>
          <w:sz w:val="22"/>
          <w:szCs w:val="22"/>
          <w:lang w:val="en-US" w:eastAsia="en-US"/>
        </w:rPr>
        <w:t xml:space="preserve"> recommend that “cost of market data</w:t>
      </w:r>
      <w:r w:rsidR="00EA5457" w:rsidRPr="00A15456">
        <w:rPr>
          <w:rFonts w:ascii="Arial" w:eastAsia="Calibri" w:hAnsi="Arial" w:cs="Arial"/>
          <w:sz w:val="22"/>
          <w:szCs w:val="22"/>
          <w:lang w:val="en-US" w:eastAsia="en-US"/>
        </w:rPr>
        <w:t>”</w:t>
      </w:r>
      <w:r w:rsidR="00B072CB" w:rsidRPr="00A15456">
        <w:rPr>
          <w:rFonts w:ascii="Arial" w:eastAsia="Calibri" w:hAnsi="Arial" w:cs="Arial"/>
          <w:sz w:val="22"/>
          <w:szCs w:val="22"/>
          <w:lang w:val="en-US" w:eastAsia="en-US"/>
        </w:rPr>
        <w:t xml:space="preserve"> refers to market data fees</w:t>
      </w:r>
      <w:r w:rsidRPr="00A15456">
        <w:rPr>
          <w:rFonts w:ascii="Arial" w:eastAsia="Calibri" w:hAnsi="Arial" w:cs="Arial"/>
          <w:sz w:val="22"/>
          <w:szCs w:val="22"/>
          <w:lang w:val="en-US" w:eastAsia="en-US"/>
        </w:rPr>
        <w:t xml:space="preserve"> </w:t>
      </w:r>
      <w:r w:rsidR="00EA5457" w:rsidRPr="00A15456">
        <w:rPr>
          <w:rFonts w:ascii="Arial" w:eastAsia="Calibri" w:hAnsi="Arial" w:cs="Arial"/>
          <w:sz w:val="22"/>
          <w:szCs w:val="22"/>
          <w:lang w:val="en-US" w:eastAsia="en-US"/>
        </w:rPr>
        <w:t>only</w:t>
      </w:r>
      <w:r w:rsidR="00B072CB" w:rsidRPr="00A15456">
        <w:rPr>
          <w:rFonts w:ascii="Arial" w:eastAsia="Calibri" w:hAnsi="Arial" w:cs="Arial"/>
          <w:sz w:val="22"/>
          <w:szCs w:val="22"/>
          <w:lang w:val="en-US" w:eastAsia="en-US"/>
        </w:rPr>
        <w:t xml:space="preserve"> and </w:t>
      </w:r>
      <w:r w:rsidR="00EA5457" w:rsidRPr="00A15456">
        <w:rPr>
          <w:rFonts w:ascii="Arial" w:eastAsia="Calibri" w:hAnsi="Arial" w:cs="Arial"/>
          <w:sz w:val="22"/>
          <w:szCs w:val="22"/>
          <w:lang w:val="en-US" w:eastAsia="en-US"/>
        </w:rPr>
        <w:t>does not include any additional payments which might be triggered in case of non-compliance with the terms of the Data License Agreement</w:t>
      </w:r>
      <w:r w:rsidR="00B072CB" w:rsidRPr="00A15456">
        <w:rPr>
          <w:rFonts w:ascii="Arial" w:eastAsia="Calibri" w:hAnsi="Arial" w:cs="Arial"/>
          <w:sz w:val="22"/>
          <w:szCs w:val="22"/>
          <w:lang w:val="en-US" w:eastAsia="en-US"/>
        </w:rPr>
        <w:t>.</w:t>
      </w:r>
    </w:p>
    <w:bookmarkEnd w:id="8"/>
    <w:p w14:paraId="32DDE660" w14:textId="39290089" w:rsidR="00B60ED2" w:rsidRPr="009263D2" w:rsidRDefault="00C25FBB" w:rsidP="007601FA">
      <w:pPr>
        <w:spacing w:after="160"/>
        <w:jc w:val="both"/>
        <w:rPr>
          <w:rFonts w:ascii="Arial" w:eastAsia="Calibri" w:hAnsi="Arial" w:cs="Arial"/>
          <w:sz w:val="22"/>
          <w:szCs w:val="22"/>
          <w:lang w:val="en-US" w:eastAsia="en-US"/>
        </w:rPr>
      </w:pPr>
      <w:r w:rsidRPr="00A15456">
        <w:rPr>
          <w:rFonts w:ascii="Arial" w:eastAsia="Calibri" w:hAnsi="Arial" w:cs="Arial"/>
          <w:sz w:val="22"/>
          <w:szCs w:val="22"/>
          <w:lang w:val="en-US" w:eastAsia="en-US"/>
        </w:rPr>
        <w:t xml:space="preserve">Therefore, </w:t>
      </w:r>
      <w:r w:rsidR="00FF3EDB" w:rsidRPr="00A15456">
        <w:rPr>
          <w:rFonts w:ascii="Arial" w:eastAsia="Calibri" w:hAnsi="Arial" w:cs="Arial"/>
          <w:sz w:val="22"/>
          <w:szCs w:val="22"/>
          <w:lang w:val="en-US" w:eastAsia="en-US"/>
        </w:rPr>
        <w:t>DBG</w:t>
      </w:r>
      <w:r w:rsidR="004013D8" w:rsidRPr="00A15456">
        <w:rPr>
          <w:rFonts w:ascii="Arial" w:eastAsia="Calibri" w:hAnsi="Arial" w:cs="Arial"/>
          <w:sz w:val="22"/>
          <w:szCs w:val="22"/>
          <w:lang w:val="en-US" w:eastAsia="en-US"/>
        </w:rPr>
        <w:t xml:space="preserve"> does </w:t>
      </w:r>
      <w:r w:rsidR="009A733E" w:rsidRPr="00A15456">
        <w:rPr>
          <w:rFonts w:ascii="Arial" w:eastAsia="Calibri" w:hAnsi="Arial" w:cs="Arial"/>
          <w:sz w:val="22"/>
          <w:szCs w:val="22"/>
          <w:lang w:val="en-US" w:eastAsia="en-US"/>
        </w:rPr>
        <w:t xml:space="preserve">not share </w:t>
      </w:r>
      <w:r w:rsidR="00EA5457" w:rsidRPr="00A15456">
        <w:rPr>
          <w:rFonts w:ascii="Arial" w:eastAsia="Calibri" w:hAnsi="Arial" w:cs="Arial"/>
          <w:sz w:val="22"/>
          <w:szCs w:val="22"/>
          <w:lang w:val="en-US" w:eastAsia="en-US"/>
        </w:rPr>
        <w:t xml:space="preserve">ESMA’s </w:t>
      </w:r>
      <w:r w:rsidRPr="00A15456">
        <w:rPr>
          <w:rFonts w:ascii="Arial" w:eastAsia="Calibri" w:hAnsi="Arial" w:cs="Arial"/>
          <w:sz w:val="22"/>
          <w:szCs w:val="22"/>
          <w:lang w:val="en-US" w:eastAsia="en-US"/>
        </w:rPr>
        <w:t>concern</w:t>
      </w:r>
      <w:r w:rsidR="009A733E" w:rsidRPr="00A15456">
        <w:rPr>
          <w:rFonts w:ascii="Arial" w:eastAsia="Calibri" w:hAnsi="Arial" w:cs="Arial"/>
          <w:sz w:val="22"/>
          <w:szCs w:val="22"/>
          <w:lang w:val="en-US" w:eastAsia="en-US"/>
        </w:rPr>
        <w:t xml:space="preserve"> that audits</w:t>
      </w:r>
      <w:r w:rsidR="004013D8" w:rsidRPr="00A15456">
        <w:rPr>
          <w:rFonts w:ascii="Arial" w:eastAsia="Calibri" w:hAnsi="Arial" w:cs="Arial"/>
          <w:sz w:val="22"/>
          <w:szCs w:val="22"/>
          <w:lang w:val="en-US" w:eastAsia="en-US"/>
        </w:rPr>
        <w:t xml:space="preserve"> add to </w:t>
      </w:r>
      <w:r w:rsidR="00EA5457" w:rsidRPr="00A15456">
        <w:rPr>
          <w:rFonts w:ascii="Arial" w:eastAsia="Calibri" w:hAnsi="Arial" w:cs="Arial"/>
          <w:sz w:val="22"/>
          <w:szCs w:val="22"/>
          <w:lang w:val="en-US" w:eastAsia="en-US"/>
        </w:rPr>
        <w:t xml:space="preserve">the </w:t>
      </w:r>
      <w:r w:rsidR="004013D8" w:rsidRPr="00A15456">
        <w:rPr>
          <w:rFonts w:ascii="Arial" w:eastAsia="Calibri" w:hAnsi="Arial" w:cs="Arial"/>
          <w:sz w:val="22"/>
          <w:szCs w:val="22"/>
          <w:lang w:val="en-US" w:eastAsia="en-US"/>
        </w:rPr>
        <w:t xml:space="preserve">“cost of market data”. </w:t>
      </w:r>
      <w:r w:rsidR="00EA5457" w:rsidRPr="00A15456">
        <w:rPr>
          <w:rFonts w:ascii="Arial" w:eastAsia="Calibri" w:hAnsi="Arial" w:cs="Arial"/>
          <w:sz w:val="22"/>
          <w:szCs w:val="22"/>
          <w:lang w:val="en-US" w:eastAsia="en-US"/>
        </w:rPr>
        <w:t>In fact</w:t>
      </w:r>
      <w:r w:rsidR="00B60ED2" w:rsidRPr="00A15456">
        <w:rPr>
          <w:rFonts w:ascii="Arial" w:eastAsia="Calibri" w:hAnsi="Arial" w:cs="Arial"/>
          <w:sz w:val="22"/>
          <w:szCs w:val="22"/>
          <w:lang w:val="en-US" w:eastAsia="en-US"/>
        </w:rPr>
        <w:t xml:space="preserve">, many more – customer specific – internal “cost of market data” </w:t>
      </w:r>
      <w:r w:rsidRPr="00A15456">
        <w:rPr>
          <w:rFonts w:ascii="Arial" w:eastAsia="Calibri" w:hAnsi="Arial" w:cs="Arial"/>
          <w:sz w:val="22"/>
          <w:szCs w:val="22"/>
          <w:lang w:val="en-US" w:eastAsia="en-US"/>
        </w:rPr>
        <w:t xml:space="preserve">(and </w:t>
      </w:r>
      <w:r w:rsidR="009A733E" w:rsidRPr="00A15456">
        <w:rPr>
          <w:rFonts w:ascii="Arial" w:eastAsia="Calibri" w:hAnsi="Arial" w:cs="Arial"/>
          <w:sz w:val="22"/>
          <w:szCs w:val="22"/>
          <w:lang w:val="en-US" w:eastAsia="en-US"/>
        </w:rPr>
        <w:t>for all sorts of data</w:t>
      </w:r>
      <w:r w:rsidRPr="00A15456">
        <w:rPr>
          <w:rFonts w:ascii="Arial" w:eastAsia="Calibri" w:hAnsi="Arial" w:cs="Arial"/>
          <w:sz w:val="22"/>
          <w:szCs w:val="22"/>
          <w:lang w:val="en-US" w:eastAsia="en-US"/>
        </w:rPr>
        <w:t xml:space="preserve"> used)</w:t>
      </w:r>
      <w:r w:rsidR="009A733E" w:rsidRPr="00A15456">
        <w:rPr>
          <w:rFonts w:ascii="Arial" w:eastAsia="Calibri" w:hAnsi="Arial" w:cs="Arial"/>
          <w:sz w:val="22"/>
          <w:szCs w:val="22"/>
          <w:lang w:val="en-US" w:eastAsia="en-US"/>
        </w:rPr>
        <w:t xml:space="preserve"> </w:t>
      </w:r>
      <w:r w:rsidR="00EA5457" w:rsidRPr="00A15456">
        <w:rPr>
          <w:rFonts w:ascii="Arial" w:eastAsia="Calibri" w:hAnsi="Arial" w:cs="Arial"/>
          <w:sz w:val="22"/>
          <w:szCs w:val="22"/>
          <w:lang w:val="en-US" w:eastAsia="en-US"/>
        </w:rPr>
        <w:t xml:space="preserve">could </w:t>
      </w:r>
      <w:r w:rsidR="00B60ED2" w:rsidRPr="00A15456">
        <w:rPr>
          <w:rFonts w:ascii="Arial" w:eastAsia="Calibri" w:hAnsi="Arial" w:cs="Arial"/>
          <w:sz w:val="22"/>
          <w:szCs w:val="22"/>
          <w:lang w:val="en-US" w:eastAsia="en-US"/>
        </w:rPr>
        <w:t xml:space="preserve">be added </w:t>
      </w:r>
      <w:r w:rsidR="00EA5457" w:rsidRPr="00A15456">
        <w:rPr>
          <w:rFonts w:ascii="Arial" w:eastAsia="Calibri" w:hAnsi="Arial" w:cs="Arial"/>
          <w:sz w:val="22"/>
          <w:szCs w:val="22"/>
          <w:lang w:val="en-US" w:eastAsia="en-US"/>
        </w:rPr>
        <w:t xml:space="preserve">to </w:t>
      </w:r>
      <w:r w:rsidR="009A733E" w:rsidRPr="00A15456">
        <w:rPr>
          <w:rFonts w:ascii="Arial" w:eastAsia="Calibri" w:hAnsi="Arial" w:cs="Arial"/>
          <w:sz w:val="22"/>
          <w:szCs w:val="22"/>
          <w:lang w:val="en-US" w:eastAsia="en-US"/>
        </w:rPr>
        <w:t>the debate</w:t>
      </w:r>
      <w:r w:rsidR="00EA5457" w:rsidRPr="00A15456">
        <w:rPr>
          <w:rFonts w:ascii="Arial" w:eastAsia="Calibri" w:hAnsi="Arial" w:cs="Arial"/>
          <w:sz w:val="22"/>
          <w:szCs w:val="22"/>
          <w:lang w:val="en-US" w:eastAsia="en-US"/>
        </w:rPr>
        <w:t>,</w:t>
      </w:r>
      <w:r w:rsidR="00B60ED2" w:rsidRPr="00A15456">
        <w:rPr>
          <w:rFonts w:ascii="Arial" w:eastAsia="Calibri" w:hAnsi="Arial" w:cs="Arial"/>
          <w:sz w:val="22"/>
          <w:szCs w:val="22"/>
          <w:lang w:val="en-US" w:eastAsia="en-US"/>
        </w:rPr>
        <w:t xml:space="preserve"> </w:t>
      </w:r>
      <w:r w:rsidR="00EA5457" w:rsidRPr="00A15456">
        <w:rPr>
          <w:rFonts w:ascii="Arial" w:eastAsia="Calibri" w:hAnsi="Arial" w:cs="Arial"/>
          <w:sz w:val="22"/>
          <w:szCs w:val="22"/>
          <w:lang w:val="en-US" w:eastAsia="en-US"/>
        </w:rPr>
        <w:t>such as costs for</w:t>
      </w:r>
      <w:r w:rsidR="00647BD7" w:rsidRPr="00A15456">
        <w:rPr>
          <w:rFonts w:ascii="Arial" w:eastAsia="Calibri" w:hAnsi="Arial" w:cs="Arial"/>
          <w:sz w:val="22"/>
          <w:szCs w:val="22"/>
          <w:lang w:val="en-US" w:eastAsia="en-US"/>
        </w:rPr>
        <w:t xml:space="preserve"> data specialists, </w:t>
      </w:r>
      <w:r w:rsidR="009A733E" w:rsidRPr="00A15456">
        <w:rPr>
          <w:rFonts w:ascii="Arial" w:eastAsia="Calibri" w:hAnsi="Arial" w:cs="Arial"/>
          <w:sz w:val="22"/>
          <w:szCs w:val="22"/>
          <w:lang w:val="en-US" w:eastAsia="en-US"/>
        </w:rPr>
        <w:t xml:space="preserve">contract </w:t>
      </w:r>
      <w:r w:rsidR="00647BD7" w:rsidRPr="00A15456">
        <w:rPr>
          <w:rFonts w:ascii="Arial" w:eastAsia="Calibri" w:hAnsi="Arial" w:cs="Arial"/>
          <w:sz w:val="22"/>
          <w:szCs w:val="22"/>
          <w:lang w:val="en-US" w:eastAsia="en-US"/>
        </w:rPr>
        <w:t>administration</w:t>
      </w:r>
      <w:r w:rsidR="00B60ED2" w:rsidRPr="00A15456">
        <w:rPr>
          <w:rFonts w:ascii="Arial" w:eastAsia="Calibri" w:hAnsi="Arial" w:cs="Arial"/>
          <w:sz w:val="22"/>
          <w:szCs w:val="22"/>
          <w:lang w:val="en-US" w:eastAsia="en-US"/>
        </w:rPr>
        <w:t xml:space="preserve">, etc. </w:t>
      </w:r>
      <w:r w:rsidR="00EA5457" w:rsidRPr="00A15456">
        <w:rPr>
          <w:rFonts w:ascii="Arial" w:eastAsia="Calibri" w:hAnsi="Arial" w:cs="Arial"/>
          <w:sz w:val="22"/>
          <w:szCs w:val="22"/>
          <w:lang w:val="en-US" w:eastAsia="en-US"/>
        </w:rPr>
        <w:t>In addition</w:t>
      </w:r>
      <w:r w:rsidR="00B60ED2" w:rsidRPr="00A15456">
        <w:rPr>
          <w:rFonts w:ascii="Arial" w:eastAsia="Calibri" w:hAnsi="Arial" w:cs="Arial"/>
          <w:sz w:val="22"/>
          <w:szCs w:val="22"/>
          <w:lang w:val="en-US" w:eastAsia="en-US"/>
        </w:rPr>
        <w:t xml:space="preserve">, </w:t>
      </w:r>
      <w:r w:rsidR="009A733E" w:rsidRPr="00A15456">
        <w:rPr>
          <w:rFonts w:ascii="Arial" w:eastAsia="Calibri" w:hAnsi="Arial" w:cs="Arial"/>
          <w:sz w:val="22"/>
          <w:szCs w:val="22"/>
          <w:lang w:val="en-US" w:eastAsia="en-US"/>
        </w:rPr>
        <w:t xml:space="preserve">there are </w:t>
      </w:r>
      <w:r w:rsidR="00B60ED2" w:rsidRPr="00A15456">
        <w:rPr>
          <w:rFonts w:ascii="Arial" w:eastAsia="Calibri" w:hAnsi="Arial" w:cs="Arial"/>
          <w:sz w:val="22"/>
          <w:szCs w:val="22"/>
          <w:lang w:val="en-US" w:eastAsia="en-US"/>
        </w:rPr>
        <w:t xml:space="preserve">external cost of market data, e.g. </w:t>
      </w:r>
      <w:r w:rsidR="005D15F5" w:rsidRPr="00A15456">
        <w:rPr>
          <w:rFonts w:ascii="Arial" w:eastAsia="Calibri" w:hAnsi="Arial" w:cs="Arial"/>
          <w:sz w:val="22"/>
          <w:szCs w:val="22"/>
          <w:lang w:val="en-US" w:eastAsia="en-US"/>
        </w:rPr>
        <w:t xml:space="preserve">for </w:t>
      </w:r>
      <w:r w:rsidR="00B60ED2" w:rsidRPr="00A15456">
        <w:rPr>
          <w:rFonts w:ascii="Arial" w:eastAsia="Calibri" w:hAnsi="Arial" w:cs="Arial"/>
          <w:sz w:val="22"/>
          <w:szCs w:val="22"/>
          <w:lang w:val="en-US" w:eastAsia="en-US"/>
        </w:rPr>
        <w:t>data distributors</w:t>
      </w:r>
      <w:r w:rsidR="005D15F5" w:rsidRPr="00A15456">
        <w:rPr>
          <w:rFonts w:ascii="Arial" w:eastAsia="Calibri" w:hAnsi="Arial" w:cs="Arial"/>
          <w:sz w:val="22"/>
          <w:szCs w:val="22"/>
          <w:lang w:val="en-US" w:eastAsia="en-US"/>
        </w:rPr>
        <w:t>.</w:t>
      </w:r>
      <w:r w:rsidR="00B60ED2" w:rsidRPr="00A15456">
        <w:rPr>
          <w:rFonts w:ascii="Arial" w:eastAsia="Calibri" w:hAnsi="Arial" w:cs="Arial"/>
          <w:sz w:val="22"/>
          <w:szCs w:val="22"/>
          <w:lang w:val="en-US" w:eastAsia="en-US"/>
        </w:rPr>
        <w:t xml:space="preserve"> </w:t>
      </w:r>
      <w:r w:rsidR="005D15F5" w:rsidRPr="00A15456">
        <w:rPr>
          <w:rFonts w:ascii="Arial" w:eastAsia="Calibri" w:hAnsi="Arial" w:cs="Arial"/>
          <w:sz w:val="22"/>
          <w:szCs w:val="22"/>
          <w:lang w:val="en-US" w:eastAsia="en-US"/>
        </w:rPr>
        <w:t xml:space="preserve">Exchanges </w:t>
      </w:r>
      <w:r w:rsidR="009A733E" w:rsidRPr="00A15456">
        <w:rPr>
          <w:rFonts w:ascii="Arial" w:eastAsia="Calibri" w:hAnsi="Arial" w:cs="Arial"/>
          <w:sz w:val="22"/>
          <w:szCs w:val="22"/>
          <w:lang w:val="en-US" w:eastAsia="en-US"/>
        </w:rPr>
        <w:t xml:space="preserve">are only a small puzzle piece within the data industry, and they </w:t>
      </w:r>
      <w:r w:rsidR="00B60ED2" w:rsidRPr="00A15456">
        <w:rPr>
          <w:rFonts w:ascii="Arial" w:eastAsia="Calibri" w:hAnsi="Arial" w:cs="Arial"/>
          <w:sz w:val="22"/>
          <w:szCs w:val="22"/>
          <w:lang w:val="en-US" w:eastAsia="en-US"/>
        </w:rPr>
        <w:t xml:space="preserve">are not the “last mile” to the </w:t>
      </w:r>
      <w:r w:rsidR="00073C3E" w:rsidRPr="00A15456">
        <w:rPr>
          <w:rFonts w:ascii="Arial" w:eastAsia="Calibri" w:hAnsi="Arial" w:cs="Arial"/>
          <w:sz w:val="22"/>
          <w:szCs w:val="22"/>
          <w:lang w:val="en-US" w:eastAsia="en-US"/>
        </w:rPr>
        <w:t xml:space="preserve">data </w:t>
      </w:r>
      <w:r w:rsidR="00B60ED2" w:rsidRPr="00A15456">
        <w:rPr>
          <w:rFonts w:ascii="Arial" w:eastAsia="Calibri" w:hAnsi="Arial" w:cs="Arial"/>
          <w:sz w:val="22"/>
          <w:szCs w:val="22"/>
          <w:lang w:val="en-US" w:eastAsia="en-US"/>
        </w:rPr>
        <w:t xml:space="preserve">end user. </w:t>
      </w:r>
      <w:r w:rsidR="009A733E" w:rsidRPr="00A15456">
        <w:rPr>
          <w:rFonts w:ascii="Arial" w:eastAsia="Calibri" w:hAnsi="Arial" w:cs="Arial"/>
          <w:sz w:val="22"/>
          <w:szCs w:val="22"/>
          <w:lang w:val="en-US" w:eastAsia="en-US"/>
        </w:rPr>
        <w:t xml:space="preserve">In this context, </w:t>
      </w:r>
      <w:r w:rsidR="005D15F5" w:rsidRPr="00A15456">
        <w:rPr>
          <w:rFonts w:ascii="Arial" w:eastAsia="Calibri" w:hAnsi="Arial" w:cs="Arial"/>
          <w:sz w:val="22"/>
          <w:szCs w:val="22"/>
          <w:lang w:val="en-US" w:eastAsia="en-US"/>
        </w:rPr>
        <w:t>we would like</w:t>
      </w:r>
      <w:r w:rsidR="00647BD7" w:rsidRPr="00A15456">
        <w:rPr>
          <w:rFonts w:ascii="Arial" w:eastAsia="Calibri" w:hAnsi="Arial" w:cs="Arial"/>
          <w:sz w:val="22"/>
          <w:szCs w:val="22"/>
          <w:lang w:val="en-US" w:eastAsia="en-US"/>
        </w:rPr>
        <w:t xml:space="preserve"> </w:t>
      </w:r>
      <w:r w:rsidR="00B60ED2" w:rsidRPr="00A15456">
        <w:rPr>
          <w:rFonts w:ascii="Arial" w:eastAsia="Calibri" w:hAnsi="Arial" w:cs="Arial"/>
          <w:sz w:val="22"/>
          <w:szCs w:val="22"/>
          <w:lang w:val="en-US" w:eastAsia="en-US"/>
        </w:rPr>
        <w:t xml:space="preserve">to point out that </w:t>
      </w:r>
      <w:r w:rsidR="005D15F5" w:rsidRPr="00A15456">
        <w:rPr>
          <w:rFonts w:ascii="Arial" w:eastAsia="Calibri" w:hAnsi="Arial" w:cs="Arial"/>
          <w:sz w:val="22"/>
          <w:szCs w:val="22"/>
          <w:lang w:val="en-US" w:eastAsia="en-US"/>
        </w:rPr>
        <w:t xml:space="preserve">the share of </w:t>
      </w:r>
      <w:r w:rsidR="00A65294" w:rsidRPr="00A15456">
        <w:rPr>
          <w:rFonts w:ascii="Arial" w:eastAsia="Calibri" w:hAnsi="Arial" w:cs="Arial"/>
          <w:sz w:val="22"/>
          <w:szCs w:val="22"/>
          <w:lang w:val="en-US" w:eastAsia="en-US"/>
        </w:rPr>
        <w:t xml:space="preserve">EU </w:t>
      </w:r>
      <w:r w:rsidR="00B60ED2" w:rsidRPr="00A15456">
        <w:rPr>
          <w:rFonts w:ascii="Arial" w:eastAsia="Calibri" w:hAnsi="Arial" w:cs="Arial"/>
          <w:sz w:val="22"/>
          <w:szCs w:val="22"/>
          <w:lang w:val="en-US" w:eastAsia="en-US"/>
        </w:rPr>
        <w:t>exchange</w:t>
      </w:r>
      <w:r w:rsidR="001A250B" w:rsidRPr="00A15456">
        <w:rPr>
          <w:rFonts w:ascii="Arial" w:eastAsia="Calibri" w:hAnsi="Arial" w:cs="Arial"/>
          <w:sz w:val="22"/>
          <w:szCs w:val="22"/>
          <w:lang w:val="en-US" w:eastAsia="en-US"/>
        </w:rPr>
        <w:t>s</w:t>
      </w:r>
      <w:r w:rsidR="00B60ED2" w:rsidRPr="00A15456">
        <w:rPr>
          <w:rFonts w:ascii="Arial" w:eastAsia="Calibri" w:hAnsi="Arial" w:cs="Arial"/>
          <w:sz w:val="22"/>
          <w:szCs w:val="22"/>
          <w:lang w:val="en-US" w:eastAsia="en-US"/>
        </w:rPr>
        <w:t xml:space="preserve"> </w:t>
      </w:r>
      <w:r w:rsidR="005D15F5" w:rsidRPr="00A15456">
        <w:rPr>
          <w:rFonts w:ascii="Arial" w:eastAsia="Calibri" w:hAnsi="Arial" w:cs="Arial"/>
          <w:sz w:val="22"/>
          <w:szCs w:val="22"/>
          <w:lang w:val="en-US" w:eastAsia="en-US"/>
        </w:rPr>
        <w:t>in</w:t>
      </w:r>
      <w:r w:rsidR="00B60ED2" w:rsidRPr="00A15456">
        <w:rPr>
          <w:rFonts w:ascii="Arial" w:eastAsia="Calibri" w:hAnsi="Arial" w:cs="Arial"/>
          <w:sz w:val="22"/>
          <w:szCs w:val="22"/>
          <w:lang w:val="en-US" w:eastAsia="en-US"/>
        </w:rPr>
        <w:t xml:space="preserve"> </w:t>
      </w:r>
      <w:r w:rsidR="005D15F5" w:rsidRPr="00A15456">
        <w:rPr>
          <w:rFonts w:ascii="Arial" w:eastAsia="Calibri" w:hAnsi="Arial" w:cs="Arial"/>
          <w:sz w:val="22"/>
          <w:szCs w:val="22"/>
          <w:lang w:val="en-US" w:eastAsia="en-US"/>
        </w:rPr>
        <w:t xml:space="preserve">the overall financial </w:t>
      </w:r>
      <w:r w:rsidR="00B60ED2" w:rsidRPr="00A15456">
        <w:rPr>
          <w:rFonts w:ascii="Arial" w:eastAsia="Calibri" w:hAnsi="Arial" w:cs="Arial"/>
          <w:sz w:val="22"/>
          <w:szCs w:val="22"/>
          <w:lang w:val="en-US" w:eastAsia="en-US"/>
        </w:rPr>
        <w:t xml:space="preserve">market data cost </w:t>
      </w:r>
      <w:r w:rsidR="00A65294" w:rsidRPr="00A15456">
        <w:rPr>
          <w:rFonts w:ascii="Arial" w:eastAsia="Calibri" w:hAnsi="Arial" w:cs="Arial"/>
          <w:sz w:val="22"/>
          <w:szCs w:val="22"/>
          <w:lang w:val="en-US" w:eastAsia="en-US"/>
        </w:rPr>
        <w:t xml:space="preserve">is </w:t>
      </w:r>
      <w:r w:rsidR="00647BD7" w:rsidRPr="00A15456">
        <w:rPr>
          <w:rFonts w:ascii="Arial" w:eastAsia="Calibri" w:hAnsi="Arial" w:cs="Arial"/>
          <w:sz w:val="22"/>
          <w:szCs w:val="22"/>
          <w:lang w:val="en-US" w:eastAsia="en-US"/>
        </w:rPr>
        <w:t>small</w:t>
      </w:r>
      <w:r w:rsidR="00B60ED2" w:rsidRPr="00A15456">
        <w:rPr>
          <w:rFonts w:ascii="Arial" w:eastAsia="Calibri" w:hAnsi="Arial" w:cs="Arial"/>
          <w:sz w:val="22"/>
          <w:szCs w:val="22"/>
          <w:lang w:val="en-US" w:eastAsia="en-US"/>
        </w:rPr>
        <w:t>: EU exchange market data represents only 0</w:t>
      </w:r>
      <w:r w:rsidR="005D15F5" w:rsidRPr="00A15456">
        <w:rPr>
          <w:rFonts w:ascii="Arial" w:eastAsia="Calibri" w:hAnsi="Arial" w:cs="Arial"/>
          <w:sz w:val="22"/>
          <w:szCs w:val="22"/>
          <w:lang w:val="en-US" w:eastAsia="en-US"/>
        </w:rPr>
        <w:t>.</w:t>
      </w:r>
      <w:r w:rsidR="00B60ED2" w:rsidRPr="00A15456">
        <w:rPr>
          <w:rFonts w:ascii="Arial" w:eastAsia="Calibri" w:hAnsi="Arial" w:cs="Arial"/>
          <w:sz w:val="22"/>
          <w:szCs w:val="22"/>
          <w:lang w:val="en-US" w:eastAsia="en-US"/>
        </w:rPr>
        <w:t xml:space="preserve">9% </w:t>
      </w:r>
      <w:r w:rsidR="005D15F5" w:rsidRPr="00A15456">
        <w:rPr>
          <w:rFonts w:ascii="Arial" w:eastAsia="Calibri" w:hAnsi="Arial" w:cs="Arial"/>
          <w:sz w:val="22"/>
          <w:szCs w:val="22"/>
          <w:lang w:val="en-US" w:eastAsia="en-US"/>
        </w:rPr>
        <w:t xml:space="preserve">of the </w:t>
      </w:r>
      <w:r w:rsidR="00B60ED2" w:rsidRPr="00A15456">
        <w:rPr>
          <w:rFonts w:ascii="Arial" w:eastAsia="Calibri" w:hAnsi="Arial" w:cs="Arial"/>
          <w:sz w:val="22"/>
          <w:szCs w:val="22"/>
          <w:lang w:val="en-US" w:eastAsia="en-US"/>
        </w:rPr>
        <w:t>global financial market data cost</w:t>
      </w:r>
      <w:r w:rsidR="000B7B1C">
        <w:rPr>
          <w:rStyle w:val="Funotenzeichen"/>
          <w:rFonts w:eastAsia="Calibri" w:cs="Arial"/>
          <w:szCs w:val="22"/>
          <w:lang w:val="en-US" w:eastAsia="en-US"/>
        </w:rPr>
        <w:footnoteReference w:id="17"/>
      </w:r>
      <w:r w:rsidR="00B60ED2" w:rsidRPr="00A15456">
        <w:rPr>
          <w:rFonts w:ascii="Arial" w:eastAsia="Calibri" w:hAnsi="Arial" w:cs="Arial"/>
          <w:sz w:val="22"/>
          <w:szCs w:val="22"/>
          <w:lang w:val="en-US" w:eastAsia="en-US"/>
        </w:rPr>
        <w:t xml:space="preserve"> </w:t>
      </w:r>
      <w:r w:rsidR="00A65294" w:rsidRPr="009263D2">
        <w:rPr>
          <w:rFonts w:ascii="Arial" w:eastAsia="Calibri" w:hAnsi="Arial" w:cs="Arial"/>
          <w:sz w:val="22"/>
          <w:szCs w:val="22"/>
          <w:lang w:val="en-US" w:eastAsia="en-US"/>
        </w:rPr>
        <w:t>and on average 0</w:t>
      </w:r>
      <w:r w:rsidR="005D15F5" w:rsidRPr="009263D2">
        <w:rPr>
          <w:rFonts w:ascii="Arial" w:eastAsia="Calibri" w:hAnsi="Arial" w:cs="Arial"/>
          <w:sz w:val="22"/>
          <w:szCs w:val="22"/>
          <w:lang w:val="en-US" w:eastAsia="en-US"/>
        </w:rPr>
        <w:t>.</w:t>
      </w:r>
      <w:r w:rsidR="00A65294" w:rsidRPr="009263D2">
        <w:rPr>
          <w:rFonts w:ascii="Arial" w:eastAsia="Calibri" w:hAnsi="Arial" w:cs="Arial"/>
          <w:sz w:val="22"/>
          <w:szCs w:val="22"/>
          <w:lang w:val="en-US" w:eastAsia="en-US"/>
        </w:rPr>
        <w:t xml:space="preserve">5% of </w:t>
      </w:r>
      <w:r w:rsidR="005D15F5" w:rsidRPr="009263D2">
        <w:rPr>
          <w:rFonts w:ascii="Arial" w:eastAsia="Calibri" w:hAnsi="Arial" w:cs="Arial"/>
          <w:sz w:val="22"/>
          <w:szCs w:val="22"/>
          <w:lang w:val="en-US" w:eastAsia="en-US"/>
        </w:rPr>
        <w:t xml:space="preserve">the </w:t>
      </w:r>
      <w:r w:rsidR="00A65294" w:rsidRPr="009263D2">
        <w:rPr>
          <w:rFonts w:ascii="Arial" w:eastAsia="Calibri" w:hAnsi="Arial" w:cs="Arial"/>
          <w:sz w:val="22"/>
          <w:szCs w:val="22"/>
          <w:lang w:val="en-US" w:eastAsia="en-US"/>
        </w:rPr>
        <w:t>market data cost at the buy side</w:t>
      </w:r>
      <w:r w:rsidR="007618DD" w:rsidRPr="009263D2">
        <w:rPr>
          <w:rStyle w:val="Funotenzeichen"/>
          <w:rFonts w:eastAsia="Calibri" w:cs="Arial"/>
          <w:szCs w:val="22"/>
          <w:lang w:val="en-US" w:eastAsia="en-US"/>
        </w:rPr>
        <w:footnoteReference w:id="18"/>
      </w:r>
      <w:r w:rsidR="00B60ED2" w:rsidRPr="009263D2">
        <w:rPr>
          <w:rFonts w:ascii="Arial" w:eastAsia="Calibri" w:hAnsi="Arial" w:cs="Arial"/>
          <w:sz w:val="22"/>
          <w:szCs w:val="22"/>
          <w:lang w:val="en-US" w:eastAsia="en-US"/>
        </w:rPr>
        <w:t>.</w:t>
      </w:r>
      <w:r w:rsidR="005D15F5" w:rsidRPr="009263D2">
        <w:rPr>
          <w:rFonts w:ascii="Arial" w:eastAsia="Calibri" w:hAnsi="Arial" w:cs="Arial"/>
          <w:sz w:val="22"/>
          <w:szCs w:val="22"/>
          <w:lang w:val="en-US" w:eastAsia="en-US"/>
        </w:rPr>
        <w:t xml:space="preserve"> </w:t>
      </w:r>
    </w:p>
    <w:p w14:paraId="1BDD35FF" w14:textId="0F490174" w:rsidR="00470878" w:rsidRPr="00A15456" w:rsidRDefault="00A65294" w:rsidP="007601FA">
      <w:pPr>
        <w:spacing w:after="160"/>
        <w:jc w:val="both"/>
        <w:rPr>
          <w:rFonts w:ascii="Arial" w:eastAsia="Calibri" w:hAnsi="Arial" w:cs="Arial"/>
          <w:sz w:val="22"/>
          <w:szCs w:val="22"/>
          <w:lang w:val="en-US" w:eastAsia="en-US"/>
        </w:rPr>
      </w:pPr>
      <w:r w:rsidRPr="009263D2">
        <w:rPr>
          <w:rFonts w:ascii="Arial" w:eastAsia="Calibri" w:hAnsi="Arial" w:cs="Arial"/>
          <w:sz w:val="22"/>
          <w:szCs w:val="22"/>
          <w:lang w:val="en-US" w:eastAsia="en-US"/>
        </w:rPr>
        <w:t>Furthermore, i</w:t>
      </w:r>
      <w:r w:rsidR="004013D8" w:rsidRPr="009263D2">
        <w:rPr>
          <w:rFonts w:ascii="Arial" w:eastAsia="Calibri" w:hAnsi="Arial" w:cs="Arial"/>
          <w:sz w:val="22"/>
          <w:szCs w:val="22"/>
          <w:lang w:val="en-US" w:eastAsia="en-US"/>
        </w:rPr>
        <w:t>f audit</w:t>
      </w:r>
      <w:r w:rsidR="001738A1" w:rsidRPr="009263D2">
        <w:rPr>
          <w:rFonts w:ascii="Arial" w:eastAsia="Calibri" w:hAnsi="Arial" w:cs="Arial"/>
          <w:sz w:val="22"/>
          <w:szCs w:val="22"/>
          <w:lang w:val="en-US" w:eastAsia="en-US"/>
        </w:rPr>
        <w:t>s</w:t>
      </w:r>
      <w:r w:rsidR="004013D8" w:rsidRPr="009263D2">
        <w:rPr>
          <w:rFonts w:ascii="Arial" w:eastAsia="Calibri" w:hAnsi="Arial" w:cs="Arial"/>
          <w:sz w:val="22"/>
          <w:szCs w:val="22"/>
          <w:lang w:val="en-US" w:eastAsia="en-US"/>
        </w:rPr>
        <w:t xml:space="preserve"> were included </w:t>
      </w:r>
      <w:r w:rsidR="009A733E" w:rsidRPr="009263D2">
        <w:rPr>
          <w:rFonts w:ascii="Arial" w:eastAsia="Calibri" w:hAnsi="Arial" w:cs="Arial"/>
          <w:sz w:val="22"/>
          <w:szCs w:val="22"/>
          <w:lang w:val="en-US" w:eastAsia="en-US"/>
        </w:rPr>
        <w:t xml:space="preserve">in the debate to </w:t>
      </w:r>
      <w:r w:rsidR="004013D8" w:rsidRPr="009263D2">
        <w:rPr>
          <w:rFonts w:ascii="Arial" w:eastAsia="Calibri" w:hAnsi="Arial" w:cs="Arial"/>
          <w:sz w:val="22"/>
          <w:szCs w:val="22"/>
          <w:lang w:val="en-US" w:eastAsia="en-US"/>
        </w:rPr>
        <w:t xml:space="preserve">add to “cost of market data”, the high quality of exchange data should be accounted for </w:t>
      </w:r>
      <w:r w:rsidR="009A733E" w:rsidRPr="009263D2">
        <w:rPr>
          <w:rFonts w:ascii="Arial" w:eastAsia="Calibri" w:hAnsi="Arial" w:cs="Arial"/>
          <w:sz w:val="22"/>
          <w:szCs w:val="22"/>
          <w:lang w:val="en-US" w:eastAsia="en-US"/>
        </w:rPr>
        <w:t>as well</w:t>
      </w:r>
      <w:r w:rsidR="004013D8" w:rsidRPr="009263D2">
        <w:rPr>
          <w:rFonts w:ascii="Arial" w:eastAsia="Calibri" w:hAnsi="Arial" w:cs="Arial"/>
          <w:sz w:val="22"/>
          <w:szCs w:val="22"/>
          <w:lang w:val="en-US" w:eastAsia="en-US"/>
        </w:rPr>
        <w:t xml:space="preserve">, as </w:t>
      </w:r>
      <w:r w:rsidRPr="009263D2">
        <w:rPr>
          <w:rFonts w:ascii="Arial" w:eastAsia="Calibri" w:hAnsi="Arial" w:cs="Arial"/>
          <w:sz w:val="22"/>
          <w:szCs w:val="22"/>
          <w:lang w:val="en-US" w:eastAsia="en-US"/>
        </w:rPr>
        <w:t xml:space="preserve">its use is </w:t>
      </w:r>
      <w:r w:rsidR="004013D8" w:rsidRPr="009263D2">
        <w:rPr>
          <w:rFonts w:ascii="Arial" w:eastAsia="Calibri" w:hAnsi="Arial" w:cs="Arial"/>
          <w:sz w:val="22"/>
          <w:szCs w:val="22"/>
          <w:lang w:val="en-US" w:eastAsia="en-US"/>
        </w:rPr>
        <w:t>reducing cost of market data on customer site. This is due to the fact</w:t>
      </w:r>
      <w:r w:rsidR="00B60ED2" w:rsidRPr="009263D2">
        <w:rPr>
          <w:rFonts w:ascii="Arial" w:eastAsia="Calibri" w:hAnsi="Arial" w:cs="Arial"/>
          <w:sz w:val="22"/>
          <w:szCs w:val="22"/>
          <w:lang w:val="en-US" w:eastAsia="en-US"/>
        </w:rPr>
        <w:t>,</w:t>
      </w:r>
      <w:r w:rsidR="004013D8" w:rsidRPr="009263D2">
        <w:rPr>
          <w:rFonts w:ascii="Arial" w:eastAsia="Calibri" w:hAnsi="Arial" w:cs="Arial"/>
          <w:sz w:val="22"/>
          <w:szCs w:val="22"/>
          <w:lang w:val="en-US" w:eastAsia="en-US"/>
        </w:rPr>
        <w:t xml:space="preserve"> that data are 100% reliable and trustworthy and would not require additional cleansing work</w:t>
      </w:r>
      <w:r w:rsidR="00063980" w:rsidRPr="009263D2">
        <w:rPr>
          <w:rFonts w:ascii="Arial" w:eastAsia="Calibri" w:hAnsi="Arial" w:cs="Arial"/>
          <w:sz w:val="22"/>
          <w:szCs w:val="22"/>
          <w:lang w:val="en-US" w:eastAsia="en-US"/>
        </w:rPr>
        <w:t>,</w:t>
      </w:r>
      <w:r w:rsidR="004013D8" w:rsidRPr="009263D2">
        <w:rPr>
          <w:rFonts w:ascii="Arial" w:eastAsia="Calibri" w:hAnsi="Arial" w:cs="Arial"/>
          <w:sz w:val="22"/>
          <w:szCs w:val="22"/>
          <w:lang w:val="en-US" w:eastAsia="en-US"/>
        </w:rPr>
        <w:t xml:space="preserve"> nor would there be any other costly impacts which may </w:t>
      </w:r>
      <w:r w:rsidR="00C1184C" w:rsidRPr="009263D2">
        <w:rPr>
          <w:rFonts w:ascii="Arial" w:eastAsia="Calibri" w:hAnsi="Arial" w:cs="Arial"/>
          <w:sz w:val="22"/>
          <w:szCs w:val="22"/>
          <w:lang w:val="en-US" w:eastAsia="en-US"/>
        </w:rPr>
        <w:t xml:space="preserve">result from the </w:t>
      </w:r>
      <w:r w:rsidR="004013D8" w:rsidRPr="009263D2">
        <w:rPr>
          <w:rFonts w:ascii="Arial" w:eastAsia="Calibri" w:hAnsi="Arial" w:cs="Arial"/>
          <w:sz w:val="22"/>
          <w:szCs w:val="22"/>
          <w:lang w:val="en-US" w:eastAsia="en-US"/>
        </w:rPr>
        <w:t>use of bad data either</w:t>
      </w:r>
      <w:r w:rsidR="007618DD" w:rsidRPr="009263D2">
        <w:rPr>
          <w:rStyle w:val="Funotenzeichen"/>
          <w:rFonts w:eastAsia="Calibri" w:cs="Arial"/>
          <w:szCs w:val="22"/>
          <w:lang w:val="en-US" w:eastAsia="en-US"/>
        </w:rPr>
        <w:footnoteReference w:id="19"/>
      </w:r>
      <w:r w:rsidR="007618DD" w:rsidRPr="009263D2">
        <w:rPr>
          <w:rFonts w:ascii="Arial" w:eastAsia="Calibri" w:hAnsi="Arial" w:cs="Arial"/>
          <w:sz w:val="22"/>
          <w:szCs w:val="22"/>
          <w:lang w:val="en-US" w:eastAsia="en-US"/>
        </w:rPr>
        <w:t>.</w:t>
      </w:r>
    </w:p>
    <w:p w14:paraId="42CED012" w14:textId="77777777"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&lt;ESMA_QUESTION_GOMD_5&gt;</w:t>
      </w:r>
    </w:p>
    <w:p w14:paraId="131109A6" w14:textId="77777777" w:rsidR="00984423" w:rsidRPr="00A15456" w:rsidRDefault="00984423" w:rsidP="00984423">
      <w:pPr>
        <w:spacing w:after="160" w:line="259" w:lineRule="auto"/>
        <w:rPr>
          <w:rFonts w:ascii="Arial" w:eastAsia="Calibri" w:hAnsi="Arial" w:cs="Arial"/>
          <w:sz w:val="22"/>
          <w:szCs w:val="22"/>
          <w:lang w:val="en-US" w:eastAsia="en-US"/>
        </w:rPr>
      </w:pPr>
    </w:p>
    <w:p w14:paraId="0FABE73F"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50D3095E" w14:textId="77777777"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&lt;ESMA_QUESTION_GOMD_6&gt;</w:t>
      </w:r>
    </w:p>
    <w:p w14:paraId="6E3486F8" w14:textId="1F752004" w:rsidR="004B0B76" w:rsidRDefault="004B0B76" w:rsidP="007601FA">
      <w:pPr>
        <w:pStyle w:val="Default"/>
        <w:spacing w:after="160"/>
        <w:jc w:val="both"/>
        <w:rPr>
          <w:color w:val="auto"/>
          <w:sz w:val="22"/>
          <w:szCs w:val="22"/>
        </w:rPr>
      </w:pPr>
      <w:r w:rsidRPr="00F6575F">
        <w:rPr>
          <w:color w:val="auto"/>
          <w:sz w:val="22"/>
          <w:szCs w:val="22"/>
        </w:rPr>
        <w:t xml:space="preserve">DBG understands that ESMA intends to a) reduce the categories of customers, and b) aims to ensure that the creation of categories “is grounded on objective reasons </w:t>
      </w:r>
      <w:r w:rsidRPr="00F6575F">
        <w:rPr>
          <w:b/>
          <w:bCs/>
          <w:color w:val="auto"/>
          <w:sz w:val="22"/>
          <w:szCs w:val="22"/>
        </w:rPr>
        <w:t>and not only on the value represented by the data to the customer</w:t>
      </w:r>
      <w:r w:rsidRPr="00F6575F">
        <w:rPr>
          <w:color w:val="auto"/>
          <w:sz w:val="22"/>
          <w:szCs w:val="22"/>
        </w:rPr>
        <w:t>” (point 40 in ESMA’s consultation paper)</w:t>
      </w:r>
      <w:r w:rsidR="00A15456">
        <w:rPr>
          <w:color w:val="auto"/>
          <w:sz w:val="22"/>
          <w:szCs w:val="22"/>
        </w:rPr>
        <w:t>.</w:t>
      </w:r>
    </w:p>
    <w:p w14:paraId="00B4B201" w14:textId="534D4D63" w:rsidR="00117413" w:rsidRPr="009263D2" w:rsidRDefault="00483D35" w:rsidP="007601FA">
      <w:pPr>
        <w:pStyle w:val="Default"/>
        <w:spacing w:after="160"/>
        <w:jc w:val="both"/>
        <w:rPr>
          <w:color w:val="auto"/>
          <w:sz w:val="22"/>
          <w:szCs w:val="22"/>
        </w:rPr>
      </w:pPr>
      <w:r w:rsidRPr="00F6575F">
        <w:rPr>
          <w:color w:val="auto"/>
          <w:sz w:val="22"/>
          <w:szCs w:val="22"/>
        </w:rPr>
        <w:t xml:space="preserve">DBG </w:t>
      </w:r>
      <w:r w:rsidR="00695441" w:rsidRPr="00F6575F">
        <w:rPr>
          <w:color w:val="auto"/>
          <w:sz w:val="22"/>
          <w:szCs w:val="22"/>
        </w:rPr>
        <w:t xml:space="preserve">appreciates and supports </w:t>
      </w:r>
      <w:r w:rsidR="00D464B6" w:rsidRPr="00F6575F">
        <w:rPr>
          <w:color w:val="auto"/>
          <w:sz w:val="22"/>
          <w:szCs w:val="22"/>
        </w:rPr>
        <w:t xml:space="preserve">ESMA’s </w:t>
      </w:r>
      <w:r w:rsidR="00695441" w:rsidRPr="00F6575F">
        <w:rPr>
          <w:color w:val="auto"/>
          <w:sz w:val="22"/>
          <w:szCs w:val="22"/>
        </w:rPr>
        <w:t>suggestion for a clear and verifiable definition of customer groups,</w:t>
      </w:r>
      <w:r w:rsidR="002D07B1" w:rsidRPr="00F6575F">
        <w:rPr>
          <w:color w:val="auto"/>
          <w:sz w:val="22"/>
          <w:szCs w:val="22"/>
        </w:rPr>
        <w:t xml:space="preserve"> which is easily accessible to the public and </w:t>
      </w:r>
      <w:r w:rsidR="000535FC" w:rsidRPr="00F6575F">
        <w:rPr>
          <w:color w:val="auto"/>
          <w:sz w:val="22"/>
          <w:szCs w:val="22"/>
        </w:rPr>
        <w:t xml:space="preserve">further </w:t>
      </w:r>
      <w:r w:rsidR="002D07B1" w:rsidRPr="00F6575F">
        <w:rPr>
          <w:color w:val="auto"/>
          <w:sz w:val="22"/>
          <w:szCs w:val="22"/>
        </w:rPr>
        <w:t>supports contracting parties in their understanding of contractual requirements</w:t>
      </w:r>
      <w:r w:rsidR="004B0B76">
        <w:rPr>
          <w:color w:val="auto"/>
          <w:sz w:val="22"/>
          <w:szCs w:val="22"/>
        </w:rPr>
        <w:t xml:space="preserve"> (point b in ESMA’s consultation paper)</w:t>
      </w:r>
      <w:r w:rsidR="00695441" w:rsidRPr="00F6575F">
        <w:rPr>
          <w:color w:val="auto"/>
          <w:sz w:val="22"/>
          <w:szCs w:val="22"/>
        </w:rPr>
        <w:t xml:space="preserve">. </w:t>
      </w:r>
      <w:r w:rsidR="00117413" w:rsidRPr="00F6575F">
        <w:rPr>
          <w:color w:val="auto"/>
          <w:sz w:val="22"/>
          <w:szCs w:val="22"/>
        </w:rPr>
        <w:t xml:space="preserve">We </w:t>
      </w:r>
      <w:r w:rsidR="000535FC" w:rsidRPr="00F6575F">
        <w:rPr>
          <w:color w:val="auto"/>
          <w:sz w:val="22"/>
          <w:szCs w:val="22"/>
        </w:rPr>
        <w:t xml:space="preserve">as well strongly </w:t>
      </w:r>
      <w:r w:rsidR="00117413" w:rsidRPr="00F6575F">
        <w:rPr>
          <w:color w:val="auto"/>
          <w:sz w:val="22"/>
          <w:szCs w:val="22"/>
        </w:rPr>
        <w:t xml:space="preserve">appreciate </w:t>
      </w:r>
      <w:r w:rsidR="00D464B6" w:rsidRPr="00F6575F">
        <w:rPr>
          <w:color w:val="auto"/>
          <w:sz w:val="22"/>
          <w:szCs w:val="22"/>
        </w:rPr>
        <w:t xml:space="preserve">ESMA’s </w:t>
      </w:r>
      <w:r w:rsidR="00117413" w:rsidRPr="00F6575F">
        <w:rPr>
          <w:color w:val="auto"/>
          <w:sz w:val="22"/>
          <w:szCs w:val="22"/>
        </w:rPr>
        <w:t xml:space="preserve">suggestion that data providers shall motivate any differentiations between each category of customers.. </w:t>
      </w:r>
      <w:r w:rsidR="000535FC" w:rsidRPr="00F6575F">
        <w:rPr>
          <w:color w:val="auto"/>
          <w:sz w:val="22"/>
          <w:szCs w:val="22"/>
        </w:rPr>
        <w:t xml:space="preserve">We understand </w:t>
      </w:r>
      <w:r w:rsidR="00102E90" w:rsidRPr="00F6575F">
        <w:rPr>
          <w:color w:val="auto"/>
          <w:sz w:val="22"/>
          <w:szCs w:val="22"/>
        </w:rPr>
        <w:t xml:space="preserve">and </w:t>
      </w:r>
      <w:r w:rsidR="004B0B76">
        <w:rPr>
          <w:color w:val="auto"/>
          <w:sz w:val="22"/>
          <w:szCs w:val="22"/>
        </w:rPr>
        <w:t xml:space="preserve">explicitly </w:t>
      </w:r>
      <w:r w:rsidR="00102E90" w:rsidRPr="00F6575F">
        <w:rPr>
          <w:color w:val="auto"/>
          <w:sz w:val="22"/>
          <w:szCs w:val="22"/>
        </w:rPr>
        <w:lastRenderedPageBreak/>
        <w:t xml:space="preserve">appreciate </w:t>
      </w:r>
      <w:r w:rsidR="000535FC" w:rsidRPr="00F6575F">
        <w:rPr>
          <w:color w:val="auto"/>
          <w:sz w:val="22"/>
          <w:szCs w:val="22"/>
        </w:rPr>
        <w:t xml:space="preserve">that ESMA continues to support pricing </w:t>
      </w:r>
      <w:r w:rsidR="00AB0227" w:rsidRPr="00F6575F">
        <w:rPr>
          <w:color w:val="auto"/>
          <w:sz w:val="22"/>
          <w:szCs w:val="22"/>
        </w:rPr>
        <w:t>based on</w:t>
      </w:r>
      <w:r w:rsidR="000535FC" w:rsidRPr="00F6575F">
        <w:rPr>
          <w:color w:val="auto"/>
          <w:sz w:val="22"/>
          <w:szCs w:val="22"/>
        </w:rPr>
        <w:t xml:space="preserve"> the value the data presents to the users</w:t>
      </w:r>
      <w:r w:rsidR="00102E90" w:rsidRPr="00F6575F">
        <w:rPr>
          <w:color w:val="auto"/>
          <w:sz w:val="22"/>
          <w:szCs w:val="22"/>
        </w:rPr>
        <w:t>, which</w:t>
      </w:r>
      <w:r w:rsidR="000535FC" w:rsidRPr="00F6575F">
        <w:rPr>
          <w:color w:val="auto"/>
          <w:sz w:val="22"/>
          <w:szCs w:val="22"/>
        </w:rPr>
        <w:t xml:space="preserve"> is </w:t>
      </w:r>
      <w:r w:rsidR="00102E90" w:rsidRPr="00F6575F">
        <w:rPr>
          <w:color w:val="auto"/>
          <w:sz w:val="22"/>
          <w:szCs w:val="22"/>
        </w:rPr>
        <w:t xml:space="preserve">fully </w:t>
      </w:r>
      <w:r w:rsidR="000535FC" w:rsidRPr="00F6575F">
        <w:rPr>
          <w:color w:val="auto"/>
          <w:sz w:val="22"/>
          <w:szCs w:val="22"/>
        </w:rPr>
        <w:t xml:space="preserve">in line with </w:t>
      </w:r>
      <w:r w:rsidR="000535FC" w:rsidRPr="009263D2">
        <w:rPr>
          <w:color w:val="auto"/>
          <w:sz w:val="22"/>
          <w:szCs w:val="22"/>
        </w:rPr>
        <w:t>economic literature in this respect</w:t>
      </w:r>
      <w:r w:rsidR="007618DD" w:rsidRPr="009263D2">
        <w:rPr>
          <w:rStyle w:val="Funotenzeichen"/>
          <w:color w:val="auto"/>
          <w:szCs w:val="22"/>
        </w:rPr>
        <w:footnoteReference w:id="20"/>
      </w:r>
      <w:r w:rsidR="00FA7D4E">
        <w:rPr>
          <w:color w:val="auto"/>
          <w:sz w:val="22"/>
          <w:szCs w:val="22"/>
        </w:rPr>
        <w:t xml:space="preserve"> </w:t>
      </w:r>
      <w:r w:rsidR="007618DD" w:rsidRPr="009263D2">
        <w:rPr>
          <w:rStyle w:val="Funotenzeichen"/>
          <w:color w:val="auto"/>
          <w:szCs w:val="22"/>
        </w:rPr>
        <w:footnoteReference w:id="21"/>
      </w:r>
      <w:r w:rsidR="00FA7D4E">
        <w:rPr>
          <w:color w:val="auto"/>
          <w:sz w:val="22"/>
          <w:szCs w:val="22"/>
        </w:rPr>
        <w:t>,</w:t>
      </w:r>
      <w:r w:rsidR="00A946E6">
        <w:rPr>
          <w:color w:val="auto"/>
          <w:sz w:val="22"/>
          <w:szCs w:val="22"/>
        </w:rPr>
        <w:t xml:space="preserve"> increasing social welfare and ensuring broad availability of data within the markets, resulting in transparent and efficient markets</w:t>
      </w:r>
      <w:r w:rsidR="000535FC" w:rsidRPr="009263D2">
        <w:rPr>
          <w:color w:val="auto"/>
          <w:sz w:val="22"/>
          <w:szCs w:val="22"/>
        </w:rPr>
        <w:t>.</w:t>
      </w:r>
    </w:p>
    <w:p w14:paraId="5529C22B" w14:textId="15197F80" w:rsidR="000535FC" w:rsidRPr="00F6575F" w:rsidRDefault="004B0B76" w:rsidP="007601FA">
      <w:pPr>
        <w:pStyle w:val="Default"/>
        <w:spacing w:after="160"/>
        <w:jc w:val="both"/>
        <w:rPr>
          <w:sz w:val="22"/>
          <w:szCs w:val="22"/>
        </w:rPr>
      </w:pPr>
      <w:r w:rsidRPr="009263D2">
        <w:rPr>
          <w:sz w:val="22"/>
          <w:szCs w:val="22"/>
        </w:rPr>
        <w:t>As regards to ESMA’s point a) and taking into account the value data provides to its user, we would like to state the following: e</w:t>
      </w:r>
      <w:r w:rsidR="00117413" w:rsidRPr="009263D2">
        <w:rPr>
          <w:sz w:val="22"/>
          <w:szCs w:val="22"/>
        </w:rPr>
        <w:t>xchange market data licensing structures reflect the complex market structure itself and are aiming towards a fair, usage orientated pricing</w:t>
      </w:r>
      <w:r w:rsidR="002E4491" w:rsidRPr="009263D2">
        <w:rPr>
          <w:rStyle w:val="Funotenzeichen"/>
          <w:szCs w:val="22"/>
        </w:rPr>
        <w:footnoteReference w:id="22"/>
      </w:r>
      <w:r w:rsidR="00A946E6">
        <w:rPr>
          <w:sz w:val="22"/>
          <w:szCs w:val="22"/>
        </w:rPr>
        <w:t xml:space="preserve">while offering choice </w:t>
      </w:r>
      <w:r w:rsidR="00117413" w:rsidRPr="009263D2">
        <w:rPr>
          <w:sz w:val="22"/>
          <w:szCs w:val="22"/>
        </w:rPr>
        <w:t>. A private investor checking the overall value of his portfolio obviously derives less value for the use of the data, compared to an index provider calculating indices on basis of exchange market data and as such establishing a valuable business on exchange data for the benefit of investors, or a start-up MTF using Xetra real-time market data starting at EUR 4280,-- p.m. to effectively compete with one of the largest exchanges in the EU. Those licensing structures are fully in line with economic literatur</w:t>
      </w:r>
      <w:r w:rsidR="002E4491" w:rsidRPr="009263D2">
        <w:rPr>
          <w:sz w:val="22"/>
          <w:szCs w:val="22"/>
        </w:rPr>
        <w:t>e</w:t>
      </w:r>
      <w:r w:rsidR="002E4491" w:rsidRPr="009263D2">
        <w:rPr>
          <w:rStyle w:val="Funotenzeichen"/>
          <w:szCs w:val="22"/>
        </w:rPr>
        <w:footnoteReference w:id="23"/>
      </w:r>
      <w:r w:rsidR="00117413" w:rsidRPr="00F6575F">
        <w:rPr>
          <w:i/>
          <w:iCs/>
          <w:sz w:val="13"/>
          <w:szCs w:val="13"/>
        </w:rPr>
        <w:t xml:space="preserve"> </w:t>
      </w:r>
      <w:r w:rsidR="00117413" w:rsidRPr="00F6575F">
        <w:rPr>
          <w:sz w:val="22"/>
          <w:szCs w:val="22"/>
        </w:rPr>
        <w:t xml:space="preserve">as well as regulatory requirements under MiFIR as lined out in Article 8 of Delegated Regulation 2017/567. Regulation allows </w:t>
      </w:r>
      <w:r w:rsidR="00117413" w:rsidRPr="00A15456">
        <w:rPr>
          <w:sz w:val="22"/>
          <w:szCs w:val="22"/>
        </w:rPr>
        <w:t>market</w:t>
      </w:r>
      <w:r w:rsidR="00117413" w:rsidRPr="00F6575F">
        <w:rPr>
          <w:sz w:val="22"/>
          <w:szCs w:val="22"/>
        </w:rPr>
        <w:t xml:space="preserve"> operators to distinguish between different categories of customers and to take the value into account which the market data has for the respective customers. In contrast, flat fee models might not be in line with the requirements stipulated by the above mentioned Article 8</w:t>
      </w:r>
      <w:r w:rsidR="00E25EA6" w:rsidRPr="00F6575F">
        <w:rPr>
          <w:sz w:val="22"/>
          <w:szCs w:val="22"/>
        </w:rPr>
        <w:t xml:space="preserve"> as well as Articles 3, </w:t>
      </w:r>
      <w:r w:rsidR="00D7258C" w:rsidRPr="00F6575F">
        <w:rPr>
          <w:sz w:val="22"/>
          <w:szCs w:val="22"/>
        </w:rPr>
        <w:t>6, 10,13</w:t>
      </w:r>
      <w:r w:rsidR="00117413" w:rsidRPr="00F6575F">
        <w:rPr>
          <w:sz w:val="22"/>
          <w:szCs w:val="22"/>
        </w:rPr>
        <w:t xml:space="preserve"> </w:t>
      </w:r>
      <w:r w:rsidR="00E25EA6" w:rsidRPr="00856F02">
        <w:rPr>
          <w:sz w:val="22"/>
          <w:szCs w:val="22"/>
        </w:rPr>
        <w:t xml:space="preserve">MiFIR </w:t>
      </w:r>
      <w:r w:rsidR="00117413" w:rsidRPr="00F6575F">
        <w:rPr>
          <w:sz w:val="22"/>
          <w:szCs w:val="22"/>
        </w:rPr>
        <w:t xml:space="preserve">and would significantly disadvantage smaller users (such as private investors) to the benefit of larger users (e.g. </w:t>
      </w:r>
      <w:r w:rsidR="00A946E6">
        <w:rPr>
          <w:sz w:val="22"/>
          <w:szCs w:val="22"/>
        </w:rPr>
        <w:t xml:space="preserve">large </w:t>
      </w:r>
      <w:r w:rsidR="00117413" w:rsidRPr="00F6575F">
        <w:rPr>
          <w:sz w:val="22"/>
          <w:szCs w:val="22"/>
        </w:rPr>
        <w:t>professionals) and either lead to less transparency (in case of private investors to pay the same as professional investors), or to significant shortfalls in exchange revenues (in case professional investors, or index providers would pay the same as private investors</w:t>
      </w:r>
      <w:r w:rsidR="00117413" w:rsidRPr="009263D2">
        <w:rPr>
          <w:sz w:val="22"/>
          <w:szCs w:val="22"/>
        </w:rPr>
        <w:t xml:space="preserve">). </w:t>
      </w:r>
      <w:r w:rsidR="000535FC" w:rsidRPr="009263D2">
        <w:rPr>
          <w:sz w:val="22"/>
          <w:szCs w:val="22"/>
        </w:rPr>
        <w:t xml:space="preserve">Furthermore, we deem it important as well to </w:t>
      </w:r>
      <w:r w:rsidR="00102E90" w:rsidRPr="009263D2">
        <w:rPr>
          <w:sz w:val="22"/>
          <w:szCs w:val="22"/>
        </w:rPr>
        <w:t>explicitly line out</w:t>
      </w:r>
      <w:r w:rsidR="000535FC" w:rsidRPr="009263D2">
        <w:rPr>
          <w:sz w:val="22"/>
          <w:szCs w:val="22"/>
        </w:rPr>
        <w:t xml:space="preserve">, that the way the current regulation allows price discrimination is beneficial </w:t>
      </w:r>
      <w:r w:rsidR="00102E90" w:rsidRPr="009263D2">
        <w:rPr>
          <w:sz w:val="22"/>
          <w:szCs w:val="22"/>
        </w:rPr>
        <w:t>to</w:t>
      </w:r>
      <w:r w:rsidR="000535FC" w:rsidRPr="009263D2">
        <w:rPr>
          <w:sz w:val="22"/>
          <w:szCs w:val="22"/>
        </w:rPr>
        <w:t xml:space="preserve"> social welfare</w:t>
      </w:r>
      <w:r w:rsidR="002E4491" w:rsidRPr="009263D2">
        <w:rPr>
          <w:rStyle w:val="Funotenzeichen"/>
          <w:szCs w:val="22"/>
        </w:rPr>
        <w:footnoteReference w:id="24"/>
      </w:r>
      <w:r w:rsidR="000535FC" w:rsidRPr="009263D2">
        <w:rPr>
          <w:sz w:val="22"/>
          <w:szCs w:val="22"/>
        </w:rPr>
        <w:t xml:space="preserve"> . Those companies, which are large and use data comprehensively in multiple ways and roles pay accordingly to their use, while smaller companies are paying less, and private investors, even less. We therefore need to emphasize that the connotation to pricing according to the value</w:t>
      </w:r>
      <w:r w:rsidR="000535FC" w:rsidRPr="00F6575F">
        <w:rPr>
          <w:sz w:val="22"/>
          <w:szCs w:val="22"/>
        </w:rPr>
        <w:t xml:space="preserve"> of data it represents to its user, is an important one under social welfare aspects as well and needs to prevail and be acknowledged by regulators.</w:t>
      </w:r>
      <w:r w:rsidR="00C94A1A" w:rsidRPr="00F6575F">
        <w:rPr>
          <w:sz w:val="22"/>
          <w:szCs w:val="22"/>
        </w:rPr>
        <w:t xml:space="preserve"> </w:t>
      </w:r>
      <w:r w:rsidR="000535FC" w:rsidRPr="00F6575F">
        <w:rPr>
          <w:color w:val="auto"/>
          <w:sz w:val="22"/>
          <w:szCs w:val="22"/>
        </w:rPr>
        <w:t xml:space="preserve">In this context, we would like to mention that other areas of law allow licensors to take the value of the licensed </w:t>
      </w:r>
      <w:r w:rsidR="000535FC" w:rsidRPr="009263D2">
        <w:rPr>
          <w:color w:val="auto"/>
          <w:sz w:val="22"/>
          <w:szCs w:val="22"/>
        </w:rPr>
        <w:t>product into account. It has been held by the European Court of Justice</w:t>
      </w:r>
      <w:r w:rsidR="004C03AA" w:rsidRPr="009263D2">
        <w:rPr>
          <w:rStyle w:val="Funotenzeichen"/>
          <w:color w:val="auto"/>
          <w:szCs w:val="22"/>
        </w:rPr>
        <w:footnoteReference w:id="25"/>
      </w:r>
      <w:r w:rsidR="000535FC" w:rsidRPr="009263D2">
        <w:rPr>
          <w:color w:val="auto"/>
          <w:sz w:val="22"/>
          <w:szCs w:val="22"/>
        </w:rPr>
        <w:t xml:space="preserve"> that it may constitute an abuse of a market dominant position if the price charged by an undertaking has “no reasonable relation to the economic value of the product supplied”. The common interpretation of this</w:t>
      </w:r>
      <w:r w:rsidR="000535FC" w:rsidRPr="00F6575F">
        <w:rPr>
          <w:color w:val="auto"/>
          <w:sz w:val="22"/>
          <w:szCs w:val="22"/>
        </w:rPr>
        <w:t xml:space="preserve"> wording is that the value of a product/service for a client may be taken into account when setting the price for the product/service. </w:t>
      </w:r>
      <w:r w:rsidR="00A562E1" w:rsidRPr="00F6575F">
        <w:rPr>
          <w:color w:val="auto"/>
          <w:sz w:val="22"/>
          <w:szCs w:val="22"/>
        </w:rPr>
        <w:t xml:space="preserve">It </w:t>
      </w:r>
      <w:r w:rsidR="00CA1214" w:rsidRPr="00F6575F">
        <w:rPr>
          <w:color w:val="auto"/>
          <w:sz w:val="22"/>
          <w:szCs w:val="22"/>
        </w:rPr>
        <w:t xml:space="preserve">is </w:t>
      </w:r>
      <w:r w:rsidR="00A562E1" w:rsidRPr="00F6575F">
        <w:rPr>
          <w:color w:val="auto"/>
          <w:sz w:val="22"/>
          <w:szCs w:val="22"/>
        </w:rPr>
        <w:t xml:space="preserve">proportionate and in line with the legal requirement that a </w:t>
      </w:r>
      <w:r w:rsidR="000535FC" w:rsidRPr="00F6575F">
        <w:rPr>
          <w:color w:val="auto"/>
          <w:sz w:val="22"/>
          <w:szCs w:val="22"/>
        </w:rPr>
        <w:t xml:space="preserve">client who </w:t>
      </w:r>
      <w:r w:rsidR="00B93399" w:rsidRPr="00F6575F">
        <w:rPr>
          <w:color w:val="auto"/>
          <w:sz w:val="22"/>
          <w:szCs w:val="22"/>
        </w:rPr>
        <w:t xml:space="preserve">generates significant commercial value from </w:t>
      </w:r>
      <w:r w:rsidR="000535FC" w:rsidRPr="00F6575F">
        <w:rPr>
          <w:color w:val="auto"/>
          <w:sz w:val="22"/>
          <w:szCs w:val="22"/>
        </w:rPr>
        <w:t xml:space="preserve">the use of the data </w:t>
      </w:r>
      <w:r w:rsidR="00A562E1" w:rsidRPr="00F6575F">
        <w:rPr>
          <w:color w:val="auto"/>
          <w:sz w:val="22"/>
          <w:szCs w:val="22"/>
        </w:rPr>
        <w:t>is</w:t>
      </w:r>
      <w:r w:rsidR="000535FC" w:rsidRPr="00F6575F">
        <w:rPr>
          <w:color w:val="auto"/>
          <w:sz w:val="22"/>
          <w:szCs w:val="22"/>
        </w:rPr>
        <w:t xml:space="preserve"> priced differently from clients who only use the data for non-profit/internal purposes.</w:t>
      </w:r>
    </w:p>
    <w:p w14:paraId="77630E1D" w14:textId="0E37AB86" w:rsidR="000535FC" w:rsidRPr="00F6575F" w:rsidRDefault="00695441" w:rsidP="007601FA">
      <w:pPr>
        <w:pStyle w:val="Default"/>
        <w:spacing w:after="160"/>
        <w:jc w:val="both"/>
        <w:rPr>
          <w:color w:val="auto"/>
          <w:sz w:val="22"/>
          <w:szCs w:val="22"/>
        </w:rPr>
      </w:pPr>
      <w:r w:rsidRPr="00F6575F">
        <w:rPr>
          <w:color w:val="auto"/>
          <w:sz w:val="22"/>
          <w:szCs w:val="22"/>
        </w:rPr>
        <w:t xml:space="preserve">While we </w:t>
      </w:r>
      <w:r w:rsidR="002D07B1" w:rsidRPr="00F6575F">
        <w:rPr>
          <w:color w:val="auto"/>
          <w:sz w:val="22"/>
          <w:szCs w:val="22"/>
        </w:rPr>
        <w:t xml:space="preserve">generally </w:t>
      </w:r>
      <w:r w:rsidR="00C94A1A" w:rsidRPr="00F6575F">
        <w:rPr>
          <w:color w:val="auto"/>
          <w:sz w:val="22"/>
          <w:szCs w:val="22"/>
        </w:rPr>
        <w:t xml:space="preserve">support </w:t>
      </w:r>
      <w:r w:rsidR="00D464B6" w:rsidRPr="00F6575F">
        <w:rPr>
          <w:color w:val="auto"/>
          <w:sz w:val="22"/>
          <w:szCs w:val="22"/>
        </w:rPr>
        <w:t xml:space="preserve">ESMA’s </w:t>
      </w:r>
      <w:r w:rsidR="00483D35" w:rsidRPr="00F6575F">
        <w:rPr>
          <w:color w:val="auto"/>
          <w:sz w:val="22"/>
          <w:szCs w:val="22"/>
        </w:rPr>
        <w:t xml:space="preserve">proposal as regards </w:t>
      </w:r>
      <w:r w:rsidR="000535FC" w:rsidRPr="00F6575F">
        <w:rPr>
          <w:color w:val="auto"/>
          <w:sz w:val="22"/>
          <w:szCs w:val="22"/>
        </w:rPr>
        <w:t>G</w:t>
      </w:r>
      <w:r w:rsidR="00483D35" w:rsidRPr="00F6575F">
        <w:rPr>
          <w:color w:val="auto"/>
          <w:sz w:val="22"/>
          <w:szCs w:val="22"/>
        </w:rPr>
        <w:t xml:space="preserve">uideline </w:t>
      </w:r>
      <w:r w:rsidR="004F4B90" w:rsidRPr="00F6575F">
        <w:rPr>
          <w:color w:val="auto"/>
          <w:sz w:val="22"/>
          <w:szCs w:val="22"/>
        </w:rPr>
        <w:t>3</w:t>
      </w:r>
      <w:r w:rsidRPr="00F6575F">
        <w:rPr>
          <w:color w:val="auto"/>
          <w:sz w:val="22"/>
          <w:szCs w:val="22"/>
        </w:rPr>
        <w:t xml:space="preserve">, </w:t>
      </w:r>
      <w:r w:rsidR="00D6252A" w:rsidRPr="00F6575F">
        <w:rPr>
          <w:color w:val="auto"/>
          <w:sz w:val="22"/>
          <w:szCs w:val="22"/>
        </w:rPr>
        <w:t xml:space="preserve">DBG </w:t>
      </w:r>
      <w:r w:rsidR="00A56F7C" w:rsidRPr="00F6575F">
        <w:rPr>
          <w:color w:val="auto"/>
          <w:sz w:val="22"/>
          <w:szCs w:val="22"/>
        </w:rPr>
        <w:t xml:space="preserve">would like to suggest </w:t>
      </w:r>
      <w:r w:rsidR="00C94A1A" w:rsidRPr="00F6575F">
        <w:rPr>
          <w:color w:val="auto"/>
          <w:sz w:val="22"/>
          <w:szCs w:val="22"/>
        </w:rPr>
        <w:t>two</w:t>
      </w:r>
      <w:r w:rsidR="000535FC" w:rsidRPr="00F6575F">
        <w:rPr>
          <w:color w:val="auto"/>
          <w:sz w:val="22"/>
          <w:szCs w:val="22"/>
        </w:rPr>
        <w:t xml:space="preserve"> </w:t>
      </w:r>
      <w:r w:rsidR="00A56F7C" w:rsidRPr="00F6575F">
        <w:rPr>
          <w:color w:val="auto"/>
          <w:sz w:val="22"/>
          <w:szCs w:val="22"/>
        </w:rPr>
        <w:t>adaptions</w:t>
      </w:r>
      <w:r w:rsidR="000535FC" w:rsidRPr="00F6575F">
        <w:rPr>
          <w:color w:val="auto"/>
          <w:sz w:val="22"/>
          <w:szCs w:val="22"/>
        </w:rPr>
        <w:t xml:space="preserve"> as follows</w:t>
      </w:r>
      <w:r w:rsidR="00A56F7C" w:rsidRPr="00F6575F">
        <w:rPr>
          <w:color w:val="auto"/>
          <w:sz w:val="22"/>
          <w:szCs w:val="22"/>
        </w:rPr>
        <w:t xml:space="preserve">. </w:t>
      </w:r>
    </w:p>
    <w:p w14:paraId="79BDA48D" w14:textId="6C935CC8" w:rsidR="00483D35" w:rsidRPr="00F6575F" w:rsidRDefault="00A56F7C" w:rsidP="007601FA">
      <w:pPr>
        <w:pStyle w:val="Default"/>
        <w:spacing w:after="160"/>
        <w:jc w:val="both"/>
        <w:rPr>
          <w:color w:val="FF0000"/>
          <w:sz w:val="22"/>
          <w:szCs w:val="22"/>
        </w:rPr>
      </w:pPr>
      <w:r w:rsidRPr="00F6575F">
        <w:rPr>
          <w:color w:val="auto"/>
          <w:sz w:val="22"/>
          <w:szCs w:val="22"/>
        </w:rPr>
        <w:t xml:space="preserve">First, we would like to </w:t>
      </w:r>
      <w:r w:rsidR="004B662A" w:rsidRPr="00F6575F">
        <w:rPr>
          <w:color w:val="auto"/>
          <w:sz w:val="22"/>
          <w:szCs w:val="22"/>
        </w:rPr>
        <w:t xml:space="preserve">propose a </w:t>
      </w:r>
      <w:r w:rsidR="00695441" w:rsidRPr="00F6575F">
        <w:rPr>
          <w:color w:val="auto"/>
          <w:sz w:val="22"/>
          <w:szCs w:val="22"/>
        </w:rPr>
        <w:t xml:space="preserve">small </w:t>
      </w:r>
      <w:r w:rsidR="004B662A" w:rsidRPr="00F6575F">
        <w:rPr>
          <w:color w:val="auto"/>
          <w:sz w:val="22"/>
          <w:szCs w:val="22"/>
        </w:rPr>
        <w:t xml:space="preserve">change in </w:t>
      </w:r>
      <w:r w:rsidR="00695441" w:rsidRPr="00F6575F">
        <w:rPr>
          <w:color w:val="auto"/>
          <w:sz w:val="22"/>
          <w:szCs w:val="22"/>
        </w:rPr>
        <w:t>G</w:t>
      </w:r>
      <w:r w:rsidR="004B662A" w:rsidRPr="00F6575F">
        <w:rPr>
          <w:color w:val="auto"/>
          <w:sz w:val="22"/>
          <w:szCs w:val="22"/>
        </w:rPr>
        <w:t>uideline 3 (i)</w:t>
      </w:r>
      <w:r w:rsidR="00695441" w:rsidRPr="00F6575F">
        <w:rPr>
          <w:color w:val="auto"/>
          <w:sz w:val="22"/>
          <w:szCs w:val="22"/>
        </w:rPr>
        <w:t xml:space="preserve"> by referring to </w:t>
      </w:r>
      <w:r w:rsidR="000535FC" w:rsidRPr="00F6575F">
        <w:rPr>
          <w:color w:val="auto"/>
          <w:sz w:val="22"/>
          <w:szCs w:val="22"/>
        </w:rPr>
        <w:t>“</w:t>
      </w:r>
      <w:r w:rsidR="00695441" w:rsidRPr="00F6575F">
        <w:rPr>
          <w:color w:val="auto"/>
          <w:sz w:val="22"/>
          <w:szCs w:val="22"/>
        </w:rPr>
        <w:t>reasonably</w:t>
      </w:r>
      <w:r w:rsidR="000535FC" w:rsidRPr="00F6575F">
        <w:rPr>
          <w:color w:val="auto"/>
          <w:sz w:val="22"/>
          <w:szCs w:val="22"/>
        </w:rPr>
        <w:t>” instead of “easily”</w:t>
      </w:r>
      <w:r w:rsidR="004B662A" w:rsidRPr="00F6575F">
        <w:rPr>
          <w:color w:val="auto"/>
          <w:sz w:val="22"/>
          <w:szCs w:val="22"/>
        </w:rPr>
        <w:t xml:space="preserve">, </w:t>
      </w:r>
      <w:r w:rsidR="00F6575F" w:rsidRPr="00F6575F">
        <w:rPr>
          <w:color w:val="auto"/>
          <w:sz w:val="22"/>
          <w:szCs w:val="22"/>
        </w:rPr>
        <w:t>because</w:t>
      </w:r>
      <w:r w:rsidR="004B662A" w:rsidRPr="00F6575F">
        <w:rPr>
          <w:color w:val="auto"/>
          <w:sz w:val="22"/>
          <w:szCs w:val="22"/>
        </w:rPr>
        <w:t xml:space="preserve"> it is not always easy to fully describe the complex market structure within a license model. This challenge is being aggravated by the ongoing structural changes </w:t>
      </w:r>
      <w:r w:rsidR="00615826" w:rsidRPr="00F6575F">
        <w:rPr>
          <w:color w:val="auto"/>
          <w:sz w:val="22"/>
          <w:szCs w:val="22"/>
        </w:rPr>
        <w:t>c</w:t>
      </w:r>
      <w:r w:rsidR="004B662A" w:rsidRPr="00F6575F">
        <w:rPr>
          <w:color w:val="auto"/>
          <w:sz w:val="22"/>
          <w:szCs w:val="22"/>
        </w:rPr>
        <w:t xml:space="preserve">apital </w:t>
      </w:r>
      <w:r w:rsidR="00615826" w:rsidRPr="00F6575F">
        <w:rPr>
          <w:color w:val="auto"/>
          <w:sz w:val="22"/>
          <w:szCs w:val="22"/>
        </w:rPr>
        <w:t>m</w:t>
      </w:r>
      <w:r w:rsidR="004B662A" w:rsidRPr="00F6575F">
        <w:rPr>
          <w:color w:val="auto"/>
          <w:sz w:val="22"/>
          <w:szCs w:val="22"/>
        </w:rPr>
        <w:t xml:space="preserve">arkets as well as the economy find </w:t>
      </w:r>
      <w:r w:rsidR="00615826" w:rsidRPr="00F6575F">
        <w:rPr>
          <w:color w:val="auto"/>
          <w:sz w:val="22"/>
          <w:szCs w:val="22"/>
        </w:rPr>
        <w:t>themse</w:t>
      </w:r>
      <w:r w:rsidR="003D2BDD">
        <w:rPr>
          <w:color w:val="auto"/>
          <w:sz w:val="22"/>
          <w:szCs w:val="22"/>
        </w:rPr>
        <w:t>l</w:t>
      </w:r>
      <w:r w:rsidR="00615826" w:rsidRPr="00F6575F">
        <w:rPr>
          <w:color w:val="auto"/>
          <w:sz w:val="22"/>
          <w:szCs w:val="22"/>
        </w:rPr>
        <w:t>ves</w:t>
      </w:r>
      <w:r w:rsidR="004B662A" w:rsidRPr="00F6575F">
        <w:rPr>
          <w:color w:val="auto"/>
          <w:sz w:val="22"/>
          <w:szCs w:val="22"/>
        </w:rPr>
        <w:t xml:space="preserve"> encountered</w:t>
      </w:r>
      <w:r w:rsidR="00274A19" w:rsidRPr="00F6575F">
        <w:rPr>
          <w:color w:val="auto"/>
          <w:sz w:val="22"/>
          <w:szCs w:val="22"/>
        </w:rPr>
        <w:t xml:space="preserve"> in</w:t>
      </w:r>
      <w:r w:rsidR="00695441" w:rsidRPr="00F6575F">
        <w:rPr>
          <w:color w:val="auto"/>
          <w:sz w:val="22"/>
          <w:szCs w:val="22"/>
        </w:rPr>
        <w:t xml:space="preserve"> (Digital Agenda)</w:t>
      </w:r>
      <w:r w:rsidR="004B662A" w:rsidRPr="00F6575F">
        <w:rPr>
          <w:color w:val="auto"/>
          <w:sz w:val="22"/>
          <w:szCs w:val="22"/>
        </w:rPr>
        <w:t xml:space="preserve">. </w:t>
      </w:r>
      <w:r w:rsidR="00274A19" w:rsidRPr="00F6575F">
        <w:rPr>
          <w:color w:val="auto"/>
          <w:sz w:val="22"/>
          <w:szCs w:val="22"/>
        </w:rPr>
        <w:t>Therefore, i</w:t>
      </w:r>
      <w:r w:rsidR="004B662A" w:rsidRPr="00F6575F">
        <w:rPr>
          <w:color w:val="auto"/>
          <w:sz w:val="22"/>
          <w:szCs w:val="22"/>
        </w:rPr>
        <w:t xml:space="preserve">n case a licensee considers it difficult to identify the correct licenses applying to the licensee, </w:t>
      </w:r>
      <w:r w:rsidR="00483D35" w:rsidRPr="00F6575F">
        <w:rPr>
          <w:color w:val="auto"/>
          <w:sz w:val="22"/>
          <w:szCs w:val="22"/>
        </w:rPr>
        <w:t xml:space="preserve">DBG provides support to its market data customers. Dedicated personnel </w:t>
      </w:r>
      <w:r w:rsidR="00F6575F" w:rsidRPr="00F6575F">
        <w:rPr>
          <w:color w:val="auto"/>
          <w:sz w:val="22"/>
          <w:szCs w:val="22"/>
        </w:rPr>
        <w:t>are</w:t>
      </w:r>
      <w:r w:rsidR="00230CB3" w:rsidRPr="00F6575F">
        <w:rPr>
          <w:color w:val="auto"/>
          <w:sz w:val="22"/>
          <w:szCs w:val="22"/>
        </w:rPr>
        <w:t xml:space="preserve"> </w:t>
      </w:r>
      <w:r w:rsidR="00483D35" w:rsidRPr="00F6575F">
        <w:rPr>
          <w:color w:val="auto"/>
          <w:sz w:val="22"/>
          <w:szCs w:val="22"/>
        </w:rPr>
        <w:lastRenderedPageBreak/>
        <w:t xml:space="preserve">available </w:t>
      </w:r>
      <w:r w:rsidR="00230CB3" w:rsidRPr="00F6575F">
        <w:rPr>
          <w:color w:val="auto"/>
          <w:sz w:val="22"/>
          <w:szCs w:val="22"/>
        </w:rPr>
        <w:t xml:space="preserve">in order </w:t>
      </w:r>
      <w:r w:rsidR="00483D35" w:rsidRPr="00F6575F">
        <w:rPr>
          <w:color w:val="auto"/>
          <w:sz w:val="22"/>
          <w:szCs w:val="22"/>
        </w:rPr>
        <w:t>support customers</w:t>
      </w:r>
      <w:r w:rsidR="00230CB3" w:rsidRPr="00F6575F">
        <w:rPr>
          <w:color w:val="auto"/>
          <w:sz w:val="22"/>
          <w:szCs w:val="22"/>
        </w:rPr>
        <w:t xml:space="preserve"> as well as regards the interpretation of our contracts </w:t>
      </w:r>
      <w:r w:rsidR="00274A19" w:rsidRPr="00F6575F">
        <w:rPr>
          <w:color w:val="auto"/>
          <w:sz w:val="22"/>
          <w:szCs w:val="22"/>
        </w:rPr>
        <w:t xml:space="preserve">including application of </w:t>
      </w:r>
      <w:r w:rsidR="00230CB3" w:rsidRPr="00F6575F">
        <w:rPr>
          <w:color w:val="auto"/>
          <w:sz w:val="22"/>
          <w:szCs w:val="22"/>
        </w:rPr>
        <w:t>the right licenses</w:t>
      </w:r>
      <w:r w:rsidR="00483D35" w:rsidRPr="00F6575F">
        <w:rPr>
          <w:color w:val="auto"/>
          <w:sz w:val="22"/>
          <w:szCs w:val="22"/>
        </w:rPr>
        <w:t xml:space="preserve">. </w:t>
      </w:r>
    </w:p>
    <w:p w14:paraId="2D185991" w14:textId="51377FB1" w:rsidR="004B662A" w:rsidRPr="00F6575F" w:rsidRDefault="00230CB3" w:rsidP="007601FA">
      <w:pPr>
        <w:pStyle w:val="Default"/>
        <w:spacing w:after="160"/>
        <w:jc w:val="both"/>
        <w:rPr>
          <w:color w:val="auto"/>
          <w:sz w:val="22"/>
          <w:szCs w:val="22"/>
        </w:rPr>
      </w:pPr>
      <w:r w:rsidRPr="00F6575F">
        <w:rPr>
          <w:color w:val="auto"/>
          <w:sz w:val="22"/>
          <w:szCs w:val="22"/>
        </w:rPr>
        <w:t xml:space="preserve">Second, </w:t>
      </w:r>
      <w:r w:rsidR="007D0E17" w:rsidRPr="00F6575F">
        <w:rPr>
          <w:color w:val="auto"/>
          <w:sz w:val="22"/>
          <w:szCs w:val="22"/>
        </w:rPr>
        <w:t xml:space="preserve">it is important to understand that especially large companies often </w:t>
      </w:r>
      <w:r w:rsidR="00274A19" w:rsidRPr="00F6575F">
        <w:rPr>
          <w:color w:val="auto"/>
          <w:sz w:val="22"/>
          <w:szCs w:val="22"/>
        </w:rPr>
        <w:t>operate a</w:t>
      </w:r>
      <w:r w:rsidR="00F77659" w:rsidRPr="00F6575F">
        <w:rPr>
          <w:color w:val="auto"/>
          <w:sz w:val="22"/>
          <w:szCs w:val="22"/>
        </w:rPr>
        <w:t>long</w:t>
      </w:r>
      <w:r w:rsidR="00274A19" w:rsidRPr="00F6575F">
        <w:rPr>
          <w:color w:val="auto"/>
          <w:sz w:val="22"/>
          <w:szCs w:val="22"/>
        </w:rPr>
        <w:t xml:space="preserve"> </w:t>
      </w:r>
      <w:r w:rsidR="007D0E17" w:rsidRPr="00F6575F">
        <w:rPr>
          <w:color w:val="auto"/>
          <w:sz w:val="22"/>
          <w:szCs w:val="22"/>
        </w:rPr>
        <w:t>different roles</w:t>
      </w:r>
      <w:r w:rsidR="00C94A1A" w:rsidRPr="00F6575F">
        <w:rPr>
          <w:color w:val="auto"/>
          <w:sz w:val="22"/>
          <w:szCs w:val="22"/>
        </w:rPr>
        <w:t>/customer groups</w:t>
      </w:r>
      <w:r w:rsidR="007D0E17" w:rsidRPr="00F6575F">
        <w:rPr>
          <w:color w:val="auto"/>
          <w:sz w:val="22"/>
          <w:szCs w:val="22"/>
        </w:rPr>
        <w:t xml:space="preserve"> under one legal entity. The legal entity of an SI may be a Benchmark </w:t>
      </w:r>
      <w:r w:rsidR="00265FAE" w:rsidRPr="00F6575F">
        <w:rPr>
          <w:color w:val="auto"/>
          <w:sz w:val="22"/>
          <w:szCs w:val="22"/>
        </w:rPr>
        <w:t xml:space="preserve">Administrator </w:t>
      </w:r>
      <w:r w:rsidR="007D0E17" w:rsidRPr="00F6575F">
        <w:rPr>
          <w:color w:val="auto"/>
          <w:sz w:val="22"/>
          <w:szCs w:val="22"/>
        </w:rPr>
        <w:t>at the same time</w:t>
      </w:r>
      <w:r w:rsidR="00274A19" w:rsidRPr="00F6575F">
        <w:rPr>
          <w:color w:val="auto"/>
          <w:sz w:val="22"/>
          <w:szCs w:val="22"/>
        </w:rPr>
        <w:t>.</w:t>
      </w:r>
      <w:r w:rsidR="007D0E17" w:rsidRPr="00F6575F">
        <w:rPr>
          <w:color w:val="auto"/>
          <w:sz w:val="22"/>
          <w:szCs w:val="22"/>
        </w:rPr>
        <w:t xml:space="preserve"> </w:t>
      </w:r>
      <w:r w:rsidR="00274A19" w:rsidRPr="00F6575F">
        <w:rPr>
          <w:color w:val="auto"/>
          <w:sz w:val="22"/>
          <w:szCs w:val="22"/>
        </w:rPr>
        <w:t xml:space="preserve">This </w:t>
      </w:r>
      <w:r w:rsidR="007D0E17" w:rsidRPr="00F6575F">
        <w:rPr>
          <w:color w:val="auto"/>
          <w:sz w:val="22"/>
          <w:szCs w:val="22"/>
        </w:rPr>
        <w:t>leads to the fact</w:t>
      </w:r>
      <w:r w:rsidR="00274A19" w:rsidRPr="00F6575F">
        <w:rPr>
          <w:color w:val="auto"/>
          <w:sz w:val="22"/>
          <w:szCs w:val="22"/>
        </w:rPr>
        <w:t>,</w:t>
      </w:r>
      <w:r w:rsidR="007D0E17" w:rsidRPr="00F6575F">
        <w:rPr>
          <w:color w:val="auto"/>
          <w:sz w:val="22"/>
          <w:szCs w:val="22"/>
        </w:rPr>
        <w:t xml:space="preserve"> that the legal entity in question </w:t>
      </w:r>
      <w:r w:rsidR="001B5AF1" w:rsidRPr="00F6575F">
        <w:rPr>
          <w:color w:val="auto"/>
          <w:sz w:val="22"/>
          <w:szCs w:val="22"/>
        </w:rPr>
        <w:t>may fall</w:t>
      </w:r>
      <w:r w:rsidR="007D0E17" w:rsidRPr="00F6575F">
        <w:rPr>
          <w:color w:val="auto"/>
          <w:sz w:val="22"/>
          <w:szCs w:val="22"/>
        </w:rPr>
        <w:t xml:space="preserve"> into various customer groups at the same time</w:t>
      </w:r>
      <w:r w:rsidR="00C94A1A" w:rsidRPr="00F6575F">
        <w:rPr>
          <w:color w:val="auto"/>
          <w:sz w:val="22"/>
          <w:szCs w:val="22"/>
        </w:rPr>
        <w:t>, driven by its scope and scale</w:t>
      </w:r>
      <w:r w:rsidR="007D0E17" w:rsidRPr="00F6575F">
        <w:rPr>
          <w:color w:val="auto"/>
          <w:sz w:val="22"/>
          <w:szCs w:val="22"/>
        </w:rPr>
        <w:t>.</w:t>
      </w:r>
      <w:r w:rsidR="00274A19" w:rsidRPr="00F6575F">
        <w:rPr>
          <w:color w:val="auto"/>
          <w:sz w:val="22"/>
          <w:szCs w:val="22"/>
        </w:rPr>
        <w:t xml:space="preserve"> </w:t>
      </w:r>
      <w:r w:rsidR="007D0E17" w:rsidRPr="00F6575F">
        <w:rPr>
          <w:color w:val="auto"/>
          <w:sz w:val="22"/>
          <w:szCs w:val="22"/>
        </w:rPr>
        <w:t xml:space="preserve">Of course, </w:t>
      </w:r>
      <w:r w:rsidR="00F77659" w:rsidRPr="00F6575F">
        <w:rPr>
          <w:color w:val="auto"/>
          <w:sz w:val="22"/>
          <w:szCs w:val="22"/>
        </w:rPr>
        <w:t>data providers</w:t>
      </w:r>
      <w:r w:rsidR="007D0E17" w:rsidRPr="00F6575F">
        <w:rPr>
          <w:color w:val="auto"/>
          <w:sz w:val="22"/>
          <w:szCs w:val="22"/>
        </w:rPr>
        <w:t xml:space="preserve"> could cluster</w:t>
      </w:r>
      <w:r w:rsidR="00274A19" w:rsidRPr="00F6575F">
        <w:rPr>
          <w:color w:val="auto"/>
          <w:sz w:val="22"/>
          <w:szCs w:val="22"/>
        </w:rPr>
        <w:t xml:space="preserve"> different use cases (e.g. SI and Benchmark </w:t>
      </w:r>
      <w:r w:rsidR="00265FAE" w:rsidRPr="00F6575F">
        <w:rPr>
          <w:color w:val="auto"/>
          <w:sz w:val="22"/>
          <w:szCs w:val="22"/>
        </w:rPr>
        <w:t>Administrator</w:t>
      </w:r>
      <w:r w:rsidR="00274A19" w:rsidRPr="00F6575F">
        <w:rPr>
          <w:color w:val="auto"/>
          <w:sz w:val="22"/>
          <w:szCs w:val="22"/>
        </w:rPr>
        <w:t>) into single dedicated customer group</w:t>
      </w:r>
      <w:r w:rsidR="00C94A1A" w:rsidRPr="00F6575F">
        <w:rPr>
          <w:color w:val="auto"/>
          <w:sz w:val="22"/>
          <w:szCs w:val="22"/>
        </w:rPr>
        <w:t>s</w:t>
      </w:r>
      <w:r w:rsidR="00274A19" w:rsidRPr="00F6575F">
        <w:rPr>
          <w:color w:val="auto"/>
          <w:sz w:val="22"/>
          <w:szCs w:val="22"/>
        </w:rPr>
        <w:t xml:space="preserve">, and price </w:t>
      </w:r>
      <w:r w:rsidR="00F77659" w:rsidRPr="00F6575F">
        <w:rPr>
          <w:color w:val="auto"/>
          <w:sz w:val="22"/>
          <w:szCs w:val="22"/>
        </w:rPr>
        <w:t>th</w:t>
      </w:r>
      <w:r w:rsidR="00C94A1A" w:rsidRPr="00F6575F">
        <w:rPr>
          <w:color w:val="auto"/>
          <w:sz w:val="22"/>
          <w:szCs w:val="22"/>
        </w:rPr>
        <w:t>ese</w:t>
      </w:r>
      <w:r w:rsidR="00F77659" w:rsidRPr="00F6575F">
        <w:rPr>
          <w:color w:val="auto"/>
          <w:sz w:val="22"/>
          <w:szCs w:val="22"/>
        </w:rPr>
        <w:t xml:space="preserve"> group</w:t>
      </w:r>
      <w:r w:rsidR="00C94A1A" w:rsidRPr="00F6575F">
        <w:rPr>
          <w:color w:val="auto"/>
          <w:sz w:val="22"/>
          <w:szCs w:val="22"/>
        </w:rPr>
        <w:t>s</w:t>
      </w:r>
      <w:r w:rsidR="00F77659" w:rsidRPr="00F6575F">
        <w:rPr>
          <w:color w:val="auto"/>
          <w:sz w:val="22"/>
          <w:szCs w:val="22"/>
        </w:rPr>
        <w:t xml:space="preserve"> </w:t>
      </w:r>
      <w:r w:rsidR="00274A19" w:rsidRPr="00F6575F">
        <w:rPr>
          <w:color w:val="auto"/>
          <w:sz w:val="22"/>
          <w:szCs w:val="22"/>
        </w:rPr>
        <w:t xml:space="preserve">accordingly. However, the </w:t>
      </w:r>
      <w:r w:rsidR="00C94A1A" w:rsidRPr="00F6575F">
        <w:rPr>
          <w:color w:val="auto"/>
          <w:sz w:val="22"/>
          <w:szCs w:val="22"/>
        </w:rPr>
        <w:t xml:space="preserve">multiple </w:t>
      </w:r>
      <w:r w:rsidR="00274A19" w:rsidRPr="00F6575F">
        <w:rPr>
          <w:color w:val="auto"/>
          <w:sz w:val="22"/>
          <w:szCs w:val="22"/>
        </w:rPr>
        <w:t>iterations necessary to cover the breadth of variations would be onerous, not only for</w:t>
      </w:r>
      <w:r w:rsidR="00AB0227" w:rsidRPr="00F6575F">
        <w:rPr>
          <w:color w:val="auto"/>
          <w:sz w:val="22"/>
          <w:szCs w:val="22"/>
        </w:rPr>
        <w:t xml:space="preserve"> the</w:t>
      </w:r>
      <w:r w:rsidR="00274A19" w:rsidRPr="00F6575F">
        <w:rPr>
          <w:color w:val="auto"/>
          <w:sz w:val="22"/>
          <w:szCs w:val="22"/>
        </w:rPr>
        <w:t xml:space="preserve"> licensor but as well for the licensees. In this context we propose the change in </w:t>
      </w:r>
      <w:r w:rsidR="00D464B6" w:rsidRPr="00F6575F">
        <w:rPr>
          <w:color w:val="auto"/>
          <w:sz w:val="22"/>
          <w:szCs w:val="22"/>
        </w:rPr>
        <w:t xml:space="preserve">Guideline </w:t>
      </w:r>
      <w:r w:rsidR="00274A19" w:rsidRPr="00F6575F">
        <w:rPr>
          <w:color w:val="auto"/>
          <w:sz w:val="22"/>
          <w:szCs w:val="22"/>
        </w:rPr>
        <w:t xml:space="preserve">3 (ii). </w:t>
      </w:r>
    </w:p>
    <w:p w14:paraId="2DF322D4" w14:textId="3D9A1972" w:rsidR="008F63F9" w:rsidRPr="00F6575F" w:rsidRDefault="00483D35" w:rsidP="007601FA">
      <w:pPr>
        <w:pStyle w:val="Default"/>
        <w:spacing w:after="160"/>
        <w:jc w:val="both"/>
        <w:rPr>
          <w:color w:val="auto"/>
          <w:sz w:val="22"/>
          <w:szCs w:val="22"/>
        </w:rPr>
      </w:pPr>
      <w:r w:rsidRPr="00F6575F">
        <w:rPr>
          <w:color w:val="auto"/>
          <w:sz w:val="22"/>
          <w:szCs w:val="22"/>
        </w:rPr>
        <w:t>DBG therefore proposes the following adapted wording:</w:t>
      </w:r>
    </w:p>
    <w:p w14:paraId="0501A43B" w14:textId="3783A498" w:rsidR="00976277" w:rsidRPr="00A15456" w:rsidRDefault="00D464B6" w:rsidP="007601FA">
      <w:pPr>
        <w:pStyle w:val="Default"/>
        <w:spacing w:after="160"/>
        <w:jc w:val="both"/>
        <w:rPr>
          <w:color w:val="auto"/>
          <w:sz w:val="22"/>
          <w:szCs w:val="22"/>
        </w:rPr>
      </w:pPr>
      <w:r w:rsidRPr="00F6575F">
        <w:rPr>
          <w:color w:val="auto"/>
          <w:sz w:val="22"/>
          <w:szCs w:val="22"/>
        </w:rPr>
        <w:t>“</w:t>
      </w:r>
      <w:r w:rsidR="004D77A4" w:rsidRPr="00F6575F">
        <w:rPr>
          <w:color w:val="auto"/>
          <w:sz w:val="22"/>
          <w:szCs w:val="22"/>
        </w:rPr>
        <w:t>Guideline 3: Market data providers should describe in their market data policy the categories of customers</w:t>
      </w:r>
      <w:r w:rsidRPr="00F6575F">
        <w:rPr>
          <w:color w:val="auto"/>
          <w:sz w:val="22"/>
          <w:szCs w:val="22"/>
        </w:rPr>
        <w:t xml:space="preserve"> and how the use of data is taken into consideration to set up the categories of customers</w:t>
      </w:r>
      <w:r w:rsidR="004D77A4" w:rsidRPr="00F6575F">
        <w:rPr>
          <w:color w:val="auto"/>
          <w:sz w:val="22"/>
          <w:szCs w:val="22"/>
        </w:rPr>
        <w:t xml:space="preserve">. </w:t>
      </w:r>
      <w:r w:rsidR="004D77A4" w:rsidRPr="00A15456">
        <w:rPr>
          <w:color w:val="auto"/>
          <w:sz w:val="22"/>
          <w:szCs w:val="22"/>
        </w:rPr>
        <w:t xml:space="preserve">The criteria </w:t>
      </w:r>
      <w:r w:rsidR="00483D35" w:rsidRPr="00A15456">
        <w:rPr>
          <w:color w:val="auto"/>
          <w:sz w:val="22"/>
          <w:szCs w:val="22"/>
        </w:rPr>
        <w:t>used should be:</w:t>
      </w:r>
    </w:p>
    <w:p w14:paraId="1BDFFC6E" w14:textId="244BA260" w:rsidR="00483D35" w:rsidRPr="00F6575F" w:rsidRDefault="00D464B6" w:rsidP="007601FA">
      <w:pPr>
        <w:pStyle w:val="Default"/>
        <w:numPr>
          <w:ilvl w:val="0"/>
          <w:numId w:val="15"/>
        </w:numPr>
        <w:spacing w:after="160"/>
        <w:jc w:val="both"/>
        <w:rPr>
          <w:color w:val="auto"/>
          <w:sz w:val="22"/>
          <w:szCs w:val="22"/>
        </w:rPr>
      </w:pPr>
      <w:r w:rsidRPr="00F6575F">
        <w:rPr>
          <w:color w:val="auto"/>
          <w:sz w:val="22"/>
          <w:szCs w:val="22"/>
        </w:rPr>
        <w:t xml:space="preserve">based </w:t>
      </w:r>
      <w:r w:rsidR="00483D35" w:rsidRPr="00F6575F">
        <w:rPr>
          <w:color w:val="auto"/>
          <w:sz w:val="22"/>
          <w:szCs w:val="22"/>
        </w:rPr>
        <w:t xml:space="preserve">on factual elements, </w:t>
      </w:r>
      <w:r w:rsidR="00A616F8" w:rsidRPr="00F6575F">
        <w:rPr>
          <w:strike/>
          <w:color w:val="FF0000"/>
          <w:sz w:val="22"/>
          <w:szCs w:val="22"/>
        </w:rPr>
        <w:t>easily</w:t>
      </w:r>
      <w:r w:rsidR="00A616F8" w:rsidRPr="00F6575F">
        <w:rPr>
          <w:color w:val="FF0000"/>
          <w:sz w:val="22"/>
          <w:szCs w:val="22"/>
        </w:rPr>
        <w:t xml:space="preserve"> </w:t>
      </w:r>
      <w:r w:rsidR="00483D35" w:rsidRPr="00F6575F">
        <w:rPr>
          <w:color w:val="FF0000"/>
          <w:sz w:val="22"/>
          <w:szCs w:val="22"/>
        </w:rPr>
        <w:t xml:space="preserve">reasonably </w:t>
      </w:r>
      <w:r w:rsidR="00483D35" w:rsidRPr="00F6575F">
        <w:rPr>
          <w:color w:val="auto"/>
          <w:sz w:val="22"/>
          <w:szCs w:val="22"/>
        </w:rPr>
        <w:t>verifiable, and sufficiently general to pertain more than one customer;</w:t>
      </w:r>
    </w:p>
    <w:p w14:paraId="3F33770D" w14:textId="454BBDB2" w:rsidR="00483D35" w:rsidRPr="00F6575F" w:rsidRDefault="00D464B6" w:rsidP="007601FA">
      <w:pPr>
        <w:pStyle w:val="Default"/>
        <w:numPr>
          <w:ilvl w:val="0"/>
          <w:numId w:val="15"/>
        </w:numPr>
        <w:spacing w:after="160"/>
        <w:jc w:val="both"/>
        <w:rPr>
          <w:color w:val="auto"/>
          <w:sz w:val="22"/>
          <w:szCs w:val="22"/>
        </w:rPr>
      </w:pPr>
      <w:bookmarkStart w:id="10" w:name="_Hlk58966198"/>
      <w:r w:rsidRPr="00F6575F">
        <w:rPr>
          <w:color w:val="auto"/>
          <w:sz w:val="22"/>
          <w:szCs w:val="22"/>
        </w:rPr>
        <w:t xml:space="preserve">explained </w:t>
      </w:r>
      <w:r w:rsidR="00483D35" w:rsidRPr="00F6575F">
        <w:rPr>
          <w:color w:val="auto"/>
          <w:sz w:val="22"/>
          <w:szCs w:val="22"/>
        </w:rPr>
        <w:t xml:space="preserve">in such a manner that customers are enabled to understand </w:t>
      </w:r>
      <w:r w:rsidR="00483D35" w:rsidRPr="00F6575F">
        <w:rPr>
          <w:color w:val="FF0000"/>
          <w:sz w:val="22"/>
          <w:szCs w:val="22"/>
        </w:rPr>
        <w:t>the categor</w:t>
      </w:r>
      <w:r w:rsidR="00483D35" w:rsidRPr="00F6575F">
        <w:rPr>
          <w:strike/>
          <w:color w:val="FF0000"/>
          <w:sz w:val="22"/>
          <w:szCs w:val="22"/>
        </w:rPr>
        <w:t>y</w:t>
      </w:r>
      <w:r w:rsidR="00A56F7C" w:rsidRPr="00F6575F">
        <w:rPr>
          <w:color w:val="FF0000"/>
          <w:sz w:val="22"/>
          <w:szCs w:val="22"/>
        </w:rPr>
        <w:t xml:space="preserve">ies </w:t>
      </w:r>
      <w:r w:rsidR="00483D35" w:rsidRPr="00F6575F">
        <w:rPr>
          <w:color w:val="auto"/>
          <w:sz w:val="22"/>
          <w:szCs w:val="22"/>
        </w:rPr>
        <w:t>they belong to.</w:t>
      </w:r>
    </w:p>
    <w:bookmarkEnd w:id="10"/>
    <w:p w14:paraId="50BB6FDA" w14:textId="32157F40" w:rsidR="00483D35" w:rsidRPr="00F6575F" w:rsidRDefault="00483D35" w:rsidP="007601FA">
      <w:pPr>
        <w:pStyle w:val="Default"/>
        <w:spacing w:after="160"/>
        <w:jc w:val="both"/>
        <w:rPr>
          <w:color w:val="auto"/>
          <w:sz w:val="22"/>
          <w:szCs w:val="22"/>
        </w:rPr>
      </w:pPr>
      <w:r w:rsidRPr="00F6575F">
        <w:rPr>
          <w:color w:val="auto"/>
          <w:sz w:val="22"/>
          <w:szCs w:val="22"/>
        </w:rPr>
        <w:t>Market data providers should explain the applicable fees and terms and conditions for each use. They should motivate any differentiation of fees and terms and conditions pertaining to each category of customers.</w:t>
      </w:r>
      <w:r w:rsidR="00D464B6" w:rsidRPr="00F6575F">
        <w:rPr>
          <w:color w:val="auto"/>
          <w:sz w:val="22"/>
          <w:szCs w:val="22"/>
        </w:rPr>
        <w:t>”</w:t>
      </w:r>
      <w:r w:rsidRPr="00F6575F">
        <w:rPr>
          <w:color w:val="auto"/>
          <w:sz w:val="22"/>
          <w:szCs w:val="22"/>
        </w:rPr>
        <w:t xml:space="preserve"> </w:t>
      </w:r>
    </w:p>
    <w:p w14:paraId="6F452EA3"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&lt;ESMA_QUESTION_GOMD_6&gt;</w:t>
      </w:r>
    </w:p>
    <w:p w14:paraId="4C1B2032" w14:textId="77777777" w:rsidR="00984423" w:rsidRPr="00F6575F" w:rsidRDefault="00984423" w:rsidP="00984423">
      <w:pPr>
        <w:spacing w:after="160" w:line="259" w:lineRule="auto"/>
        <w:rPr>
          <w:rFonts w:ascii="Arial" w:eastAsia="Calibri" w:hAnsi="Arial" w:cs="Arial"/>
          <w:sz w:val="22"/>
          <w:szCs w:val="22"/>
          <w:lang w:val="en-US" w:eastAsia="en-US"/>
        </w:rPr>
      </w:pPr>
    </w:p>
    <w:p w14:paraId="47AEF71B"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Q7: Do you agree with the approach taken in Guideline 4? If not, please justify, also by providing arguments for the adoption of a different approach.</w:t>
      </w:r>
    </w:p>
    <w:p w14:paraId="1E4A9197" w14:textId="5CF81D2F"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&lt;ESMA_QUESTION_GOMD_7&gt;</w:t>
      </w:r>
    </w:p>
    <w:p w14:paraId="35846A78" w14:textId="26A5B722" w:rsidR="00171C41" w:rsidRPr="00F6575F" w:rsidRDefault="001738A1" w:rsidP="007601FA">
      <w:pPr>
        <w:pStyle w:val="Default"/>
        <w:spacing w:after="160"/>
        <w:jc w:val="both"/>
        <w:rPr>
          <w:color w:val="auto"/>
          <w:sz w:val="22"/>
          <w:szCs w:val="22"/>
        </w:rPr>
      </w:pPr>
      <w:r w:rsidRPr="00F6575F">
        <w:rPr>
          <w:color w:val="auto"/>
          <w:sz w:val="22"/>
          <w:szCs w:val="22"/>
        </w:rPr>
        <w:t xml:space="preserve">DBG does not agree with the approach taken in </w:t>
      </w:r>
      <w:r w:rsidR="00E96126" w:rsidRPr="00F6575F">
        <w:rPr>
          <w:color w:val="auto"/>
          <w:sz w:val="22"/>
          <w:szCs w:val="22"/>
        </w:rPr>
        <w:t>G</w:t>
      </w:r>
      <w:r w:rsidRPr="00F6575F">
        <w:rPr>
          <w:color w:val="auto"/>
          <w:sz w:val="22"/>
          <w:szCs w:val="22"/>
        </w:rPr>
        <w:t>uideline 4</w:t>
      </w:r>
      <w:r w:rsidR="002D07B1" w:rsidRPr="00F6575F">
        <w:rPr>
          <w:color w:val="auto"/>
          <w:sz w:val="22"/>
          <w:szCs w:val="22"/>
        </w:rPr>
        <w:t xml:space="preserve"> and recommends its deletion. </w:t>
      </w:r>
    </w:p>
    <w:p w14:paraId="69E66668" w14:textId="05060E0A" w:rsidR="00D27561" w:rsidRPr="00F6575F" w:rsidRDefault="00D27561" w:rsidP="007601FA">
      <w:pPr>
        <w:pStyle w:val="Default"/>
        <w:spacing w:after="160"/>
        <w:jc w:val="both"/>
        <w:rPr>
          <w:color w:val="auto"/>
          <w:sz w:val="22"/>
          <w:szCs w:val="22"/>
        </w:rPr>
      </w:pPr>
      <w:r w:rsidRPr="00F6575F">
        <w:rPr>
          <w:color w:val="auto"/>
          <w:sz w:val="22"/>
          <w:szCs w:val="22"/>
        </w:rPr>
        <w:t>Art</w:t>
      </w:r>
      <w:r w:rsidR="00615826" w:rsidRPr="00F6575F">
        <w:rPr>
          <w:color w:val="auto"/>
          <w:sz w:val="22"/>
          <w:szCs w:val="22"/>
        </w:rPr>
        <w:t>icle</w:t>
      </w:r>
      <w:r w:rsidRPr="00F6575F">
        <w:rPr>
          <w:color w:val="auto"/>
          <w:sz w:val="22"/>
          <w:szCs w:val="22"/>
        </w:rPr>
        <w:t xml:space="preserve"> 8(2) of Commission Delegated Regulation (EU) 2017/567 clarifies that any differentials in prices charged to different categories of customers shall be proportionate to the value which the market data represents to those customers taking into account</w:t>
      </w:r>
      <w:r w:rsidR="0068332E" w:rsidRPr="00F6575F">
        <w:rPr>
          <w:color w:val="auto"/>
          <w:sz w:val="22"/>
          <w:szCs w:val="22"/>
        </w:rPr>
        <w:t xml:space="preserve"> as well as the scope </w:t>
      </w:r>
      <w:r w:rsidR="00CA4473" w:rsidRPr="00F6575F">
        <w:rPr>
          <w:color w:val="auto"/>
          <w:sz w:val="22"/>
          <w:szCs w:val="22"/>
        </w:rPr>
        <w:t>and the scale of the data</w:t>
      </w:r>
      <w:r w:rsidRPr="00F6575F">
        <w:rPr>
          <w:color w:val="auto"/>
          <w:sz w:val="22"/>
          <w:szCs w:val="22"/>
        </w:rPr>
        <w:t>, inter alia, the use made by the customer of the market data.</w:t>
      </w:r>
      <w:r w:rsidR="002D163E" w:rsidRPr="00F6575F">
        <w:t xml:space="preserve"> </w:t>
      </w:r>
      <w:r w:rsidR="002D163E" w:rsidRPr="00F6575F">
        <w:rPr>
          <w:color w:val="auto"/>
          <w:sz w:val="22"/>
          <w:szCs w:val="22"/>
        </w:rPr>
        <w:t>According to Art</w:t>
      </w:r>
      <w:r w:rsidR="00615826" w:rsidRPr="00F6575F">
        <w:rPr>
          <w:color w:val="auto"/>
          <w:sz w:val="22"/>
          <w:szCs w:val="22"/>
        </w:rPr>
        <w:t>icle</w:t>
      </w:r>
      <w:r w:rsidR="002D163E" w:rsidRPr="00F6575F">
        <w:rPr>
          <w:color w:val="auto"/>
          <w:sz w:val="22"/>
          <w:szCs w:val="22"/>
        </w:rPr>
        <w:t xml:space="preserve"> 9(1) of </w:t>
      </w:r>
      <w:bookmarkStart w:id="11" w:name="_Hlk59376954"/>
      <w:r w:rsidR="002D163E" w:rsidRPr="00F6575F">
        <w:rPr>
          <w:color w:val="auto"/>
          <w:sz w:val="22"/>
          <w:szCs w:val="22"/>
        </w:rPr>
        <w:t>Commission Delegated Regulation (EU) 2017/567</w:t>
      </w:r>
      <w:bookmarkEnd w:id="11"/>
      <w:r w:rsidR="002D163E" w:rsidRPr="00F6575F">
        <w:rPr>
          <w:color w:val="auto"/>
          <w:sz w:val="22"/>
          <w:szCs w:val="22"/>
        </w:rPr>
        <w:t>, market data fees shall be charged according to the use made by the individual end-users of the market data (‘per user basis’)</w:t>
      </w:r>
      <w:r w:rsidR="002D07B1" w:rsidRPr="00F6575F">
        <w:rPr>
          <w:color w:val="auto"/>
          <w:sz w:val="22"/>
          <w:szCs w:val="22"/>
        </w:rPr>
        <w:t xml:space="preserve"> and i</w:t>
      </w:r>
      <w:r w:rsidR="002D163E" w:rsidRPr="00F6575F">
        <w:rPr>
          <w:color w:val="auto"/>
          <w:sz w:val="22"/>
          <w:szCs w:val="22"/>
        </w:rPr>
        <w:t>t shall be ensured that each individual use of market data is charged only once.</w:t>
      </w:r>
    </w:p>
    <w:p w14:paraId="13D609E2" w14:textId="54555672" w:rsidR="00937F4C" w:rsidRPr="00F6575F" w:rsidRDefault="00937F4C" w:rsidP="007601FA">
      <w:pPr>
        <w:pStyle w:val="Default"/>
        <w:spacing w:after="160"/>
        <w:jc w:val="both"/>
        <w:rPr>
          <w:sz w:val="22"/>
          <w:szCs w:val="22"/>
        </w:rPr>
      </w:pPr>
      <w:r w:rsidRPr="00F6575F">
        <w:rPr>
          <w:color w:val="auto"/>
          <w:sz w:val="22"/>
          <w:szCs w:val="22"/>
        </w:rPr>
        <w:t xml:space="preserve">It is understood by DBG that ESMA proposes this guideline in order to prevent data providers from charging multiple fees/licenses for the “same data” even though the data is taken as a basis for different </w:t>
      </w:r>
      <w:r w:rsidR="00996F40" w:rsidRPr="00F6575F">
        <w:rPr>
          <w:color w:val="auto"/>
          <w:sz w:val="22"/>
          <w:szCs w:val="22"/>
        </w:rPr>
        <w:t xml:space="preserve">types of use </w:t>
      </w:r>
      <w:r w:rsidRPr="00F6575F">
        <w:rPr>
          <w:color w:val="auto"/>
          <w:sz w:val="22"/>
          <w:szCs w:val="22"/>
        </w:rPr>
        <w:t>(or different</w:t>
      </w:r>
      <w:r w:rsidR="00996F40" w:rsidRPr="00F6575F">
        <w:rPr>
          <w:color w:val="auto"/>
          <w:sz w:val="22"/>
          <w:szCs w:val="22"/>
        </w:rPr>
        <w:t xml:space="preserve"> products</w:t>
      </w:r>
      <w:r w:rsidRPr="00F6575F">
        <w:rPr>
          <w:color w:val="auto"/>
          <w:sz w:val="22"/>
          <w:szCs w:val="22"/>
        </w:rPr>
        <w:t>) by the client, who may even operate in different roles.</w:t>
      </w:r>
    </w:p>
    <w:p w14:paraId="5740AA9B" w14:textId="68E231D2" w:rsidR="00ED711D" w:rsidRPr="00F6575F" w:rsidRDefault="00937F4C" w:rsidP="007601FA">
      <w:pPr>
        <w:pStyle w:val="Default"/>
        <w:spacing w:after="160"/>
        <w:jc w:val="both"/>
        <w:rPr>
          <w:sz w:val="22"/>
          <w:szCs w:val="22"/>
        </w:rPr>
      </w:pPr>
      <w:r w:rsidRPr="00F6575F">
        <w:rPr>
          <w:sz w:val="22"/>
          <w:szCs w:val="22"/>
        </w:rPr>
        <w:t>E</w:t>
      </w:r>
      <w:r w:rsidR="00ED711D" w:rsidRPr="00F6575F">
        <w:rPr>
          <w:sz w:val="22"/>
          <w:szCs w:val="22"/>
        </w:rPr>
        <w:t xml:space="preserve">xchanges </w:t>
      </w:r>
      <w:r w:rsidR="000D6142" w:rsidRPr="00F6575F">
        <w:rPr>
          <w:sz w:val="22"/>
          <w:szCs w:val="22"/>
        </w:rPr>
        <w:t xml:space="preserve">often </w:t>
      </w:r>
      <w:r w:rsidR="00ED711D" w:rsidRPr="00F6575F">
        <w:rPr>
          <w:sz w:val="22"/>
          <w:szCs w:val="22"/>
        </w:rPr>
        <w:t>offer different product versions, e.g. as regards the scope</w:t>
      </w:r>
      <w:r w:rsidR="00BC0263" w:rsidRPr="00F6575F">
        <w:rPr>
          <w:sz w:val="22"/>
          <w:szCs w:val="22"/>
        </w:rPr>
        <w:t xml:space="preserve"> (</w:t>
      </w:r>
      <w:r w:rsidR="00ED711D" w:rsidRPr="00F6575F">
        <w:rPr>
          <w:sz w:val="22"/>
          <w:szCs w:val="22"/>
        </w:rPr>
        <w:t xml:space="preserve">order by order </w:t>
      </w:r>
      <w:r w:rsidR="00BC0263" w:rsidRPr="00F6575F">
        <w:rPr>
          <w:sz w:val="22"/>
          <w:szCs w:val="22"/>
        </w:rPr>
        <w:t>vs.</w:t>
      </w:r>
      <w:r w:rsidR="00ED711D" w:rsidRPr="00F6575F">
        <w:rPr>
          <w:sz w:val="22"/>
          <w:szCs w:val="22"/>
        </w:rPr>
        <w:t xml:space="preserve"> best bid/offer, or</w:t>
      </w:r>
      <w:r w:rsidRPr="00F6575F">
        <w:rPr>
          <w:sz w:val="22"/>
          <w:szCs w:val="22"/>
        </w:rPr>
        <w:t xml:space="preserve"> aggregated vs disaggregated)</w:t>
      </w:r>
      <w:r w:rsidR="000D6142" w:rsidRPr="00F6575F">
        <w:rPr>
          <w:sz w:val="22"/>
          <w:szCs w:val="22"/>
        </w:rPr>
        <w:t xml:space="preserve">, depending on the need </w:t>
      </w:r>
      <w:r w:rsidRPr="00F6575F">
        <w:rPr>
          <w:sz w:val="22"/>
          <w:szCs w:val="22"/>
        </w:rPr>
        <w:t xml:space="preserve">and/or use by </w:t>
      </w:r>
      <w:r w:rsidR="000D6142" w:rsidRPr="00F6575F">
        <w:rPr>
          <w:sz w:val="22"/>
          <w:szCs w:val="22"/>
        </w:rPr>
        <w:t>their customers</w:t>
      </w:r>
      <w:r w:rsidR="00ED711D" w:rsidRPr="00F6575F">
        <w:rPr>
          <w:sz w:val="22"/>
          <w:szCs w:val="22"/>
        </w:rPr>
        <w:t>. Of course, these are different product versions</w:t>
      </w:r>
      <w:r w:rsidRPr="00F6575F">
        <w:rPr>
          <w:sz w:val="22"/>
          <w:szCs w:val="22"/>
        </w:rPr>
        <w:t xml:space="preserve"> with different licenses and different fees</w:t>
      </w:r>
      <w:r w:rsidR="00ED711D" w:rsidRPr="00F6575F">
        <w:rPr>
          <w:sz w:val="22"/>
          <w:szCs w:val="22"/>
        </w:rPr>
        <w:t>, and an alignment as proposed by ESMA across those versions is not possible</w:t>
      </w:r>
      <w:r w:rsidRPr="00F6575F">
        <w:rPr>
          <w:sz w:val="22"/>
          <w:szCs w:val="22"/>
        </w:rPr>
        <w:t xml:space="preserve"> </w:t>
      </w:r>
      <w:r w:rsidR="00ED711D" w:rsidRPr="00F6575F">
        <w:rPr>
          <w:sz w:val="22"/>
          <w:szCs w:val="22"/>
        </w:rPr>
        <w:t>without significantly interfering with market standards (across the industry, not only trading venues)</w:t>
      </w:r>
      <w:r w:rsidR="00996F40" w:rsidRPr="00F6575F">
        <w:rPr>
          <w:sz w:val="22"/>
          <w:szCs w:val="22"/>
        </w:rPr>
        <w:t xml:space="preserve"> and seemingly requiring the introduction of new complex administration solutions across the </w:t>
      </w:r>
      <w:r w:rsidR="00996F40" w:rsidRPr="00F6575F">
        <w:rPr>
          <w:sz w:val="22"/>
          <w:szCs w:val="22"/>
        </w:rPr>
        <w:lastRenderedPageBreak/>
        <w:t>market as well as all market players, including market data vendors</w:t>
      </w:r>
      <w:r w:rsidRPr="00F6575F">
        <w:rPr>
          <w:sz w:val="22"/>
          <w:szCs w:val="22"/>
        </w:rPr>
        <w:t>.</w:t>
      </w:r>
      <w:r w:rsidR="00ED711D" w:rsidRPr="00F6575F">
        <w:rPr>
          <w:sz w:val="22"/>
          <w:szCs w:val="22"/>
        </w:rPr>
        <w:t xml:space="preserve"> </w:t>
      </w:r>
      <w:r w:rsidRPr="00F6575F">
        <w:rPr>
          <w:sz w:val="22"/>
          <w:szCs w:val="22"/>
        </w:rPr>
        <w:t xml:space="preserve">At the same time </w:t>
      </w:r>
      <w:r w:rsidR="00996F40" w:rsidRPr="00F6575F">
        <w:rPr>
          <w:sz w:val="22"/>
          <w:szCs w:val="22"/>
        </w:rPr>
        <w:t xml:space="preserve">any such </w:t>
      </w:r>
      <w:r w:rsidR="00073092" w:rsidRPr="00F6575F">
        <w:rPr>
          <w:sz w:val="22"/>
          <w:szCs w:val="22"/>
        </w:rPr>
        <w:t xml:space="preserve">requirement would </w:t>
      </w:r>
      <w:r w:rsidRPr="00F6575F">
        <w:rPr>
          <w:sz w:val="22"/>
          <w:szCs w:val="22"/>
        </w:rPr>
        <w:t xml:space="preserve">significantly </w:t>
      </w:r>
      <w:r w:rsidR="00A562E1" w:rsidRPr="00F6575F">
        <w:rPr>
          <w:sz w:val="22"/>
          <w:szCs w:val="22"/>
        </w:rPr>
        <w:t xml:space="preserve">favor </w:t>
      </w:r>
      <w:r w:rsidR="00ED711D" w:rsidRPr="00F6575F">
        <w:rPr>
          <w:sz w:val="22"/>
          <w:szCs w:val="22"/>
        </w:rPr>
        <w:t xml:space="preserve">large entities </w:t>
      </w:r>
      <w:r w:rsidRPr="00F6575F">
        <w:rPr>
          <w:sz w:val="22"/>
          <w:szCs w:val="22"/>
        </w:rPr>
        <w:t xml:space="preserve">with diversified businesses </w:t>
      </w:r>
      <w:r w:rsidR="00ED711D" w:rsidRPr="00F6575F">
        <w:rPr>
          <w:sz w:val="22"/>
          <w:szCs w:val="22"/>
        </w:rPr>
        <w:t xml:space="preserve">above smaller </w:t>
      </w:r>
      <w:r w:rsidR="00073092" w:rsidRPr="00F6575F">
        <w:rPr>
          <w:sz w:val="22"/>
          <w:szCs w:val="22"/>
        </w:rPr>
        <w:t>entities</w:t>
      </w:r>
      <w:r w:rsidRPr="00F6575F">
        <w:rPr>
          <w:sz w:val="22"/>
          <w:szCs w:val="22"/>
        </w:rPr>
        <w:t xml:space="preserve"> with a rather limited business</w:t>
      </w:r>
      <w:r w:rsidR="00A562E1" w:rsidRPr="00F6575F">
        <w:rPr>
          <w:sz w:val="22"/>
          <w:szCs w:val="22"/>
        </w:rPr>
        <w:t xml:space="preserve"> model</w:t>
      </w:r>
      <w:r w:rsidR="00073092" w:rsidRPr="00F6575F">
        <w:rPr>
          <w:sz w:val="22"/>
          <w:szCs w:val="22"/>
        </w:rPr>
        <w:t xml:space="preserve"> and less purchasing power</w:t>
      </w:r>
      <w:r w:rsidR="00ED711D" w:rsidRPr="00F6575F">
        <w:rPr>
          <w:sz w:val="22"/>
          <w:szCs w:val="22"/>
        </w:rPr>
        <w:t>.</w:t>
      </w:r>
      <w:r w:rsidRPr="00F6575F">
        <w:rPr>
          <w:sz w:val="22"/>
          <w:szCs w:val="22"/>
        </w:rPr>
        <w:t xml:space="preserve"> Consequently, this could lead to rising data fees for all</w:t>
      </w:r>
      <w:r w:rsidR="00073092" w:rsidRPr="00F6575F">
        <w:rPr>
          <w:sz w:val="22"/>
          <w:szCs w:val="22"/>
        </w:rPr>
        <w:t xml:space="preserve"> contracting parties</w:t>
      </w:r>
      <w:r w:rsidRPr="00F6575F">
        <w:rPr>
          <w:sz w:val="22"/>
          <w:szCs w:val="22"/>
        </w:rPr>
        <w:t>, where smaller parties are paying for the larger parties</w:t>
      </w:r>
      <w:r w:rsidR="004A3591" w:rsidRPr="00F6575F">
        <w:rPr>
          <w:sz w:val="22"/>
          <w:szCs w:val="22"/>
        </w:rPr>
        <w:t xml:space="preserve"> which gives rise to unequal treatment of different stakeholder groups under MiFIR’s non-discriminatory access regime</w:t>
      </w:r>
      <w:r w:rsidRPr="00F6575F">
        <w:rPr>
          <w:sz w:val="22"/>
          <w:szCs w:val="22"/>
        </w:rPr>
        <w:t xml:space="preserve">. The impact on overall social welfare would </w:t>
      </w:r>
      <w:r w:rsidR="00073092" w:rsidRPr="00F6575F">
        <w:rPr>
          <w:sz w:val="22"/>
          <w:szCs w:val="22"/>
        </w:rPr>
        <w:t xml:space="preserve">consequently </w:t>
      </w:r>
      <w:r w:rsidRPr="00F6575F">
        <w:rPr>
          <w:sz w:val="22"/>
          <w:szCs w:val="22"/>
        </w:rPr>
        <w:t xml:space="preserve">be negative. </w:t>
      </w:r>
    </w:p>
    <w:p w14:paraId="430D007F" w14:textId="4BD93C33" w:rsidR="002D163E" w:rsidRPr="00F6575F" w:rsidRDefault="00996F40" w:rsidP="007601FA">
      <w:pPr>
        <w:pStyle w:val="Default"/>
        <w:spacing w:after="160"/>
        <w:jc w:val="both"/>
        <w:rPr>
          <w:color w:val="auto"/>
          <w:sz w:val="22"/>
          <w:szCs w:val="22"/>
        </w:rPr>
      </w:pPr>
      <w:r w:rsidRPr="00F6575F">
        <w:rPr>
          <w:color w:val="auto"/>
          <w:sz w:val="22"/>
          <w:szCs w:val="22"/>
        </w:rPr>
        <w:t>Furthermore</w:t>
      </w:r>
      <w:r w:rsidR="00D27561" w:rsidRPr="00F6575F">
        <w:rPr>
          <w:color w:val="auto"/>
          <w:sz w:val="22"/>
          <w:szCs w:val="22"/>
        </w:rPr>
        <w:t>, Guideline 4 contradicts Art</w:t>
      </w:r>
      <w:r w:rsidR="00615826" w:rsidRPr="00F6575F">
        <w:rPr>
          <w:color w:val="auto"/>
          <w:sz w:val="22"/>
          <w:szCs w:val="22"/>
        </w:rPr>
        <w:t>icle</w:t>
      </w:r>
      <w:r w:rsidR="00D27561" w:rsidRPr="00F6575F">
        <w:rPr>
          <w:color w:val="auto"/>
          <w:sz w:val="22"/>
          <w:szCs w:val="22"/>
        </w:rPr>
        <w:t xml:space="preserve"> 13(1) MiFIR in conjunction with Art</w:t>
      </w:r>
      <w:r w:rsidR="00615826" w:rsidRPr="00F6575F">
        <w:rPr>
          <w:color w:val="auto"/>
          <w:sz w:val="22"/>
          <w:szCs w:val="22"/>
        </w:rPr>
        <w:t>icle</w:t>
      </w:r>
      <w:r w:rsidR="00D27561" w:rsidRPr="00F6575F">
        <w:rPr>
          <w:color w:val="auto"/>
          <w:sz w:val="22"/>
          <w:szCs w:val="22"/>
        </w:rPr>
        <w:t xml:space="preserve"> 8(2) of Commission Delegated Regulation (EU) 2017/567. Rationale of Art</w:t>
      </w:r>
      <w:r w:rsidR="00615826" w:rsidRPr="00F6575F">
        <w:rPr>
          <w:color w:val="auto"/>
          <w:sz w:val="22"/>
          <w:szCs w:val="22"/>
        </w:rPr>
        <w:t>icle</w:t>
      </w:r>
      <w:r w:rsidR="00D27561" w:rsidRPr="00F6575F">
        <w:rPr>
          <w:color w:val="auto"/>
          <w:sz w:val="22"/>
          <w:szCs w:val="22"/>
        </w:rPr>
        <w:t xml:space="preserve"> 8(2) of Commission Delegated Regulation (EU) 2017/567 is to enable licensors to apply deviations in their pricing regimes based on the value and,</w:t>
      </w:r>
      <w:r w:rsidR="005D15F5" w:rsidRPr="00F6575F">
        <w:rPr>
          <w:color w:val="auto"/>
          <w:sz w:val="22"/>
          <w:szCs w:val="22"/>
        </w:rPr>
        <w:t xml:space="preserve"> inter alia</w:t>
      </w:r>
      <w:r w:rsidR="003A7FB3" w:rsidRPr="00F6575F">
        <w:rPr>
          <w:color w:val="auto"/>
          <w:sz w:val="22"/>
          <w:szCs w:val="22"/>
        </w:rPr>
        <w:t>,</w:t>
      </w:r>
      <w:r w:rsidR="00D27561" w:rsidRPr="00F6575F">
        <w:rPr>
          <w:color w:val="auto"/>
          <w:sz w:val="22"/>
          <w:szCs w:val="22"/>
        </w:rPr>
        <w:t xml:space="preserve"> the use of the market data as the market is attributing a certain value to the usage of the market data (e.g. as raw market data may be used for several different use-cases</w:t>
      </w:r>
      <w:r w:rsidR="00FD2C2E">
        <w:rPr>
          <w:color w:val="auto"/>
          <w:sz w:val="22"/>
          <w:szCs w:val="22"/>
        </w:rPr>
        <w:t xml:space="preserve">, e.g. </w:t>
      </w:r>
      <w:r w:rsidR="00FD2C2E" w:rsidRPr="00FD2C2E">
        <w:rPr>
          <w:color w:val="auto"/>
          <w:sz w:val="22"/>
          <w:szCs w:val="22"/>
        </w:rPr>
        <w:t>for benchmark administrators, or for SIs, where sometimes both roles could be covered by one and the same entity</w:t>
      </w:r>
      <w:r w:rsidR="00D27561" w:rsidRPr="00F6575F">
        <w:rPr>
          <w:color w:val="auto"/>
          <w:sz w:val="22"/>
          <w:szCs w:val="22"/>
        </w:rPr>
        <w:t>)</w:t>
      </w:r>
      <w:r w:rsidR="00CA4473" w:rsidRPr="00F6575F">
        <w:rPr>
          <w:color w:val="auto"/>
          <w:sz w:val="22"/>
          <w:szCs w:val="22"/>
        </w:rPr>
        <w:t>, as well as allowing different products in scale and scope which may be chosen by end users according to their needs</w:t>
      </w:r>
      <w:r w:rsidR="00D27561" w:rsidRPr="00F6575F">
        <w:rPr>
          <w:color w:val="auto"/>
          <w:sz w:val="22"/>
          <w:szCs w:val="22"/>
        </w:rPr>
        <w:t>.</w:t>
      </w:r>
      <w:r w:rsidR="002D163E" w:rsidRPr="00F6575F">
        <w:rPr>
          <w:color w:val="auto"/>
          <w:sz w:val="22"/>
          <w:szCs w:val="22"/>
        </w:rPr>
        <w:t xml:space="preserve"> Art</w:t>
      </w:r>
      <w:r w:rsidR="00615826" w:rsidRPr="00F6575F">
        <w:rPr>
          <w:color w:val="auto"/>
          <w:sz w:val="22"/>
          <w:szCs w:val="22"/>
        </w:rPr>
        <w:t>icle</w:t>
      </w:r>
      <w:r w:rsidR="002D163E" w:rsidRPr="00F6575F">
        <w:rPr>
          <w:color w:val="auto"/>
          <w:sz w:val="22"/>
          <w:szCs w:val="22"/>
        </w:rPr>
        <w:t xml:space="preserve"> 8(2) of Commission Delegated Regulation (EU) 2017/567 would become (partly) redundant if licensors are not entitled to charge based on the value and use of the market data for the licensees</w:t>
      </w:r>
      <w:r w:rsidR="00CA4473" w:rsidRPr="00F6575F">
        <w:rPr>
          <w:color w:val="auto"/>
          <w:sz w:val="22"/>
          <w:szCs w:val="22"/>
        </w:rPr>
        <w:t xml:space="preserve"> or the different product scopes they offer in order to serve their clients</w:t>
      </w:r>
      <w:r w:rsidR="00F4381A" w:rsidRPr="00F6575F">
        <w:rPr>
          <w:color w:val="auto"/>
          <w:sz w:val="22"/>
          <w:szCs w:val="22"/>
        </w:rPr>
        <w:t>,</w:t>
      </w:r>
      <w:r w:rsidR="002D163E" w:rsidRPr="00F6575F">
        <w:rPr>
          <w:color w:val="auto"/>
          <w:sz w:val="22"/>
          <w:szCs w:val="22"/>
        </w:rPr>
        <w:t xml:space="preserve"> if different customer groups would be applicable for one licensee. In addition, it would be contradictory to Art</w:t>
      </w:r>
      <w:r w:rsidR="00615826" w:rsidRPr="00F6575F">
        <w:rPr>
          <w:color w:val="auto"/>
          <w:sz w:val="22"/>
          <w:szCs w:val="22"/>
        </w:rPr>
        <w:t>icle</w:t>
      </w:r>
      <w:r w:rsidR="002D163E" w:rsidRPr="00F6575F">
        <w:rPr>
          <w:color w:val="auto"/>
          <w:sz w:val="22"/>
          <w:szCs w:val="22"/>
        </w:rPr>
        <w:t> 9(1) sentence 2 of Commission Delegated Regulation (EU) 2017/567 to be obliged to charge on the basis of just one c</w:t>
      </w:r>
      <w:r w:rsidR="00F4381A" w:rsidRPr="00F6575F">
        <w:rPr>
          <w:color w:val="auto"/>
          <w:sz w:val="22"/>
          <w:szCs w:val="22"/>
        </w:rPr>
        <w:t>u</w:t>
      </w:r>
      <w:r w:rsidR="002D163E" w:rsidRPr="00F6575F">
        <w:rPr>
          <w:color w:val="auto"/>
          <w:sz w:val="22"/>
          <w:szCs w:val="22"/>
        </w:rPr>
        <w:t>st</w:t>
      </w:r>
      <w:r w:rsidR="00F4381A" w:rsidRPr="00F6575F">
        <w:rPr>
          <w:color w:val="auto"/>
          <w:sz w:val="22"/>
          <w:szCs w:val="22"/>
        </w:rPr>
        <w:t>o</w:t>
      </w:r>
      <w:r w:rsidR="002D163E" w:rsidRPr="00F6575F">
        <w:rPr>
          <w:color w:val="auto"/>
          <w:sz w:val="22"/>
          <w:szCs w:val="22"/>
        </w:rPr>
        <w:t>mer category although a customer falls within two or more use cases because the fee charged to such customer would not reflect the multiple uses made by the customer.</w:t>
      </w:r>
    </w:p>
    <w:p w14:paraId="7B677634" w14:textId="3FAB76E8" w:rsidR="002D163E" w:rsidRPr="00F6575F" w:rsidRDefault="009867E7" w:rsidP="007601FA">
      <w:pPr>
        <w:pStyle w:val="Default"/>
        <w:spacing w:after="160"/>
        <w:jc w:val="both"/>
        <w:rPr>
          <w:color w:val="auto"/>
          <w:sz w:val="22"/>
          <w:szCs w:val="22"/>
        </w:rPr>
      </w:pPr>
      <w:r w:rsidRPr="00F6575F">
        <w:rPr>
          <w:color w:val="auto"/>
          <w:sz w:val="22"/>
          <w:szCs w:val="22"/>
        </w:rPr>
        <w:t>In light of the arguments set out above, we</w:t>
      </w:r>
      <w:r w:rsidR="00E27D85" w:rsidRPr="00F6575F">
        <w:rPr>
          <w:color w:val="auto"/>
          <w:sz w:val="22"/>
          <w:szCs w:val="22"/>
        </w:rPr>
        <w:t xml:space="preserve"> recommend </w:t>
      </w:r>
      <w:r w:rsidR="00615826" w:rsidRPr="00F6575F">
        <w:rPr>
          <w:color w:val="auto"/>
          <w:sz w:val="22"/>
          <w:szCs w:val="22"/>
        </w:rPr>
        <w:t>deleting</w:t>
      </w:r>
      <w:r w:rsidR="00E27D85" w:rsidRPr="00F6575F">
        <w:rPr>
          <w:color w:val="auto"/>
          <w:sz w:val="22"/>
          <w:szCs w:val="22"/>
        </w:rPr>
        <w:t xml:space="preserve"> Guideline 4. </w:t>
      </w:r>
    </w:p>
    <w:p w14:paraId="3B981930" w14:textId="32BEF31C" w:rsidR="00984423" w:rsidRPr="007601FA" w:rsidRDefault="00984423" w:rsidP="007601FA">
      <w:pPr>
        <w:spacing w:after="160" w:line="259" w:lineRule="auto"/>
        <w:rPr>
          <w:rFonts w:ascii="Arial" w:eastAsia="Calibri" w:hAnsi="Arial" w:cs="Arial"/>
          <w:sz w:val="22"/>
          <w:szCs w:val="22"/>
          <w:lang w:val="en-US" w:eastAsia="en-US"/>
        </w:rPr>
      </w:pPr>
      <w:r w:rsidRPr="007601FA">
        <w:rPr>
          <w:rFonts w:ascii="Arial" w:eastAsia="Calibri" w:hAnsi="Arial" w:cs="Arial"/>
          <w:sz w:val="22"/>
          <w:szCs w:val="22"/>
          <w:lang w:val="en-US" w:eastAsia="en-US"/>
        </w:rPr>
        <w:t>&lt;ESMA_QUESTION_GOMD_7&gt;</w:t>
      </w:r>
    </w:p>
    <w:p w14:paraId="550B1616" w14:textId="77777777" w:rsidR="00984423" w:rsidRPr="00F6575F" w:rsidRDefault="00984423" w:rsidP="00984423">
      <w:pPr>
        <w:spacing w:after="160" w:line="259" w:lineRule="auto"/>
        <w:rPr>
          <w:rFonts w:ascii="Arial" w:eastAsia="Calibri" w:hAnsi="Arial" w:cs="Arial"/>
          <w:sz w:val="22"/>
          <w:szCs w:val="22"/>
          <w:lang w:val="en-US" w:eastAsia="en-US"/>
        </w:rPr>
      </w:pPr>
    </w:p>
    <w:p w14:paraId="255B270E" w14:textId="6720C7E2"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Q8: Do you agree with Guideline 5? If not, please justify.</w:t>
      </w:r>
    </w:p>
    <w:p w14:paraId="34F60E7E" w14:textId="77777777"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&lt;ESMA_QUESTION_GOMD_8&gt;</w:t>
      </w:r>
    </w:p>
    <w:p w14:paraId="360A6788" w14:textId="2FFD7740" w:rsidR="00DA477D" w:rsidRPr="00F6575F" w:rsidRDefault="00FF3EDB" w:rsidP="00DA477D">
      <w:pPr>
        <w:spacing w:after="160" w:line="259" w:lineRule="auto"/>
        <w:jc w:val="both"/>
        <w:rPr>
          <w:rFonts w:ascii="Arial" w:eastAsiaTheme="minorHAnsi" w:hAnsi="Arial" w:cs="Arial"/>
          <w:sz w:val="22"/>
          <w:szCs w:val="22"/>
          <w:lang w:val="en-US" w:eastAsia="en-US"/>
        </w:rPr>
      </w:pPr>
      <w:r w:rsidRPr="00F6575F">
        <w:rPr>
          <w:rFonts w:ascii="Arial" w:eastAsiaTheme="minorHAnsi" w:hAnsi="Arial" w:cs="Arial"/>
          <w:sz w:val="22"/>
          <w:szCs w:val="22"/>
          <w:lang w:val="en-US" w:eastAsia="en-US"/>
        </w:rPr>
        <w:t>DBG</w:t>
      </w:r>
      <w:r w:rsidR="00DA477D" w:rsidRPr="00F6575F">
        <w:rPr>
          <w:rFonts w:ascii="Arial" w:eastAsiaTheme="minorHAnsi" w:hAnsi="Arial" w:cs="Arial"/>
          <w:sz w:val="22"/>
          <w:szCs w:val="22"/>
          <w:lang w:val="en-US" w:eastAsia="en-US"/>
        </w:rPr>
        <w:t xml:space="preserve"> generally agrees with ESMA</w:t>
      </w:r>
      <w:r w:rsidR="00063980" w:rsidRPr="00F6575F">
        <w:rPr>
          <w:rFonts w:ascii="Arial" w:eastAsiaTheme="minorHAnsi" w:hAnsi="Arial" w:cs="Arial"/>
          <w:sz w:val="22"/>
          <w:szCs w:val="22"/>
          <w:lang w:val="en-US" w:eastAsia="en-US"/>
        </w:rPr>
        <w:t>’</w:t>
      </w:r>
      <w:r w:rsidR="00DA477D" w:rsidRPr="00F6575F">
        <w:rPr>
          <w:rFonts w:ascii="Arial" w:eastAsiaTheme="minorHAnsi" w:hAnsi="Arial" w:cs="Arial"/>
          <w:sz w:val="22"/>
          <w:szCs w:val="22"/>
          <w:lang w:val="en-US" w:eastAsia="en-US"/>
        </w:rPr>
        <w:t xml:space="preserve">s proposal. </w:t>
      </w:r>
      <w:r w:rsidRPr="00F6575F">
        <w:rPr>
          <w:rFonts w:ascii="Arial" w:eastAsiaTheme="minorHAnsi" w:hAnsi="Arial" w:cs="Arial"/>
          <w:sz w:val="22"/>
          <w:szCs w:val="22"/>
          <w:lang w:val="en-US" w:eastAsia="en-US"/>
        </w:rPr>
        <w:t>DBG</w:t>
      </w:r>
      <w:r w:rsidR="000C75DC" w:rsidRPr="00F6575F">
        <w:rPr>
          <w:rFonts w:ascii="Arial" w:eastAsiaTheme="minorHAnsi" w:hAnsi="Arial" w:cs="Arial"/>
          <w:sz w:val="22"/>
          <w:szCs w:val="22"/>
          <w:lang w:val="en-US" w:eastAsia="en-US"/>
        </w:rPr>
        <w:t xml:space="preserve"> provides a comprehensive choice of products and ways how to use data to all interested parties. This may be directly (via proprietary data feeds or</w:t>
      </w:r>
      <w:r w:rsidR="009A2C3C" w:rsidRPr="00F6575F">
        <w:rPr>
          <w:rFonts w:ascii="Arial" w:eastAsiaTheme="minorHAnsi" w:hAnsi="Arial" w:cs="Arial"/>
          <w:sz w:val="22"/>
          <w:szCs w:val="22"/>
          <w:lang w:val="en-US" w:eastAsia="en-US"/>
        </w:rPr>
        <w:t xml:space="preserve"> internet</w:t>
      </w:r>
      <w:r w:rsidR="000C75DC" w:rsidRPr="00F6575F">
        <w:rPr>
          <w:rFonts w:ascii="Arial" w:eastAsiaTheme="minorHAnsi" w:hAnsi="Arial" w:cs="Arial"/>
          <w:sz w:val="22"/>
          <w:szCs w:val="22"/>
          <w:lang w:val="en-US" w:eastAsia="en-US"/>
        </w:rPr>
        <w:t xml:space="preserve">) or indirectly (via third parties like market data vendors). </w:t>
      </w:r>
      <w:r w:rsidR="00DA477D" w:rsidRPr="00F6575F">
        <w:rPr>
          <w:rFonts w:ascii="Arial" w:eastAsiaTheme="minorHAnsi" w:hAnsi="Arial" w:cs="Arial"/>
          <w:sz w:val="22"/>
          <w:szCs w:val="22"/>
          <w:lang w:val="en-US" w:eastAsia="en-US"/>
        </w:rPr>
        <w:t xml:space="preserve">However, </w:t>
      </w:r>
      <w:r w:rsidRPr="00F6575F">
        <w:rPr>
          <w:rFonts w:ascii="Arial" w:eastAsiaTheme="minorHAnsi" w:hAnsi="Arial" w:cs="Arial"/>
          <w:sz w:val="22"/>
          <w:szCs w:val="22"/>
          <w:lang w:val="en-US" w:eastAsia="en-US"/>
        </w:rPr>
        <w:t>DBG</w:t>
      </w:r>
      <w:r w:rsidR="00DA477D" w:rsidRPr="00F6575F">
        <w:rPr>
          <w:rFonts w:ascii="Arial" w:eastAsiaTheme="minorHAnsi" w:hAnsi="Arial" w:cs="Arial"/>
          <w:sz w:val="22"/>
          <w:szCs w:val="22"/>
          <w:lang w:val="en-US" w:eastAsia="en-US"/>
        </w:rPr>
        <w:t xml:space="preserve"> can only </w:t>
      </w:r>
      <w:r w:rsidR="000C75DC" w:rsidRPr="00F6575F">
        <w:rPr>
          <w:rFonts w:ascii="Arial" w:eastAsiaTheme="minorHAnsi" w:hAnsi="Arial" w:cs="Arial"/>
          <w:sz w:val="22"/>
          <w:szCs w:val="22"/>
          <w:lang w:val="en-US" w:eastAsia="en-US"/>
        </w:rPr>
        <w:t xml:space="preserve">guarantee the </w:t>
      </w:r>
      <w:r w:rsidR="00EB4B80" w:rsidRPr="00F6575F">
        <w:rPr>
          <w:rFonts w:ascii="Arial" w:eastAsiaTheme="minorHAnsi" w:hAnsi="Arial" w:cs="Arial"/>
          <w:sz w:val="22"/>
          <w:szCs w:val="22"/>
          <w:lang w:val="en-US" w:eastAsia="en-US"/>
        </w:rPr>
        <w:t xml:space="preserve">non-discriminatory </w:t>
      </w:r>
      <w:r w:rsidR="000C75DC" w:rsidRPr="00F6575F">
        <w:rPr>
          <w:rFonts w:ascii="Arial" w:eastAsiaTheme="minorHAnsi" w:hAnsi="Arial" w:cs="Arial"/>
          <w:sz w:val="22"/>
          <w:szCs w:val="22"/>
          <w:lang w:val="en-US" w:eastAsia="en-US"/>
        </w:rPr>
        <w:t xml:space="preserve">treatment per customer group and product </w:t>
      </w:r>
      <w:r w:rsidR="00EB4B80" w:rsidRPr="00F6575F">
        <w:rPr>
          <w:rFonts w:ascii="Arial" w:eastAsiaTheme="minorHAnsi" w:hAnsi="Arial" w:cs="Arial"/>
          <w:sz w:val="22"/>
          <w:szCs w:val="22"/>
          <w:lang w:val="en-US" w:eastAsia="en-US"/>
        </w:rPr>
        <w:t xml:space="preserve">in terms of technical arrangements </w:t>
      </w:r>
      <w:r w:rsidR="000C75DC" w:rsidRPr="00F6575F">
        <w:rPr>
          <w:rFonts w:ascii="Arial" w:eastAsiaTheme="minorHAnsi" w:hAnsi="Arial" w:cs="Arial"/>
          <w:sz w:val="22"/>
          <w:szCs w:val="22"/>
          <w:lang w:val="en-US" w:eastAsia="en-US"/>
        </w:rPr>
        <w:t xml:space="preserve">until the data </w:t>
      </w:r>
      <w:r w:rsidR="00072B49" w:rsidRPr="00F6575F">
        <w:rPr>
          <w:rFonts w:ascii="Arial" w:eastAsiaTheme="minorHAnsi" w:hAnsi="Arial" w:cs="Arial"/>
          <w:sz w:val="22"/>
          <w:szCs w:val="22"/>
          <w:lang w:val="en-US" w:eastAsia="en-US"/>
        </w:rPr>
        <w:t xml:space="preserve">finally </w:t>
      </w:r>
      <w:r w:rsidR="000C75DC" w:rsidRPr="00F6575F">
        <w:rPr>
          <w:rFonts w:ascii="Arial" w:eastAsiaTheme="minorHAnsi" w:hAnsi="Arial" w:cs="Arial"/>
          <w:sz w:val="22"/>
          <w:szCs w:val="22"/>
          <w:lang w:val="en-US" w:eastAsia="en-US"/>
        </w:rPr>
        <w:t>leaves its premises. Beyond this there are many different physical interactions involved which could slightly cha</w:t>
      </w:r>
      <w:r w:rsidR="00072B49" w:rsidRPr="00F6575F">
        <w:rPr>
          <w:rFonts w:ascii="Arial" w:eastAsiaTheme="minorHAnsi" w:hAnsi="Arial" w:cs="Arial"/>
          <w:sz w:val="22"/>
          <w:szCs w:val="22"/>
          <w:lang w:val="en-US" w:eastAsia="en-US"/>
        </w:rPr>
        <w:t xml:space="preserve">nge the data availability to customers. </w:t>
      </w:r>
      <w:r w:rsidR="009A2C3C" w:rsidRPr="00F6575F">
        <w:rPr>
          <w:rFonts w:ascii="Arial" w:eastAsiaTheme="minorHAnsi" w:hAnsi="Arial" w:cs="Arial"/>
          <w:sz w:val="22"/>
          <w:szCs w:val="22"/>
          <w:lang w:val="en-US" w:eastAsia="en-US"/>
        </w:rPr>
        <w:t xml:space="preserve">However, this is out of control </w:t>
      </w:r>
      <w:r w:rsidR="00D65DCD" w:rsidRPr="00F6575F">
        <w:rPr>
          <w:rFonts w:ascii="Arial" w:eastAsiaTheme="minorHAnsi" w:hAnsi="Arial" w:cs="Arial"/>
          <w:sz w:val="22"/>
          <w:szCs w:val="22"/>
          <w:lang w:val="en-US" w:eastAsia="en-US"/>
        </w:rPr>
        <w:t xml:space="preserve">by </w:t>
      </w:r>
      <w:r w:rsidR="009A2C3C" w:rsidRPr="00F6575F">
        <w:rPr>
          <w:rFonts w:ascii="Arial" w:eastAsiaTheme="minorHAnsi" w:hAnsi="Arial" w:cs="Arial"/>
          <w:sz w:val="22"/>
          <w:szCs w:val="22"/>
          <w:lang w:val="en-US" w:eastAsia="en-US"/>
        </w:rPr>
        <w:t xml:space="preserve">DBG. </w:t>
      </w:r>
      <w:r w:rsidR="00F6575F" w:rsidRPr="00F6575F">
        <w:rPr>
          <w:rFonts w:ascii="Arial" w:eastAsiaTheme="minorHAnsi" w:hAnsi="Arial" w:cs="Arial"/>
          <w:sz w:val="22"/>
          <w:szCs w:val="22"/>
          <w:lang w:val="en-US" w:eastAsia="en-US"/>
        </w:rPr>
        <w:t>Finally</w:t>
      </w:r>
      <w:r w:rsidR="009C4182" w:rsidRPr="00F6575F">
        <w:rPr>
          <w:rFonts w:ascii="Arial" w:eastAsiaTheme="minorHAnsi" w:hAnsi="Arial" w:cs="Arial"/>
          <w:sz w:val="22"/>
          <w:szCs w:val="22"/>
          <w:lang w:val="en-US" w:eastAsia="en-US"/>
        </w:rPr>
        <w:t>,</w:t>
      </w:r>
      <w:r w:rsidR="00072B49" w:rsidRPr="00F6575F">
        <w:rPr>
          <w:rFonts w:ascii="Arial" w:eastAsiaTheme="minorHAnsi" w:hAnsi="Arial" w:cs="Arial"/>
          <w:sz w:val="22"/>
          <w:szCs w:val="22"/>
          <w:lang w:val="en-US" w:eastAsia="en-US"/>
        </w:rPr>
        <w:t xml:space="preserve"> the geographical distance plays a significant role</w:t>
      </w:r>
      <w:r w:rsidR="005D6A31" w:rsidRPr="00F6575F">
        <w:rPr>
          <w:rFonts w:ascii="Arial" w:eastAsiaTheme="minorHAnsi" w:hAnsi="Arial" w:cs="Arial"/>
          <w:sz w:val="22"/>
          <w:szCs w:val="22"/>
          <w:lang w:val="en-US" w:eastAsia="en-US"/>
        </w:rPr>
        <w:t>,</w:t>
      </w:r>
      <w:r w:rsidR="00072B49" w:rsidRPr="00F6575F">
        <w:rPr>
          <w:rFonts w:ascii="Arial" w:eastAsiaTheme="minorHAnsi" w:hAnsi="Arial" w:cs="Arial"/>
          <w:sz w:val="22"/>
          <w:szCs w:val="22"/>
          <w:lang w:val="en-US" w:eastAsia="en-US"/>
        </w:rPr>
        <w:t xml:space="preserve"> too. </w:t>
      </w:r>
      <w:r w:rsidR="00D65DCD" w:rsidRPr="00F6575F">
        <w:rPr>
          <w:rFonts w:ascii="Arial" w:eastAsiaTheme="minorHAnsi" w:hAnsi="Arial" w:cs="Arial"/>
          <w:sz w:val="22"/>
          <w:szCs w:val="22"/>
          <w:lang w:val="en-US" w:eastAsia="en-US"/>
        </w:rPr>
        <w:t xml:space="preserve"> </w:t>
      </w:r>
    </w:p>
    <w:p w14:paraId="5753CF7A" w14:textId="77777777" w:rsidR="00984423" w:rsidRPr="00A15456" w:rsidRDefault="00984423" w:rsidP="00984423">
      <w:pPr>
        <w:spacing w:after="160" w:line="259" w:lineRule="auto"/>
        <w:rPr>
          <w:rFonts w:ascii="Arial" w:eastAsia="Calibri" w:hAnsi="Arial" w:cs="Arial"/>
          <w:sz w:val="22"/>
          <w:szCs w:val="22"/>
          <w:lang w:val="en-US" w:eastAsia="en-US"/>
        </w:rPr>
      </w:pPr>
      <w:r w:rsidRPr="00A15456">
        <w:rPr>
          <w:rFonts w:ascii="Arial" w:eastAsia="Calibri" w:hAnsi="Arial" w:cs="Arial"/>
          <w:sz w:val="22"/>
          <w:szCs w:val="22"/>
          <w:lang w:val="en-US" w:eastAsia="en-US"/>
        </w:rPr>
        <w:t>&lt;ESMA_QUESTION_GOMD_8&gt;</w:t>
      </w:r>
    </w:p>
    <w:p w14:paraId="454B6F76" w14:textId="77777777" w:rsidR="00984423" w:rsidRPr="00A15456" w:rsidRDefault="00984423" w:rsidP="00984423">
      <w:pPr>
        <w:spacing w:after="160" w:line="259" w:lineRule="auto"/>
        <w:rPr>
          <w:rFonts w:ascii="Arial" w:eastAsia="Calibri" w:hAnsi="Arial" w:cs="Arial"/>
          <w:sz w:val="22"/>
          <w:szCs w:val="22"/>
          <w:lang w:val="en-US" w:eastAsia="en-US"/>
        </w:rPr>
      </w:pPr>
    </w:p>
    <w:p w14:paraId="79FFCA2B"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Q9: Do you think that ESMA should clarify other elements of the obligation to provide market data on a non-discriminatory basis? If yes, please explain.</w:t>
      </w:r>
    </w:p>
    <w:p w14:paraId="64FBDEB0" w14:textId="754E540E"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&lt;ESMA_QUESTION_GOMD_9&gt;</w:t>
      </w:r>
    </w:p>
    <w:p w14:paraId="487AD7DC" w14:textId="399195E5" w:rsidR="00FD2C2E" w:rsidRDefault="003D48E9" w:rsidP="00A86160">
      <w:pPr>
        <w:spacing w:after="160" w:line="259" w:lineRule="auto"/>
        <w:jc w:val="both"/>
        <w:rPr>
          <w:rFonts w:ascii="Arial" w:eastAsia="Calibri" w:hAnsi="Arial" w:cs="Arial"/>
          <w:sz w:val="22"/>
          <w:szCs w:val="22"/>
          <w:lang w:val="en-US" w:eastAsia="en-US"/>
        </w:rPr>
      </w:pPr>
      <w:r w:rsidRPr="004D4238">
        <w:rPr>
          <w:rFonts w:ascii="Arial" w:eastAsia="Calibri" w:hAnsi="Arial" w:cs="Arial"/>
          <w:sz w:val="22"/>
          <w:szCs w:val="22"/>
          <w:lang w:val="en-US" w:eastAsia="en-US"/>
        </w:rPr>
        <w:t xml:space="preserve">Data from trading venues is already made available on a non-discriminatory basis as per Article 13 of MiFIR, Article 86 of Delegated Regulation (EU) No 2017/565, and Article 8 of Delegated Regulation (EU) No 2017/567. </w:t>
      </w:r>
      <w:r w:rsidR="00FF3EDB" w:rsidRPr="004D4238">
        <w:rPr>
          <w:rFonts w:ascii="Arial" w:eastAsia="Calibri" w:hAnsi="Arial" w:cs="Arial"/>
          <w:sz w:val="22"/>
          <w:szCs w:val="22"/>
          <w:lang w:val="en-US" w:eastAsia="en-US"/>
        </w:rPr>
        <w:t>DBG</w:t>
      </w:r>
      <w:r w:rsidR="005D6A31" w:rsidRPr="004D4238">
        <w:rPr>
          <w:rFonts w:ascii="Arial" w:eastAsia="Calibri" w:hAnsi="Arial" w:cs="Arial"/>
          <w:sz w:val="22"/>
          <w:szCs w:val="22"/>
          <w:lang w:val="en-US" w:eastAsia="en-US"/>
        </w:rPr>
        <w:t xml:space="preserve"> does not consider that there is anything else which would need to be considered in the context of making data available at non-discriminatory terms.</w:t>
      </w:r>
      <w:r w:rsidR="00AB637D" w:rsidRPr="004D4238">
        <w:rPr>
          <w:rFonts w:ascii="Arial" w:eastAsia="Calibri" w:hAnsi="Arial" w:cs="Arial"/>
          <w:sz w:val="22"/>
          <w:szCs w:val="22"/>
          <w:lang w:val="en-US" w:eastAsia="en-US"/>
        </w:rPr>
        <w:t xml:space="preserve"> </w:t>
      </w:r>
      <w:r w:rsidR="00AB637D" w:rsidRPr="004D4238">
        <w:rPr>
          <w:rFonts w:ascii="Arial" w:eastAsia="Calibri" w:hAnsi="Arial" w:cs="Arial"/>
          <w:sz w:val="22"/>
          <w:szCs w:val="22"/>
          <w:lang w:val="en-US" w:eastAsia="en-US"/>
        </w:rPr>
        <w:lastRenderedPageBreak/>
        <w:t>There is ample</w:t>
      </w:r>
      <w:r w:rsidR="005D6A31" w:rsidRPr="004D4238">
        <w:rPr>
          <w:rFonts w:ascii="Arial" w:eastAsia="Calibri" w:hAnsi="Arial" w:cs="Arial"/>
          <w:sz w:val="22"/>
          <w:szCs w:val="22"/>
          <w:lang w:val="en-US" w:eastAsia="en-US"/>
        </w:rPr>
        <w:t xml:space="preserve"> evidence available that competition is working</w:t>
      </w:r>
      <w:r w:rsidR="000F2116" w:rsidRPr="004D4238">
        <w:rPr>
          <w:rFonts w:ascii="Arial" w:eastAsia="Calibri" w:hAnsi="Arial" w:cs="Arial"/>
          <w:sz w:val="22"/>
          <w:szCs w:val="22"/>
          <w:lang w:val="en-US" w:eastAsia="en-US"/>
        </w:rPr>
        <w:t xml:space="preserve"> as </w:t>
      </w:r>
      <w:r w:rsidR="004B0B76" w:rsidRPr="004B0B76">
        <w:rPr>
          <w:rFonts w:ascii="Arial" w:eastAsia="Calibri" w:hAnsi="Arial" w:cs="Arial"/>
          <w:sz w:val="22"/>
          <w:szCs w:val="22"/>
          <w:lang w:val="en-US" w:eastAsia="en-US"/>
        </w:rPr>
        <w:t>lined out explicitly in recent publications by OXERA and ESMA</w:t>
      </w:r>
      <w:r w:rsidR="00D11589">
        <w:rPr>
          <w:rStyle w:val="Funotenzeichen"/>
          <w:rFonts w:eastAsia="Calibri" w:cs="Arial"/>
          <w:szCs w:val="22"/>
          <w:lang w:val="en-US" w:eastAsia="en-US"/>
        </w:rPr>
        <w:footnoteReference w:id="26"/>
      </w:r>
      <w:r w:rsidR="006B0C7E">
        <w:rPr>
          <w:rFonts w:ascii="Arial" w:eastAsia="Calibri" w:hAnsi="Arial" w:cs="Arial"/>
          <w:sz w:val="22"/>
          <w:szCs w:val="22"/>
          <w:lang w:val="en-US" w:eastAsia="en-US"/>
        </w:rPr>
        <w:t xml:space="preserve"> </w:t>
      </w:r>
      <w:r w:rsidR="00D11589">
        <w:rPr>
          <w:rStyle w:val="Funotenzeichen"/>
          <w:rFonts w:eastAsia="Calibri" w:cs="Arial"/>
          <w:szCs w:val="22"/>
          <w:lang w:val="en-US" w:eastAsia="en-US"/>
        </w:rPr>
        <w:footnoteReference w:id="27"/>
      </w:r>
      <w:r w:rsidR="00C75A0F">
        <w:rPr>
          <w:rFonts w:ascii="Arial" w:eastAsia="Calibri" w:hAnsi="Arial" w:cs="Arial"/>
          <w:sz w:val="22"/>
          <w:szCs w:val="22"/>
          <w:lang w:val="en-US" w:eastAsia="en-US"/>
        </w:rPr>
        <w:t xml:space="preserve"> </w:t>
      </w:r>
      <w:bookmarkStart w:id="12" w:name="_GoBack"/>
      <w:bookmarkEnd w:id="12"/>
      <w:r w:rsidR="006B0C7E">
        <w:rPr>
          <w:rFonts w:ascii="Arial" w:eastAsia="Calibri" w:hAnsi="Arial" w:cs="Arial"/>
          <w:sz w:val="22"/>
          <w:szCs w:val="22"/>
          <w:lang w:val="en-US" w:eastAsia="en-US"/>
        </w:rPr>
        <w:t xml:space="preserve">as </w:t>
      </w:r>
      <w:r w:rsidR="000F2116" w:rsidRPr="004D4238">
        <w:rPr>
          <w:rFonts w:ascii="Arial" w:eastAsia="Calibri" w:hAnsi="Arial" w:cs="Arial"/>
          <w:sz w:val="22"/>
          <w:szCs w:val="22"/>
          <w:lang w:val="en-US" w:eastAsia="en-US"/>
        </w:rPr>
        <w:t xml:space="preserve">alluded to in our </w:t>
      </w:r>
      <w:r w:rsidR="00EC76E9" w:rsidRPr="004D4238">
        <w:rPr>
          <w:rFonts w:ascii="Arial" w:eastAsia="Calibri" w:hAnsi="Arial" w:cs="Arial"/>
          <w:sz w:val="22"/>
          <w:szCs w:val="22"/>
          <w:lang w:val="en-US" w:eastAsia="en-US"/>
        </w:rPr>
        <w:t xml:space="preserve">introductory remarks as well as our </w:t>
      </w:r>
      <w:r w:rsidR="000F2116" w:rsidRPr="004D4238">
        <w:rPr>
          <w:rFonts w:ascii="Arial" w:eastAsia="Calibri" w:hAnsi="Arial" w:cs="Arial"/>
          <w:sz w:val="22"/>
          <w:szCs w:val="22"/>
          <w:lang w:val="en-US" w:eastAsia="en-US"/>
        </w:rPr>
        <w:t xml:space="preserve">answers to </w:t>
      </w:r>
      <w:r w:rsidR="0050374A">
        <w:rPr>
          <w:rFonts w:ascii="Arial" w:eastAsia="Calibri" w:hAnsi="Arial" w:cs="Arial"/>
          <w:sz w:val="22"/>
          <w:szCs w:val="22"/>
          <w:lang w:val="en-US" w:eastAsia="en-US"/>
        </w:rPr>
        <w:t>Q1</w:t>
      </w:r>
      <w:r w:rsidR="00EC76E9">
        <w:rPr>
          <w:rFonts w:ascii="Arial" w:eastAsia="Calibri" w:hAnsi="Arial" w:cs="Arial"/>
          <w:sz w:val="22"/>
          <w:szCs w:val="22"/>
          <w:lang w:val="en-US" w:eastAsia="en-US"/>
        </w:rPr>
        <w:t xml:space="preserve"> and Q2</w:t>
      </w:r>
      <w:r w:rsidR="00FD2C2E">
        <w:rPr>
          <w:rFonts w:ascii="Arial" w:eastAsia="Calibri" w:hAnsi="Arial" w:cs="Arial"/>
          <w:sz w:val="22"/>
          <w:szCs w:val="22"/>
          <w:lang w:val="en-US" w:eastAsia="en-US"/>
        </w:rPr>
        <w:t xml:space="preserve">. </w:t>
      </w:r>
    </w:p>
    <w:p w14:paraId="597F693E" w14:textId="198E5FF0" w:rsidR="000F2116" w:rsidRPr="004D4238" w:rsidRDefault="00FD2C2E" w:rsidP="00A86160">
      <w:pPr>
        <w:spacing w:after="160" w:line="259" w:lineRule="auto"/>
        <w:jc w:val="both"/>
        <w:rPr>
          <w:rFonts w:ascii="Arial" w:eastAsia="Calibri" w:hAnsi="Arial" w:cs="Arial"/>
          <w:sz w:val="22"/>
          <w:szCs w:val="22"/>
          <w:lang w:val="en-US" w:eastAsia="en-US"/>
        </w:rPr>
      </w:pPr>
      <w:r w:rsidRPr="00FD2C2E">
        <w:rPr>
          <w:rFonts w:ascii="Arial" w:eastAsia="Calibri" w:hAnsi="Arial" w:cs="Arial"/>
          <w:sz w:val="22"/>
          <w:szCs w:val="22"/>
          <w:lang w:val="en-US" w:eastAsia="en-US"/>
        </w:rPr>
        <w:t>Besides DBG and other exchanges request the completion of a data usage declaration, i.e. a questionnaire about data use types of licensees. The information gained from these declarations are essential to enable the licensors to offer market data on a non-discriminatory basis.</w:t>
      </w:r>
    </w:p>
    <w:p w14:paraId="2A3F9EB1"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&lt;ESMA_QUESTION_GOMD_9&gt;</w:t>
      </w:r>
    </w:p>
    <w:p w14:paraId="65B7A41F" w14:textId="77777777" w:rsidR="00984423" w:rsidRPr="00F6575F" w:rsidRDefault="00984423" w:rsidP="00984423">
      <w:pPr>
        <w:spacing w:after="160" w:line="259" w:lineRule="auto"/>
        <w:rPr>
          <w:rFonts w:ascii="Arial" w:eastAsia="Calibri" w:hAnsi="Arial" w:cs="Arial"/>
          <w:sz w:val="22"/>
          <w:szCs w:val="22"/>
          <w:lang w:val="en-US" w:eastAsia="en-US"/>
        </w:rPr>
      </w:pPr>
    </w:p>
    <w:p w14:paraId="51201F77"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09FC3CAE" w14:textId="77777777" w:rsidR="00EB49A7" w:rsidRPr="004D4238" w:rsidRDefault="00984423" w:rsidP="00EB49A7">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&lt;ESMA_QUESTION_GOMD_10&gt;</w:t>
      </w:r>
    </w:p>
    <w:p w14:paraId="2770DD7F" w14:textId="47D2D4EE" w:rsidR="00EC252F" w:rsidRPr="00F6575F" w:rsidRDefault="00F0077C" w:rsidP="00F0077C">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DBG does not </w:t>
      </w:r>
      <w:r w:rsidR="00B32FE3" w:rsidRPr="00F6575F">
        <w:rPr>
          <w:rFonts w:ascii="Arial" w:eastAsia="Calibri" w:hAnsi="Arial" w:cs="Arial"/>
          <w:sz w:val="22"/>
          <w:szCs w:val="22"/>
          <w:lang w:val="en-US" w:eastAsia="en-US"/>
        </w:rPr>
        <w:t xml:space="preserve">fully </w:t>
      </w:r>
      <w:r w:rsidRPr="00F6575F">
        <w:rPr>
          <w:rFonts w:ascii="Arial" w:eastAsia="Calibri" w:hAnsi="Arial" w:cs="Arial"/>
          <w:sz w:val="22"/>
          <w:szCs w:val="22"/>
          <w:lang w:val="en-US" w:eastAsia="en-US"/>
        </w:rPr>
        <w:t xml:space="preserve">agree with Guideline 6. </w:t>
      </w:r>
    </w:p>
    <w:p w14:paraId="6395A78E" w14:textId="7A8E04F2" w:rsidR="0027214F" w:rsidRPr="00F6575F" w:rsidRDefault="00F0077C" w:rsidP="00F0077C">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ESMA proposes the concept of “active user”, which is extremely difficult to monitor and to administrate for all affected parties. This is not only the case for trading venues, but the more so for </w:t>
      </w:r>
      <w:r w:rsidR="00F577AA" w:rsidRPr="00F6575F">
        <w:rPr>
          <w:rFonts w:ascii="Arial" w:eastAsia="Calibri" w:hAnsi="Arial" w:cs="Arial"/>
          <w:sz w:val="22"/>
          <w:szCs w:val="22"/>
          <w:lang w:val="en-US" w:eastAsia="en-US"/>
        </w:rPr>
        <w:t>contracting parties</w:t>
      </w:r>
      <w:r w:rsidRPr="00F6575F">
        <w:rPr>
          <w:rFonts w:ascii="Arial" w:eastAsia="Calibri" w:hAnsi="Arial" w:cs="Arial"/>
          <w:sz w:val="22"/>
          <w:szCs w:val="22"/>
          <w:lang w:val="en-US" w:eastAsia="en-US"/>
        </w:rPr>
        <w:t xml:space="preserve"> themselves. Usernames would have to be crosschecked across multiple platforms and providers, as they can often be generic and are shared between users. It would be a very complex system and unfeasible to monitor. </w:t>
      </w:r>
      <w:r w:rsidR="00F6575F" w:rsidRPr="00F6575F">
        <w:rPr>
          <w:rFonts w:ascii="Arial" w:eastAsia="Calibri" w:hAnsi="Arial" w:cs="Arial"/>
          <w:sz w:val="22"/>
          <w:szCs w:val="22"/>
          <w:lang w:val="en-US" w:eastAsia="en-US"/>
        </w:rPr>
        <w:t>Consequently</w:t>
      </w:r>
      <w:r w:rsidR="00EB4B80" w:rsidRPr="00F6575F">
        <w:rPr>
          <w:rFonts w:ascii="Arial" w:eastAsia="Calibri" w:hAnsi="Arial" w:cs="Arial"/>
          <w:sz w:val="22"/>
          <w:szCs w:val="22"/>
          <w:lang w:val="en-US" w:eastAsia="en-US"/>
        </w:rPr>
        <w:t>,</w:t>
      </w:r>
      <w:r w:rsidR="0027214F" w:rsidRPr="00F6575F">
        <w:rPr>
          <w:rFonts w:ascii="Arial" w:eastAsia="Calibri" w:hAnsi="Arial" w:cs="Arial"/>
          <w:sz w:val="22"/>
          <w:szCs w:val="22"/>
          <w:lang w:val="en-US" w:eastAsia="en-US"/>
        </w:rPr>
        <w:t xml:space="preserve"> only few customers would be eligible for this user definition. </w:t>
      </w:r>
      <w:r w:rsidRPr="00F6575F">
        <w:rPr>
          <w:rFonts w:ascii="Arial" w:eastAsia="Calibri" w:hAnsi="Arial" w:cs="Arial"/>
          <w:sz w:val="22"/>
          <w:szCs w:val="22"/>
          <w:lang w:val="en-US" w:eastAsia="en-US"/>
        </w:rPr>
        <w:t>In addition, differences in unit of count derive from the diverging commercial practices of trading venues. Harmoni</w:t>
      </w:r>
      <w:r w:rsidR="001C62F9">
        <w:rPr>
          <w:rFonts w:ascii="Arial" w:eastAsia="Calibri" w:hAnsi="Arial" w:cs="Arial"/>
          <w:sz w:val="22"/>
          <w:szCs w:val="22"/>
          <w:lang w:val="en-US" w:eastAsia="en-US"/>
        </w:rPr>
        <w:t>z</w:t>
      </w:r>
      <w:r w:rsidRPr="00F6575F">
        <w:rPr>
          <w:rFonts w:ascii="Arial" w:eastAsia="Calibri" w:hAnsi="Arial" w:cs="Arial"/>
          <w:sz w:val="22"/>
          <w:szCs w:val="22"/>
          <w:lang w:val="en-US" w:eastAsia="en-US"/>
        </w:rPr>
        <w:t xml:space="preserve">ing units of count would require significant convergence in terms of business practices. </w:t>
      </w:r>
      <w:r w:rsidR="00B54562" w:rsidRPr="00F6575F">
        <w:rPr>
          <w:rFonts w:ascii="Arial" w:eastAsia="Calibri" w:hAnsi="Arial" w:cs="Arial"/>
          <w:sz w:val="22"/>
          <w:szCs w:val="22"/>
          <w:lang w:val="en-US" w:eastAsia="en-US"/>
        </w:rPr>
        <w:t>It is neither possible to net licenses across different products versions either. In this context please see as well our comments to Q7.</w:t>
      </w:r>
      <w:r w:rsidR="006A571B" w:rsidRPr="00F6575F">
        <w:rPr>
          <w:rFonts w:ascii="Arial" w:eastAsia="Calibri" w:hAnsi="Arial" w:cs="Arial"/>
          <w:sz w:val="22"/>
          <w:szCs w:val="22"/>
          <w:lang w:val="en-US" w:eastAsia="en-US"/>
        </w:rPr>
        <w:t xml:space="preserve"> </w:t>
      </w:r>
    </w:p>
    <w:p w14:paraId="5F8E60C9" w14:textId="3560A310" w:rsidR="00F0077C" w:rsidRPr="00F6575F" w:rsidRDefault="00F0077C" w:rsidP="00F0077C">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In the light of the above we strongly suggest </w:t>
      </w:r>
      <w:r w:rsidR="0027214F" w:rsidRPr="00F6575F">
        <w:rPr>
          <w:rFonts w:ascii="Arial" w:eastAsia="Calibri" w:hAnsi="Arial" w:cs="Arial"/>
          <w:sz w:val="22"/>
          <w:szCs w:val="22"/>
          <w:lang w:val="en-US" w:eastAsia="en-US"/>
        </w:rPr>
        <w:t xml:space="preserve">that ESMA </w:t>
      </w:r>
      <w:r w:rsidRPr="00F6575F">
        <w:rPr>
          <w:rFonts w:ascii="Arial" w:eastAsia="Calibri" w:hAnsi="Arial" w:cs="Arial"/>
          <w:sz w:val="22"/>
          <w:szCs w:val="22"/>
          <w:lang w:val="en-US" w:eastAsia="en-US"/>
        </w:rPr>
        <w:t>adapt</w:t>
      </w:r>
      <w:r w:rsidR="0027214F" w:rsidRPr="00F6575F">
        <w:rPr>
          <w:rFonts w:ascii="Arial" w:eastAsia="Calibri" w:hAnsi="Arial" w:cs="Arial"/>
          <w:sz w:val="22"/>
          <w:szCs w:val="22"/>
          <w:lang w:val="en-US" w:eastAsia="en-US"/>
        </w:rPr>
        <w:t>s</w:t>
      </w:r>
      <w:r w:rsidRPr="00F6575F">
        <w:rPr>
          <w:rFonts w:ascii="Arial" w:eastAsia="Calibri" w:hAnsi="Arial" w:cs="Arial"/>
          <w:sz w:val="22"/>
          <w:szCs w:val="22"/>
          <w:lang w:val="en-US" w:eastAsia="en-US"/>
        </w:rPr>
        <w:t xml:space="preserve"> the </w:t>
      </w:r>
      <w:r w:rsidR="0027214F" w:rsidRPr="00F6575F">
        <w:rPr>
          <w:rFonts w:ascii="Arial" w:eastAsia="Calibri" w:hAnsi="Arial" w:cs="Arial"/>
          <w:sz w:val="22"/>
          <w:szCs w:val="22"/>
          <w:lang w:val="en-US" w:eastAsia="en-US"/>
        </w:rPr>
        <w:t>G</w:t>
      </w:r>
      <w:r w:rsidRPr="00F6575F">
        <w:rPr>
          <w:rFonts w:ascii="Arial" w:eastAsia="Calibri" w:hAnsi="Arial" w:cs="Arial"/>
          <w:sz w:val="22"/>
          <w:szCs w:val="22"/>
          <w:lang w:val="en-US" w:eastAsia="en-US"/>
        </w:rPr>
        <w:t xml:space="preserve">uideline </w:t>
      </w:r>
      <w:r w:rsidR="0027214F" w:rsidRPr="00F6575F">
        <w:rPr>
          <w:rFonts w:ascii="Arial" w:eastAsia="Calibri" w:hAnsi="Arial" w:cs="Arial"/>
          <w:sz w:val="22"/>
          <w:szCs w:val="22"/>
          <w:lang w:val="en-US" w:eastAsia="en-US"/>
        </w:rPr>
        <w:t xml:space="preserve">6 </w:t>
      </w:r>
      <w:r w:rsidRPr="00F6575F">
        <w:rPr>
          <w:rFonts w:ascii="Arial" w:eastAsia="Calibri" w:hAnsi="Arial" w:cs="Arial"/>
          <w:sz w:val="22"/>
          <w:szCs w:val="22"/>
          <w:lang w:val="en-US" w:eastAsia="en-US"/>
        </w:rPr>
        <w:t>as follows:</w:t>
      </w:r>
    </w:p>
    <w:p w14:paraId="0DE75524" w14:textId="2592177A" w:rsidR="00171C41" w:rsidRPr="00F6575F" w:rsidRDefault="00EC252F" w:rsidP="00171C41">
      <w:pPr>
        <w:pStyle w:val="Default"/>
        <w:jc w:val="both"/>
        <w:rPr>
          <w:color w:val="FF0000"/>
          <w:sz w:val="22"/>
          <w:szCs w:val="22"/>
        </w:rPr>
      </w:pPr>
      <w:r w:rsidRPr="00F6575F">
        <w:rPr>
          <w:sz w:val="22"/>
          <w:szCs w:val="22"/>
        </w:rPr>
        <w:t>Guideline 6: Market data providers should for display data use as a unit of count the “</w:t>
      </w:r>
      <w:r w:rsidRPr="00F6575F">
        <w:rPr>
          <w:strike/>
          <w:color w:val="FF0000"/>
          <w:sz w:val="22"/>
          <w:szCs w:val="22"/>
        </w:rPr>
        <w:t>Active</w:t>
      </w:r>
      <w:r w:rsidRPr="00F6575F">
        <w:rPr>
          <w:sz w:val="22"/>
          <w:szCs w:val="22"/>
        </w:rPr>
        <w:t xml:space="preserve"> </w:t>
      </w:r>
      <w:r w:rsidR="0027214F" w:rsidRPr="00F6575F">
        <w:rPr>
          <w:color w:val="FF0000"/>
          <w:sz w:val="22"/>
          <w:szCs w:val="22"/>
        </w:rPr>
        <w:t>Physical</w:t>
      </w:r>
      <w:r w:rsidR="0027214F" w:rsidRPr="00F6575F">
        <w:rPr>
          <w:sz w:val="22"/>
          <w:szCs w:val="22"/>
        </w:rPr>
        <w:t xml:space="preserve"> </w:t>
      </w:r>
      <w:r w:rsidRPr="00F6575F">
        <w:rPr>
          <w:sz w:val="22"/>
          <w:szCs w:val="22"/>
        </w:rPr>
        <w:t xml:space="preserve">User-ID” that enables customers to pay according to the number of </w:t>
      </w:r>
      <w:r w:rsidRPr="00F6575F">
        <w:rPr>
          <w:strike/>
          <w:color w:val="FF0000"/>
          <w:sz w:val="22"/>
          <w:szCs w:val="22"/>
        </w:rPr>
        <w:t>active</w:t>
      </w:r>
      <w:r w:rsidRPr="00F6575F">
        <w:rPr>
          <w:sz w:val="22"/>
          <w:szCs w:val="22"/>
        </w:rPr>
        <w:t xml:space="preserve"> users accessing the data, rather than per device </w:t>
      </w:r>
      <w:r w:rsidRPr="00F6575F">
        <w:rPr>
          <w:strike/>
          <w:color w:val="FF0000"/>
          <w:sz w:val="22"/>
          <w:szCs w:val="22"/>
        </w:rPr>
        <w:t>or data product</w:t>
      </w:r>
      <w:r w:rsidRPr="00F6575F">
        <w:rPr>
          <w:sz w:val="22"/>
          <w:szCs w:val="22"/>
        </w:rPr>
        <w:t xml:space="preserve">. The per user model should enable customers to avoid multiple billing in the case market data has been sourced </w:t>
      </w:r>
      <w:r w:rsidRPr="00F6575F">
        <w:rPr>
          <w:strike/>
          <w:color w:val="FF0000"/>
          <w:sz w:val="22"/>
          <w:szCs w:val="22"/>
        </w:rPr>
        <w:t>through multiple data products</w:t>
      </w:r>
      <w:r w:rsidRPr="00F6575F">
        <w:rPr>
          <w:sz w:val="22"/>
          <w:szCs w:val="22"/>
        </w:rPr>
        <w:t xml:space="preserve"> </w:t>
      </w:r>
      <w:r w:rsidRPr="00F6575F">
        <w:rPr>
          <w:strike/>
          <w:color w:val="FF0000"/>
          <w:sz w:val="22"/>
          <w:szCs w:val="22"/>
        </w:rPr>
        <w:t>or subscriptions</w:t>
      </w:r>
      <w:r w:rsidR="00B54562" w:rsidRPr="00F6575F">
        <w:rPr>
          <w:strike/>
          <w:color w:val="FF0000"/>
          <w:sz w:val="22"/>
          <w:szCs w:val="22"/>
        </w:rPr>
        <w:t xml:space="preserve"> </w:t>
      </w:r>
      <w:r w:rsidR="006A571B" w:rsidRPr="00F6575F">
        <w:rPr>
          <w:color w:val="FF0000"/>
          <w:sz w:val="22"/>
          <w:szCs w:val="22"/>
        </w:rPr>
        <w:t xml:space="preserve">from </w:t>
      </w:r>
      <w:r w:rsidR="00B54562" w:rsidRPr="00F6575F">
        <w:rPr>
          <w:color w:val="FF0000"/>
          <w:sz w:val="22"/>
          <w:szCs w:val="22"/>
        </w:rPr>
        <w:t>data vendors</w:t>
      </w:r>
      <w:r w:rsidRPr="00F6575F">
        <w:rPr>
          <w:color w:val="FF0000"/>
          <w:sz w:val="22"/>
          <w:szCs w:val="22"/>
        </w:rPr>
        <w:t xml:space="preserve">. </w:t>
      </w:r>
    </w:p>
    <w:p w14:paraId="421FF1CE" w14:textId="77777777" w:rsidR="00171C41" w:rsidRPr="00F6575F" w:rsidRDefault="00171C41" w:rsidP="00171C41">
      <w:pPr>
        <w:pStyle w:val="Default"/>
        <w:jc w:val="both"/>
        <w:rPr>
          <w:color w:val="FF0000"/>
          <w:sz w:val="22"/>
          <w:szCs w:val="22"/>
        </w:rPr>
      </w:pPr>
    </w:p>
    <w:p w14:paraId="11579C91"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&lt;ESMA_QUESTION_GOMD_10&gt;</w:t>
      </w:r>
    </w:p>
    <w:p w14:paraId="691E2CCE" w14:textId="77777777" w:rsidR="00984423" w:rsidRPr="00F6575F" w:rsidRDefault="00984423" w:rsidP="00984423">
      <w:pPr>
        <w:spacing w:after="160" w:line="259" w:lineRule="auto"/>
        <w:rPr>
          <w:rFonts w:ascii="Arial" w:eastAsia="Calibri" w:hAnsi="Arial" w:cs="Arial"/>
          <w:sz w:val="22"/>
          <w:szCs w:val="22"/>
          <w:lang w:val="en-US" w:eastAsia="en-US"/>
        </w:rPr>
      </w:pPr>
    </w:p>
    <w:p w14:paraId="45A9DBA3"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205BDF46" w14:textId="7AFD5B3C"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lastRenderedPageBreak/>
        <w:t>&lt;ESMA_QUESTION_GOMD_11&gt;</w:t>
      </w:r>
    </w:p>
    <w:p w14:paraId="04EE0994" w14:textId="77777777" w:rsidR="004D4238" w:rsidRDefault="00FF3EDB" w:rsidP="004D4238">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DBG</w:t>
      </w:r>
      <w:r w:rsidR="00ED6F70" w:rsidRPr="00F6575F">
        <w:rPr>
          <w:rFonts w:ascii="Arial" w:eastAsia="Calibri" w:hAnsi="Arial" w:cs="Arial"/>
          <w:sz w:val="22"/>
          <w:szCs w:val="22"/>
          <w:lang w:val="en-US" w:eastAsia="en-US"/>
        </w:rPr>
        <w:t xml:space="preserve"> does not </w:t>
      </w:r>
      <w:r w:rsidR="00B32FE3" w:rsidRPr="00F6575F">
        <w:rPr>
          <w:rFonts w:ascii="Arial" w:eastAsia="Calibri" w:hAnsi="Arial" w:cs="Arial"/>
          <w:sz w:val="22"/>
          <w:szCs w:val="22"/>
          <w:lang w:val="en-US" w:eastAsia="en-US"/>
        </w:rPr>
        <w:t xml:space="preserve">fully </w:t>
      </w:r>
      <w:r w:rsidR="00ED6F70" w:rsidRPr="00F6575F">
        <w:rPr>
          <w:rFonts w:ascii="Arial" w:eastAsia="Calibri" w:hAnsi="Arial" w:cs="Arial"/>
          <w:sz w:val="22"/>
          <w:szCs w:val="22"/>
          <w:lang w:val="en-US" w:eastAsia="en-US"/>
        </w:rPr>
        <w:t xml:space="preserve">agree with Guideline 7 due to the reasons already lined out in our answer to Q10. ESMA proposes the concept of </w:t>
      </w:r>
      <w:r w:rsidR="002E7365" w:rsidRPr="00F6575F">
        <w:rPr>
          <w:rFonts w:ascii="Arial" w:eastAsia="Calibri" w:hAnsi="Arial" w:cs="Arial"/>
          <w:sz w:val="22"/>
          <w:szCs w:val="22"/>
          <w:lang w:val="en-US" w:eastAsia="en-US"/>
        </w:rPr>
        <w:t>“</w:t>
      </w:r>
      <w:r w:rsidR="00ED6F70" w:rsidRPr="00F6575F">
        <w:rPr>
          <w:rFonts w:ascii="Arial" w:eastAsia="Calibri" w:hAnsi="Arial" w:cs="Arial"/>
          <w:sz w:val="22"/>
          <w:szCs w:val="22"/>
          <w:lang w:val="en-US" w:eastAsia="en-US"/>
        </w:rPr>
        <w:t>active user</w:t>
      </w:r>
      <w:r w:rsidR="002E7365" w:rsidRPr="00F6575F">
        <w:rPr>
          <w:rFonts w:ascii="Arial" w:eastAsia="Calibri" w:hAnsi="Arial" w:cs="Arial"/>
          <w:sz w:val="22"/>
          <w:szCs w:val="22"/>
          <w:lang w:val="en-US" w:eastAsia="en-US"/>
        </w:rPr>
        <w:t>”</w:t>
      </w:r>
      <w:r w:rsidR="00ED6F70" w:rsidRPr="00F6575F">
        <w:rPr>
          <w:rFonts w:ascii="Arial" w:eastAsia="Calibri" w:hAnsi="Arial" w:cs="Arial"/>
          <w:sz w:val="22"/>
          <w:szCs w:val="22"/>
          <w:lang w:val="en-US" w:eastAsia="en-US"/>
        </w:rPr>
        <w:t xml:space="preserve">, which is extremely difficult to monitor and to administrate for all affected parties. </w:t>
      </w:r>
    </w:p>
    <w:p w14:paraId="6B8320AE" w14:textId="7E78FD95" w:rsidR="004D4238" w:rsidRPr="00F6575F" w:rsidRDefault="004D4238" w:rsidP="004D4238">
      <w:pPr>
        <w:spacing w:after="160" w:line="259" w:lineRule="auto"/>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In addition, </w:t>
      </w:r>
      <w:r w:rsidRPr="004B0B76">
        <w:rPr>
          <w:rFonts w:ascii="Arial" w:eastAsia="Calibri" w:hAnsi="Arial" w:cs="Arial"/>
          <w:sz w:val="22"/>
          <w:szCs w:val="22"/>
          <w:lang w:val="en-US" w:eastAsia="en-US"/>
        </w:rPr>
        <w:t xml:space="preserve"> please note that in the context of this consultation we understand that market data provider refers to the original data source, </w:t>
      </w:r>
      <w:r w:rsidR="00220986">
        <w:rPr>
          <w:rFonts w:ascii="Arial" w:eastAsia="Calibri" w:hAnsi="Arial" w:cs="Arial"/>
          <w:sz w:val="22"/>
          <w:szCs w:val="22"/>
          <w:lang w:val="en-US" w:eastAsia="en-US"/>
        </w:rPr>
        <w:t>i</w:t>
      </w:r>
      <w:r w:rsidRPr="004B0B76">
        <w:rPr>
          <w:rFonts w:ascii="Arial" w:eastAsia="Calibri" w:hAnsi="Arial" w:cs="Arial"/>
          <w:sz w:val="22"/>
          <w:szCs w:val="22"/>
          <w:lang w:val="en-US" w:eastAsia="en-US"/>
        </w:rPr>
        <w:t>.</w:t>
      </w:r>
      <w:r w:rsidR="00220986">
        <w:rPr>
          <w:rFonts w:ascii="Arial" w:eastAsia="Calibri" w:hAnsi="Arial" w:cs="Arial"/>
          <w:sz w:val="22"/>
          <w:szCs w:val="22"/>
          <w:lang w:val="en-US" w:eastAsia="en-US"/>
        </w:rPr>
        <w:t>e</w:t>
      </w:r>
      <w:r w:rsidRPr="004B0B76">
        <w:rPr>
          <w:rFonts w:ascii="Arial" w:eastAsia="Calibri" w:hAnsi="Arial" w:cs="Arial"/>
          <w:sz w:val="22"/>
          <w:szCs w:val="22"/>
          <w:lang w:val="en-US" w:eastAsia="en-US"/>
        </w:rPr>
        <w:t>. the trading venue or the SI.</w:t>
      </w:r>
      <w:r w:rsidR="00A946E6">
        <w:rPr>
          <w:rFonts w:ascii="Arial" w:eastAsia="Calibri" w:hAnsi="Arial" w:cs="Arial"/>
          <w:sz w:val="22"/>
          <w:szCs w:val="22"/>
          <w:lang w:val="en-US" w:eastAsia="en-US"/>
        </w:rPr>
        <w:t xml:space="preserve"> </w:t>
      </w:r>
      <w:r w:rsidR="00A946E6" w:rsidRPr="00A946E6">
        <w:rPr>
          <w:rFonts w:ascii="Arial" w:eastAsia="Calibri" w:hAnsi="Arial" w:cs="Arial"/>
          <w:sz w:val="22"/>
          <w:szCs w:val="22"/>
          <w:lang w:val="en-US" w:eastAsia="en-US"/>
        </w:rPr>
        <w:t>In any case it should be clear that customers would have to report to the market data source, therefore, we cautiously adapt the wording below.</w:t>
      </w:r>
    </w:p>
    <w:p w14:paraId="23752783" w14:textId="53283371" w:rsidR="00EE5959" w:rsidRPr="00F6575F" w:rsidRDefault="00ED6F70" w:rsidP="00EE5959">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In the light of the above we strongly suggest</w:t>
      </w:r>
      <w:r w:rsidR="002E7365" w:rsidRPr="00F6575F">
        <w:rPr>
          <w:rFonts w:ascii="Arial" w:eastAsia="Calibri" w:hAnsi="Arial" w:cs="Arial"/>
          <w:sz w:val="22"/>
          <w:szCs w:val="22"/>
          <w:lang w:val="en-US" w:eastAsia="en-US"/>
        </w:rPr>
        <w:t>,</w:t>
      </w:r>
      <w:r w:rsidRPr="00F6575F">
        <w:rPr>
          <w:rFonts w:ascii="Arial" w:eastAsia="Calibri" w:hAnsi="Arial" w:cs="Arial"/>
          <w:sz w:val="22"/>
          <w:szCs w:val="22"/>
          <w:lang w:val="en-US" w:eastAsia="en-US"/>
        </w:rPr>
        <w:t xml:space="preserve"> to adapt the </w:t>
      </w:r>
      <w:r w:rsidR="000F2116" w:rsidRPr="00F6575F">
        <w:rPr>
          <w:rFonts w:ascii="Arial" w:eastAsia="Calibri" w:hAnsi="Arial" w:cs="Arial"/>
          <w:sz w:val="22"/>
          <w:szCs w:val="22"/>
          <w:lang w:val="en-US" w:eastAsia="en-US"/>
        </w:rPr>
        <w:t>g</w:t>
      </w:r>
      <w:r w:rsidRPr="00F6575F">
        <w:rPr>
          <w:rFonts w:ascii="Arial" w:eastAsia="Calibri" w:hAnsi="Arial" w:cs="Arial"/>
          <w:sz w:val="22"/>
          <w:szCs w:val="22"/>
          <w:lang w:val="en-US" w:eastAsia="en-US"/>
        </w:rPr>
        <w:t>uideline as follows:</w:t>
      </w:r>
    </w:p>
    <w:p w14:paraId="49FB924B" w14:textId="58714860" w:rsidR="004D4238" w:rsidRDefault="00EE5959" w:rsidP="00870FCB">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Guideline 7: </w:t>
      </w:r>
      <w:r w:rsidR="000F2116" w:rsidRPr="00F6575F">
        <w:rPr>
          <w:rFonts w:ascii="Arial" w:eastAsia="Calibri" w:hAnsi="Arial" w:cs="Arial"/>
          <w:sz w:val="22"/>
          <w:szCs w:val="22"/>
          <w:lang w:val="en-US" w:eastAsia="en-US"/>
        </w:rPr>
        <w:t>“</w:t>
      </w:r>
      <w:r w:rsidRPr="00F6575F">
        <w:rPr>
          <w:rFonts w:ascii="Arial" w:eastAsia="Calibri" w:hAnsi="Arial" w:cs="Arial"/>
          <w:sz w:val="22"/>
          <w:szCs w:val="22"/>
          <w:lang w:val="en-US" w:eastAsia="en-US"/>
        </w:rPr>
        <w:t>Market data providers should ensure</w:t>
      </w:r>
      <w:r w:rsidR="00C06FED" w:rsidRPr="00F6575F">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 xml:space="preserve">the conditions to be qualified as eligible for the per user model </w:t>
      </w:r>
      <w:r w:rsidR="00B34AE7" w:rsidRPr="00F6575F">
        <w:rPr>
          <w:rFonts w:ascii="Arial" w:eastAsia="Calibri" w:hAnsi="Arial" w:cs="Arial"/>
          <w:color w:val="FF0000"/>
          <w:sz w:val="22"/>
          <w:szCs w:val="22"/>
          <w:lang w:val="en-US" w:eastAsia="en-US"/>
        </w:rPr>
        <w:t xml:space="preserve">in the context of </w:t>
      </w:r>
      <w:r w:rsidR="008F7708">
        <w:rPr>
          <w:rFonts w:ascii="Arial" w:eastAsia="Calibri" w:hAnsi="Arial" w:cs="Arial"/>
          <w:color w:val="FF0000"/>
          <w:sz w:val="22"/>
          <w:szCs w:val="22"/>
          <w:lang w:val="en-US" w:eastAsia="en-US"/>
        </w:rPr>
        <w:t>display</w:t>
      </w:r>
      <w:r w:rsidR="00B34AE7" w:rsidRPr="00F6575F">
        <w:rPr>
          <w:rFonts w:ascii="Arial" w:eastAsia="Calibri" w:hAnsi="Arial" w:cs="Arial"/>
          <w:color w:val="FF0000"/>
          <w:sz w:val="22"/>
          <w:szCs w:val="22"/>
          <w:lang w:val="en-US" w:eastAsia="en-US"/>
        </w:rPr>
        <w:t xml:space="preserve"> use </w:t>
      </w:r>
      <w:r w:rsidRPr="00F6575F">
        <w:rPr>
          <w:rFonts w:ascii="Arial" w:eastAsia="Calibri" w:hAnsi="Arial" w:cs="Arial"/>
          <w:sz w:val="22"/>
          <w:szCs w:val="22"/>
          <w:lang w:val="en-US" w:eastAsia="en-US"/>
        </w:rPr>
        <w:t xml:space="preserve">require only what is necessary to make the per user model feasible. In particular, eligibility conditions should mean i) the customer is able to identify correctly the number of </w:t>
      </w:r>
      <w:r w:rsidR="002E7365" w:rsidRPr="00F6575F">
        <w:rPr>
          <w:rFonts w:ascii="Arial" w:eastAsia="Calibri" w:hAnsi="Arial" w:cs="Arial"/>
          <w:strike/>
          <w:color w:val="FF0000"/>
          <w:sz w:val="22"/>
          <w:szCs w:val="22"/>
          <w:lang w:val="en-US" w:eastAsia="en-US"/>
        </w:rPr>
        <w:t>active</w:t>
      </w:r>
      <w:r w:rsidR="002E7365" w:rsidRPr="00F6575F">
        <w:rPr>
          <w:rFonts w:ascii="Arial" w:eastAsia="Calibri" w:hAnsi="Arial" w:cs="Arial"/>
          <w:strike/>
          <w:sz w:val="22"/>
          <w:szCs w:val="22"/>
          <w:lang w:val="en-US" w:eastAsia="en-US"/>
        </w:rPr>
        <w:t xml:space="preserve"> </w:t>
      </w:r>
      <w:r w:rsidRPr="00F6575F">
        <w:rPr>
          <w:rFonts w:ascii="Arial" w:eastAsia="Calibri" w:hAnsi="Arial" w:cs="Arial"/>
          <w:sz w:val="22"/>
          <w:szCs w:val="22"/>
          <w:lang w:val="en-US" w:eastAsia="en-US"/>
        </w:rPr>
        <w:t xml:space="preserve">users who are entitled to access to the data within the </w:t>
      </w:r>
      <w:r w:rsidR="00F6575F" w:rsidRPr="00F6575F">
        <w:rPr>
          <w:rFonts w:ascii="Arial" w:eastAsia="Calibri" w:hAnsi="Arial" w:cs="Arial"/>
          <w:sz w:val="22"/>
          <w:szCs w:val="22"/>
          <w:lang w:val="en-US" w:eastAsia="en-US"/>
        </w:rPr>
        <w:t>organization</w:t>
      </w:r>
      <w:r w:rsidRPr="00F6575F">
        <w:rPr>
          <w:rFonts w:ascii="Arial" w:eastAsia="Calibri" w:hAnsi="Arial" w:cs="Arial"/>
          <w:sz w:val="22"/>
          <w:szCs w:val="22"/>
          <w:lang w:val="en-US" w:eastAsia="en-US"/>
        </w:rPr>
        <w:t xml:space="preserve"> and ii) the customer reports to the market data </w:t>
      </w:r>
      <w:r w:rsidRPr="00F6575F">
        <w:rPr>
          <w:rFonts w:ascii="Arial" w:eastAsia="Calibri" w:hAnsi="Arial" w:cs="Arial"/>
          <w:strike/>
          <w:color w:val="FF0000"/>
          <w:sz w:val="22"/>
          <w:szCs w:val="22"/>
          <w:lang w:val="en-US" w:eastAsia="en-US"/>
        </w:rPr>
        <w:t>provider</w:t>
      </w:r>
      <w:r w:rsidRPr="00F6575F">
        <w:rPr>
          <w:rFonts w:ascii="Arial" w:eastAsia="Calibri" w:hAnsi="Arial" w:cs="Arial"/>
          <w:color w:val="FF0000"/>
          <w:sz w:val="22"/>
          <w:szCs w:val="22"/>
          <w:lang w:val="en-US" w:eastAsia="en-US"/>
        </w:rPr>
        <w:t xml:space="preserve"> </w:t>
      </w:r>
      <w:r w:rsidR="00615826" w:rsidRPr="00F6575F">
        <w:rPr>
          <w:rFonts w:ascii="Arial" w:eastAsia="Calibri" w:hAnsi="Arial" w:cs="Arial"/>
          <w:color w:val="FF0000"/>
          <w:sz w:val="22"/>
          <w:szCs w:val="22"/>
          <w:lang w:val="en-US" w:eastAsia="en-US"/>
        </w:rPr>
        <w:t>source</w:t>
      </w:r>
      <w:r w:rsidR="00AE7981">
        <w:rPr>
          <w:rFonts w:ascii="Arial" w:eastAsia="Calibri" w:hAnsi="Arial" w:cs="Arial"/>
          <w:color w:val="FF0000"/>
          <w:sz w:val="22"/>
          <w:szCs w:val="22"/>
          <w:lang w:val="en-US" w:eastAsia="en-US"/>
        </w:rPr>
        <w:t xml:space="preserve"> </w:t>
      </w:r>
      <w:r w:rsidRPr="00F6575F">
        <w:rPr>
          <w:rFonts w:ascii="Arial" w:eastAsia="Calibri" w:hAnsi="Arial" w:cs="Arial"/>
          <w:sz w:val="22"/>
          <w:szCs w:val="22"/>
          <w:lang w:val="en-US" w:eastAsia="en-US"/>
        </w:rPr>
        <w:t xml:space="preserve">the exact number of </w:t>
      </w:r>
      <w:r w:rsidR="002E7365" w:rsidRPr="00F6575F">
        <w:rPr>
          <w:rFonts w:ascii="Arial" w:eastAsia="Calibri" w:hAnsi="Arial" w:cs="Arial"/>
          <w:strike/>
          <w:color w:val="FF0000"/>
          <w:sz w:val="22"/>
          <w:szCs w:val="22"/>
          <w:lang w:val="en-US" w:eastAsia="en-US"/>
        </w:rPr>
        <w:t>active</w:t>
      </w:r>
      <w:r w:rsidR="002E7365" w:rsidRPr="00F6575F">
        <w:rPr>
          <w:rFonts w:ascii="Arial" w:eastAsia="Calibri" w:hAnsi="Arial" w:cs="Arial"/>
          <w:color w:val="FF0000"/>
          <w:sz w:val="22"/>
          <w:szCs w:val="22"/>
          <w:lang w:val="en-US" w:eastAsia="en-US"/>
        </w:rPr>
        <w:t xml:space="preserve"> </w:t>
      </w:r>
      <w:r w:rsidRPr="00F6575F">
        <w:rPr>
          <w:rFonts w:ascii="Arial" w:eastAsia="Calibri" w:hAnsi="Arial" w:cs="Arial"/>
          <w:sz w:val="22"/>
          <w:szCs w:val="22"/>
          <w:lang w:val="en-US" w:eastAsia="en-US"/>
        </w:rPr>
        <w:t>entitled users.</w:t>
      </w:r>
      <w:r w:rsidR="000F2116" w:rsidRPr="00F6575F">
        <w:rPr>
          <w:rFonts w:ascii="Arial" w:eastAsia="Calibri" w:hAnsi="Arial" w:cs="Arial"/>
          <w:sz w:val="22"/>
          <w:szCs w:val="22"/>
          <w:lang w:val="en-US" w:eastAsia="en-US"/>
        </w:rPr>
        <w:t>”</w:t>
      </w:r>
      <w:r w:rsidR="004B0B76">
        <w:rPr>
          <w:rFonts w:ascii="Arial" w:eastAsia="Calibri" w:hAnsi="Arial" w:cs="Arial"/>
          <w:sz w:val="22"/>
          <w:szCs w:val="22"/>
          <w:lang w:val="en-US" w:eastAsia="en-US"/>
        </w:rPr>
        <w:t xml:space="preserve"> </w:t>
      </w:r>
    </w:p>
    <w:p w14:paraId="013ED46C"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&lt;ESMA_QUESTION_GOMD_11&gt;</w:t>
      </w:r>
    </w:p>
    <w:p w14:paraId="6267E2D0" w14:textId="77777777" w:rsidR="00984423" w:rsidRPr="00F6575F" w:rsidRDefault="00984423" w:rsidP="00984423">
      <w:pPr>
        <w:spacing w:after="160" w:line="259" w:lineRule="auto"/>
        <w:rPr>
          <w:rFonts w:ascii="Arial" w:eastAsia="Calibri" w:hAnsi="Arial" w:cs="Arial"/>
          <w:sz w:val="22"/>
          <w:szCs w:val="22"/>
          <w:lang w:val="en-US" w:eastAsia="en-US"/>
        </w:rPr>
      </w:pPr>
    </w:p>
    <w:p w14:paraId="46752C84"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3B56A5F4" w14:textId="5E8C5376" w:rsidR="009202A7" w:rsidRPr="004D4238" w:rsidRDefault="00984423" w:rsidP="00171C41">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&lt;ESMA_QUESTION_GOMD_12&gt;</w:t>
      </w:r>
    </w:p>
    <w:p w14:paraId="7CE0091D" w14:textId="7607AEEB" w:rsidR="009202A7" w:rsidRPr="00F6575F" w:rsidRDefault="009202A7" w:rsidP="00EE5959">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While </w:t>
      </w:r>
      <w:r w:rsidR="00FF3EDB" w:rsidRPr="00F6575F">
        <w:rPr>
          <w:rFonts w:ascii="Arial" w:eastAsia="Calibri" w:hAnsi="Arial" w:cs="Arial"/>
          <w:sz w:val="22"/>
          <w:szCs w:val="22"/>
          <w:lang w:val="en-US" w:eastAsia="en-US"/>
        </w:rPr>
        <w:t>DBG</w:t>
      </w:r>
      <w:r w:rsidR="00EE5959" w:rsidRPr="00F6575F">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provides for the price per use model</w:t>
      </w:r>
      <w:r w:rsidR="006D228D" w:rsidRPr="00F6575F">
        <w:rPr>
          <w:rFonts w:ascii="Arial" w:eastAsia="Calibri" w:hAnsi="Arial" w:cs="Arial"/>
          <w:sz w:val="22"/>
          <w:szCs w:val="22"/>
          <w:lang w:val="en-US" w:eastAsia="en-US"/>
        </w:rPr>
        <w:t xml:space="preserve"> </w:t>
      </w:r>
      <w:r w:rsidR="002E7365" w:rsidRPr="00F6575F">
        <w:rPr>
          <w:rFonts w:ascii="Arial" w:eastAsia="Calibri" w:hAnsi="Arial" w:cs="Arial"/>
          <w:sz w:val="22"/>
          <w:szCs w:val="22"/>
          <w:lang w:val="en-US" w:eastAsia="en-US"/>
        </w:rPr>
        <w:t xml:space="preserve">(PPU) </w:t>
      </w:r>
      <w:r w:rsidRPr="00F6575F">
        <w:rPr>
          <w:rFonts w:ascii="Arial" w:eastAsia="Calibri" w:hAnsi="Arial" w:cs="Arial"/>
          <w:sz w:val="22"/>
          <w:szCs w:val="22"/>
          <w:lang w:val="en-US" w:eastAsia="en-US"/>
        </w:rPr>
        <w:t xml:space="preserve">we </w:t>
      </w:r>
      <w:r w:rsidR="00EE5959" w:rsidRPr="00F6575F">
        <w:rPr>
          <w:rFonts w:ascii="Arial" w:eastAsia="Calibri" w:hAnsi="Arial" w:cs="Arial"/>
          <w:sz w:val="22"/>
          <w:szCs w:val="22"/>
          <w:lang w:val="en-US" w:eastAsia="en-US"/>
        </w:rPr>
        <w:t>generally agree with ESMA</w:t>
      </w:r>
      <w:r w:rsidR="00063980" w:rsidRPr="00F6575F">
        <w:rPr>
          <w:rFonts w:ascii="Arial" w:eastAsia="Calibri" w:hAnsi="Arial" w:cs="Arial"/>
          <w:sz w:val="22"/>
          <w:szCs w:val="22"/>
          <w:lang w:val="en-US" w:eastAsia="en-US"/>
        </w:rPr>
        <w:t>’</w:t>
      </w:r>
      <w:r w:rsidR="00EE5959" w:rsidRPr="00F6575F">
        <w:rPr>
          <w:rFonts w:ascii="Arial" w:eastAsia="Calibri" w:hAnsi="Arial" w:cs="Arial"/>
          <w:sz w:val="22"/>
          <w:szCs w:val="22"/>
          <w:lang w:val="en-US" w:eastAsia="en-US"/>
        </w:rPr>
        <w:t>s proposal</w:t>
      </w:r>
      <w:r w:rsidRPr="00F6575F">
        <w:rPr>
          <w:rFonts w:ascii="Arial" w:eastAsia="Calibri" w:hAnsi="Arial" w:cs="Arial"/>
          <w:sz w:val="22"/>
          <w:szCs w:val="22"/>
          <w:lang w:val="en-US" w:eastAsia="en-US"/>
        </w:rPr>
        <w:t>.</w:t>
      </w:r>
      <w:r w:rsidR="00EE5959" w:rsidRPr="00F6575F">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We would like to point out that the per user model entails significant fixed costs and administrative burdens, e.g. due to the need to engage in an approval process to check market data user eligibility and to monitor and net users. Hence, the per user model may be appropriate for only a limited number of</w:t>
      </w:r>
      <w:r w:rsidR="00AC3CF7" w:rsidRPr="00F6575F">
        <w:rPr>
          <w:rFonts w:ascii="Arial" w:eastAsia="Calibri" w:hAnsi="Arial" w:cs="Arial"/>
          <w:sz w:val="22"/>
          <w:szCs w:val="22"/>
          <w:lang w:val="en-US" w:eastAsia="en-US"/>
        </w:rPr>
        <w:t xml:space="preserve"> contracting parties</w:t>
      </w:r>
      <w:r w:rsidRPr="00F6575F">
        <w:rPr>
          <w:rFonts w:ascii="Arial" w:eastAsia="Calibri" w:hAnsi="Arial" w:cs="Arial"/>
          <w:sz w:val="22"/>
          <w:szCs w:val="22"/>
          <w:lang w:val="en-US" w:eastAsia="en-US"/>
        </w:rPr>
        <w:t xml:space="preserve">. </w:t>
      </w:r>
    </w:p>
    <w:p w14:paraId="4440F1E3" w14:textId="77777777" w:rsidR="000428BD" w:rsidRPr="00F6575F" w:rsidRDefault="000428BD" w:rsidP="000428BD">
      <w:pPr>
        <w:autoSpaceDE w:val="0"/>
        <w:autoSpaceDN w:val="0"/>
        <w:adjustRightInd w:val="0"/>
        <w:rPr>
          <w:rFonts w:ascii="Arial" w:eastAsia="Calibri" w:hAnsi="Arial" w:cs="Arial"/>
          <w:sz w:val="22"/>
          <w:szCs w:val="22"/>
          <w:lang w:val="en-US" w:eastAsia="en-US"/>
        </w:rPr>
      </w:pPr>
    </w:p>
    <w:p w14:paraId="16246D5F"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&lt;ESMA_QUESTION_GOMD_12&gt;</w:t>
      </w:r>
    </w:p>
    <w:p w14:paraId="0E848B63" w14:textId="77777777" w:rsidR="00984423" w:rsidRPr="00F6575F" w:rsidRDefault="00984423" w:rsidP="00984423">
      <w:pPr>
        <w:spacing w:after="160" w:line="259" w:lineRule="auto"/>
        <w:rPr>
          <w:rFonts w:ascii="Arial" w:eastAsia="Calibri" w:hAnsi="Arial" w:cs="Arial"/>
          <w:sz w:val="22"/>
          <w:szCs w:val="22"/>
          <w:lang w:val="en-US" w:eastAsia="en-US"/>
        </w:rPr>
      </w:pPr>
    </w:p>
    <w:p w14:paraId="0DE41F72"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Q13: Do you think ESMA should clarify other elements of the obligation to provide market data on a per user fees basis? If yes, please explain.</w:t>
      </w:r>
    </w:p>
    <w:p w14:paraId="03972106"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&lt;ESMA_QUESTION_GOMD_13&gt;</w:t>
      </w:r>
    </w:p>
    <w:p w14:paraId="57DA9707" w14:textId="2DC3ED85" w:rsidR="00984423" w:rsidRPr="004D4238" w:rsidRDefault="00FF3EDB" w:rsidP="000F2116">
      <w:pPr>
        <w:spacing w:after="160" w:line="259" w:lineRule="auto"/>
        <w:jc w:val="both"/>
        <w:rPr>
          <w:rFonts w:ascii="Arial" w:eastAsia="Calibri" w:hAnsi="Arial" w:cs="Arial"/>
          <w:sz w:val="22"/>
          <w:szCs w:val="22"/>
          <w:lang w:val="en-US" w:eastAsia="en-US"/>
        </w:rPr>
      </w:pPr>
      <w:r w:rsidRPr="004D4238">
        <w:rPr>
          <w:rFonts w:ascii="Arial" w:eastAsia="Calibri" w:hAnsi="Arial" w:cs="Arial"/>
          <w:sz w:val="22"/>
          <w:szCs w:val="22"/>
          <w:lang w:val="en-US" w:eastAsia="en-US"/>
        </w:rPr>
        <w:t>DBG</w:t>
      </w:r>
      <w:r w:rsidR="00333F39" w:rsidRPr="004D4238">
        <w:rPr>
          <w:rFonts w:ascii="Arial" w:eastAsia="Calibri" w:hAnsi="Arial" w:cs="Arial"/>
          <w:sz w:val="22"/>
          <w:szCs w:val="22"/>
          <w:lang w:val="en-US" w:eastAsia="en-US"/>
        </w:rPr>
        <w:t xml:space="preserve"> sees no need for further clarification</w:t>
      </w:r>
      <w:r w:rsidR="00BF1BF1" w:rsidRPr="004D4238">
        <w:rPr>
          <w:rFonts w:ascii="Arial" w:eastAsia="Calibri" w:hAnsi="Arial" w:cs="Arial"/>
          <w:sz w:val="22"/>
          <w:szCs w:val="22"/>
          <w:lang w:val="en-US" w:eastAsia="en-US"/>
        </w:rPr>
        <w:t xml:space="preserve"> since trading venues comply with Article 87 of Delegated Regulation (EU) No 2017/565 and Article 9 of Delegated Regulation (EU) No 2017/567 and provide market data on a per user basis when this model is proportionate to the cost of making market data available</w:t>
      </w:r>
      <w:r w:rsidR="00333F39" w:rsidRPr="004D4238">
        <w:rPr>
          <w:rFonts w:ascii="Arial" w:eastAsia="Calibri" w:hAnsi="Arial" w:cs="Arial"/>
          <w:sz w:val="22"/>
          <w:szCs w:val="22"/>
          <w:lang w:val="en-US" w:eastAsia="en-US"/>
        </w:rPr>
        <w:t>.</w:t>
      </w:r>
    </w:p>
    <w:p w14:paraId="77E0DC0E"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&lt;ESMA_QUESTION_GOMD_13&gt;</w:t>
      </w:r>
    </w:p>
    <w:p w14:paraId="0866F03D" w14:textId="77777777" w:rsidR="00984423" w:rsidRPr="004D4238" w:rsidRDefault="00984423" w:rsidP="00984423">
      <w:pPr>
        <w:spacing w:after="160" w:line="259" w:lineRule="auto"/>
        <w:rPr>
          <w:rFonts w:ascii="Arial" w:eastAsia="Calibri" w:hAnsi="Arial" w:cs="Arial"/>
          <w:sz w:val="22"/>
          <w:szCs w:val="22"/>
          <w:lang w:val="en-US" w:eastAsia="en-US"/>
        </w:rPr>
      </w:pPr>
    </w:p>
    <w:p w14:paraId="701AFE0B"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Q14: Do you agree with Guideline 9? If not, please justify. </w:t>
      </w:r>
    </w:p>
    <w:p w14:paraId="7072AFEF" w14:textId="0B81EAD5" w:rsidR="00AF51FA" w:rsidRPr="004D4238" w:rsidRDefault="000B34A0" w:rsidP="00AF51FA">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 xml:space="preserve"> </w:t>
      </w:r>
      <w:r w:rsidR="00984423" w:rsidRPr="004D4238">
        <w:rPr>
          <w:rFonts w:ascii="Arial" w:eastAsia="Calibri" w:hAnsi="Arial" w:cs="Arial"/>
          <w:sz w:val="22"/>
          <w:szCs w:val="22"/>
          <w:lang w:val="en-US" w:eastAsia="en-US"/>
        </w:rPr>
        <w:t>&lt;ESMA_QUESTION_GOMD_14&gt;</w:t>
      </w:r>
    </w:p>
    <w:p w14:paraId="5DB6BCF2" w14:textId="3B8DD489" w:rsidR="00E73A51" w:rsidRPr="00F6575F" w:rsidRDefault="00DA45DC" w:rsidP="007601FA">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lastRenderedPageBreak/>
        <w:t xml:space="preserve">DBG agrees with Guideline 9 and takes </w:t>
      </w:r>
      <w:r w:rsidR="00E73A51" w:rsidRPr="00F6575F">
        <w:rPr>
          <w:rFonts w:ascii="Arial" w:eastAsia="Calibri" w:hAnsi="Arial" w:cs="Arial"/>
          <w:sz w:val="22"/>
          <w:szCs w:val="22"/>
          <w:lang w:val="en-US" w:eastAsia="en-US"/>
        </w:rPr>
        <w:t>ESMA</w:t>
      </w:r>
      <w:r w:rsidR="00063980" w:rsidRPr="00F6575F">
        <w:rPr>
          <w:rFonts w:ascii="Arial" w:eastAsia="Calibri" w:hAnsi="Arial" w:cs="Arial"/>
          <w:sz w:val="22"/>
          <w:szCs w:val="22"/>
          <w:lang w:val="en-US" w:eastAsia="en-US"/>
        </w:rPr>
        <w:t>’</w:t>
      </w:r>
      <w:r w:rsidR="00E73A51" w:rsidRPr="00F6575F">
        <w:rPr>
          <w:rFonts w:ascii="Arial" w:eastAsia="Calibri" w:hAnsi="Arial" w:cs="Arial"/>
          <w:sz w:val="22"/>
          <w:szCs w:val="22"/>
          <w:lang w:val="en-US" w:eastAsia="en-US"/>
        </w:rPr>
        <w:t xml:space="preserve">s confirmation that the provision of both unbundled and bundled data products </w:t>
      </w:r>
      <w:r w:rsidR="001054FF" w:rsidRPr="00F6575F">
        <w:rPr>
          <w:rFonts w:ascii="Arial" w:eastAsia="Calibri" w:hAnsi="Arial" w:cs="Arial"/>
          <w:sz w:val="22"/>
          <w:szCs w:val="22"/>
          <w:lang w:val="en-US" w:eastAsia="en-US"/>
        </w:rPr>
        <w:t xml:space="preserve">side by side and adding choice </w:t>
      </w:r>
      <w:r w:rsidR="00E73A51" w:rsidRPr="00F6575F">
        <w:rPr>
          <w:rFonts w:ascii="Arial" w:eastAsia="Calibri" w:hAnsi="Arial" w:cs="Arial"/>
          <w:sz w:val="22"/>
          <w:szCs w:val="22"/>
          <w:lang w:val="en-US" w:eastAsia="en-US"/>
        </w:rPr>
        <w:t xml:space="preserve">is possible as a welcome </w:t>
      </w:r>
      <w:r w:rsidR="001054FF" w:rsidRPr="00F6575F">
        <w:rPr>
          <w:rFonts w:ascii="Arial" w:eastAsia="Calibri" w:hAnsi="Arial" w:cs="Arial"/>
          <w:sz w:val="22"/>
          <w:szCs w:val="22"/>
          <w:lang w:val="en-US" w:eastAsia="en-US"/>
        </w:rPr>
        <w:t>con</w:t>
      </w:r>
      <w:r w:rsidR="00E73A51" w:rsidRPr="00F6575F">
        <w:rPr>
          <w:rFonts w:ascii="Arial" w:eastAsia="Calibri" w:hAnsi="Arial" w:cs="Arial"/>
          <w:sz w:val="22"/>
          <w:szCs w:val="22"/>
          <w:lang w:val="en-US" w:eastAsia="en-US"/>
        </w:rPr>
        <w:t>firmation</w:t>
      </w:r>
      <w:r w:rsidR="001054FF" w:rsidRPr="00F6575F">
        <w:rPr>
          <w:rFonts w:ascii="Arial" w:eastAsia="Calibri" w:hAnsi="Arial" w:cs="Arial"/>
          <w:sz w:val="22"/>
          <w:szCs w:val="22"/>
          <w:lang w:val="en-US" w:eastAsia="en-US"/>
        </w:rPr>
        <w:t>.</w:t>
      </w:r>
      <w:r w:rsidR="00E73A51" w:rsidRPr="00F6575F">
        <w:rPr>
          <w:rFonts w:ascii="Arial" w:eastAsia="Calibri" w:hAnsi="Arial" w:cs="Arial"/>
          <w:sz w:val="22"/>
          <w:szCs w:val="22"/>
          <w:lang w:val="en-US" w:eastAsia="en-US"/>
        </w:rPr>
        <w:t xml:space="preserve"> </w:t>
      </w:r>
    </w:p>
    <w:p w14:paraId="67CA1150" w14:textId="4E070925" w:rsidR="00767CF8" w:rsidRPr="00F6575F" w:rsidRDefault="00767CF8" w:rsidP="007601FA">
      <w:pPr>
        <w:autoSpaceDE w:val="0"/>
        <w:autoSpaceDN w:val="0"/>
        <w:adjustRightInd w:val="0"/>
        <w:jc w:val="both"/>
        <w:rPr>
          <w:rFonts w:ascii="Arial" w:eastAsia="Calibri" w:hAnsi="Arial" w:cs="Arial"/>
          <w:sz w:val="22"/>
          <w:szCs w:val="22"/>
          <w:lang w:val="en-US" w:eastAsia="en-US"/>
        </w:rPr>
      </w:pPr>
    </w:p>
    <w:p w14:paraId="7EF6BD89" w14:textId="4B1F53ED" w:rsidR="00767CF8" w:rsidRPr="00F6575F" w:rsidRDefault="00767CF8" w:rsidP="007601FA">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As lined out in Q8 already </w:t>
      </w:r>
      <w:r w:rsidRPr="00F6575F">
        <w:rPr>
          <w:rFonts w:ascii="Arial" w:eastAsiaTheme="minorHAnsi" w:hAnsi="Arial" w:cs="Arial"/>
          <w:sz w:val="22"/>
          <w:szCs w:val="22"/>
          <w:lang w:val="en-US" w:eastAsia="en-US"/>
        </w:rPr>
        <w:t xml:space="preserve">DBG provides not only a comprehensive choice of data products but as well various ways to access the data, be it direct lines, internet or </w:t>
      </w:r>
      <w:r w:rsidR="00DA45DC" w:rsidRPr="00F6575F">
        <w:rPr>
          <w:rFonts w:ascii="Arial" w:eastAsiaTheme="minorHAnsi" w:hAnsi="Arial" w:cs="Arial"/>
          <w:sz w:val="22"/>
          <w:szCs w:val="22"/>
          <w:lang w:val="en-US" w:eastAsia="en-US"/>
        </w:rPr>
        <w:t>v</w:t>
      </w:r>
      <w:r w:rsidRPr="00F6575F">
        <w:rPr>
          <w:rFonts w:ascii="Arial" w:eastAsiaTheme="minorHAnsi" w:hAnsi="Arial" w:cs="Arial"/>
          <w:sz w:val="22"/>
          <w:szCs w:val="22"/>
          <w:lang w:val="en-US" w:eastAsia="en-US"/>
        </w:rPr>
        <w:t xml:space="preserve">endor. For the avoidance of doubt, technical access should not be considered bundling. </w:t>
      </w:r>
    </w:p>
    <w:p w14:paraId="3ED15405" w14:textId="7F910AEB" w:rsidR="00E73A51" w:rsidRPr="00F6575F" w:rsidRDefault="00E73A51" w:rsidP="00EE5902">
      <w:pPr>
        <w:autoSpaceDE w:val="0"/>
        <w:autoSpaceDN w:val="0"/>
        <w:adjustRightInd w:val="0"/>
        <w:jc w:val="both"/>
        <w:rPr>
          <w:rFonts w:ascii="Arial" w:eastAsia="Calibri" w:hAnsi="Arial" w:cs="Arial"/>
          <w:sz w:val="22"/>
          <w:szCs w:val="22"/>
          <w:lang w:val="en-US" w:eastAsia="en-US"/>
        </w:rPr>
      </w:pPr>
    </w:p>
    <w:p w14:paraId="6DE25F92" w14:textId="2F60260F"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&lt;ESMA_QUESTION_GOMD_14&gt;</w:t>
      </w:r>
    </w:p>
    <w:p w14:paraId="20794453" w14:textId="77777777" w:rsidR="00984423" w:rsidRPr="004D4238" w:rsidRDefault="00984423" w:rsidP="00984423">
      <w:pPr>
        <w:spacing w:after="160" w:line="259" w:lineRule="auto"/>
        <w:rPr>
          <w:rFonts w:ascii="Arial" w:eastAsia="Calibri" w:hAnsi="Arial" w:cs="Arial"/>
          <w:sz w:val="22"/>
          <w:szCs w:val="22"/>
          <w:lang w:val="en-US" w:eastAsia="en-US"/>
        </w:rPr>
      </w:pPr>
    </w:p>
    <w:p w14:paraId="673EE75C"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Q15: Do you think ESMA should clarify other elements in relation to the obligation to keep data unbundled? If yes, please explain.</w:t>
      </w:r>
    </w:p>
    <w:p w14:paraId="733EB200"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&lt;ESMA_QUESTION_GOMD_15&gt;</w:t>
      </w:r>
    </w:p>
    <w:p w14:paraId="71A1DC5F" w14:textId="4DCF2133" w:rsidR="00602FFC" w:rsidRPr="004D4238" w:rsidRDefault="00FF3EDB" w:rsidP="007601FA">
      <w:pPr>
        <w:spacing w:after="160"/>
        <w:jc w:val="both"/>
        <w:rPr>
          <w:rFonts w:ascii="Arial" w:eastAsia="Calibri" w:hAnsi="Arial" w:cs="Arial"/>
          <w:sz w:val="22"/>
          <w:szCs w:val="22"/>
          <w:lang w:val="en-US" w:eastAsia="en-US"/>
        </w:rPr>
      </w:pPr>
      <w:r w:rsidRPr="004D4238">
        <w:rPr>
          <w:rFonts w:ascii="Arial" w:eastAsia="Calibri" w:hAnsi="Arial" w:cs="Arial"/>
          <w:sz w:val="22"/>
          <w:szCs w:val="22"/>
          <w:lang w:val="en-US" w:eastAsia="en-US"/>
        </w:rPr>
        <w:t>DBG</w:t>
      </w:r>
      <w:r w:rsidR="001054FF" w:rsidRPr="004D4238">
        <w:rPr>
          <w:rFonts w:ascii="Arial" w:eastAsia="Calibri" w:hAnsi="Arial" w:cs="Arial"/>
          <w:sz w:val="22"/>
          <w:szCs w:val="22"/>
          <w:lang w:val="en-US" w:eastAsia="en-US"/>
        </w:rPr>
        <w:t xml:space="preserve"> </w:t>
      </w:r>
      <w:r w:rsidR="008F1350" w:rsidRPr="004D4238">
        <w:rPr>
          <w:rFonts w:ascii="Arial" w:eastAsia="Calibri" w:hAnsi="Arial" w:cs="Arial"/>
          <w:sz w:val="22"/>
          <w:szCs w:val="22"/>
          <w:lang w:val="en-US" w:eastAsia="en-US"/>
        </w:rPr>
        <w:t>does not think that further clarification is necessary</w:t>
      </w:r>
      <w:r w:rsidR="00BF1BF1" w:rsidRPr="004D4238">
        <w:rPr>
          <w:rFonts w:ascii="Arial" w:eastAsia="Calibri" w:hAnsi="Arial" w:cs="Arial"/>
          <w:sz w:val="22"/>
          <w:szCs w:val="22"/>
          <w:lang w:val="en-US" w:eastAsia="en-US"/>
        </w:rPr>
        <w:t xml:space="preserve"> </w:t>
      </w:r>
      <w:r w:rsidR="008F1350" w:rsidRPr="004D4238">
        <w:rPr>
          <w:rFonts w:ascii="Arial" w:eastAsia="Calibri" w:hAnsi="Arial" w:cs="Arial"/>
          <w:sz w:val="22"/>
          <w:szCs w:val="22"/>
          <w:lang w:val="en-US" w:eastAsia="en-US"/>
        </w:rPr>
        <w:t xml:space="preserve">and </w:t>
      </w:r>
      <w:r w:rsidR="001054FF" w:rsidRPr="004D4238">
        <w:rPr>
          <w:rFonts w:ascii="Arial" w:eastAsia="Calibri" w:hAnsi="Arial" w:cs="Arial"/>
          <w:sz w:val="22"/>
          <w:szCs w:val="22"/>
          <w:lang w:val="en-US" w:eastAsia="en-US"/>
        </w:rPr>
        <w:t xml:space="preserve">considers the current regulation to be more than sufficient in line with the reasons as lined out in our answer </w:t>
      </w:r>
      <w:r w:rsidR="00602FFC" w:rsidRPr="004D4238">
        <w:rPr>
          <w:rFonts w:ascii="Arial" w:eastAsia="Calibri" w:hAnsi="Arial" w:cs="Arial"/>
          <w:sz w:val="22"/>
          <w:szCs w:val="22"/>
          <w:lang w:val="en-US" w:eastAsia="en-US"/>
        </w:rPr>
        <w:t>to Q14.</w:t>
      </w:r>
    </w:p>
    <w:p w14:paraId="6D2A0466"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&lt;ESMA_QUESTION_GOMD_15&gt;</w:t>
      </w:r>
    </w:p>
    <w:p w14:paraId="7FF7AB7F" w14:textId="77777777" w:rsidR="00984423" w:rsidRPr="00F6575F" w:rsidRDefault="00984423" w:rsidP="00984423">
      <w:pPr>
        <w:spacing w:after="160" w:line="259" w:lineRule="auto"/>
        <w:rPr>
          <w:rFonts w:ascii="Arial" w:eastAsia="Calibri" w:hAnsi="Arial" w:cs="Arial"/>
          <w:sz w:val="22"/>
          <w:szCs w:val="22"/>
          <w:lang w:val="en-US" w:eastAsia="en-US"/>
        </w:rPr>
      </w:pPr>
    </w:p>
    <w:p w14:paraId="5B7B1D72"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A7998F3" w14:textId="77777777" w:rsidR="00171C41" w:rsidRPr="004D4238" w:rsidRDefault="00984423" w:rsidP="00171C41">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&lt;ESMA_QUESTION_GOMD_16&gt;</w:t>
      </w:r>
    </w:p>
    <w:p w14:paraId="4111705D" w14:textId="0102AA18" w:rsidR="002C6127" w:rsidRPr="004D4238" w:rsidRDefault="00FF3EDB"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DBG</w:t>
      </w:r>
      <w:r w:rsidR="001054FF" w:rsidRPr="00F6575F">
        <w:rPr>
          <w:rFonts w:ascii="Arial" w:eastAsia="Calibri" w:hAnsi="Arial" w:cs="Arial"/>
          <w:sz w:val="22"/>
          <w:szCs w:val="22"/>
          <w:lang w:val="en-US" w:eastAsia="en-US"/>
        </w:rPr>
        <w:t xml:space="preserve"> generally agrees with the proposed template solution</w:t>
      </w:r>
      <w:r w:rsidR="002D133F" w:rsidRPr="00F6575F">
        <w:rPr>
          <w:rFonts w:ascii="Arial" w:eastAsia="Calibri" w:hAnsi="Arial" w:cs="Arial"/>
          <w:sz w:val="22"/>
          <w:szCs w:val="22"/>
          <w:lang w:val="en-US" w:eastAsia="en-US"/>
        </w:rPr>
        <w:t>.</w:t>
      </w:r>
      <w:r w:rsidR="001054FF" w:rsidRPr="00F6575F">
        <w:rPr>
          <w:rFonts w:ascii="Arial" w:eastAsia="Calibri" w:hAnsi="Arial" w:cs="Arial"/>
          <w:sz w:val="22"/>
          <w:szCs w:val="22"/>
          <w:lang w:val="en-US" w:eastAsia="en-US"/>
        </w:rPr>
        <w:t xml:space="preserve"> </w:t>
      </w:r>
      <w:r w:rsidR="002D133F" w:rsidRPr="00F6575F">
        <w:rPr>
          <w:rFonts w:ascii="Arial" w:eastAsia="Calibri" w:hAnsi="Arial" w:cs="Arial"/>
          <w:sz w:val="22"/>
          <w:szCs w:val="22"/>
          <w:lang w:val="en-US" w:eastAsia="en-US"/>
        </w:rPr>
        <w:t xml:space="preserve">We consider </w:t>
      </w:r>
      <w:r w:rsidR="00457BC4" w:rsidRPr="00F6575F">
        <w:rPr>
          <w:rFonts w:ascii="Arial" w:eastAsia="Calibri" w:hAnsi="Arial" w:cs="Arial"/>
          <w:sz w:val="22"/>
          <w:szCs w:val="22"/>
          <w:lang w:val="en-US" w:eastAsia="en-US"/>
        </w:rPr>
        <w:t>ESMA</w:t>
      </w:r>
      <w:r w:rsidR="008F1350" w:rsidRPr="00F6575F">
        <w:rPr>
          <w:rFonts w:ascii="Arial" w:eastAsia="Calibri" w:hAnsi="Arial" w:cs="Arial"/>
          <w:sz w:val="22"/>
          <w:szCs w:val="22"/>
          <w:lang w:val="en-US" w:eastAsia="en-US"/>
        </w:rPr>
        <w:t>’s</w:t>
      </w:r>
      <w:r w:rsidR="00457BC4" w:rsidRPr="00F6575F">
        <w:rPr>
          <w:rFonts w:ascii="Arial" w:eastAsia="Calibri" w:hAnsi="Arial" w:cs="Arial"/>
          <w:sz w:val="22"/>
          <w:szCs w:val="22"/>
          <w:lang w:val="en-US" w:eastAsia="en-US"/>
        </w:rPr>
        <w:t xml:space="preserve"> </w:t>
      </w:r>
      <w:r w:rsidR="002D133F" w:rsidRPr="00F6575F">
        <w:rPr>
          <w:rFonts w:ascii="Arial" w:eastAsia="Calibri" w:hAnsi="Arial" w:cs="Arial"/>
          <w:sz w:val="22"/>
          <w:szCs w:val="22"/>
          <w:lang w:val="en-US" w:eastAsia="en-US"/>
        </w:rPr>
        <w:t xml:space="preserve">proposal a sensible solution to </w:t>
      </w:r>
      <w:r w:rsidR="00457BC4" w:rsidRPr="00F6575F">
        <w:rPr>
          <w:rFonts w:ascii="Arial" w:eastAsia="Calibri" w:hAnsi="Arial" w:cs="Arial"/>
          <w:sz w:val="22"/>
          <w:szCs w:val="22"/>
          <w:lang w:val="en-US" w:eastAsia="en-US"/>
        </w:rPr>
        <w:t xml:space="preserve">achieve a more harmonized </w:t>
      </w:r>
      <w:r w:rsidR="001054FF" w:rsidRPr="00F6575F">
        <w:rPr>
          <w:rFonts w:ascii="Arial" w:eastAsia="Calibri" w:hAnsi="Arial" w:cs="Arial"/>
          <w:sz w:val="22"/>
          <w:szCs w:val="22"/>
          <w:lang w:val="en-US" w:eastAsia="en-US"/>
        </w:rPr>
        <w:t xml:space="preserve">access </w:t>
      </w:r>
      <w:r w:rsidR="00457BC4" w:rsidRPr="00F6575F">
        <w:rPr>
          <w:rFonts w:ascii="Arial" w:eastAsia="Calibri" w:hAnsi="Arial" w:cs="Arial"/>
          <w:sz w:val="22"/>
          <w:szCs w:val="22"/>
          <w:lang w:val="en-US" w:eastAsia="en-US"/>
        </w:rPr>
        <w:t>to transparency</w:t>
      </w:r>
      <w:r w:rsidR="001054FF" w:rsidRPr="00F6575F">
        <w:rPr>
          <w:rFonts w:ascii="Arial" w:eastAsia="Calibri" w:hAnsi="Arial" w:cs="Arial"/>
          <w:sz w:val="22"/>
          <w:szCs w:val="22"/>
          <w:lang w:val="en-US" w:eastAsia="en-US"/>
        </w:rPr>
        <w:t xml:space="preserve"> information.</w:t>
      </w:r>
      <w:r w:rsidR="002D133F" w:rsidRPr="00F6575F">
        <w:rPr>
          <w:rFonts w:ascii="Arial" w:eastAsia="Calibri" w:hAnsi="Arial" w:cs="Arial"/>
          <w:sz w:val="22"/>
          <w:szCs w:val="22"/>
          <w:lang w:val="en-US" w:eastAsia="en-US"/>
        </w:rPr>
        <w:t xml:space="preserve"> However, there</w:t>
      </w:r>
      <w:r w:rsidR="008F1350" w:rsidRPr="00F6575F">
        <w:rPr>
          <w:rFonts w:ascii="Arial" w:eastAsia="Calibri" w:hAnsi="Arial" w:cs="Arial"/>
          <w:sz w:val="22"/>
          <w:szCs w:val="22"/>
          <w:lang w:val="en-US" w:eastAsia="en-US"/>
        </w:rPr>
        <w:t xml:space="preserve"> are</w:t>
      </w:r>
      <w:r w:rsidR="002D133F" w:rsidRPr="00F6575F">
        <w:rPr>
          <w:rFonts w:ascii="Arial" w:eastAsia="Calibri" w:hAnsi="Arial" w:cs="Arial"/>
          <w:sz w:val="22"/>
          <w:szCs w:val="22"/>
          <w:lang w:val="en-US" w:eastAsia="en-US"/>
        </w:rPr>
        <w:t xml:space="preserve"> various proposals included, with which </w:t>
      </w:r>
      <w:r w:rsidRPr="00F6575F">
        <w:rPr>
          <w:rFonts w:ascii="Arial" w:eastAsia="Calibri" w:hAnsi="Arial" w:cs="Arial"/>
          <w:sz w:val="22"/>
          <w:szCs w:val="22"/>
          <w:lang w:val="en-US" w:eastAsia="en-US"/>
        </w:rPr>
        <w:t>DBG</w:t>
      </w:r>
      <w:r w:rsidR="002D133F" w:rsidRPr="00F6575F">
        <w:rPr>
          <w:rFonts w:ascii="Arial" w:eastAsia="Calibri" w:hAnsi="Arial" w:cs="Arial"/>
          <w:sz w:val="22"/>
          <w:szCs w:val="22"/>
          <w:lang w:val="en-US" w:eastAsia="en-US"/>
        </w:rPr>
        <w:t xml:space="preserve"> cannot agree with. Please find our arguments lined out in the</w:t>
      </w:r>
      <w:r w:rsidR="00852EA2" w:rsidRPr="00F6575F">
        <w:rPr>
          <w:rFonts w:ascii="Arial" w:eastAsia="Calibri" w:hAnsi="Arial" w:cs="Arial"/>
          <w:sz w:val="22"/>
          <w:szCs w:val="22"/>
          <w:lang w:val="en-US" w:eastAsia="en-US"/>
        </w:rPr>
        <w:t xml:space="preserve"> answers to </w:t>
      </w:r>
      <w:r w:rsidR="00CD1194" w:rsidRPr="00F6575F">
        <w:rPr>
          <w:rFonts w:ascii="Arial" w:eastAsia="Calibri" w:hAnsi="Arial" w:cs="Arial"/>
          <w:sz w:val="22"/>
          <w:szCs w:val="22"/>
          <w:lang w:val="en-US" w:eastAsia="en-US"/>
        </w:rPr>
        <w:t>Q</w:t>
      </w:r>
      <w:r w:rsidR="003F68FA" w:rsidRPr="00F6575F">
        <w:rPr>
          <w:rFonts w:ascii="Arial" w:eastAsia="Calibri" w:hAnsi="Arial" w:cs="Arial"/>
          <w:sz w:val="22"/>
          <w:szCs w:val="22"/>
          <w:lang w:val="en-US" w:eastAsia="en-US"/>
        </w:rPr>
        <w:t>17</w:t>
      </w:r>
      <w:r w:rsidR="00CD1194" w:rsidRPr="00F6575F">
        <w:rPr>
          <w:rFonts w:ascii="Arial" w:eastAsia="Calibri" w:hAnsi="Arial" w:cs="Arial"/>
          <w:sz w:val="22"/>
          <w:szCs w:val="22"/>
          <w:lang w:val="en-US" w:eastAsia="en-US"/>
        </w:rPr>
        <w:t xml:space="preserve"> </w:t>
      </w:r>
      <w:r w:rsidR="002D133F" w:rsidRPr="00F6575F">
        <w:rPr>
          <w:rFonts w:ascii="Arial" w:eastAsia="Calibri" w:hAnsi="Arial" w:cs="Arial"/>
          <w:sz w:val="22"/>
          <w:szCs w:val="22"/>
          <w:lang w:val="en-US" w:eastAsia="en-US"/>
        </w:rPr>
        <w:t>below.</w:t>
      </w:r>
    </w:p>
    <w:p w14:paraId="383376E3" w14:textId="186056A4" w:rsidR="00B21539"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&lt;ESMA_QUESTION_GOMD_16&gt;</w:t>
      </w:r>
    </w:p>
    <w:p w14:paraId="3370B139" w14:textId="77777777" w:rsidR="00984423" w:rsidRPr="004D4238" w:rsidRDefault="00984423" w:rsidP="00984423">
      <w:pPr>
        <w:spacing w:after="160" w:line="259" w:lineRule="auto"/>
        <w:rPr>
          <w:rFonts w:ascii="Arial" w:eastAsia="Calibri" w:hAnsi="Arial" w:cs="Arial"/>
          <w:sz w:val="22"/>
          <w:szCs w:val="22"/>
          <w:lang w:val="en-US" w:eastAsia="en-US"/>
        </w:rPr>
      </w:pPr>
    </w:p>
    <w:p w14:paraId="4B1605F9" w14:textId="71C30806" w:rsidR="003878EF" w:rsidRPr="00F6575F" w:rsidRDefault="00984423" w:rsidP="00696601">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76B72503" w14:textId="26EFEEF0" w:rsidR="002D133F" w:rsidRPr="004D4238" w:rsidRDefault="00984423" w:rsidP="003878EF">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&lt;ESMA_QUESTION_GOMD_17&gt;</w:t>
      </w:r>
    </w:p>
    <w:p w14:paraId="27B32275" w14:textId="5A6627CB" w:rsidR="009120ED" w:rsidRPr="00F6575F" w:rsidRDefault="00667384" w:rsidP="002D133F">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We appreciate ESMA</w:t>
      </w:r>
      <w:r w:rsidR="00DA45DC" w:rsidRPr="00F6575F">
        <w:rPr>
          <w:rFonts w:ascii="Arial" w:eastAsia="Calibri" w:hAnsi="Arial" w:cs="Arial"/>
          <w:sz w:val="22"/>
          <w:szCs w:val="22"/>
          <w:lang w:val="en-US" w:eastAsia="en-US"/>
        </w:rPr>
        <w:t>’</w:t>
      </w:r>
      <w:r w:rsidRPr="00F6575F">
        <w:rPr>
          <w:rFonts w:ascii="Arial" w:eastAsia="Calibri" w:hAnsi="Arial" w:cs="Arial"/>
          <w:sz w:val="22"/>
          <w:szCs w:val="22"/>
          <w:lang w:val="en-US" w:eastAsia="en-US"/>
        </w:rPr>
        <w:t>s proposals to ensure efficient and more harmonized access to transparency information in the context of Art</w:t>
      </w:r>
      <w:r w:rsidR="00DA45DC" w:rsidRPr="00F6575F">
        <w:rPr>
          <w:rFonts w:ascii="Arial" w:eastAsia="Calibri" w:hAnsi="Arial" w:cs="Arial"/>
          <w:sz w:val="22"/>
          <w:szCs w:val="22"/>
          <w:lang w:val="en-US" w:eastAsia="en-US"/>
        </w:rPr>
        <w:t>icle</w:t>
      </w:r>
      <w:r w:rsidRPr="00F6575F">
        <w:rPr>
          <w:rFonts w:ascii="Arial" w:eastAsia="Calibri" w:hAnsi="Arial" w:cs="Arial"/>
          <w:sz w:val="22"/>
          <w:szCs w:val="22"/>
          <w:lang w:val="en-US" w:eastAsia="en-US"/>
        </w:rPr>
        <w:t xml:space="preserve"> 11 </w:t>
      </w:r>
      <w:r w:rsidR="00DA45DC" w:rsidRPr="00F6575F">
        <w:rPr>
          <w:rFonts w:ascii="Arial" w:eastAsia="Calibri" w:hAnsi="Arial" w:cs="Arial"/>
          <w:sz w:val="22"/>
          <w:szCs w:val="22"/>
          <w:lang w:val="en-US" w:eastAsia="en-US"/>
        </w:rPr>
        <w:t xml:space="preserve">of </w:t>
      </w:r>
      <w:r w:rsidRPr="00F6575F">
        <w:rPr>
          <w:rFonts w:ascii="Arial" w:eastAsia="Calibri" w:hAnsi="Arial" w:cs="Arial"/>
          <w:sz w:val="22"/>
          <w:szCs w:val="22"/>
          <w:lang w:val="en-US" w:eastAsia="en-US"/>
        </w:rPr>
        <w:t xml:space="preserve">Delegated Regulation (EU) No 2017/567. </w:t>
      </w:r>
      <w:r w:rsidR="00ED54A3" w:rsidRPr="00F6575F">
        <w:rPr>
          <w:rFonts w:ascii="Arial" w:eastAsia="Calibri" w:hAnsi="Arial" w:cs="Arial"/>
          <w:sz w:val="22"/>
          <w:szCs w:val="22"/>
          <w:lang w:val="en-US" w:eastAsia="en-US"/>
        </w:rPr>
        <w:t>While we are generally supportive of a template as proposed by ESMA in order to display the information required by Art</w:t>
      </w:r>
      <w:r w:rsidR="00DA45DC" w:rsidRPr="00F6575F">
        <w:rPr>
          <w:rFonts w:ascii="Arial" w:eastAsia="Calibri" w:hAnsi="Arial" w:cs="Arial"/>
          <w:sz w:val="22"/>
          <w:szCs w:val="22"/>
          <w:lang w:val="en-US" w:eastAsia="en-US"/>
        </w:rPr>
        <w:t>icle</w:t>
      </w:r>
      <w:r w:rsidR="00ED54A3" w:rsidRPr="00F6575F">
        <w:rPr>
          <w:rFonts w:ascii="Arial" w:eastAsia="Calibri" w:hAnsi="Arial" w:cs="Arial"/>
          <w:sz w:val="22"/>
          <w:szCs w:val="22"/>
          <w:lang w:val="en-US" w:eastAsia="en-US"/>
        </w:rPr>
        <w:t xml:space="preserve"> 11 (2) (c) (i-iii) of Delegated Regulation</w:t>
      </w:r>
      <w:r w:rsidR="0064436E" w:rsidRPr="00F6575F">
        <w:rPr>
          <w:rFonts w:ascii="Arial" w:eastAsia="Calibri" w:hAnsi="Arial" w:cs="Arial"/>
          <w:sz w:val="22"/>
          <w:szCs w:val="22"/>
          <w:lang w:val="en-US" w:eastAsia="en-US"/>
        </w:rPr>
        <w:t xml:space="preserve"> in order enable transparency</w:t>
      </w:r>
      <w:r w:rsidRPr="00F6575F">
        <w:rPr>
          <w:rFonts w:ascii="Arial" w:eastAsia="Calibri" w:hAnsi="Arial" w:cs="Arial"/>
          <w:sz w:val="22"/>
          <w:szCs w:val="22"/>
          <w:lang w:val="en-US" w:eastAsia="en-US"/>
        </w:rPr>
        <w:t xml:space="preserve"> being available in an efficient way</w:t>
      </w:r>
      <w:r w:rsidR="00ED54A3" w:rsidRPr="00F6575F">
        <w:rPr>
          <w:rFonts w:ascii="Arial" w:eastAsia="Calibri" w:hAnsi="Arial" w:cs="Arial"/>
          <w:sz w:val="22"/>
          <w:szCs w:val="22"/>
          <w:lang w:val="en-US" w:eastAsia="en-US"/>
        </w:rPr>
        <w:t xml:space="preserve">, </w:t>
      </w:r>
      <w:r w:rsidR="00FF3EDB" w:rsidRPr="00F6575F">
        <w:rPr>
          <w:rFonts w:ascii="Arial" w:eastAsia="Calibri" w:hAnsi="Arial" w:cs="Arial"/>
          <w:sz w:val="22"/>
          <w:szCs w:val="22"/>
          <w:lang w:val="en-US" w:eastAsia="en-US"/>
        </w:rPr>
        <w:t>DBG</w:t>
      </w:r>
      <w:r w:rsidR="00ED54A3" w:rsidRPr="00F6575F">
        <w:rPr>
          <w:rFonts w:ascii="Arial" w:eastAsia="Calibri" w:hAnsi="Arial" w:cs="Arial"/>
          <w:sz w:val="22"/>
          <w:szCs w:val="22"/>
          <w:lang w:val="en-US" w:eastAsia="en-US"/>
        </w:rPr>
        <w:t xml:space="preserve"> is not supportive of all proposed details in </w:t>
      </w:r>
      <w:r w:rsidR="00457BC4" w:rsidRPr="00F6575F">
        <w:rPr>
          <w:rFonts w:ascii="Arial" w:eastAsia="Calibri" w:hAnsi="Arial" w:cs="Arial"/>
          <w:sz w:val="22"/>
          <w:szCs w:val="22"/>
          <w:lang w:val="en-US" w:eastAsia="en-US"/>
        </w:rPr>
        <w:t>ESMA</w:t>
      </w:r>
      <w:r w:rsidR="008F1350" w:rsidRPr="00F6575F">
        <w:rPr>
          <w:rFonts w:ascii="Arial" w:eastAsia="Calibri" w:hAnsi="Arial" w:cs="Arial"/>
          <w:sz w:val="22"/>
          <w:szCs w:val="22"/>
          <w:lang w:val="en-US" w:eastAsia="en-US"/>
        </w:rPr>
        <w:t>’</w:t>
      </w:r>
      <w:r w:rsidR="00457BC4" w:rsidRPr="00F6575F">
        <w:rPr>
          <w:rFonts w:ascii="Arial" w:eastAsia="Calibri" w:hAnsi="Arial" w:cs="Arial"/>
          <w:sz w:val="22"/>
          <w:szCs w:val="22"/>
          <w:lang w:val="en-US" w:eastAsia="en-US"/>
        </w:rPr>
        <w:t xml:space="preserve">s </w:t>
      </w:r>
      <w:r w:rsidR="00ED54A3" w:rsidRPr="00F6575F">
        <w:rPr>
          <w:rFonts w:ascii="Arial" w:eastAsia="Calibri" w:hAnsi="Arial" w:cs="Arial"/>
          <w:sz w:val="22"/>
          <w:szCs w:val="22"/>
          <w:lang w:val="en-US" w:eastAsia="en-US"/>
        </w:rPr>
        <w:t>Consultation Paper</w:t>
      </w:r>
      <w:r w:rsidR="00852EA2" w:rsidRPr="00F6575F">
        <w:rPr>
          <w:rFonts w:ascii="Arial" w:eastAsia="Calibri" w:hAnsi="Arial" w:cs="Arial"/>
          <w:sz w:val="22"/>
          <w:szCs w:val="22"/>
          <w:lang w:val="en-US" w:eastAsia="en-US"/>
        </w:rPr>
        <w:t xml:space="preserve"> </w:t>
      </w:r>
      <w:r w:rsidR="0064436E" w:rsidRPr="00F6575F">
        <w:rPr>
          <w:rFonts w:ascii="Arial" w:eastAsia="Calibri" w:hAnsi="Arial" w:cs="Arial"/>
          <w:sz w:val="22"/>
          <w:szCs w:val="22"/>
          <w:lang w:val="en-US" w:eastAsia="en-US"/>
        </w:rPr>
        <w:t>as lined out in detail below.</w:t>
      </w:r>
    </w:p>
    <w:p w14:paraId="3D44DD9F" w14:textId="51515BB0" w:rsidR="009120ED" w:rsidRPr="00F6575F" w:rsidRDefault="009120ED" w:rsidP="002D133F">
      <w:pPr>
        <w:autoSpaceDE w:val="0"/>
        <w:autoSpaceDN w:val="0"/>
        <w:adjustRightInd w:val="0"/>
        <w:jc w:val="both"/>
        <w:rPr>
          <w:rFonts w:ascii="Arial" w:eastAsia="Calibri" w:hAnsi="Arial" w:cs="Arial"/>
          <w:sz w:val="22"/>
          <w:szCs w:val="22"/>
          <w:lang w:val="en-US" w:eastAsia="en-US"/>
        </w:rPr>
      </w:pPr>
    </w:p>
    <w:p w14:paraId="193A889B" w14:textId="77777777" w:rsidR="0064436E" w:rsidRPr="00F6575F" w:rsidRDefault="0064436E" w:rsidP="0064436E">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b/>
          <w:bCs/>
          <w:sz w:val="22"/>
          <w:szCs w:val="22"/>
          <w:lang w:val="en-US" w:eastAsia="en-US"/>
        </w:rPr>
        <w:t>ESMA Instructions</w:t>
      </w:r>
      <w:r w:rsidRPr="00F6575F">
        <w:rPr>
          <w:rFonts w:ascii="Arial" w:eastAsia="Calibri" w:hAnsi="Arial" w:cs="Arial"/>
          <w:sz w:val="22"/>
          <w:szCs w:val="22"/>
          <w:lang w:val="en-US" w:eastAsia="en-US"/>
        </w:rPr>
        <w:t xml:space="preserve"> </w:t>
      </w:r>
    </w:p>
    <w:p w14:paraId="3D456AB5" w14:textId="77777777" w:rsidR="0071257C" w:rsidRPr="00F6575F" w:rsidRDefault="0071257C" w:rsidP="0064436E">
      <w:pPr>
        <w:autoSpaceDE w:val="0"/>
        <w:autoSpaceDN w:val="0"/>
        <w:adjustRightInd w:val="0"/>
        <w:jc w:val="both"/>
        <w:rPr>
          <w:rFonts w:ascii="Arial" w:eastAsia="Calibri" w:hAnsi="Arial" w:cs="Arial"/>
          <w:sz w:val="22"/>
          <w:szCs w:val="22"/>
          <w:lang w:val="en-US" w:eastAsia="en-US"/>
        </w:rPr>
      </w:pPr>
    </w:p>
    <w:p w14:paraId="3A81D6DD" w14:textId="1BE85F6F" w:rsidR="0064436E" w:rsidRPr="00F6575F" w:rsidRDefault="0064436E" w:rsidP="0064436E">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DBG agrees with ESMA’s instruction 1) the reporting period of one year. We would as well suggest that the publication should be done in line with the publication of the annual report in order to ensure that all data are final data. </w:t>
      </w:r>
    </w:p>
    <w:p w14:paraId="4E5F3FD5" w14:textId="3750CCE1" w:rsidR="0064436E" w:rsidRPr="00F6575F" w:rsidRDefault="0064436E" w:rsidP="0064436E">
      <w:pPr>
        <w:autoSpaceDE w:val="0"/>
        <w:autoSpaceDN w:val="0"/>
        <w:adjustRightInd w:val="0"/>
        <w:jc w:val="both"/>
        <w:rPr>
          <w:rFonts w:ascii="Arial" w:eastAsia="Calibri" w:hAnsi="Arial" w:cs="Arial"/>
          <w:sz w:val="22"/>
          <w:szCs w:val="22"/>
          <w:lang w:val="en-US" w:eastAsia="en-US"/>
        </w:rPr>
      </w:pPr>
    </w:p>
    <w:p w14:paraId="319D210A" w14:textId="740955F2" w:rsidR="00E15492" w:rsidRPr="00F6575F" w:rsidRDefault="0064436E" w:rsidP="00E15492">
      <w:pPr>
        <w:pStyle w:val="Default"/>
        <w:jc w:val="both"/>
        <w:rPr>
          <w:rFonts w:eastAsia="Calibri"/>
          <w:sz w:val="22"/>
          <w:szCs w:val="22"/>
        </w:rPr>
      </w:pPr>
      <w:r w:rsidRPr="00F6575F">
        <w:rPr>
          <w:rFonts w:eastAsia="Calibri"/>
          <w:sz w:val="22"/>
          <w:szCs w:val="22"/>
        </w:rPr>
        <w:lastRenderedPageBreak/>
        <w:t xml:space="preserve">DBG agrees with instruction </w:t>
      </w:r>
      <w:r w:rsidR="00506FF9" w:rsidRPr="00F6575F">
        <w:rPr>
          <w:rFonts w:eastAsia="Calibri"/>
          <w:sz w:val="22"/>
          <w:szCs w:val="22"/>
        </w:rPr>
        <w:t xml:space="preserve">2) </w:t>
      </w:r>
      <w:r w:rsidR="00E15492" w:rsidRPr="00F6575F">
        <w:rPr>
          <w:rFonts w:eastAsia="Calibri"/>
          <w:sz w:val="22"/>
          <w:szCs w:val="22"/>
        </w:rPr>
        <w:t xml:space="preserve">Number of instruments </w:t>
      </w:r>
    </w:p>
    <w:p w14:paraId="50B7AC07" w14:textId="75F5D124" w:rsidR="00E15492" w:rsidRPr="00F6575F" w:rsidRDefault="00E15492" w:rsidP="0064436E">
      <w:pPr>
        <w:autoSpaceDE w:val="0"/>
        <w:autoSpaceDN w:val="0"/>
        <w:adjustRightInd w:val="0"/>
        <w:jc w:val="both"/>
        <w:rPr>
          <w:rFonts w:ascii="Arial" w:eastAsia="Calibri" w:hAnsi="Arial" w:cs="Arial"/>
          <w:sz w:val="22"/>
          <w:szCs w:val="22"/>
          <w:lang w:val="en-US" w:eastAsia="en-US"/>
        </w:rPr>
      </w:pPr>
    </w:p>
    <w:p w14:paraId="6DA0FCE6" w14:textId="24176D64" w:rsidR="00E15492" w:rsidRPr="00F6575F" w:rsidRDefault="00E15492" w:rsidP="00E15492">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DBG agrees with instruction 3) Total turnover of instruments covered </w:t>
      </w:r>
    </w:p>
    <w:p w14:paraId="72653C66" w14:textId="77777777" w:rsidR="00E15492" w:rsidRPr="00F6575F" w:rsidRDefault="00E15492" w:rsidP="0064436E">
      <w:pPr>
        <w:autoSpaceDE w:val="0"/>
        <w:autoSpaceDN w:val="0"/>
        <w:adjustRightInd w:val="0"/>
        <w:jc w:val="both"/>
        <w:rPr>
          <w:rFonts w:ascii="Arial" w:eastAsia="Calibri" w:hAnsi="Arial" w:cs="Arial"/>
          <w:sz w:val="22"/>
          <w:szCs w:val="22"/>
          <w:lang w:val="en-US" w:eastAsia="en-US"/>
        </w:rPr>
      </w:pPr>
    </w:p>
    <w:p w14:paraId="66B006EE" w14:textId="7F85841C" w:rsidR="00E15492" w:rsidRPr="00F6575F" w:rsidRDefault="00E15492" w:rsidP="00E15492">
      <w:pPr>
        <w:autoSpaceDE w:val="0"/>
        <w:autoSpaceDN w:val="0"/>
        <w:adjustRightInd w:val="0"/>
        <w:jc w:val="both"/>
        <w:rPr>
          <w:rFonts w:ascii="Arial" w:eastAsia="Calibri" w:hAnsi="Arial" w:cs="Arial"/>
          <w:sz w:val="22"/>
          <w:szCs w:val="22"/>
          <w:lang w:val="en-US" w:eastAsia="en-US"/>
        </w:rPr>
      </w:pPr>
      <w:bookmarkStart w:id="13" w:name="_Hlk59031371"/>
      <w:r w:rsidRPr="00F6575F">
        <w:rPr>
          <w:rFonts w:ascii="Arial" w:eastAsia="Calibri" w:hAnsi="Arial" w:cs="Arial"/>
          <w:sz w:val="22"/>
          <w:szCs w:val="22"/>
          <w:lang w:val="en-US" w:eastAsia="en-US"/>
        </w:rPr>
        <w:t xml:space="preserve">DBSG agrees with instruction 4) Pre trade/post trade market data ratio </w:t>
      </w:r>
      <w:r w:rsidR="00667384" w:rsidRPr="00F6575F">
        <w:rPr>
          <w:rFonts w:ascii="Arial" w:eastAsia="Calibri" w:hAnsi="Arial" w:cs="Arial"/>
          <w:sz w:val="22"/>
          <w:szCs w:val="22"/>
          <w:lang w:val="en-US" w:eastAsia="en-US"/>
        </w:rPr>
        <w:t>– as regards the pre- and post-trade market data ratio, we understand that the number of order-messages is being calculated vs the number of trade messages on average p.a</w:t>
      </w:r>
      <w:r w:rsidR="00DA45DC" w:rsidRPr="00F6575F">
        <w:rPr>
          <w:rFonts w:ascii="Arial" w:eastAsia="Calibri" w:hAnsi="Arial" w:cs="Arial"/>
          <w:sz w:val="22"/>
          <w:szCs w:val="22"/>
          <w:lang w:val="en-US" w:eastAsia="en-US"/>
        </w:rPr>
        <w:t>.</w:t>
      </w:r>
      <w:r w:rsidR="00667384" w:rsidRPr="00F6575F">
        <w:rPr>
          <w:rFonts w:ascii="Arial" w:eastAsia="Calibri" w:hAnsi="Arial" w:cs="Arial"/>
          <w:sz w:val="22"/>
          <w:szCs w:val="22"/>
          <w:lang w:val="en-US" w:eastAsia="en-US"/>
        </w:rPr>
        <w:t xml:space="preserve"> </w:t>
      </w:r>
    </w:p>
    <w:bookmarkEnd w:id="13"/>
    <w:p w14:paraId="417B87CB" w14:textId="77777777" w:rsidR="0071257C" w:rsidRPr="00F6575F" w:rsidRDefault="0071257C" w:rsidP="00E15492">
      <w:pPr>
        <w:autoSpaceDE w:val="0"/>
        <w:autoSpaceDN w:val="0"/>
        <w:adjustRightInd w:val="0"/>
        <w:jc w:val="both"/>
        <w:rPr>
          <w:rFonts w:ascii="Arial" w:eastAsia="Calibri" w:hAnsi="Arial" w:cs="Arial"/>
          <w:b/>
          <w:bCs/>
          <w:sz w:val="22"/>
          <w:szCs w:val="22"/>
          <w:lang w:val="en-US" w:eastAsia="en-US"/>
        </w:rPr>
      </w:pPr>
    </w:p>
    <w:p w14:paraId="13FF882A" w14:textId="5785C24A" w:rsidR="00E15492" w:rsidRPr="00F6575F" w:rsidRDefault="00E15492" w:rsidP="00E15492">
      <w:pPr>
        <w:autoSpaceDE w:val="0"/>
        <w:autoSpaceDN w:val="0"/>
        <w:adjustRightInd w:val="0"/>
        <w:jc w:val="both"/>
        <w:rPr>
          <w:rFonts w:ascii="Arial" w:eastAsia="Calibri" w:hAnsi="Arial" w:cs="Arial"/>
          <w:b/>
          <w:bCs/>
          <w:sz w:val="22"/>
          <w:szCs w:val="22"/>
          <w:lang w:val="en-US" w:eastAsia="en-US"/>
        </w:rPr>
      </w:pPr>
      <w:r w:rsidRPr="00F6575F">
        <w:rPr>
          <w:rFonts w:ascii="Arial" w:eastAsia="Calibri" w:hAnsi="Arial" w:cs="Arial"/>
          <w:b/>
          <w:bCs/>
          <w:sz w:val="22"/>
          <w:szCs w:val="22"/>
          <w:lang w:val="en-US" w:eastAsia="en-US"/>
        </w:rPr>
        <w:t>ESMA Template for publishing RCB information</w:t>
      </w:r>
    </w:p>
    <w:p w14:paraId="19A86F8C" w14:textId="77777777" w:rsidR="00E15492" w:rsidRPr="00F6575F" w:rsidRDefault="00E15492" w:rsidP="00E15492">
      <w:pPr>
        <w:autoSpaceDE w:val="0"/>
        <w:autoSpaceDN w:val="0"/>
        <w:adjustRightInd w:val="0"/>
        <w:jc w:val="both"/>
        <w:rPr>
          <w:rFonts w:ascii="Arial" w:eastAsiaTheme="minorHAnsi" w:hAnsi="Arial" w:cs="Arial"/>
          <w:i/>
          <w:iCs/>
          <w:color w:val="000000"/>
          <w:sz w:val="20"/>
          <w:szCs w:val="20"/>
          <w:lang w:val="en-US" w:eastAsia="en-US"/>
        </w:rPr>
      </w:pPr>
    </w:p>
    <w:p w14:paraId="043D083F" w14:textId="044DE6FC" w:rsidR="00E15492" w:rsidRPr="00F6575F" w:rsidRDefault="00E15492" w:rsidP="00E15492">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We agree with ESMA’s proposal in the context of Article 89(2)(a) of Delegated Regulation (EU) No2017/565 and Article 11(2)(a) of Delegated Regulation (EU) No 2017/567 and understand that the description will be high-level.  </w:t>
      </w:r>
    </w:p>
    <w:p w14:paraId="3BA309D2" w14:textId="78BC8092" w:rsidR="00E15492" w:rsidRPr="00F6575F" w:rsidRDefault="00E15492" w:rsidP="00E15492">
      <w:pPr>
        <w:autoSpaceDE w:val="0"/>
        <w:autoSpaceDN w:val="0"/>
        <w:adjustRightInd w:val="0"/>
        <w:jc w:val="both"/>
        <w:rPr>
          <w:rFonts w:ascii="Arial" w:eastAsia="Calibri" w:hAnsi="Arial" w:cs="Arial"/>
          <w:sz w:val="22"/>
          <w:szCs w:val="22"/>
          <w:lang w:val="en-US" w:eastAsia="en-US"/>
        </w:rPr>
      </w:pPr>
    </w:p>
    <w:p w14:paraId="74E0B041" w14:textId="33736FA7" w:rsidR="00BF53BF" w:rsidRPr="00F6575F" w:rsidRDefault="00E15492" w:rsidP="00BF53BF">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We agree as well with Article 89(2)(b) of Delegated Regulation (EU) No 2017/565 and Article 11(2)(b) of Delegated Regulation (EU) No 2017/567</w:t>
      </w:r>
      <w:r w:rsidR="009E7529" w:rsidRPr="00F6575F">
        <w:rPr>
          <w:rFonts w:ascii="Arial" w:eastAsia="Calibri" w:hAnsi="Arial" w:cs="Arial"/>
          <w:sz w:val="22"/>
          <w:szCs w:val="22"/>
          <w:lang w:val="en-US" w:eastAsia="en-US"/>
        </w:rPr>
        <w:t xml:space="preserve"> as regards advanced disclosure to be integrated into the </w:t>
      </w:r>
      <w:r w:rsidR="00B90399" w:rsidRPr="00F6575F">
        <w:rPr>
          <w:rFonts w:ascii="Arial" w:eastAsia="Calibri" w:hAnsi="Arial" w:cs="Arial"/>
          <w:sz w:val="22"/>
          <w:szCs w:val="22"/>
          <w:lang w:val="en-US" w:eastAsia="en-US"/>
        </w:rPr>
        <w:t>t</w:t>
      </w:r>
      <w:r w:rsidR="009E7529" w:rsidRPr="00F6575F">
        <w:rPr>
          <w:rFonts w:ascii="Arial" w:eastAsia="Calibri" w:hAnsi="Arial" w:cs="Arial"/>
          <w:sz w:val="22"/>
          <w:szCs w:val="22"/>
          <w:lang w:val="en-US" w:eastAsia="en-US"/>
        </w:rPr>
        <w:t xml:space="preserve">emplate. </w:t>
      </w:r>
      <w:r w:rsidR="00BF53BF" w:rsidRPr="00F6575F">
        <w:rPr>
          <w:rFonts w:ascii="Arial" w:eastAsia="Calibri" w:hAnsi="Arial" w:cs="Arial"/>
          <w:sz w:val="22"/>
          <w:szCs w:val="22"/>
          <w:lang w:val="en-US" w:eastAsia="en-US"/>
        </w:rPr>
        <w:t xml:space="preserve">In this context we would like to comment as follows: In point 75 of the </w:t>
      </w:r>
      <w:r w:rsidR="00DA45DC" w:rsidRPr="00F6575F">
        <w:rPr>
          <w:rFonts w:ascii="Arial" w:eastAsia="Calibri" w:hAnsi="Arial" w:cs="Arial"/>
          <w:sz w:val="22"/>
          <w:szCs w:val="22"/>
          <w:lang w:val="en-US" w:eastAsia="en-US"/>
        </w:rPr>
        <w:t>consultation paper</w:t>
      </w:r>
      <w:r w:rsidR="00BF53BF" w:rsidRPr="00F6575F">
        <w:rPr>
          <w:rFonts w:ascii="Arial" w:eastAsia="Calibri" w:hAnsi="Arial" w:cs="Arial"/>
          <w:sz w:val="22"/>
          <w:szCs w:val="22"/>
          <w:lang w:val="en-US" w:eastAsia="en-US"/>
        </w:rPr>
        <w:t>, ESMA assumes that the template proposed could lead market data providers such as DBG to simpl</w:t>
      </w:r>
      <w:r w:rsidR="00B65479" w:rsidRPr="00F6575F">
        <w:rPr>
          <w:rFonts w:ascii="Arial" w:eastAsia="Calibri" w:hAnsi="Arial" w:cs="Arial"/>
          <w:sz w:val="22"/>
          <w:szCs w:val="22"/>
          <w:lang w:val="en-US" w:eastAsia="en-US"/>
        </w:rPr>
        <w:t>if</w:t>
      </w:r>
      <w:r w:rsidR="00BF53BF" w:rsidRPr="00F6575F">
        <w:rPr>
          <w:rFonts w:ascii="Arial" w:eastAsia="Calibri" w:hAnsi="Arial" w:cs="Arial"/>
          <w:sz w:val="22"/>
          <w:szCs w:val="22"/>
          <w:lang w:val="en-US" w:eastAsia="en-US"/>
        </w:rPr>
        <w:t xml:space="preserve">y fee schedules and become more transparent. We consider that there is no direct connection as the price list depends on the business models of trading venues (e.g. DBG provides distribution services for </w:t>
      </w:r>
      <w:r w:rsidR="00DA45DC" w:rsidRPr="00F6575F">
        <w:rPr>
          <w:rFonts w:ascii="Arial" w:eastAsia="Calibri" w:hAnsi="Arial" w:cs="Arial"/>
          <w:sz w:val="22"/>
          <w:szCs w:val="22"/>
          <w:lang w:val="en-US" w:eastAsia="en-US"/>
        </w:rPr>
        <w:t>t</w:t>
      </w:r>
      <w:r w:rsidR="00BF53BF" w:rsidRPr="00F6575F">
        <w:rPr>
          <w:rFonts w:ascii="Arial" w:eastAsia="Calibri" w:hAnsi="Arial" w:cs="Arial"/>
          <w:sz w:val="22"/>
          <w:szCs w:val="22"/>
          <w:lang w:val="en-US" w:eastAsia="en-US"/>
        </w:rPr>
        <w:t xml:space="preserve">rading </w:t>
      </w:r>
      <w:r w:rsidR="00DA45DC" w:rsidRPr="00F6575F">
        <w:rPr>
          <w:rFonts w:ascii="Arial" w:eastAsia="Calibri" w:hAnsi="Arial" w:cs="Arial"/>
          <w:sz w:val="22"/>
          <w:szCs w:val="22"/>
          <w:lang w:val="en-US" w:eastAsia="en-US"/>
        </w:rPr>
        <w:t>v</w:t>
      </w:r>
      <w:r w:rsidR="00BF53BF" w:rsidRPr="00F6575F">
        <w:rPr>
          <w:rFonts w:ascii="Arial" w:eastAsia="Calibri" w:hAnsi="Arial" w:cs="Arial"/>
          <w:sz w:val="22"/>
          <w:szCs w:val="22"/>
          <w:lang w:val="en-US" w:eastAsia="en-US"/>
        </w:rPr>
        <w:t xml:space="preserve">enues), and the necessary </w:t>
      </w:r>
      <w:r w:rsidR="00BF53BF" w:rsidRPr="009263D2">
        <w:rPr>
          <w:rFonts w:ascii="Arial" w:eastAsia="Calibri" w:hAnsi="Arial" w:cs="Arial"/>
          <w:sz w:val="22"/>
          <w:szCs w:val="22"/>
          <w:lang w:val="en-US" w:eastAsia="en-US"/>
        </w:rPr>
        <w:t>licenses available to customers for choice. This is in line with economics literature</w:t>
      </w:r>
      <w:r w:rsidR="00823316" w:rsidRPr="009263D2">
        <w:rPr>
          <w:rStyle w:val="Funotenzeichen"/>
          <w:rFonts w:eastAsia="Calibri" w:cs="Arial"/>
          <w:szCs w:val="22"/>
          <w:lang w:val="en-US" w:eastAsia="en-US"/>
        </w:rPr>
        <w:footnoteReference w:id="28"/>
      </w:r>
      <w:r w:rsidR="00BF53BF" w:rsidRPr="009263D2">
        <w:rPr>
          <w:rFonts w:ascii="Arial" w:eastAsia="Calibri" w:hAnsi="Arial" w:cs="Arial"/>
          <w:sz w:val="22"/>
          <w:szCs w:val="22"/>
          <w:lang w:val="en-US" w:eastAsia="en-US"/>
        </w:rPr>
        <w:t xml:space="preserve">  which</w:t>
      </w:r>
      <w:r w:rsidR="00BF53BF" w:rsidRPr="00F6575F">
        <w:rPr>
          <w:rFonts w:ascii="Arial" w:eastAsia="Calibri" w:hAnsi="Arial" w:cs="Arial"/>
          <w:sz w:val="22"/>
          <w:szCs w:val="22"/>
          <w:lang w:val="en-US" w:eastAsia="en-US"/>
        </w:rPr>
        <w:t xml:space="preserve"> stipulates that broad license structures allow for efficient pricing and broad transparency within markets. Please note that the requirement for data disaggregation has inflated price lists of trading venues</w:t>
      </w:r>
      <w:r w:rsidR="00A946E6" w:rsidRPr="00A946E6">
        <w:rPr>
          <w:rFonts w:ascii="Arial" w:eastAsia="Calibri" w:hAnsi="Arial" w:cs="Arial"/>
          <w:sz w:val="22"/>
          <w:szCs w:val="22"/>
          <w:lang w:val="en-US" w:eastAsia="en-US"/>
        </w:rPr>
        <w:t xml:space="preserve"> </w:t>
      </w:r>
      <w:r w:rsidR="00A946E6">
        <w:rPr>
          <w:rFonts w:ascii="Arial" w:eastAsia="Calibri" w:hAnsi="Arial" w:cs="Arial"/>
          <w:sz w:val="22"/>
          <w:szCs w:val="22"/>
          <w:lang w:val="en-US" w:eastAsia="en-US"/>
        </w:rPr>
        <w:t>significantly</w:t>
      </w:r>
      <w:r w:rsidR="00BF53BF" w:rsidRPr="00F6575F">
        <w:rPr>
          <w:rFonts w:ascii="Arial" w:eastAsia="Calibri" w:hAnsi="Arial" w:cs="Arial"/>
          <w:sz w:val="22"/>
          <w:szCs w:val="22"/>
          <w:lang w:val="en-US" w:eastAsia="en-US"/>
        </w:rPr>
        <w:t xml:space="preserve">, while there is little demand for </w:t>
      </w:r>
      <w:r w:rsidR="00A946E6">
        <w:rPr>
          <w:rFonts w:ascii="Arial" w:eastAsia="Calibri" w:hAnsi="Arial" w:cs="Arial"/>
          <w:sz w:val="22"/>
          <w:szCs w:val="22"/>
          <w:lang w:val="en-US" w:eastAsia="en-US"/>
        </w:rPr>
        <w:t>disaggregated data</w:t>
      </w:r>
      <w:r w:rsidR="00B652F5">
        <w:rPr>
          <w:rFonts w:ascii="Arial" w:eastAsia="Calibri" w:hAnsi="Arial" w:cs="Arial"/>
          <w:sz w:val="22"/>
          <w:szCs w:val="22"/>
          <w:lang w:val="en-US" w:eastAsia="en-US"/>
        </w:rPr>
        <w:t xml:space="preserve">. </w:t>
      </w:r>
      <w:r w:rsidR="00BF53BF" w:rsidRPr="00F6575F">
        <w:rPr>
          <w:rFonts w:ascii="Arial" w:eastAsia="Calibri" w:hAnsi="Arial" w:cs="Arial"/>
          <w:sz w:val="22"/>
          <w:szCs w:val="22"/>
          <w:lang w:val="en-US" w:eastAsia="en-US"/>
        </w:rPr>
        <w:t xml:space="preserve">In this context DBG considers it sensible to provide a direct link to current price lists made available online. </w:t>
      </w:r>
    </w:p>
    <w:p w14:paraId="2523301E" w14:textId="51F9A991" w:rsidR="009E7529" w:rsidRPr="00F6575F" w:rsidRDefault="009E7529" w:rsidP="00E15492">
      <w:pPr>
        <w:autoSpaceDE w:val="0"/>
        <w:autoSpaceDN w:val="0"/>
        <w:adjustRightInd w:val="0"/>
        <w:jc w:val="both"/>
        <w:rPr>
          <w:rFonts w:ascii="Arial" w:eastAsia="Calibri" w:hAnsi="Arial" w:cs="Arial"/>
          <w:sz w:val="22"/>
          <w:szCs w:val="22"/>
          <w:lang w:val="en-US" w:eastAsia="en-US"/>
        </w:rPr>
      </w:pPr>
    </w:p>
    <w:p w14:paraId="3DB88E93" w14:textId="77777777" w:rsidR="009E7529" w:rsidRPr="00F6575F" w:rsidRDefault="009E7529" w:rsidP="00CA5ADF">
      <w:pPr>
        <w:autoSpaceDE w:val="0"/>
        <w:autoSpaceDN w:val="0"/>
        <w:adjustRightInd w:val="0"/>
        <w:rPr>
          <w:rFonts w:ascii="Arial" w:eastAsia="Calibri" w:hAnsi="Arial" w:cs="Arial"/>
          <w:b/>
          <w:bCs/>
          <w:sz w:val="22"/>
          <w:szCs w:val="22"/>
          <w:lang w:val="en-US" w:eastAsia="en-US"/>
        </w:rPr>
      </w:pPr>
      <w:r w:rsidRPr="00F6575F">
        <w:rPr>
          <w:rFonts w:ascii="Arial" w:eastAsia="Calibri" w:hAnsi="Arial" w:cs="Arial"/>
          <w:b/>
          <w:bCs/>
          <w:sz w:val="22"/>
          <w:szCs w:val="22"/>
          <w:lang w:val="en-US" w:eastAsia="en-US"/>
        </w:rPr>
        <w:t xml:space="preserve">DBG does not support the detailed break down into asset classes </w:t>
      </w:r>
    </w:p>
    <w:p w14:paraId="4041F749" w14:textId="77777777" w:rsidR="009E7529" w:rsidRPr="00F6575F" w:rsidRDefault="009E7529" w:rsidP="009E7529">
      <w:pPr>
        <w:autoSpaceDE w:val="0"/>
        <w:autoSpaceDN w:val="0"/>
        <w:adjustRightInd w:val="0"/>
        <w:jc w:val="both"/>
        <w:rPr>
          <w:rFonts w:ascii="Arial" w:eastAsia="Calibri" w:hAnsi="Arial" w:cs="Arial"/>
          <w:sz w:val="22"/>
          <w:szCs w:val="22"/>
          <w:lang w:val="en-US" w:eastAsia="en-US"/>
        </w:rPr>
      </w:pPr>
    </w:p>
    <w:p w14:paraId="4B3A1E25" w14:textId="0A0D9526" w:rsidR="009E7529" w:rsidRPr="00F6575F" w:rsidRDefault="009E7529" w:rsidP="009E7529">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We cannot agree unfortunately, as regards Article 89(2)(c)(i-iii) of Delegated Regulation (EU) No 2017/565 and Article 11(2)(c)(i-iii) of Delegated Regulation (EU) No 2017/567. DBG is concerned about the additional requirements as regards the break down into asset class data. In line with regulation DBG provides data per Operating MIC disaggregated to the level of pre- and post-trade data, but not yet beyond. Disaggregation to the level of pre- and post-trade is the regulatory minimum, and </w:t>
      </w:r>
      <w:r w:rsidR="00F6575F" w:rsidRPr="00F6575F">
        <w:rPr>
          <w:rFonts w:ascii="Arial" w:eastAsia="Calibri" w:hAnsi="Arial" w:cs="Arial"/>
          <w:sz w:val="22"/>
          <w:szCs w:val="22"/>
          <w:lang w:val="en-US" w:eastAsia="en-US"/>
        </w:rPr>
        <w:t>enough</w:t>
      </w:r>
      <w:r w:rsidRPr="00F6575F">
        <w:rPr>
          <w:rFonts w:ascii="Arial" w:eastAsia="Calibri" w:hAnsi="Arial" w:cs="Arial"/>
          <w:sz w:val="22"/>
          <w:szCs w:val="22"/>
          <w:lang w:val="en-US" w:eastAsia="en-US"/>
        </w:rPr>
        <w:t>, unless there is explicit demand for additional break down, e.g. asset classes in line with regulation. However, while demand even for disaggregated pre- and post-trade data is hardly there, ESMA now requires a further disaggregation per asset-class - at least for the information requirements. To do so is an onerous technical requirement adding to cost. It would apply to all trading venues many of which have not aggregated down to asset class level yet, such as DBG</w:t>
      </w:r>
      <w:r w:rsidR="00A946E6">
        <w:rPr>
          <w:rFonts w:ascii="Arial" w:eastAsia="Calibri" w:hAnsi="Arial" w:cs="Arial"/>
          <w:sz w:val="22"/>
          <w:szCs w:val="22"/>
          <w:lang w:val="en-US" w:eastAsia="en-US"/>
        </w:rPr>
        <w:t>’s trading venues</w:t>
      </w:r>
      <w:r w:rsidRPr="00F6575F">
        <w:rPr>
          <w:rFonts w:ascii="Arial" w:eastAsia="Calibri" w:hAnsi="Arial" w:cs="Arial"/>
          <w:sz w:val="22"/>
          <w:szCs w:val="22"/>
          <w:lang w:val="en-US" w:eastAsia="en-US"/>
        </w:rPr>
        <w:t xml:space="preserve">. We </w:t>
      </w:r>
      <w:r w:rsidR="006F44ED">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 xml:space="preserve"> recommend, to stay within the current requirement, e.g. information published per </w:t>
      </w:r>
      <w:r w:rsidR="00DA45DC" w:rsidRPr="00F6575F">
        <w:rPr>
          <w:rFonts w:ascii="Arial" w:eastAsia="Calibri" w:hAnsi="Arial" w:cs="Arial"/>
          <w:sz w:val="22"/>
          <w:szCs w:val="22"/>
          <w:lang w:val="en-US" w:eastAsia="en-US"/>
        </w:rPr>
        <w:t>O</w:t>
      </w:r>
      <w:r w:rsidRPr="00F6575F">
        <w:rPr>
          <w:rFonts w:ascii="Arial" w:eastAsia="Calibri" w:hAnsi="Arial" w:cs="Arial"/>
          <w:sz w:val="22"/>
          <w:szCs w:val="22"/>
          <w:lang w:val="en-US" w:eastAsia="en-US"/>
        </w:rPr>
        <w:t xml:space="preserve">perating MIC, and continue to focus from there on number of instruments, total turnover of instruments covered, and pre- and post-trade market data ratio. </w:t>
      </w:r>
    </w:p>
    <w:p w14:paraId="7C8E197C" w14:textId="76B8A065" w:rsidR="00E15492" w:rsidRPr="00F6575F" w:rsidRDefault="00E15492" w:rsidP="002D133F">
      <w:pPr>
        <w:autoSpaceDE w:val="0"/>
        <w:autoSpaceDN w:val="0"/>
        <w:adjustRightInd w:val="0"/>
        <w:jc w:val="both"/>
        <w:rPr>
          <w:rFonts w:ascii="Arial" w:eastAsia="Calibri" w:hAnsi="Arial" w:cs="Arial"/>
          <w:b/>
          <w:bCs/>
          <w:sz w:val="22"/>
          <w:szCs w:val="22"/>
          <w:lang w:val="en-US" w:eastAsia="en-US"/>
        </w:rPr>
      </w:pPr>
    </w:p>
    <w:p w14:paraId="34A26E9E" w14:textId="344B9D06" w:rsidR="00BF53BF" w:rsidRPr="004D4238" w:rsidRDefault="00BF53BF" w:rsidP="00CA5ADF">
      <w:pPr>
        <w:autoSpaceDE w:val="0"/>
        <w:autoSpaceDN w:val="0"/>
        <w:adjustRightInd w:val="0"/>
        <w:rPr>
          <w:rFonts w:eastAsia="Calibri"/>
          <w:b/>
          <w:sz w:val="22"/>
          <w:szCs w:val="22"/>
          <w:lang w:val="en-US"/>
        </w:rPr>
      </w:pPr>
      <w:r w:rsidRPr="00F6575F">
        <w:rPr>
          <w:rFonts w:ascii="Arial" w:eastAsia="Calibri" w:hAnsi="Arial" w:cs="Arial"/>
          <w:b/>
          <w:bCs/>
          <w:sz w:val="22"/>
          <w:szCs w:val="22"/>
          <w:lang w:val="en-US" w:eastAsia="en-US"/>
        </w:rPr>
        <w:t>Information on any data provided in addition to market data</w:t>
      </w:r>
    </w:p>
    <w:p w14:paraId="556D49E7" w14:textId="77777777" w:rsidR="0071257C" w:rsidRPr="00F6575F" w:rsidRDefault="0071257C" w:rsidP="00BC30A4">
      <w:pPr>
        <w:pStyle w:val="Default"/>
        <w:jc w:val="both"/>
        <w:rPr>
          <w:rFonts w:eastAsia="Calibri"/>
          <w:color w:val="auto"/>
          <w:sz w:val="22"/>
          <w:szCs w:val="22"/>
        </w:rPr>
      </w:pPr>
    </w:p>
    <w:p w14:paraId="5DE89DA2" w14:textId="5D06F885" w:rsidR="00BC30A4" w:rsidRPr="00F6575F" w:rsidRDefault="00BF53BF" w:rsidP="00BC30A4">
      <w:pPr>
        <w:pStyle w:val="Default"/>
        <w:jc w:val="both"/>
        <w:rPr>
          <w:rFonts w:eastAsia="Calibri"/>
          <w:color w:val="auto"/>
          <w:sz w:val="22"/>
          <w:szCs w:val="22"/>
        </w:rPr>
      </w:pPr>
      <w:r w:rsidRPr="00F6575F">
        <w:rPr>
          <w:rFonts w:eastAsia="Calibri"/>
          <w:sz w:val="22"/>
          <w:szCs w:val="22"/>
        </w:rPr>
        <w:t xml:space="preserve">DBG </w:t>
      </w:r>
      <w:r w:rsidR="007A6513" w:rsidRPr="00F6575F">
        <w:rPr>
          <w:rFonts w:eastAsia="Calibri"/>
          <w:sz w:val="22"/>
          <w:szCs w:val="22"/>
        </w:rPr>
        <w:t xml:space="preserve">generally </w:t>
      </w:r>
      <w:r w:rsidRPr="00F6575F">
        <w:rPr>
          <w:rFonts w:eastAsia="Calibri"/>
          <w:sz w:val="22"/>
          <w:szCs w:val="22"/>
        </w:rPr>
        <w:t xml:space="preserve">agrees with </w:t>
      </w:r>
      <w:r w:rsidR="00BC30A4" w:rsidRPr="00F6575F">
        <w:rPr>
          <w:rFonts w:eastAsia="Calibri"/>
          <w:color w:val="auto"/>
          <w:sz w:val="22"/>
          <w:szCs w:val="22"/>
        </w:rPr>
        <w:t xml:space="preserve">Article 89(2)(c)(iv) of Delegated Regulation (EU) No 2017/565 and Article 11(2)(c)(iv) of Delegated Regulation (EU) No 2017/567 </w:t>
      </w:r>
      <w:r w:rsidRPr="00F6575F">
        <w:rPr>
          <w:rFonts w:eastAsia="Calibri"/>
          <w:color w:val="auto"/>
          <w:sz w:val="22"/>
          <w:szCs w:val="22"/>
        </w:rPr>
        <w:t>to provide information on any data provided in addition to market data</w:t>
      </w:r>
      <w:r w:rsidR="007A6513" w:rsidRPr="00F6575F">
        <w:rPr>
          <w:rFonts w:eastAsia="Calibri"/>
          <w:color w:val="auto"/>
          <w:sz w:val="22"/>
          <w:szCs w:val="22"/>
        </w:rPr>
        <w:t xml:space="preserve">. </w:t>
      </w:r>
      <w:r w:rsidRPr="00F6575F">
        <w:rPr>
          <w:rFonts w:eastAsia="Calibri"/>
          <w:color w:val="auto"/>
          <w:sz w:val="22"/>
          <w:szCs w:val="22"/>
        </w:rPr>
        <w:t>This should be done per Operating MIC.</w:t>
      </w:r>
    </w:p>
    <w:p w14:paraId="7E8C2FE1" w14:textId="6315CF0F" w:rsidR="003878EF" w:rsidRPr="00F6575F" w:rsidRDefault="003878EF" w:rsidP="002D133F">
      <w:pPr>
        <w:autoSpaceDE w:val="0"/>
        <w:autoSpaceDN w:val="0"/>
        <w:adjustRightInd w:val="0"/>
        <w:jc w:val="both"/>
        <w:rPr>
          <w:rFonts w:ascii="Arial" w:eastAsia="Calibri" w:hAnsi="Arial" w:cs="Arial"/>
          <w:sz w:val="22"/>
          <w:szCs w:val="22"/>
          <w:lang w:val="en-US" w:eastAsia="en-US"/>
        </w:rPr>
      </w:pPr>
    </w:p>
    <w:p w14:paraId="4AB76B10" w14:textId="3ED30969" w:rsidR="00C21EF9" w:rsidRPr="00F6575F" w:rsidRDefault="003878EF" w:rsidP="00CA5ADF">
      <w:pPr>
        <w:autoSpaceDE w:val="0"/>
        <w:autoSpaceDN w:val="0"/>
        <w:adjustRightInd w:val="0"/>
        <w:rPr>
          <w:rFonts w:ascii="Arial" w:eastAsia="Calibri" w:hAnsi="Arial" w:cs="Arial"/>
          <w:b/>
          <w:bCs/>
          <w:sz w:val="22"/>
          <w:szCs w:val="22"/>
          <w:lang w:val="en-US" w:eastAsia="en-US"/>
        </w:rPr>
      </w:pPr>
      <w:r w:rsidRPr="00F6575F">
        <w:rPr>
          <w:rFonts w:ascii="Arial" w:eastAsia="Calibri" w:hAnsi="Arial" w:cs="Arial"/>
          <w:b/>
          <w:bCs/>
          <w:sz w:val="22"/>
          <w:szCs w:val="22"/>
          <w:lang w:val="en-US" w:eastAsia="en-US"/>
        </w:rPr>
        <w:t>Date of last license fee adaption</w:t>
      </w:r>
    </w:p>
    <w:p w14:paraId="4127003E" w14:textId="77777777" w:rsidR="0071257C" w:rsidRPr="00F6575F" w:rsidRDefault="0071257C" w:rsidP="002D133F">
      <w:pPr>
        <w:autoSpaceDE w:val="0"/>
        <w:autoSpaceDN w:val="0"/>
        <w:adjustRightInd w:val="0"/>
        <w:jc w:val="both"/>
        <w:rPr>
          <w:rFonts w:ascii="Arial" w:eastAsia="Calibri" w:hAnsi="Arial" w:cs="Arial"/>
          <w:sz w:val="22"/>
          <w:szCs w:val="22"/>
          <w:lang w:val="en-US" w:eastAsia="en-US"/>
        </w:rPr>
      </w:pPr>
    </w:p>
    <w:p w14:paraId="2E4F5602" w14:textId="35A64C80" w:rsidR="003878EF" w:rsidRPr="00F6575F" w:rsidRDefault="00FF3EDB" w:rsidP="002D133F">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lastRenderedPageBreak/>
        <w:t>DBG</w:t>
      </w:r>
      <w:r w:rsidR="00C21EF9" w:rsidRPr="00F6575F">
        <w:rPr>
          <w:rFonts w:ascii="Arial" w:eastAsia="Calibri" w:hAnsi="Arial" w:cs="Arial"/>
          <w:sz w:val="22"/>
          <w:szCs w:val="22"/>
          <w:lang w:val="en-US" w:eastAsia="en-US"/>
        </w:rPr>
        <w:t xml:space="preserve"> has implemented a history of price list and announcements which provides for a comprehensive overview of any price adaptions starting 2018.</w:t>
      </w:r>
      <w:r w:rsidR="002F71D3" w:rsidRPr="00F6575F">
        <w:rPr>
          <w:rFonts w:ascii="Arial" w:eastAsia="Calibri" w:hAnsi="Arial" w:cs="Arial"/>
          <w:sz w:val="22"/>
          <w:szCs w:val="22"/>
          <w:lang w:val="en-US" w:eastAsia="en-US"/>
        </w:rPr>
        <w:t xml:space="preserve"> This information is publicly available on </w:t>
      </w:r>
      <w:r w:rsidRPr="00F6575F">
        <w:rPr>
          <w:rFonts w:ascii="Arial" w:eastAsia="Calibri" w:hAnsi="Arial" w:cs="Arial"/>
          <w:sz w:val="22"/>
          <w:szCs w:val="22"/>
          <w:lang w:val="en-US" w:eastAsia="en-US"/>
        </w:rPr>
        <w:t>DBG</w:t>
      </w:r>
      <w:r w:rsidR="00B90399" w:rsidRPr="00F6575F">
        <w:rPr>
          <w:rFonts w:ascii="Arial" w:eastAsia="Calibri" w:hAnsi="Arial" w:cs="Arial"/>
          <w:sz w:val="22"/>
          <w:szCs w:val="22"/>
          <w:lang w:val="en-US" w:eastAsia="en-US"/>
        </w:rPr>
        <w:t>’</w:t>
      </w:r>
      <w:r w:rsidR="002F71D3" w:rsidRPr="00F6575F">
        <w:rPr>
          <w:rFonts w:ascii="Arial" w:eastAsia="Calibri" w:hAnsi="Arial" w:cs="Arial"/>
          <w:sz w:val="22"/>
          <w:szCs w:val="22"/>
          <w:lang w:val="en-US" w:eastAsia="en-US"/>
        </w:rPr>
        <w:t xml:space="preserve">s homepage. </w:t>
      </w:r>
    </w:p>
    <w:p w14:paraId="4926EE59" w14:textId="7592B0CF" w:rsidR="002421C5" w:rsidRPr="00F6575F" w:rsidRDefault="002421C5" w:rsidP="002D133F">
      <w:pPr>
        <w:autoSpaceDE w:val="0"/>
        <w:autoSpaceDN w:val="0"/>
        <w:adjustRightInd w:val="0"/>
        <w:jc w:val="both"/>
        <w:rPr>
          <w:rFonts w:ascii="Arial" w:eastAsia="Calibri" w:hAnsi="Arial" w:cs="Arial"/>
          <w:b/>
          <w:bCs/>
          <w:color w:val="0070C0"/>
          <w:sz w:val="22"/>
          <w:szCs w:val="22"/>
          <w:lang w:val="en-US" w:eastAsia="en-US"/>
        </w:rPr>
      </w:pPr>
    </w:p>
    <w:p w14:paraId="1795E54B" w14:textId="461F7619" w:rsidR="002421C5" w:rsidRPr="00F6575F" w:rsidRDefault="002421C5" w:rsidP="00CA5ADF">
      <w:pPr>
        <w:autoSpaceDE w:val="0"/>
        <w:autoSpaceDN w:val="0"/>
        <w:adjustRightInd w:val="0"/>
        <w:rPr>
          <w:rFonts w:ascii="Arial" w:eastAsia="Calibri" w:hAnsi="Arial" w:cs="Arial"/>
          <w:b/>
          <w:bCs/>
          <w:sz w:val="22"/>
          <w:szCs w:val="22"/>
          <w:lang w:val="en-US" w:eastAsia="en-US"/>
        </w:rPr>
      </w:pPr>
      <w:r w:rsidRPr="00F6575F">
        <w:rPr>
          <w:rFonts w:ascii="Arial" w:eastAsia="Calibri" w:hAnsi="Arial" w:cs="Arial"/>
          <w:b/>
          <w:bCs/>
          <w:sz w:val="22"/>
          <w:szCs w:val="22"/>
          <w:lang w:val="en-US" w:eastAsia="en-US"/>
        </w:rPr>
        <w:t xml:space="preserve">Market </w:t>
      </w:r>
      <w:r w:rsidR="00B90399" w:rsidRPr="00F6575F">
        <w:rPr>
          <w:rFonts w:ascii="Arial" w:eastAsia="Calibri" w:hAnsi="Arial" w:cs="Arial"/>
          <w:b/>
          <w:bCs/>
          <w:sz w:val="22"/>
          <w:szCs w:val="22"/>
          <w:lang w:val="en-US" w:eastAsia="en-US"/>
        </w:rPr>
        <w:t>d</w:t>
      </w:r>
      <w:r w:rsidRPr="00F6575F">
        <w:rPr>
          <w:rFonts w:ascii="Arial" w:eastAsia="Calibri" w:hAnsi="Arial" w:cs="Arial"/>
          <w:b/>
          <w:bCs/>
          <w:sz w:val="22"/>
          <w:szCs w:val="22"/>
          <w:lang w:val="en-US" w:eastAsia="en-US"/>
        </w:rPr>
        <w:t xml:space="preserve">ata revenues </w:t>
      </w:r>
    </w:p>
    <w:p w14:paraId="2CD24455" w14:textId="77777777" w:rsidR="0071257C" w:rsidRPr="00F6575F" w:rsidRDefault="0071257C" w:rsidP="002D133F">
      <w:pPr>
        <w:autoSpaceDE w:val="0"/>
        <w:autoSpaceDN w:val="0"/>
        <w:adjustRightInd w:val="0"/>
        <w:jc w:val="both"/>
        <w:rPr>
          <w:rFonts w:ascii="Arial" w:eastAsia="Calibri" w:hAnsi="Arial" w:cs="Arial"/>
          <w:sz w:val="22"/>
          <w:szCs w:val="22"/>
          <w:lang w:val="en-US" w:eastAsia="en-US"/>
        </w:rPr>
      </w:pPr>
    </w:p>
    <w:p w14:paraId="5B602C3E" w14:textId="24622FC7" w:rsidR="00B65479" w:rsidRPr="00F6575F" w:rsidRDefault="00FF3EDB" w:rsidP="00DE7AE8">
      <w:pPr>
        <w:autoSpaceDE w:val="0"/>
        <w:autoSpaceDN w:val="0"/>
        <w:adjustRightInd w:val="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DBG</w:t>
      </w:r>
      <w:r w:rsidR="002F71D3" w:rsidRPr="00F6575F">
        <w:rPr>
          <w:rFonts w:ascii="Arial" w:eastAsia="Calibri" w:hAnsi="Arial" w:cs="Arial"/>
          <w:sz w:val="22"/>
          <w:szCs w:val="22"/>
          <w:lang w:val="en-US" w:eastAsia="en-US"/>
        </w:rPr>
        <w:t xml:space="preserve"> agrees with the proposals as regards the display of revenues per Operating M</w:t>
      </w:r>
      <w:r w:rsidR="00602FFC" w:rsidRPr="00F6575F">
        <w:rPr>
          <w:rFonts w:ascii="Arial" w:eastAsia="Calibri" w:hAnsi="Arial" w:cs="Arial"/>
          <w:sz w:val="22"/>
          <w:szCs w:val="22"/>
          <w:lang w:val="en-US" w:eastAsia="en-US"/>
        </w:rPr>
        <w:t>IC</w:t>
      </w:r>
      <w:r w:rsidR="002F71D3" w:rsidRPr="00F6575F">
        <w:rPr>
          <w:rFonts w:ascii="Arial" w:eastAsia="Calibri" w:hAnsi="Arial" w:cs="Arial"/>
          <w:sz w:val="22"/>
          <w:szCs w:val="22"/>
          <w:lang w:val="en-US" w:eastAsia="en-US"/>
        </w:rPr>
        <w:t>.</w:t>
      </w:r>
      <w:r w:rsidR="00B65479" w:rsidRPr="00F6575F">
        <w:rPr>
          <w:rFonts w:ascii="Arial" w:eastAsia="Calibri" w:hAnsi="Arial" w:cs="Arial"/>
          <w:sz w:val="22"/>
          <w:szCs w:val="22"/>
          <w:lang w:val="en-US" w:eastAsia="en-US"/>
        </w:rPr>
        <w:t xml:space="preserve"> In line with FESE</w:t>
      </w:r>
      <w:r w:rsidR="00DA45DC" w:rsidRPr="00F6575F">
        <w:rPr>
          <w:rFonts w:ascii="Arial" w:eastAsia="Calibri" w:hAnsi="Arial" w:cs="Arial"/>
          <w:sz w:val="22"/>
          <w:szCs w:val="22"/>
          <w:lang w:val="en-US" w:eastAsia="en-US"/>
        </w:rPr>
        <w:t>’s</w:t>
      </w:r>
      <w:r w:rsidR="00B65479" w:rsidRPr="00F6575F">
        <w:rPr>
          <w:rFonts w:ascii="Arial" w:eastAsia="Calibri" w:hAnsi="Arial" w:cs="Arial"/>
          <w:sz w:val="22"/>
          <w:szCs w:val="22"/>
          <w:lang w:val="en-US" w:eastAsia="en-US"/>
        </w:rPr>
        <w:t xml:space="preserve"> proposals we </w:t>
      </w:r>
      <w:r w:rsidR="00DA45DC" w:rsidRPr="00F6575F">
        <w:rPr>
          <w:rFonts w:ascii="Arial" w:eastAsia="Calibri" w:hAnsi="Arial" w:cs="Arial"/>
          <w:sz w:val="22"/>
          <w:szCs w:val="22"/>
          <w:lang w:val="en-US" w:eastAsia="en-US"/>
        </w:rPr>
        <w:t xml:space="preserve">suggest </w:t>
      </w:r>
      <w:r w:rsidR="00B65479" w:rsidRPr="00F6575F">
        <w:rPr>
          <w:rFonts w:ascii="Arial" w:eastAsia="Calibri" w:hAnsi="Arial" w:cs="Arial"/>
          <w:sz w:val="22"/>
          <w:szCs w:val="22"/>
          <w:lang w:val="en-US" w:eastAsia="en-US"/>
        </w:rPr>
        <w:t xml:space="preserve">the annual revenue and share of revenue for the most recent financial year for which the </w:t>
      </w:r>
      <w:r w:rsidR="00DA45DC" w:rsidRPr="00F6575F">
        <w:rPr>
          <w:rFonts w:ascii="Arial" w:eastAsia="Calibri" w:hAnsi="Arial" w:cs="Arial"/>
          <w:sz w:val="22"/>
          <w:szCs w:val="22"/>
          <w:lang w:val="en-US" w:eastAsia="en-US"/>
        </w:rPr>
        <w:t>m</w:t>
      </w:r>
      <w:r w:rsidR="00B65479" w:rsidRPr="00F6575F">
        <w:rPr>
          <w:rFonts w:ascii="Arial" w:eastAsia="Calibri" w:hAnsi="Arial" w:cs="Arial"/>
          <w:sz w:val="22"/>
          <w:szCs w:val="22"/>
          <w:lang w:val="en-US" w:eastAsia="en-US"/>
        </w:rPr>
        <w:t xml:space="preserve">arket </w:t>
      </w:r>
      <w:r w:rsidR="00DA45DC" w:rsidRPr="00F6575F">
        <w:rPr>
          <w:rFonts w:ascii="Arial" w:eastAsia="Calibri" w:hAnsi="Arial" w:cs="Arial"/>
          <w:sz w:val="22"/>
          <w:szCs w:val="22"/>
          <w:lang w:val="en-US" w:eastAsia="en-US"/>
        </w:rPr>
        <w:t>d</w:t>
      </w:r>
      <w:r w:rsidR="00B65479" w:rsidRPr="00F6575F">
        <w:rPr>
          <w:rFonts w:ascii="Arial" w:eastAsia="Calibri" w:hAnsi="Arial" w:cs="Arial"/>
          <w:sz w:val="22"/>
          <w:szCs w:val="22"/>
          <w:lang w:val="en-US" w:eastAsia="en-US"/>
        </w:rPr>
        <w:t xml:space="preserve">ata </w:t>
      </w:r>
      <w:r w:rsidR="00DA45DC" w:rsidRPr="00F6575F">
        <w:rPr>
          <w:rFonts w:ascii="Arial" w:eastAsia="Calibri" w:hAnsi="Arial" w:cs="Arial"/>
          <w:sz w:val="22"/>
          <w:szCs w:val="22"/>
          <w:lang w:val="en-US" w:eastAsia="en-US"/>
        </w:rPr>
        <w:t>p</w:t>
      </w:r>
      <w:r w:rsidR="00B65479" w:rsidRPr="00F6575F">
        <w:rPr>
          <w:rFonts w:ascii="Arial" w:eastAsia="Calibri" w:hAnsi="Arial" w:cs="Arial"/>
          <w:sz w:val="22"/>
          <w:szCs w:val="22"/>
          <w:lang w:val="en-US" w:eastAsia="en-US"/>
        </w:rPr>
        <w:t>rovider's financial statements have been finalized and audited.</w:t>
      </w:r>
    </w:p>
    <w:p w14:paraId="6383391C" w14:textId="3C32D278" w:rsidR="002421C5" w:rsidRPr="00F6575F" w:rsidRDefault="002421C5" w:rsidP="002D133F">
      <w:pPr>
        <w:autoSpaceDE w:val="0"/>
        <w:autoSpaceDN w:val="0"/>
        <w:adjustRightInd w:val="0"/>
        <w:jc w:val="both"/>
        <w:rPr>
          <w:rFonts w:ascii="Arial" w:eastAsia="Calibri" w:hAnsi="Arial" w:cs="Arial"/>
          <w:b/>
          <w:bCs/>
          <w:sz w:val="22"/>
          <w:szCs w:val="22"/>
          <w:lang w:val="en-US" w:eastAsia="en-US"/>
        </w:rPr>
      </w:pPr>
    </w:p>
    <w:p w14:paraId="04C123A2" w14:textId="3DF2E7F4" w:rsidR="002421C5" w:rsidRPr="00F6575F" w:rsidRDefault="002421C5" w:rsidP="00CA5ADF">
      <w:pPr>
        <w:autoSpaceDE w:val="0"/>
        <w:autoSpaceDN w:val="0"/>
        <w:adjustRightInd w:val="0"/>
        <w:rPr>
          <w:rFonts w:ascii="Arial" w:eastAsia="Calibri" w:hAnsi="Arial" w:cs="Arial"/>
          <w:b/>
          <w:bCs/>
          <w:sz w:val="22"/>
          <w:szCs w:val="22"/>
          <w:lang w:val="en-US" w:eastAsia="en-US"/>
        </w:rPr>
      </w:pPr>
      <w:r w:rsidRPr="00F6575F">
        <w:rPr>
          <w:rFonts w:ascii="Arial" w:eastAsia="Calibri" w:hAnsi="Arial" w:cs="Arial"/>
          <w:b/>
          <w:bCs/>
          <w:sz w:val="22"/>
          <w:szCs w:val="22"/>
          <w:lang w:val="en-US" w:eastAsia="en-US"/>
        </w:rPr>
        <w:t>Cost accounting methodology plus detailed information</w:t>
      </w:r>
    </w:p>
    <w:p w14:paraId="653A9219" w14:textId="77777777" w:rsidR="0071257C" w:rsidRPr="00F6575F" w:rsidRDefault="0071257C" w:rsidP="002D133F">
      <w:pPr>
        <w:autoSpaceDE w:val="0"/>
        <w:autoSpaceDN w:val="0"/>
        <w:adjustRightInd w:val="0"/>
        <w:jc w:val="both"/>
        <w:rPr>
          <w:rFonts w:ascii="Arial" w:eastAsia="Calibri" w:hAnsi="Arial" w:cs="Arial"/>
          <w:sz w:val="22"/>
          <w:szCs w:val="22"/>
          <w:lang w:val="en-US" w:eastAsia="en-US"/>
        </w:rPr>
      </w:pPr>
    </w:p>
    <w:p w14:paraId="64D4EE00" w14:textId="65CFB1DE" w:rsidR="00ED54A3" w:rsidRPr="00F6575F" w:rsidRDefault="00852EA2" w:rsidP="007601FA">
      <w:pPr>
        <w:autoSpaceDE w:val="0"/>
        <w:autoSpaceDN w:val="0"/>
        <w:adjustRightInd w:val="0"/>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As alluded to in our answer to </w:t>
      </w:r>
      <w:r w:rsidR="00DA45DC" w:rsidRPr="00F6575F">
        <w:rPr>
          <w:rFonts w:ascii="Arial" w:eastAsia="Calibri" w:hAnsi="Arial" w:cs="Arial"/>
          <w:sz w:val="22"/>
          <w:szCs w:val="22"/>
          <w:lang w:val="en-US" w:eastAsia="en-US"/>
        </w:rPr>
        <w:t>Q</w:t>
      </w:r>
      <w:r w:rsidRPr="00F6575F">
        <w:rPr>
          <w:rFonts w:ascii="Arial" w:eastAsia="Calibri" w:hAnsi="Arial" w:cs="Arial"/>
          <w:sz w:val="22"/>
          <w:szCs w:val="22"/>
          <w:lang w:val="en-US" w:eastAsia="en-US"/>
        </w:rPr>
        <w:t xml:space="preserve">2 and </w:t>
      </w:r>
      <w:r w:rsidR="00DA45DC" w:rsidRPr="00F6575F">
        <w:rPr>
          <w:rFonts w:ascii="Arial" w:eastAsia="Calibri" w:hAnsi="Arial" w:cs="Arial"/>
          <w:sz w:val="22"/>
          <w:szCs w:val="22"/>
          <w:lang w:val="en-US" w:eastAsia="en-US"/>
        </w:rPr>
        <w:t>Q</w:t>
      </w:r>
      <w:r w:rsidRPr="00F6575F">
        <w:rPr>
          <w:rFonts w:ascii="Arial" w:eastAsia="Calibri" w:hAnsi="Arial" w:cs="Arial"/>
          <w:sz w:val="22"/>
          <w:szCs w:val="22"/>
          <w:lang w:val="en-US" w:eastAsia="en-US"/>
        </w:rPr>
        <w:t xml:space="preserve">3, </w:t>
      </w:r>
      <w:r w:rsidR="00FF3EDB" w:rsidRPr="00F6575F">
        <w:rPr>
          <w:rFonts w:ascii="Arial" w:eastAsia="Calibri" w:hAnsi="Arial" w:cs="Arial"/>
          <w:sz w:val="22"/>
          <w:szCs w:val="22"/>
          <w:lang w:val="en-US" w:eastAsia="en-US"/>
        </w:rPr>
        <w:t>DBG</w:t>
      </w:r>
      <w:r w:rsidR="00C21EF9" w:rsidRPr="00F6575F">
        <w:rPr>
          <w:rFonts w:ascii="Arial" w:eastAsia="Calibri" w:hAnsi="Arial" w:cs="Arial"/>
          <w:sz w:val="22"/>
          <w:szCs w:val="22"/>
          <w:lang w:val="en-US" w:eastAsia="en-US"/>
        </w:rPr>
        <w:t xml:space="preserve"> considers</w:t>
      </w:r>
      <w:r w:rsidR="002421C5" w:rsidRPr="00F6575F">
        <w:rPr>
          <w:rFonts w:ascii="Arial" w:eastAsia="Calibri" w:hAnsi="Arial" w:cs="Arial"/>
          <w:sz w:val="22"/>
          <w:szCs w:val="22"/>
          <w:lang w:val="en-US" w:eastAsia="en-US"/>
        </w:rPr>
        <w:t xml:space="preserve"> that disclosing allocation keys and explanations around the determination of margins could go beyond the scope of the current transparency plus approach and undermine competition among market data providers.</w:t>
      </w:r>
      <w:r w:rsidR="000A6FEF" w:rsidRPr="00F6575F">
        <w:rPr>
          <w:rFonts w:ascii="Arial" w:eastAsia="Calibri" w:hAnsi="Arial" w:cs="Arial"/>
          <w:sz w:val="22"/>
          <w:szCs w:val="22"/>
          <w:lang w:val="en-US" w:eastAsia="en-US"/>
        </w:rPr>
        <w:t xml:space="preserve"> </w:t>
      </w:r>
      <w:r w:rsidR="005B0452" w:rsidRPr="00F6575F">
        <w:rPr>
          <w:rFonts w:ascii="Arial" w:eastAsia="Calibri" w:hAnsi="Arial" w:cs="Arial"/>
          <w:sz w:val="22"/>
          <w:szCs w:val="22"/>
          <w:lang w:val="en-US" w:eastAsia="en-US"/>
        </w:rPr>
        <w:t xml:space="preserve">Of course, do we support the provision of comprehensive information to our supervisor. </w:t>
      </w:r>
      <w:r w:rsidR="000A6FEF" w:rsidRPr="00F6575F">
        <w:rPr>
          <w:rFonts w:ascii="Arial" w:eastAsia="Calibri" w:hAnsi="Arial" w:cs="Arial"/>
          <w:sz w:val="22"/>
          <w:szCs w:val="22"/>
          <w:lang w:val="en-US" w:eastAsia="en-US"/>
        </w:rPr>
        <w:t>Furthermore, in this context we would as well like to refer to our previous comments</w:t>
      </w:r>
      <w:r w:rsidR="00A63D06" w:rsidRPr="00F6575F">
        <w:rPr>
          <w:rFonts w:ascii="Arial" w:eastAsia="Calibri" w:hAnsi="Arial" w:cs="Arial"/>
          <w:sz w:val="22"/>
          <w:szCs w:val="22"/>
          <w:lang w:val="en-US" w:eastAsia="en-US"/>
        </w:rPr>
        <w:t>,</w:t>
      </w:r>
      <w:r w:rsidR="000A6FEF" w:rsidRPr="00F6575F">
        <w:rPr>
          <w:rFonts w:ascii="Arial" w:eastAsia="Calibri" w:hAnsi="Arial" w:cs="Arial"/>
          <w:sz w:val="22"/>
          <w:szCs w:val="22"/>
          <w:lang w:val="en-US" w:eastAsia="en-US"/>
        </w:rPr>
        <w:t xml:space="preserve"> especially to Q3.</w:t>
      </w:r>
    </w:p>
    <w:p w14:paraId="511819C0" w14:textId="77777777" w:rsidR="00984423" w:rsidRPr="004D4238" w:rsidRDefault="00984423" w:rsidP="00984423">
      <w:pPr>
        <w:spacing w:after="160" w:line="259" w:lineRule="auto"/>
        <w:rPr>
          <w:rFonts w:ascii="Arial" w:eastAsia="Calibri" w:hAnsi="Arial" w:cs="Arial"/>
          <w:sz w:val="22"/>
          <w:szCs w:val="22"/>
          <w:lang w:eastAsia="en-US"/>
        </w:rPr>
      </w:pPr>
      <w:r w:rsidRPr="004D4238">
        <w:rPr>
          <w:rFonts w:ascii="Arial" w:eastAsia="Calibri" w:hAnsi="Arial" w:cs="Arial"/>
          <w:sz w:val="22"/>
          <w:szCs w:val="22"/>
          <w:lang w:eastAsia="en-US"/>
        </w:rPr>
        <w:t>&lt;ESMA_QUESTION_GOMD_17&gt;</w:t>
      </w:r>
    </w:p>
    <w:p w14:paraId="24A0A934" w14:textId="77777777" w:rsidR="00984423" w:rsidRPr="004D4238" w:rsidRDefault="00984423" w:rsidP="00984423">
      <w:pPr>
        <w:spacing w:after="160" w:line="259" w:lineRule="auto"/>
        <w:rPr>
          <w:rFonts w:ascii="Arial" w:eastAsia="Calibri" w:hAnsi="Arial" w:cs="Arial"/>
          <w:sz w:val="22"/>
          <w:szCs w:val="22"/>
          <w:lang w:eastAsia="en-US"/>
        </w:rPr>
      </w:pPr>
    </w:p>
    <w:p w14:paraId="4287EA2F" w14:textId="64B54EE0"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238646DD" w14:textId="0528734D" w:rsidR="00410DD2" w:rsidRPr="004D4238" w:rsidRDefault="00984423" w:rsidP="00DE7AE8">
      <w:pPr>
        <w:spacing w:after="160" w:line="259" w:lineRule="auto"/>
        <w:rPr>
          <w:lang w:val="en-US"/>
        </w:rPr>
      </w:pPr>
      <w:r w:rsidRPr="004D4238">
        <w:rPr>
          <w:rFonts w:ascii="Arial" w:eastAsia="Calibri" w:hAnsi="Arial" w:cs="Arial"/>
          <w:sz w:val="22"/>
          <w:szCs w:val="22"/>
          <w:lang w:val="en-US" w:eastAsia="en-US"/>
        </w:rPr>
        <w:t>&lt;ESMA_QUESTION_GOMD_18&gt;</w:t>
      </w:r>
    </w:p>
    <w:p w14:paraId="0D4B0FD4" w14:textId="6BE783E9" w:rsidR="00410DD2" w:rsidRPr="007601FA" w:rsidRDefault="00F276D3" w:rsidP="007601FA">
      <w:pPr>
        <w:pStyle w:val="Default"/>
        <w:spacing w:after="160"/>
        <w:jc w:val="both"/>
        <w:rPr>
          <w:color w:val="auto"/>
          <w:sz w:val="22"/>
          <w:szCs w:val="22"/>
        </w:rPr>
      </w:pPr>
      <w:r w:rsidRPr="007601FA">
        <w:rPr>
          <w:color w:val="auto"/>
          <w:sz w:val="22"/>
          <w:szCs w:val="22"/>
        </w:rPr>
        <w:t xml:space="preserve">DBG generally supports ESMAs aims for a harmonization of contractual definitions. We would like to point out that this harmonization already implies a reduction in the contractual freedom of exchanges, and as such an interference with exchanges rights to conduct business in the EU. However, we do see value in supporting ESMA in this respect as well as market participants in the aim to better understand exchanges policies. We would like to recommend, however, that the below proposals would be treated on a best effort basis. </w:t>
      </w:r>
      <w:r w:rsidR="00012B20" w:rsidRPr="007601FA">
        <w:rPr>
          <w:color w:val="auto"/>
          <w:sz w:val="22"/>
          <w:szCs w:val="22"/>
        </w:rPr>
        <w:t xml:space="preserve">We would as well like to point out that DBG as member of FESE supports FESEs proposals in this respect. FESE and its members are proposing harmonized definitions, which will achieve ESMAs targets, while being acceptable for exchanges. We </w:t>
      </w:r>
      <w:r w:rsidR="00EC3B40" w:rsidRPr="007601FA">
        <w:rPr>
          <w:color w:val="auto"/>
          <w:sz w:val="22"/>
          <w:szCs w:val="22"/>
        </w:rPr>
        <w:t>are confident</w:t>
      </w:r>
      <w:r w:rsidR="00012B20" w:rsidRPr="007601FA">
        <w:rPr>
          <w:color w:val="auto"/>
          <w:sz w:val="22"/>
          <w:szCs w:val="22"/>
        </w:rPr>
        <w:t xml:space="preserve">, that the proposed definitions find ESMAs acceptance. Please see our comments to Annex II as follows in detail. </w:t>
      </w:r>
    </w:p>
    <w:p w14:paraId="73A5E5A2"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Customer </w:t>
      </w:r>
    </w:p>
    <w:p w14:paraId="1FD7C10B"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For clarity purposes DBG proposes to substitute the proposed definition by ESMA with the following definitions as provided by FESE exchanges:</w:t>
      </w:r>
    </w:p>
    <w:p w14:paraId="5B9F5869"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Contracting Party </w:t>
      </w:r>
    </w:p>
    <w:p w14:paraId="0B0F8F90"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The counterparty to the Market Data Provider</w:t>
      </w:r>
      <w:r w:rsidRPr="007601FA">
        <w:rPr>
          <w:rStyle w:val="Funotenzeichen"/>
          <w:rFonts w:eastAsia="Calibri"/>
        </w:rPr>
        <w:footnoteReference w:id="29"/>
      </w:r>
      <w:r w:rsidRPr="007601FA">
        <w:rPr>
          <w:rFonts w:ascii="Arial" w:eastAsia="Calibri" w:hAnsi="Arial" w:cs="Arial"/>
          <w:sz w:val="22"/>
          <w:szCs w:val="22"/>
          <w:vertAlign w:val="superscript"/>
          <w:lang w:val="en-US" w:eastAsia="en-US"/>
        </w:rPr>
        <w:t xml:space="preserve"> </w:t>
      </w:r>
      <w:r w:rsidRPr="007601FA">
        <w:rPr>
          <w:rFonts w:ascii="Arial" w:eastAsia="Calibri" w:hAnsi="Arial" w:cs="Arial"/>
          <w:sz w:val="22"/>
          <w:szCs w:val="22"/>
          <w:lang w:val="en-US" w:eastAsia="en-US"/>
        </w:rPr>
        <w:t>under the Agreement</w:t>
      </w:r>
      <w:r w:rsidRPr="007601FA">
        <w:rPr>
          <w:rStyle w:val="Funotenzeichen"/>
          <w:rFonts w:eastAsia="Calibri"/>
        </w:rPr>
        <w:footnoteReference w:id="30"/>
      </w:r>
      <w:r w:rsidRPr="007601FA">
        <w:rPr>
          <w:rFonts w:ascii="Arial" w:eastAsia="Calibri" w:hAnsi="Arial" w:cs="Arial"/>
          <w:sz w:val="22"/>
          <w:szCs w:val="22"/>
          <w:lang w:val="en-US" w:eastAsia="en-US"/>
        </w:rPr>
        <w:t xml:space="preserve">, as specified in the Agreement. </w:t>
      </w:r>
    </w:p>
    <w:p w14:paraId="67A8C36F"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Unit of count </w:t>
      </w:r>
    </w:p>
    <w:p w14:paraId="0D6CF138" w14:textId="77777777" w:rsidR="002E6419" w:rsidRPr="002E6419" w:rsidRDefault="002E6419" w:rsidP="002E6419">
      <w:pPr>
        <w:pStyle w:val="Listenabsatz"/>
        <w:numPr>
          <w:ilvl w:val="0"/>
          <w:numId w:val="0"/>
        </w:numPr>
        <w:ind w:left="1080"/>
      </w:pPr>
      <w:r w:rsidRPr="002E6419">
        <w:lastRenderedPageBreak/>
        <w:t>As lined out in the introduction as well as in our answers to Q10 and Q11, the proposed unit of count (“active user” ID (per human user)) as the only unit of count for display purposes by ESMA currently constitute a potential option provided and used by selected market players only, but does not represent the market standard used by many customers. Extreme administrative burden would be the consequence, e.g. in the case of User ID, mapping between technical provision (by vendors) and licensing (by market data provider) needs to be conducted as there would not be a 1:1 relationship anymore. User data, likely including data covered under GDPR, would need to be distributed between various vendors, data providers, and users. The actual Access ID (per access to information) therefore, has broad acceptance in the market as billing and access to data is concentrated in one hand. While we propose to maintain the User ID as an option for those able and willing to administer this set-up, we urge ESMA to abstain from formally applying it as the only unit of count for the consumption of data, likewise the “active user”.</w:t>
      </w:r>
    </w:p>
    <w:p w14:paraId="52DF07EC" w14:textId="076E0D81"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DBG proposes to substitute the definition of unit of count in line with the proposals developed and submitted by FESE: </w:t>
      </w:r>
    </w:p>
    <w:p w14:paraId="16ED0982" w14:textId="20A96CE5"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A unit for the quantification, reporting, calculation and/or billing of fees for the use of Information as set-out in the Agreement. Units of Count can, amongst others, be device-based, user-based, location-based or identification-based.</w:t>
      </w:r>
    </w:p>
    <w:p w14:paraId="31C1FBEB" w14:textId="64E11F24" w:rsidR="003A0DC5" w:rsidRPr="007601FA" w:rsidRDefault="003A0DC5"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Unit of counts in Non-Display Usage are important to be able to differentiate usage of data and to be able to provide smaller market participants with entry products which reflect the lower data usage compared to larger market participants. Therefor</w:t>
      </w:r>
      <w:r w:rsidR="00E3240D" w:rsidRPr="007601FA">
        <w:rPr>
          <w:rFonts w:ascii="Arial" w:eastAsia="Calibri" w:hAnsi="Arial" w:cs="Arial"/>
          <w:sz w:val="22"/>
          <w:szCs w:val="22"/>
          <w:lang w:val="en-US" w:eastAsia="en-US"/>
        </w:rPr>
        <w:t>e,</w:t>
      </w:r>
      <w:r w:rsidRPr="007601FA">
        <w:rPr>
          <w:rFonts w:ascii="Arial" w:eastAsia="Calibri" w:hAnsi="Arial" w:cs="Arial"/>
          <w:sz w:val="22"/>
          <w:szCs w:val="22"/>
          <w:lang w:val="en-US" w:eastAsia="en-US"/>
        </w:rPr>
        <w:t xml:space="preserve"> DBG supports the view that Unit-of-Counts within policies for non-display usage can </w:t>
      </w:r>
      <w:r w:rsidR="00B94D2F">
        <w:rPr>
          <w:rFonts w:ascii="Arial" w:eastAsia="Calibri" w:hAnsi="Arial" w:cs="Arial"/>
          <w:sz w:val="22"/>
          <w:szCs w:val="22"/>
          <w:lang w:val="en-US" w:eastAsia="en-US"/>
        </w:rPr>
        <w:t xml:space="preserve">be </w:t>
      </w:r>
      <w:r w:rsidRPr="007601FA">
        <w:rPr>
          <w:rFonts w:ascii="Arial" w:eastAsia="Calibri" w:hAnsi="Arial" w:cs="Arial"/>
          <w:sz w:val="22"/>
          <w:szCs w:val="22"/>
          <w:lang w:val="en-US" w:eastAsia="en-US"/>
        </w:rPr>
        <w:t xml:space="preserve">different </w:t>
      </w:r>
      <w:r w:rsidR="00B94D2F">
        <w:rPr>
          <w:rFonts w:ascii="Arial" w:eastAsia="Calibri" w:hAnsi="Arial" w:cs="Arial"/>
          <w:sz w:val="22"/>
          <w:szCs w:val="22"/>
          <w:lang w:val="en-US" w:eastAsia="en-US"/>
        </w:rPr>
        <w:t>across</w:t>
      </w:r>
      <w:r w:rsidRPr="007601FA">
        <w:rPr>
          <w:rFonts w:ascii="Arial" w:eastAsia="Calibri" w:hAnsi="Arial" w:cs="Arial"/>
          <w:sz w:val="22"/>
          <w:szCs w:val="22"/>
          <w:lang w:val="en-US" w:eastAsia="en-US"/>
        </w:rPr>
        <w:t xml:space="preserve"> exchanges and can be based upon ways of access to the data, e.g. measured by hardware, software or other access IDs, as well as other measurable indicators like volumes or clients.</w:t>
      </w:r>
    </w:p>
    <w:p w14:paraId="73A70F79"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Professional customer to be replaced by “Professional user”  </w:t>
      </w:r>
    </w:p>
    <w:p w14:paraId="68C0623E"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A natural person who is not a Non-Professional User.</w:t>
      </w:r>
    </w:p>
    <w:p w14:paraId="2687C68A" w14:textId="11C1F196"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In line with the FESE proposal, DBG recommends </w:t>
      </w:r>
      <w:r w:rsidR="00DA45DC" w:rsidRPr="007601FA">
        <w:rPr>
          <w:rFonts w:ascii="Arial" w:eastAsia="Calibri" w:hAnsi="Arial" w:cs="Arial"/>
          <w:sz w:val="22"/>
          <w:szCs w:val="22"/>
          <w:lang w:val="en-US" w:eastAsia="en-US"/>
        </w:rPr>
        <w:t>chan</w:t>
      </w:r>
      <w:r w:rsidR="004D4238" w:rsidRPr="007601FA">
        <w:rPr>
          <w:rFonts w:ascii="Arial" w:eastAsia="Calibri" w:hAnsi="Arial" w:cs="Arial"/>
          <w:sz w:val="22"/>
          <w:szCs w:val="22"/>
          <w:lang w:val="en-US" w:eastAsia="en-US"/>
        </w:rPr>
        <w:t>g</w:t>
      </w:r>
      <w:r w:rsidR="00DA45DC" w:rsidRPr="007601FA">
        <w:rPr>
          <w:rFonts w:ascii="Arial" w:eastAsia="Calibri" w:hAnsi="Arial" w:cs="Arial"/>
          <w:sz w:val="22"/>
          <w:szCs w:val="22"/>
          <w:lang w:val="en-US" w:eastAsia="en-US"/>
        </w:rPr>
        <w:t>ing</w:t>
      </w:r>
      <w:r w:rsidRPr="007601FA">
        <w:rPr>
          <w:rFonts w:ascii="Arial" w:eastAsia="Calibri" w:hAnsi="Arial" w:cs="Arial"/>
          <w:sz w:val="22"/>
          <w:szCs w:val="22"/>
          <w:lang w:val="en-US" w:eastAsia="en-US"/>
        </w:rPr>
        <w:t xml:space="preserve"> the definition of </w:t>
      </w:r>
      <w:r w:rsidR="00DA45DC" w:rsidRPr="007601FA">
        <w:rPr>
          <w:rFonts w:ascii="Arial" w:eastAsia="Calibri" w:hAnsi="Arial" w:cs="Arial"/>
          <w:sz w:val="22"/>
          <w:szCs w:val="22"/>
          <w:lang w:val="en-US" w:eastAsia="en-US"/>
        </w:rPr>
        <w:t>“p</w:t>
      </w:r>
      <w:r w:rsidRPr="007601FA">
        <w:rPr>
          <w:rFonts w:ascii="Arial" w:eastAsia="Calibri" w:hAnsi="Arial" w:cs="Arial"/>
          <w:sz w:val="22"/>
          <w:szCs w:val="22"/>
          <w:lang w:val="en-US" w:eastAsia="en-US"/>
        </w:rPr>
        <w:t>rofessional user</w:t>
      </w:r>
      <w:r w:rsidR="00DA45DC"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xml:space="preserve"> and </w:t>
      </w:r>
      <w:r w:rsidR="00DA45DC"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non-professional user</w:t>
      </w:r>
      <w:r w:rsidR="00DA45DC"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ESMA</w:t>
      </w:r>
      <w:r w:rsidR="00DA45DC"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xml:space="preserve">s proposed definition of Professional user indeed is not comprehensive enough and does not cover all B2B customers of </w:t>
      </w:r>
      <w:r w:rsidR="00DA45DC" w:rsidRPr="007601FA">
        <w:rPr>
          <w:rFonts w:ascii="Arial" w:eastAsia="Calibri" w:hAnsi="Arial" w:cs="Arial"/>
          <w:sz w:val="22"/>
          <w:szCs w:val="22"/>
          <w:lang w:val="en-US" w:eastAsia="en-US"/>
        </w:rPr>
        <w:t>t</w:t>
      </w:r>
      <w:r w:rsidRPr="007601FA">
        <w:rPr>
          <w:rFonts w:ascii="Arial" w:eastAsia="Calibri" w:hAnsi="Arial" w:cs="Arial"/>
          <w:sz w:val="22"/>
          <w:szCs w:val="22"/>
          <w:lang w:val="en-US" w:eastAsia="en-US"/>
        </w:rPr>
        <w:t xml:space="preserve">rading </w:t>
      </w:r>
      <w:r w:rsidR="00DA45DC" w:rsidRPr="007601FA">
        <w:rPr>
          <w:rFonts w:ascii="Arial" w:eastAsia="Calibri" w:hAnsi="Arial" w:cs="Arial"/>
          <w:sz w:val="22"/>
          <w:szCs w:val="22"/>
          <w:lang w:val="en-US" w:eastAsia="en-US"/>
        </w:rPr>
        <w:t>v</w:t>
      </w:r>
      <w:r w:rsidRPr="007601FA">
        <w:rPr>
          <w:rFonts w:ascii="Arial" w:eastAsia="Calibri" w:hAnsi="Arial" w:cs="Arial"/>
          <w:sz w:val="22"/>
          <w:szCs w:val="22"/>
          <w:lang w:val="en-US" w:eastAsia="en-US"/>
        </w:rPr>
        <w:t xml:space="preserve">enues, when referring to regulated entities. As the aim of harmonization lies within reduced administrative cost, we would deem that being achieved by the proposed suggestion of FESE exchanges in this context. Please see </w:t>
      </w:r>
      <w:r w:rsidR="00F6575F" w:rsidRPr="007601FA">
        <w:rPr>
          <w:rFonts w:ascii="Arial" w:eastAsia="Calibri" w:hAnsi="Arial" w:cs="Arial"/>
          <w:sz w:val="22"/>
          <w:szCs w:val="22"/>
          <w:lang w:val="en-US" w:eastAsia="en-US"/>
        </w:rPr>
        <w:t>our definition as well</w:t>
      </w:r>
      <w:r w:rsidRPr="007601FA">
        <w:rPr>
          <w:rFonts w:ascii="Arial" w:eastAsia="Calibri" w:hAnsi="Arial" w:cs="Arial"/>
          <w:sz w:val="22"/>
          <w:szCs w:val="22"/>
          <w:lang w:val="en-US" w:eastAsia="en-US"/>
        </w:rPr>
        <w:t xml:space="preserve"> for </w:t>
      </w:r>
      <w:r w:rsidR="00DA45DC" w:rsidRPr="007601FA">
        <w:rPr>
          <w:rFonts w:ascii="Arial" w:eastAsia="Calibri" w:hAnsi="Arial" w:cs="Arial"/>
          <w:sz w:val="22"/>
          <w:szCs w:val="22"/>
          <w:lang w:val="en-US" w:eastAsia="en-US"/>
        </w:rPr>
        <w:t>n</w:t>
      </w:r>
      <w:r w:rsidRPr="007601FA">
        <w:rPr>
          <w:rFonts w:ascii="Arial" w:eastAsia="Calibri" w:hAnsi="Arial" w:cs="Arial"/>
          <w:sz w:val="22"/>
          <w:szCs w:val="22"/>
          <w:lang w:val="en-US" w:eastAsia="en-US"/>
        </w:rPr>
        <w:t>on-professional users.</w:t>
      </w:r>
    </w:p>
    <w:p w14:paraId="22CEE135"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Non-professional customer to be replaced by “Non-professional user”  </w:t>
      </w:r>
    </w:p>
    <w:p w14:paraId="74B6B022"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(i) a natural person (a) not accessing, publishing or distributing Information in the course of a trade, business, profession, or other economic activity and (b) not acting as a principal, officer, partner, employee or agent, neither of any business, nor on behalf of any other natural person;</w:t>
      </w:r>
    </w:p>
    <w:p w14:paraId="1F8FFCDE" w14:textId="77777777" w:rsidR="006306E1" w:rsidRPr="007601FA" w:rsidRDefault="006306E1" w:rsidP="007601FA">
      <w:pPr>
        <w:spacing w:after="160"/>
        <w:ind w:left="1080"/>
        <w:jc w:val="both"/>
        <w:rPr>
          <w:rFonts w:ascii="Arial" w:eastAsia="Calibri" w:hAnsi="Arial" w:cs="Arial"/>
          <w:b/>
          <w:bCs/>
          <w:sz w:val="22"/>
          <w:szCs w:val="22"/>
          <w:lang w:val="en-US" w:eastAsia="en-US"/>
        </w:rPr>
      </w:pPr>
      <w:r w:rsidRPr="007601FA">
        <w:rPr>
          <w:rFonts w:ascii="Arial" w:eastAsia="Calibri" w:hAnsi="Arial" w:cs="Arial"/>
          <w:sz w:val="22"/>
          <w:szCs w:val="22"/>
          <w:lang w:val="en-US" w:eastAsia="en-US"/>
        </w:rPr>
        <w:t xml:space="preserve">(ii) an undertaking qualifying as a micro-sized enterprise as defined in </w:t>
      </w:r>
      <w:hyperlink r:id="rId21" w:history="1">
        <w:r w:rsidRPr="007601FA">
          <w:rPr>
            <w:rFonts w:ascii="Arial" w:eastAsia="Calibri" w:hAnsi="Arial" w:cs="Arial"/>
            <w:color w:val="0000FF"/>
            <w:sz w:val="22"/>
            <w:szCs w:val="22"/>
            <w:u w:val="single"/>
            <w:lang w:val="en-US" w:eastAsia="en-US"/>
          </w:rPr>
          <w:t>Commission Recommendation of 6 May 2003 concerning the definition of micro, small and medium-sized enterprises</w:t>
        </w:r>
      </w:hyperlink>
      <w:r w:rsidRPr="007601FA">
        <w:rPr>
          <w:rFonts w:ascii="Arial" w:eastAsia="Calibri" w:hAnsi="Arial" w:cs="Arial"/>
          <w:sz w:val="22"/>
          <w:szCs w:val="22"/>
          <w:lang w:val="en-US" w:eastAsia="en-US"/>
        </w:rPr>
        <w:t xml:space="preserve"> (2003/61/EC), (a) having a general commercial or industrial purpose, (b) holding financial instruments with an aggregate market value of less than EUR 500,000 or the equivalent thereof in another currency , and (c) not performing a regulated financial service or financial activity.</w:t>
      </w:r>
    </w:p>
    <w:p w14:paraId="6948734B"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lastRenderedPageBreak/>
        <w:t xml:space="preserve">Display data to be replaced by “Display Usage” </w:t>
      </w:r>
    </w:p>
    <w:p w14:paraId="7A6B3F01"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As display data are usually the same set of data, but used in a different medium, we propose to align with the FESE proposal for Display Usage, as follows: </w:t>
      </w:r>
    </w:p>
    <w:p w14:paraId="2FF70968" w14:textId="77777777" w:rsidR="006306E1" w:rsidRPr="007601FA" w:rsidRDefault="006306E1" w:rsidP="007601FA">
      <w:pPr>
        <w:spacing w:after="160"/>
        <w:ind w:left="1080"/>
        <w:jc w:val="both"/>
        <w:rPr>
          <w:rFonts w:ascii="Arial" w:eastAsia="Calibri" w:hAnsi="Arial" w:cs="Arial"/>
          <w:sz w:val="22"/>
          <w:szCs w:val="22"/>
          <w:lang w:val="en-US" w:eastAsia="en-US"/>
        </w:rPr>
      </w:pPr>
      <w:bookmarkStart w:id="14" w:name="_Hlk59033414"/>
      <w:r w:rsidRPr="007601FA">
        <w:rPr>
          <w:rFonts w:ascii="Arial" w:eastAsia="Calibri" w:hAnsi="Arial" w:cs="Arial"/>
          <w:sz w:val="22"/>
          <w:szCs w:val="22"/>
          <w:lang w:val="en-US" w:eastAsia="en-US"/>
        </w:rPr>
        <w:t>Accessing, receiving, processing or consuming Information for the sole purpose of the visual display of Information for Internal Use.</w:t>
      </w:r>
      <w:bookmarkEnd w:id="14"/>
    </w:p>
    <w:p w14:paraId="6BBF69C3"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Non-display data to be replaced by “Non - Display Usage”</w:t>
      </w:r>
    </w:p>
    <w:p w14:paraId="7DC3A816"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As non-display data are usually the same set of data, but used in a different medium, we propose to align with the FESE proposal for Display Usage, as follows: </w:t>
      </w:r>
    </w:p>
    <w:p w14:paraId="639303A2" w14:textId="77777777" w:rsidR="006306E1" w:rsidRPr="007601FA" w:rsidRDefault="006306E1" w:rsidP="007601FA">
      <w:pPr>
        <w:spacing w:after="160"/>
        <w:ind w:left="1080"/>
        <w:jc w:val="both"/>
        <w:rPr>
          <w:rFonts w:ascii="Arial" w:eastAsia="Calibri" w:hAnsi="Arial" w:cs="Arial"/>
          <w:sz w:val="22"/>
          <w:szCs w:val="22"/>
          <w:lang w:val="en-US" w:eastAsia="en-US"/>
        </w:rPr>
      </w:pPr>
      <w:bookmarkStart w:id="15" w:name="_Hlk59033611"/>
      <w:r w:rsidRPr="007601FA">
        <w:rPr>
          <w:rFonts w:ascii="Arial" w:eastAsia="Calibri" w:hAnsi="Arial" w:cs="Arial"/>
          <w:sz w:val="22"/>
          <w:szCs w:val="22"/>
          <w:lang w:val="en-US" w:eastAsia="en-US"/>
        </w:rPr>
        <w:t>Accessing, receiving, processing or consuming Information for a purpose other than (i) Display Usage, or (ii) the Redistribution of Information.</w:t>
      </w:r>
      <w:bookmarkEnd w:id="15"/>
    </w:p>
    <w:p w14:paraId="710ADBD2"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Market data </w:t>
      </w:r>
    </w:p>
    <w:p w14:paraId="489FFE46"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We agree with the proposed wording by ESMA, as lined out below.</w:t>
      </w:r>
    </w:p>
    <w:p w14:paraId="122F9441" w14:textId="1FA6A496" w:rsidR="006306E1" w:rsidRPr="007601FA" w:rsidRDefault="006306E1" w:rsidP="007601FA">
      <w:pPr>
        <w:spacing w:after="160"/>
        <w:ind w:left="1080"/>
        <w:jc w:val="both"/>
        <w:rPr>
          <w:rFonts w:ascii="Arial" w:eastAsia="Calibri" w:hAnsi="Arial" w:cs="Arial"/>
          <w:b/>
          <w:bCs/>
          <w:sz w:val="22"/>
          <w:szCs w:val="22"/>
          <w:lang w:val="en-US" w:eastAsia="en-US"/>
        </w:rPr>
      </w:pPr>
      <w:r w:rsidRPr="007601FA">
        <w:rPr>
          <w:rFonts w:ascii="Arial" w:eastAsia="Calibri" w:hAnsi="Arial" w:cs="Arial"/>
          <w:sz w:val="22"/>
          <w:szCs w:val="22"/>
          <w:lang w:val="en-US" w:eastAsia="en-US"/>
        </w:rPr>
        <w:t xml:space="preserve">Market Data should mean the data trading venues, SIs, APAs and CTPs have to make public for the purpose of the pre-trade and post-trade transparency regime </w:t>
      </w:r>
      <w:r w:rsidR="00FB30CD" w:rsidRPr="007601FA">
        <w:rPr>
          <w:rFonts w:ascii="Arial" w:eastAsia="Calibri" w:hAnsi="Arial" w:cs="Arial"/>
          <w:sz w:val="22"/>
          <w:szCs w:val="22"/>
          <w:lang w:val="en-US" w:eastAsia="en-US"/>
        </w:rPr>
        <w:t>as</w:t>
      </w:r>
      <w:r w:rsidRPr="007601FA">
        <w:rPr>
          <w:rFonts w:ascii="Arial" w:eastAsia="Calibri" w:hAnsi="Arial" w:cs="Arial"/>
          <w:sz w:val="22"/>
          <w:szCs w:val="22"/>
          <w:lang w:val="en-US" w:eastAsia="en-US"/>
        </w:rPr>
        <w:t xml:space="preserve"> set out in Annex I of RTS 1 and Annex I and Annex II of RTS 2.</w:t>
      </w:r>
    </w:p>
    <w:p w14:paraId="1D76A42E"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Derived data </w:t>
      </w:r>
    </w:p>
    <w:p w14:paraId="6B854729"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Any information or data which is derived in whole or in part from the Information and which: (i) cannot be readily reverse-engineered to recreate the Information; (ii) cannot be used as a substitute or alternative source for the market data; or (iii) is not substantially similar to the Information.</w:t>
      </w:r>
    </w:p>
    <w:p w14:paraId="0DD8975A"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Real-time data </w:t>
      </w:r>
    </w:p>
    <w:p w14:paraId="49332159" w14:textId="77777777"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Information that is available less than 15 minutes after the point in time where the Information was first disseminated by the Market Data Provider. If available, the delay period shall be determined by reference to the time/data stamp of the system concerned</w:t>
      </w:r>
    </w:p>
    <w:p w14:paraId="31663E0F" w14:textId="77777777"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Delayed data </w:t>
      </w:r>
    </w:p>
    <w:p w14:paraId="3A678F7B" w14:textId="2FF6522F"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Information that is available 15 minutes or more after the time where the </w:t>
      </w:r>
      <w:r w:rsidR="003657C9" w:rsidRPr="007601FA">
        <w:rPr>
          <w:rFonts w:ascii="Arial" w:eastAsia="Calibri" w:hAnsi="Arial" w:cs="Arial"/>
          <w:sz w:val="22"/>
          <w:szCs w:val="22"/>
          <w:lang w:val="en-US" w:eastAsia="en-US"/>
        </w:rPr>
        <w:t>i</w:t>
      </w:r>
      <w:r w:rsidRPr="007601FA">
        <w:rPr>
          <w:rFonts w:ascii="Arial" w:eastAsia="Calibri" w:hAnsi="Arial" w:cs="Arial"/>
          <w:sz w:val="22"/>
          <w:szCs w:val="22"/>
          <w:lang w:val="en-US" w:eastAsia="en-US"/>
        </w:rPr>
        <w:t xml:space="preserve">nformation was first disseminated by the </w:t>
      </w:r>
      <w:r w:rsidR="003657C9" w:rsidRPr="007601FA">
        <w:rPr>
          <w:rFonts w:ascii="Arial" w:eastAsia="Calibri" w:hAnsi="Arial" w:cs="Arial"/>
          <w:sz w:val="22"/>
          <w:szCs w:val="22"/>
          <w:lang w:val="en-US" w:eastAsia="en-US"/>
        </w:rPr>
        <w:t>m</w:t>
      </w:r>
      <w:r w:rsidRPr="007601FA">
        <w:rPr>
          <w:rFonts w:ascii="Arial" w:eastAsia="Calibri" w:hAnsi="Arial" w:cs="Arial"/>
          <w:sz w:val="22"/>
          <w:szCs w:val="22"/>
          <w:lang w:val="en-US" w:eastAsia="en-US"/>
        </w:rPr>
        <w:t xml:space="preserve">arket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ata </w:t>
      </w:r>
      <w:r w:rsidR="003657C9" w:rsidRPr="007601FA">
        <w:rPr>
          <w:rFonts w:ascii="Arial" w:eastAsia="Calibri" w:hAnsi="Arial" w:cs="Arial"/>
          <w:sz w:val="22"/>
          <w:szCs w:val="22"/>
          <w:lang w:val="en-US" w:eastAsia="en-US"/>
        </w:rPr>
        <w:t>p</w:t>
      </w:r>
      <w:r w:rsidRPr="007601FA">
        <w:rPr>
          <w:rFonts w:ascii="Arial" w:eastAsia="Calibri" w:hAnsi="Arial" w:cs="Arial"/>
          <w:sz w:val="22"/>
          <w:szCs w:val="22"/>
          <w:lang w:val="en-US" w:eastAsia="en-US"/>
        </w:rPr>
        <w:t xml:space="preserve">rovider, up and until midnight in the time zone of the </w:t>
      </w:r>
      <w:r w:rsidR="003657C9" w:rsidRPr="007601FA">
        <w:rPr>
          <w:rFonts w:ascii="Arial" w:eastAsia="Calibri" w:hAnsi="Arial" w:cs="Arial"/>
          <w:sz w:val="22"/>
          <w:szCs w:val="22"/>
          <w:lang w:val="en-US" w:eastAsia="en-US"/>
        </w:rPr>
        <w:t>m</w:t>
      </w:r>
      <w:r w:rsidRPr="007601FA">
        <w:rPr>
          <w:rFonts w:ascii="Arial" w:eastAsia="Calibri" w:hAnsi="Arial" w:cs="Arial"/>
          <w:sz w:val="22"/>
          <w:szCs w:val="22"/>
          <w:lang w:val="en-US" w:eastAsia="en-US"/>
        </w:rPr>
        <w:t xml:space="preserve">arket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ata </w:t>
      </w:r>
      <w:r w:rsidR="003657C9" w:rsidRPr="007601FA">
        <w:rPr>
          <w:rFonts w:ascii="Arial" w:eastAsia="Calibri" w:hAnsi="Arial" w:cs="Arial"/>
          <w:sz w:val="22"/>
          <w:szCs w:val="22"/>
          <w:lang w:val="en-US" w:eastAsia="en-US"/>
        </w:rPr>
        <w:t>p</w:t>
      </w:r>
      <w:r w:rsidRPr="007601FA">
        <w:rPr>
          <w:rFonts w:ascii="Arial" w:eastAsia="Calibri" w:hAnsi="Arial" w:cs="Arial"/>
          <w:sz w:val="22"/>
          <w:szCs w:val="22"/>
          <w:lang w:val="en-US" w:eastAsia="en-US"/>
        </w:rPr>
        <w:t xml:space="preserve">rovider on the day the Information was first disseminated by the </w:t>
      </w:r>
      <w:r w:rsidR="003657C9" w:rsidRPr="007601FA">
        <w:rPr>
          <w:rFonts w:ascii="Arial" w:eastAsia="Calibri" w:hAnsi="Arial" w:cs="Arial"/>
          <w:sz w:val="22"/>
          <w:szCs w:val="22"/>
          <w:lang w:val="en-US" w:eastAsia="en-US"/>
        </w:rPr>
        <w:t>m</w:t>
      </w:r>
      <w:r w:rsidRPr="007601FA">
        <w:rPr>
          <w:rFonts w:ascii="Arial" w:eastAsia="Calibri" w:hAnsi="Arial" w:cs="Arial"/>
          <w:sz w:val="22"/>
          <w:szCs w:val="22"/>
          <w:lang w:val="en-US" w:eastAsia="en-US"/>
        </w:rPr>
        <w:t xml:space="preserve">arket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ata </w:t>
      </w:r>
      <w:r w:rsidR="003657C9" w:rsidRPr="007601FA">
        <w:rPr>
          <w:rFonts w:ascii="Arial" w:eastAsia="Calibri" w:hAnsi="Arial" w:cs="Arial"/>
          <w:sz w:val="22"/>
          <w:szCs w:val="22"/>
          <w:lang w:val="en-US" w:eastAsia="en-US"/>
        </w:rPr>
        <w:t>p</w:t>
      </w:r>
      <w:r w:rsidRPr="007601FA">
        <w:rPr>
          <w:rFonts w:ascii="Arial" w:eastAsia="Calibri" w:hAnsi="Arial" w:cs="Arial"/>
          <w:sz w:val="22"/>
          <w:szCs w:val="22"/>
          <w:lang w:val="en-US" w:eastAsia="en-US"/>
        </w:rPr>
        <w:t xml:space="preserve">rovider. In case of 24-hour trading,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elayed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ata is </w:t>
      </w:r>
      <w:r w:rsidR="003657C9" w:rsidRPr="007601FA">
        <w:rPr>
          <w:rFonts w:ascii="Arial" w:eastAsia="Calibri" w:hAnsi="Arial" w:cs="Arial"/>
          <w:sz w:val="22"/>
          <w:szCs w:val="22"/>
          <w:lang w:val="en-US" w:eastAsia="en-US"/>
        </w:rPr>
        <w:t>i</w:t>
      </w:r>
      <w:r w:rsidRPr="007601FA">
        <w:rPr>
          <w:rFonts w:ascii="Arial" w:eastAsia="Calibri" w:hAnsi="Arial" w:cs="Arial"/>
          <w:sz w:val="22"/>
          <w:szCs w:val="22"/>
          <w:lang w:val="en-US" w:eastAsia="en-US"/>
        </w:rPr>
        <w:t xml:space="preserve">nformation that is available 15 minutes or more after the time when the </w:t>
      </w:r>
      <w:r w:rsidR="003657C9" w:rsidRPr="007601FA">
        <w:rPr>
          <w:rFonts w:ascii="Arial" w:eastAsia="Calibri" w:hAnsi="Arial" w:cs="Arial"/>
          <w:sz w:val="22"/>
          <w:szCs w:val="22"/>
          <w:lang w:val="en-US" w:eastAsia="en-US"/>
        </w:rPr>
        <w:t>i</w:t>
      </w:r>
      <w:r w:rsidRPr="007601FA">
        <w:rPr>
          <w:rFonts w:ascii="Arial" w:eastAsia="Calibri" w:hAnsi="Arial" w:cs="Arial"/>
          <w:sz w:val="22"/>
          <w:szCs w:val="22"/>
          <w:lang w:val="en-US" w:eastAsia="en-US"/>
        </w:rPr>
        <w:t xml:space="preserve">nformation was first disseminated by the </w:t>
      </w:r>
      <w:r w:rsidR="003657C9" w:rsidRPr="007601FA">
        <w:rPr>
          <w:rFonts w:ascii="Arial" w:eastAsia="Calibri" w:hAnsi="Arial" w:cs="Arial"/>
          <w:sz w:val="22"/>
          <w:szCs w:val="22"/>
          <w:lang w:val="en-US" w:eastAsia="en-US"/>
        </w:rPr>
        <w:t>m</w:t>
      </w:r>
      <w:r w:rsidRPr="007601FA">
        <w:rPr>
          <w:rFonts w:ascii="Arial" w:eastAsia="Calibri" w:hAnsi="Arial" w:cs="Arial"/>
          <w:sz w:val="22"/>
          <w:szCs w:val="22"/>
          <w:lang w:val="en-US" w:eastAsia="en-US"/>
        </w:rPr>
        <w:t xml:space="preserve">arket </w:t>
      </w:r>
      <w:r w:rsidR="003657C9" w:rsidRPr="007601FA">
        <w:rPr>
          <w:rFonts w:ascii="Arial" w:eastAsia="Calibri" w:hAnsi="Arial" w:cs="Arial"/>
          <w:sz w:val="22"/>
          <w:szCs w:val="22"/>
          <w:lang w:val="en-US" w:eastAsia="en-US"/>
        </w:rPr>
        <w:t>d</w:t>
      </w:r>
      <w:r w:rsidRPr="007601FA">
        <w:rPr>
          <w:rFonts w:ascii="Arial" w:eastAsia="Calibri" w:hAnsi="Arial" w:cs="Arial"/>
          <w:sz w:val="22"/>
          <w:szCs w:val="22"/>
          <w:lang w:val="en-US" w:eastAsia="en-US"/>
        </w:rPr>
        <w:t xml:space="preserve">ata </w:t>
      </w:r>
      <w:r w:rsidR="003657C9" w:rsidRPr="007601FA">
        <w:rPr>
          <w:rFonts w:ascii="Arial" w:eastAsia="Calibri" w:hAnsi="Arial" w:cs="Arial"/>
          <w:sz w:val="22"/>
          <w:szCs w:val="22"/>
          <w:lang w:val="en-US" w:eastAsia="en-US"/>
        </w:rPr>
        <w:t>p</w:t>
      </w:r>
      <w:r w:rsidRPr="007601FA">
        <w:rPr>
          <w:rFonts w:ascii="Arial" w:eastAsia="Calibri" w:hAnsi="Arial" w:cs="Arial"/>
          <w:sz w:val="22"/>
          <w:szCs w:val="22"/>
          <w:lang w:val="en-US" w:eastAsia="en-US"/>
        </w:rPr>
        <w:t>rovider. If available, the minute delay period shall be determined by reference to the time/data stamp of the system concerned.</w:t>
      </w:r>
    </w:p>
    <w:p w14:paraId="17F6F90C" w14:textId="5473104D" w:rsidR="006306E1" w:rsidRPr="007601FA" w:rsidRDefault="006306E1" w:rsidP="007601FA">
      <w:pPr>
        <w:numPr>
          <w:ilvl w:val="0"/>
          <w:numId w:val="17"/>
        </w:numPr>
        <w:spacing w:after="160"/>
        <w:jc w:val="both"/>
        <w:rPr>
          <w:rFonts w:ascii="Arial" w:eastAsia="Calibri" w:hAnsi="Arial" w:cs="Arial"/>
          <w:b/>
          <w:bCs/>
          <w:sz w:val="22"/>
          <w:szCs w:val="22"/>
          <w:lang w:val="en-US" w:eastAsia="en-US"/>
        </w:rPr>
      </w:pPr>
      <w:r w:rsidRPr="007601FA">
        <w:rPr>
          <w:rFonts w:ascii="Arial" w:eastAsia="Calibri" w:hAnsi="Arial" w:cs="Arial"/>
          <w:b/>
          <w:bCs/>
          <w:sz w:val="22"/>
          <w:szCs w:val="22"/>
          <w:lang w:val="en-US" w:eastAsia="en-US"/>
        </w:rPr>
        <w:t xml:space="preserve">Historical data to be replaced by After </w:t>
      </w:r>
      <w:r w:rsidRPr="007601FA" w:rsidDel="003657C9">
        <w:rPr>
          <w:rFonts w:ascii="Arial" w:eastAsia="Calibri" w:hAnsi="Arial" w:cs="Arial"/>
          <w:b/>
          <w:bCs/>
          <w:sz w:val="22"/>
          <w:szCs w:val="22"/>
          <w:lang w:val="en-US" w:eastAsia="en-US"/>
        </w:rPr>
        <w:t>M</w:t>
      </w:r>
      <w:r w:rsidRPr="007601FA">
        <w:rPr>
          <w:rFonts w:ascii="Arial" w:eastAsia="Calibri" w:hAnsi="Arial" w:cs="Arial"/>
          <w:b/>
          <w:bCs/>
          <w:sz w:val="22"/>
          <w:szCs w:val="22"/>
          <w:lang w:val="en-US" w:eastAsia="en-US"/>
        </w:rPr>
        <w:t xml:space="preserve">idnight data </w:t>
      </w:r>
    </w:p>
    <w:p w14:paraId="78BD0D42" w14:textId="71D7ECDE"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 xml:space="preserve">We recommend, to define </w:t>
      </w:r>
      <w:r w:rsidR="003657C9"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xml:space="preserve">After Midnight </w:t>
      </w:r>
      <w:r w:rsidRPr="007601FA" w:rsidDel="003657C9">
        <w:rPr>
          <w:rFonts w:ascii="Arial" w:eastAsia="Calibri" w:hAnsi="Arial" w:cs="Arial"/>
          <w:sz w:val="22"/>
          <w:szCs w:val="22"/>
          <w:lang w:val="en-US" w:eastAsia="en-US"/>
        </w:rPr>
        <w:t>D</w:t>
      </w:r>
      <w:r w:rsidRPr="007601FA">
        <w:rPr>
          <w:rFonts w:ascii="Arial" w:eastAsia="Calibri" w:hAnsi="Arial" w:cs="Arial"/>
          <w:sz w:val="22"/>
          <w:szCs w:val="22"/>
          <w:lang w:val="en-US" w:eastAsia="en-US"/>
        </w:rPr>
        <w:t>ata</w:t>
      </w:r>
      <w:r w:rsidR="003657C9"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xml:space="preserve"> instead of </w:t>
      </w:r>
      <w:r w:rsidR="003657C9"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historical data</w:t>
      </w:r>
      <w:r w:rsidR="003657C9"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in order to remain in existing market data practices. Any changes in this respect may add to unnecessary work within the industry. Furthermore, historical market data is usually used in the context of databases, or files, as such including the technical medium used. After midnight data comprehensive as regards the data, as well as the timing.</w:t>
      </w:r>
    </w:p>
    <w:p w14:paraId="07B29D42" w14:textId="17BB918B" w:rsidR="006306E1" w:rsidRPr="007601FA" w:rsidRDefault="006306E1"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t>We therefore recommend the following wording</w:t>
      </w:r>
      <w:r w:rsidR="003657C9" w:rsidRPr="007601FA">
        <w:rPr>
          <w:rFonts w:ascii="Arial" w:eastAsia="Calibri" w:hAnsi="Arial" w:cs="Arial"/>
          <w:sz w:val="22"/>
          <w:szCs w:val="22"/>
          <w:lang w:val="en-US" w:eastAsia="en-US"/>
        </w:rPr>
        <w:t>:</w:t>
      </w:r>
      <w:r w:rsidRPr="007601FA">
        <w:rPr>
          <w:rFonts w:ascii="Arial" w:eastAsia="Calibri" w:hAnsi="Arial" w:cs="Arial"/>
          <w:sz w:val="22"/>
          <w:szCs w:val="22"/>
          <w:lang w:val="en-US" w:eastAsia="en-US"/>
        </w:rPr>
        <w:t xml:space="preserve"> </w:t>
      </w:r>
    </w:p>
    <w:p w14:paraId="58B555E1" w14:textId="481554CD" w:rsidR="006306E1" w:rsidRDefault="003657C9" w:rsidP="007601FA">
      <w:pPr>
        <w:spacing w:after="160"/>
        <w:ind w:left="1080"/>
        <w:jc w:val="both"/>
        <w:rPr>
          <w:rFonts w:ascii="Arial" w:eastAsia="Calibri" w:hAnsi="Arial" w:cs="Arial"/>
          <w:sz w:val="22"/>
          <w:szCs w:val="22"/>
          <w:lang w:val="en-US" w:eastAsia="en-US"/>
        </w:rPr>
      </w:pPr>
      <w:r w:rsidRPr="007601FA">
        <w:rPr>
          <w:rFonts w:ascii="Arial" w:eastAsia="Calibri" w:hAnsi="Arial" w:cs="Arial"/>
          <w:sz w:val="22"/>
          <w:szCs w:val="22"/>
          <w:lang w:val="en-US" w:eastAsia="en-US"/>
        </w:rPr>
        <w:lastRenderedPageBreak/>
        <w:t>“</w:t>
      </w:r>
      <w:r w:rsidR="006306E1" w:rsidRPr="007601FA">
        <w:rPr>
          <w:rFonts w:ascii="Arial" w:eastAsia="Calibri" w:hAnsi="Arial" w:cs="Arial"/>
          <w:sz w:val="22"/>
          <w:szCs w:val="22"/>
          <w:lang w:val="en-US" w:eastAsia="en-US"/>
        </w:rPr>
        <w:t xml:space="preserve">Information that is available at the earliest after midnight in the time zone of the </w:t>
      </w:r>
      <w:r w:rsidRPr="007601FA">
        <w:rPr>
          <w:rFonts w:ascii="Arial" w:eastAsia="Calibri" w:hAnsi="Arial" w:cs="Arial"/>
          <w:sz w:val="22"/>
          <w:szCs w:val="22"/>
          <w:lang w:val="en-US" w:eastAsia="en-US"/>
        </w:rPr>
        <w:t>m</w:t>
      </w:r>
      <w:r w:rsidR="006306E1" w:rsidRPr="007601FA">
        <w:rPr>
          <w:rFonts w:ascii="Arial" w:eastAsia="Calibri" w:hAnsi="Arial" w:cs="Arial"/>
          <w:sz w:val="22"/>
          <w:szCs w:val="22"/>
          <w:lang w:val="en-US" w:eastAsia="en-US"/>
        </w:rPr>
        <w:t xml:space="preserve">arket </w:t>
      </w:r>
      <w:r w:rsidRPr="007601FA">
        <w:rPr>
          <w:rFonts w:ascii="Arial" w:eastAsia="Calibri" w:hAnsi="Arial" w:cs="Arial"/>
          <w:sz w:val="22"/>
          <w:szCs w:val="22"/>
          <w:lang w:val="en-US" w:eastAsia="en-US"/>
        </w:rPr>
        <w:t>d</w:t>
      </w:r>
      <w:r w:rsidR="006306E1" w:rsidRPr="007601FA">
        <w:rPr>
          <w:rFonts w:ascii="Arial" w:eastAsia="Calibri" w:hAnsi="Arial" w:cs="Arial"/>
          <w:sz w:val="22"/>
          <w:szCs w:val="22"/>
          <w:lang w:val="en-US" w:eastAsia="en-US"/>
        </w:rPr>
        <w:t xml:space="preserve">ata </w:t>
      </w:r>
      <w:r w:rsidRPr="007601FA">
        <w:rPr>
          <w:rFonts w:ascii="Arial" w:eastAsia="Calibri" w:hAnsi="Arial" w:cs="Arial"/>
          <w:sz w:val="22"/>
          <w:szCs w:val="22"/>
          <w:lang w:val="en-US" w:eastAsia="en-US"/>
        </w:rPr>
        <w:t>p</w:t>
      </w:r>
      <w:r w:rsidR="006306E1" w:rsidRPr="007601FA">
        <w:rPr>
          <w:rFonts w:ascii="Arial" w:eastAsia="Calibri" w:hAnsi="Arial" w:cs="Arial"/>
          <w:sz w:val="22"/>
          <w:szCs w:val="22"/>
          <w:lang w:val="en-US" w:eastAsia="en-US"/>
        </w:rPr>
        <w:t xml:space="preserve">rovider on the day the Information was first disseminated by the </w:t>
      </w:r>
      <w:r w:rsidRPr="007601FA">
        <w:rPr>
          <w:rFonts w:ascii="Arial" w:eastAsia="Calibri" w:hAnsi="Arial" w:cs="Arial"/>
          <w:sz w:val="22"/>
          <w:szCs w:val="22"/>
          <w:lang w:val="en-US" w:eastAsia="en-US"/>
        </w:rPr>
        <w:t>m</w:t>
      </w:r>
      <w:r w:rsidR="006306E1" w:rsidRPr="007601FA">
        <w:rPr>
          <w:rFonts w:ascii="Arial" w:eastAsia="Calibri" w:hAnsi="Arial" w:cs="Arial"/>
          <w:sz w:val="22"/>
          <w:szCs w:val="22"/>
          <w:lang w:val="en-US" w:eastAsia="en-US"/>
        </w:rPr>
        <w:t xml:space="preserve">arket </w:t>
      </w:r>
      <w:r w:rsidRPr="007601FA">
        <w:rPr>
          <w:rFonts w:ascii="Arial" w:eastAsia="Calibri" w:hAnsi="Arial" w:cs="Arial"/>
          <w:sz w:val="22"/>
          <w:szCs w:val="22"/>
          <w:lang w:val="en-US" w:eastAsia="en-US"/>
        </w:rPr>
        <w:t>d</w:t>
      </w:r>
      <w:r w:rsidR="006306E1" w:rsidRPr="007601FA">
        <w:rPr>
          <w:rFonts w:ascii="Arial" w:eastAsia="Calibri" w:hAnsi="Arial" w:cs="Arial"/>
          <w:sz w:val="22"/>
          <w:szCs w:val="22"/>
          <w:lang w:val="en-US" w:eastAsia="en-US"/>
        </w:rPr>
        <w:t xml:space="preserve">ata </w:t>
      </w:r>
      <w:r w:rsidRPr="007601FA">
        <w:rPr>
          <w:rFonts w:ascii="Arial" w:eastAsia="Calibri" w:hAnsi="Arial" w:cs="Arial"/>
          <w:sz w:val="22"/>
          <w:szCs w:val="22"/>
          <w:lang w:val="en-US" w:eastAsia="en-US"/>
        </w:rPr>
        <w:t>p</w:t>
      </w:r>
      <w:r w:rsidR="006306E1" w:rsidRPr="007601FA">
        <w:rPr>
          <w:rFonts w:ascii="Arial" w:eastAsia="Calibri" w:hAnsi="Arial" w:cs="Arial"/>
          <w:sz w:val="22"/>
          <w:szCs w:val="22"/>
          <w:lang w:val="en-US" w:eastAsia="en-US"/>
        </w:rPr>
        <w:t xml:space="preserve">rovider. In case of 24-hour trading, After Midnight </w:t>
      </w:r>
      <w:r w:rsidR="006306E1" w:rsidRPr="007601FA" w:rsidDel="003657C9">
        <w:rPr>
          <w:rFonts w:ascii="Arial" w:eastAsia="Calibri" w:hAnsi="Arial" w:cs="Arial"/>
          <w:sz w:val="22"/>
          <w:szCs w:val="22"/>
          <w:lang w:val="en-US" w:eastAsia="en-US"/>
        </w:rPr>
        <w:t>D</w:t>
      </w:r>
      <w:r w:rsidR="006306E1" w:rsidRPr="007601FA">
        <w:rPr>
          <w:rFonts w:ascii="Arial" w:eastAsia="Calibri" w:hAnsi="Arial" w:cs="Arial"/>
          <w:sz w:val="22"/>
          <w:szCs w:val="22"/>
          <w:lang w:val="en-US" w:eastAsia="en-US"/>
        </w:rPr>
        <w:t xml:space="preserve">ata is </w:t>
      </w:r>
      <w:r w:rsidRPr="007601FA">
        <w:rPr>
          <w:rFonts w:ascii="Arial" w:eastAsia="Calibri" w:hAnsi="Arial" w:cs="Arial"/>
          <w:sz w:val="22"/>
          <w:szCs w:val="22"/>
          <w:lang w:val="en-US" w:eastAsia="en-US"/>
        </w:rPr>
        <w:t>i</w:t>
      </w:r>
      <w:r w:rsidR="006306E1" w:rsidRPr="007601FA">
        <w:rPr>
          <w:rFonts w:ascii="Arial" w:eastAsia="Calibri" w:hAnsi="Arial" w:cs="Arial"/>
          <w:sz w:val="22"/>
          <w:szCs w:val="22"/>
          <w:lang w:val="en-US" w:eastAsia="en-US"/>
        </w:rPr>
        <w:t xml:space="preserve">nformation that is available 24 hours or more after the time when the </w:t>
      </w:r>
      <w:r w:rsidRPr="007601FA">
        <w:rPr>
          <w:rFonts w:ascii="Arial" w:eastAsia="Calibri" w:hAnsi="Arial" w:cs="Arial"/>
          <w:sz w:val="22"/>
          <w:szCs w:val="22"/>
          <w:lang w:val="en-US" w:eastAsia="en-US"/>
        </w:rPr>
        <w:t>i</w:t>
      </w:r>
      <w:r w:rsidR="006306E1" w:rsidRPr="007601FA">
        <w:rPr>
          <w:rFonts w:ascii="Arial" w:eastAsia="Calibri" w:hAnsi="Arial" w:cs="Arial"/>
          <w:sz w:val="22"/>
          <w:szCs w:val="22"/>
          <w:lang w:val="en-US" w:eastAsia="en-US"/>
        </w:rPr>
        <w:t xml:space="preserve">nformation was first disseminated by the </w:t>
      </w:r>
      <w:r w:rsidRPr="007601FA">
        <w:rPr>
          <w:rFonts w:ascii="Arial" w:eastAsia="Calibri" w:hAnsi="Arial" w:cs="Arial"/>
          <w:sz w:val="22"/>
          <w:szCs w:val="22"/>
          <w:lang w:val="en-US" w:eastAsia="en-US"/>
        </w:rPr>
        <w:t>m</w:t>
      </w:r>
      <w:r w:rsidR="006306E1" w:rsidRPr="007601FA">
        <w:rPr>
          <w:rFonts w:ascii="Arial" w:eastAsia="Calibri" w:hAnsi="Arial" w:cs="Arial"/>
          <w:sz w:val="22"/>
          <w:szCs w:val="22"/>
          <w:lang w:val="en-US" w:eastAsia="en-US"/>
        </w:rPr>
        <w:t xml:space="preserve">arket </w:t>
      </w:r>
      <w:r w:rsidRPr="007601FA">
        <w:rPr>
          <w:rFonts w:ascii="Arial" w:eastAsia="Calibri" w:hAnsi="Arial" w:cs="Arial"/>
          <w:sz w:val="22"/>
          <w:szCs w:val="22"/>
          <w:lang w:val="en-US" w:eastAsia="en-US"/>
        </w:rPr>
        <w:t>d</w:t>
      </w:r>
      <w:r w:rsidR="006306E1" w:rsidRPr="007601FA">
        <w:rPr>
          <w:rFonts w:ascii="Arial" w:eastAsia="Calibri" w:hAnsi="Arial" w:cs="Arial"/>
          <w:sz w:val="22"/>
          <w:szCs w:val="22"/>
          <w:lang w:val="en-US" w:eastAsia="en-US"/>
        </w:rPr>
        <w:t xml:space="preserve">ata </w:t>
      </w:r>
      <w:r w:rsidRPr="007601FA">
        <w:rPr>
          <w:rFonts w:ascii="Arial" w:eastAsia="Calibri" w:hAnsi="Arial" w:cs="Arial"/>
          <w:sz w:val="22"/>
          <w:szCs w:val="22"/>
          <w:lang w:val="en-US" w:eastAsia="en-US"/>
        </w:rPr>
        <w:t>p</w:t>
      </w:r>
      <w:r w:rsidR="006306E1" w:rsidRPr="007601FA">
        <w:rPr>
          <w:rFonts w:ascii="Arial" w:eastAsia="Calibri" w:hAnsi="Arial" w:cs="Arial"/>
          <w:sz w:val="22"/>
          <w:szCs w:val="22"/>
          <w:lang w:val="en-US" w:eastAsia="en-US"/>
        </w:rPr>
        <w:t>rovider.</w:t>
      </w:r>
      <w:r w:rsidRPr="007601FA">
        <w:rPr>
          <w:rFonts w:ascii="Arial" w:eastAsia="Calibri" w:hAnsi="Arial" w:cs="Arial"/>
          <w:sz w:val="22"/>
          <w:szCs w:val="22"/>
          <w:lang w:val="en-US" w:eastAsia="en-US"/>
        </w:rPr>
        <w:t>”</w:t>
      </w:r>
    </w:p>
    <w:p w14:paraId="1A3EECE2" w14:textId="098A5F0E" w:rsidR="00B94D2F" w:rsidRPr="007601FA" w:rsidRDefault="00B94D2F" w:rsidP="007601FA">
      <w:pPr>
        <w:spacing w:after="160"/>
        <w:ind w:left="1080"/>
        <w:jc w:val="both"/>
        <w:rPr>
          <w:rFonts w:ascii="Arial" w:eastAsia="Calibri" w:hAnsi="Arial" w:cs="Arial"/>
          <w:sz w:val="22"/>
          <w:szCs w:val="22"/>
          <w:lang w:val="en-US" w:eastAsia="en-US"/>
        </w:rPr>
      </w:pPr>
      <w:r w:rsidRPr="00B94D2F">
        <w:rPr>
          <w:rFonts w:ascii="Arial" w:eastAsia="Calibri" w:hAnsi="Arial" w:cs="Arial"/>
          <w:sz w:val="22"/>
          <w:szCs w:val="22"/>
          <w:lang w:val="en-US" w:eastAsia="en-US"/>
        </w:rPr>
        <w:t>For the avoidance of doubt: historical market data is not covered under MiFI</w:t>
      </w:r>
      <w:r w:rsidR="005A33F7">
        <w:rPr>
          <w:rFonts w:ascii="Arial" w:eastAsia="Calibri" w:hAnsi="Arial" w:cs="Arial"/>
          <w:sz w:val="22"/>
          <w:szCs w:val="22"/>
          <w:lang w:val="en-US" w:eastAsia="en-US"/>
        </w:rPr>
        <w:t>D II</w:t>
      </w:r>
      <w:r w:rsidRPr="00B94D2F">
        <w:rPr>
          <w:rFonts w:ascii="Arial" w:eastAsia="Calibri" w:hAnsi="Arial" w:cs="Arial"/>
          <w:sz w:val="22"/>
          <w:szCs w:val="22"/>
          <w:lang w:val="en-US" w:eastAsia="en-US"/>
        </w:rPr>
        <w:t>/MiFI</w:t>
      </w:r>
      <w:r w:rsidR="005A33F7">
        <w:rPr>
          <w:rFonts w:ascii="Arial" w:eastAsia="Calibri" w:hAnsi="Arial" w:cs="Arial"/>
          <w:sz w:val="22"/>
          <w:szCs w:val="22"/>
          <w:lang w:val="en-US" w:eastAsia="en-US"/>
        </w:rPr>
        <w:t>R</w:t>
      </w:r>
      <w:r w:rsidRPr="00B94D2F">
        <w:rPr>
          <w:rFonts w:ascii="Arial" w:eastAsia="Calibri" w:hAnsi="Arial" w:cs="Arial"/>
          <w:sz w:val="22"/>
          <w:szCs w:val="22"/>
          <w:lang w:val="en-US" w:eastAsia="en-US"/>
        </w:rPr>
        <w:t>, which is reiterated by ESMA in its Q</w:t>
      </w:r>
      <w:r w:rsidR="005A33F7">
        <w:rPr>
          <w:rFonts w:ascii="Arial" w:eastAsia="Calibri" w:hAnsi="Arial" w:cs="Arial"/>
          <w:sz w:val="22"/>
          <w:szCs w:val="22"/>
          <w:lang w:val="en-US" w:eastAsia="en-US"/>
        </w:rPr>
        <w:t>&amp;</w:t>
      </w:r>
      <w:r w:rsidRPr="00B94D2F">
        <w:rPr>
          <w:rFonts w:ascii="Arial" w:eastAsia="Calibri" w:hAnsi="Arial" w:cs="Arial"/>
          <w:sz w:val="22"/>
          <w:szCs w:val="22"/>
          <w:lang w:val="en-US" w:eastAsia="en-US"/>
        </w:rPr>
        <w:t>A 9 on delayed data.</w:t>
      </w:r>
    </w:p>
    <w:p w14:paraId="47109EE3" w14:textId="77777777" w:rsidR="00984423" w:rsidRPr="00F6575F" w:rsidRDefault="00984423" w:rsidP="00984423">
      <w:pPr>
        <w:spacing w:after="160" w:line="259" w:lineRule="auto"/>
        <w:rPr>
          <w:rFonts w:ascii="Arial" w:eastAsia="Calibri" w:hAnsi="Arial" w:cs="Arial"/>
          <w:sz w:val="22"/>
          <w:szCs w:val="22"/>
          <w:lang w:val="en-US" w:eastAsia="en-US"/>
        </w:rPr>
      </w:pPr>
      <w:r w:rsidRPr="00F6575F">
        <w:rPr>
          <w:rFonts w:ascii="Arial" w:eastAsia="Calibri" w:hAnsi="Arial" w:cs="Arial"/>
          <w:sz w:val="22"/>
          <w:szCs w:val="22"/>
          <w:lang w:val="en-US" w:eastAsia="en-US"/>
        </w:rPr>
        <w:t>&lt;ESMA_QUESTION_GOMD_18&gt;</w:t>
      </w:r>
    </w:p>
    <w:p w14:paraId="63AC4F04" w14:textId="77777777" w:rsidR="00984423" w:rsidRPr="00F6575F" w:rsidRDefault="00984423" w:rsidP="00984423">
      <w:pPr>
        <w:spacing w:after="160" w:line="259" w:lineRule="auto"/>
        <w:rPr>
          <w:rFonts w:ascii="Arial" w:eastAsia="Calibri" w:hAnsi="Arial" w:cs="Arial"/>
          <w:sz w:val="22"/>
          <w:szCs w:val="22"/>
          <w:lang w:val="en-US" w:eastAsia="en-US"/>
        </w:rPr>
      </w:pPr>
    </w:p>
    <w:p w14:paraId="64604383"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5C0AEA7B"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&lt;ESMA_QUESTION_GOMD_19&gt;</w:t>
      </w:r>
    </w:p>
    <w:p w14:paraId="29D24E1F" w14:textId="76D73BA9" w:rsidR="00984423" w:rsidRPr="004D4238" w:rsidRDefault="00FF3EDB" w:rsidP="007601FA">
      <w:pPr>
        <w:spacing w:after="160"/>
        <w:jc w:val="both"/>
        <w:rPr>
          <w:rFonts w:ascii="Arial" w:eastAsia="Calibri" w:hAnsi="Arial" w:cs="Arial"/>
          <w:sz w:val="22"/>
          <w:szCs w:val="22"/>
          <w:lang w:val="en-US" w:eastAsia="en-US"/>
        </w:rPr>
      </w:pPr>
      <w:r w:rsidRPr="004D4238">
        <w:rPr>
          <w:rFonts w:ascii="Arial" w:eastAsia="Calibri" w:hAnsi="Arial" w:cs="Arial"/>
          <w:sz w:val="22"/>
          <w:szCs w:val="22"/>
          <w:lang w:val="en-US" w:eastAsia="en-US"/>
        </w:rPr>
        <w:t>DBG</w:t>
      </w:r>
      <w:r w:rsidR="00AD5D1E" w:rsidRPr="004D4238">
        <w:rPr>
          <w:rFonts w:ascii="Arial" w:eastAsia="Calibri" w:hAnsi="Arial" w:cs="Arial"/>
          <w:sz w:val="22"/>
          <w:szCs w:val="22"/>
          <w:lang w:val="en-US" w:eastAsia="en-US"/>
        </w:rPr>
        <w:t xml:space="preserve"> </w:t>
      </w:r>
      <w:r w:rsidR="00754AE4" w:rsidRPr="004D4238">
        <w:rPr>
          <w:rFonts w:ascii="Arial" w:eastAsia="Calibri" w:hAnsi="Arial" w:cs="Arial"/>
          <w:sz w:val="22"/>
          <w:szCs w:val="22"/>
          <w:lang w:val="en-US" w:eastAsia="en-US"/>
        </w:rPr>
        <w:t xml:space="preserve">generally </w:t>
      </w:r>
      <w:r w:rsidR="00AD5D1E" w:rsidRPr="004D4238">
        <w:rPr>
          <w:rFonts w:ascii="Arial" w:eastAsia="Calibri" w:hAnsi="Arial" w:cs="Arial"/>
          <w:sz w:val="22"/>
          <w:szCs w:val="22"/>
          <w:lang w:val="en-US" w:eastAsia="en-US"/>
        </w:rPr>
        <w:t>support</w:t>
      </w:r>
      <w:r w:rsidR="00754AE4" w:rsidRPr="004D4238">
        <w:rPr>
          <w:rFonts w:ascii="Arial" w:eastAsia="Calibri" w:hAnsi="Arial" w:cs="Arial"/>
          <w:sz w:val="22"/>
          <w:szCs w:val="22"/>
          <w:lang w:val="en-US" w:eastAsia="en-US"/>
        </w:rPr>
        <w:t>s</w:t>
      </w:r>
      <w:r w:rsidR="00AD5D1E" w:rsidRPr="004D4238">
        <w:rPr>
          <w:rFonts w:ascii="Arial" w:eastAsia="Calibri" w:hAnsi="Arial" w:cs="Arial"/>
          <w:sz w:val="22"/>
          <w:szCs w:val="22"/>
          <w:lang w:val="en-US" w:eastAsia="en-US"/>
        </w:rPr>
        <w:t xml:space="preserve"> ESMA</w:t>
      </w:r>
      <w:r w:rsidR="008F1350" w:rsidRPr="004D4238">
        <w:rPr>
          <w:rFonts w:ascii="Arial" w:eastAsia="Calibri" w:hAnsi="Arial" w:cs="Arial"/>
          <w:sz w:val="22"/>
          <w:szCs w:val="22"/>
          <w:lang w:val="en-US" w:eastAsia="en-US"/>
        </w:rPr>
        <w:t>’</w:t>
      </w:r>
      <w:r w:rsidR="00AD5D1E" w:rsidRPr="004D4238">
        <w:rPr>
          <w:rFonts w:ascii="Arial" w:eastAsia="Calibri" w:hAnsi="Arial" w:cs="Arial"/>
          <w:sz w:val="22"/>
          <w:szCs w:val="22"/>
          <w:lang w:val="en-US" w:eastAsia="en-US"/>
        </w:rPr>
        <w:t xml:space="preserve">s </w:t>
      </w:r>
      <w:r w:rsidR="00754AE4" w:rsidRPr="004D4238">
        <w:rPr>
          <w:rFonts w:ascii="Arial" w:eastAsia="Calibri" w:hAnsi="Arial" w:cs="Arial"/>
          <w:sz w:val="22"/>
          <w:szCs w:val="22"/>
          <w:lang w:val="en-US" w:eastAsia="en-US"/>
        </w:rPr>
        <w:t xml:space="preserve">proposal on a harmonization of </w:t>
      </w:r>
      <w:r w:rsidR="00711C77" w:rsidRPr="004D4238">
        <w:rPr>
          <w:rFonts w:ascii="Arial" w:eastAsia="Calibri" w:hAnsi="Arial" w:cs="Arial"/>
          <w:sz w:val="22"/>
          <w:szCs w:val="22"/>
          <w:lang w:val="en-US" w:eastAsia="en-US"/>
        </w:rPr>
        <w:t>contractual definitions. However, we would as well like to point out that of course definitions resemble essential parts of market data contracts of exchanges which form part of our business</w:t>
      </w:r>
      <w:r w:rsidR="00FA22E8" w:rsidRPr="004D4238">
        <w:rPr>
          <w:rFonts w:ascii="Arial" w:eastAsia="Calibri" w:hAnsi="Arial" w:cs="Arial"/>
          <w:sz w:val="22"/>
          <w:szCs w:val="22"/>
          <w:lang w:val="en-US" w:eastAsia="en-US"/>
        </w:rPr>
        <w:t xml:space="preserve">. </w:t>
      </w:r>
      <w:r w:rsidR="002352A2" w:rsidRPr="004D4238">
        <w:rPr>
          <w:rFonts w:ascii="Arial" w:eastAsia="Calibri" w:hAnsi="Arial" w:cs="Arial"/>
          <w:sz w:val="22"/>
          <w:szCs w:val="22"/>
          <w:lang w:val="en-US" w:eastAsia="en-US"/>
        </w:rPr>
        <w:t xml:space="preserve">Therefore, we would generally suggest </w:t>
      </w:r>
      <w:r w:rsidR="003657C9" w:rsidRPr="004D4238">
        <w:rPr>
          <w:rFonts w:ascii="Arial" w:eastAsia="Calibri" w:hAnsi="Arial" w:cs="Arial"/>
          <w:sz w:val="22"/>
          <w:szCs w:val="22"/>
          <w:lang w:val="en-US" w:eastAsia="en-US"/>
        </w:rPr>
        <w:t>keeping</w:t>
      </w:r>
      <w:r w:rsidR="002352A2" w:rsidRPr="004D4238">
        <w:rPr>
          <w:rFonts w:ascii="Arial" w:eastAsia="Calibri" w:hAnsi="Arial" w:cs="Arial"/>
          <w:sz w:val="22"/>
          <w:szCs w:val="22"/>
          <w:lang w:val="en-US" w:eastAsia="en-US"/>
        </w:rPr>
        <w:t xml:space="preserve"> further adaptions </w:t>
      </w:r>
      <w:r w:rsidR="008E212B" w:rsidRPr="004D4238">
        <w:rPr>
          <w:rFonts w:ascii="Arial" w:eastAsia="Calibri" w:hAnsi="Arial" w:cs="Arial"/>
          <w:sz w:val="22"/>
          <w:szCs w:val="22"/>
          <w:lang w:val="en-US" w:eastAsia="en-US"/>
        </w:rPr>
        <w:t xml:space="preserve">within the scope of </w:t>
      </w:r>
      <w:r w:rsidR="002352A2" w:rsidRPr="004D4238">
        <w:rPr>
          <w:rFonts w:ascii="Arial" w:eastAsia="Calibri" w:hAnsi="Arial" w:cs="Arial"/>
          <w:sz w:val="22"/>
          <w:szCs w:val="22"/>
          <w:lang w:val="en-US" w:eastAsia="en-US"/>
        </w:rPr>
        <w:t>the proposals made so far. We would as well like to argue that ESMA</w:t>
      </w:r>
      <w:r w:rsidR="008F1350" w:rsidRPr="004D4238">
        <w:rPr>
          <w:rFonts w:ascii="Arial" w:eastAsia="Calibri" w:hAnsi="Arial" w:cs="Arial"/>
          <w:sz w:val="22"/>
          <w:szCs w:val="22"/>
          <w:lang w:val="en-US" w:eastAsia="en-US"/>
        </w:rPr>
        <w:t>’s</w:t>
      </w:r>
      <w:r w:rsidR="002352A2" w:rsidRPr="004D4238">
        <w:rPr>
          <w:rFonts w:ascii="Arial" w:eastAsia="Calibri" w:hAnsi="Arial" w:cs="Arial"/>
          <w:sz w:val="22"/>
          <w:szCs w:val="22"/>
          <w:lang w:val="en-US" w:eastAsia="en-US"/>
        </w:rPr>
        <w:t xml:space="preserve"> proposals for harmoni</w:t>
      </w:r>
      <w:r w:rsidR="003657C9" w:rsidRPr="004D4238">
        <w:rPr>
          <w:rFonts w:ascii="Arial" w:eastAsia="Calibri" w:hAnsi="Arial" w:cs="Arial"/>
          <w:sz w:val="22"/>
          <w:szCs w:val="22"/>
          <w:lang w:val="en-US" w:eastAsia="en-US"/>
        </w:rPr>
        <w:t>z</w:t>
      </w:r>
      <w:r w:rsidR="002352A2" w:rsidRPr="004D4238">
        <w:rPr>
          <w:rFonts w:ascii="Arial" w:eastAsia="Calibri" w:hAnsi="Arial" w:cs="Arial"/>
          <w:sz w:val="22"/>
          <w:szCs w:val="22"/>
          <w:lang w:val="en-US" w:eastAsia="en-US"/>
        </w:rPr>
        <w:t xml:space="preserve">ation of the contractual terms shall be treated as best practice, and not as mandatory requirements. We strongly expect that exchanges will stick to the best practice. </w:t>
      </w:r>
    </w:p>
    <w:p w14:paraId="040BC226"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&lt;ESMA_QUESTION_GOMD_19&gt;</w:t>
      </w:r>
    </w:p>
    <w:p w14:paraId="5223D8D6" w14:textId="77777777" w:rsidR="00984423" w:rsidRPr="004D4238" w:rsidRDefault="00984423" w:rsidP="00984423">
      <w:pPr>
        <w:spacing w:after="160" w:line="259" w:lineRule="auto"/>
        <w:rPr>
          <w:rFonts w:ascii="Arial" w:eastAsia="Calibri" w:hAnsi="Arial" w:cs="Arial"/>
          <w:sz w:val="22"/>
          <w:szCs w:val="22"/>
          <w:lang w:val="en-US" w:eastAsia="en-US"/>
        </w:rPr>
      </w:pPr>
    </w:p>
    <w:p w14:paraId="444269F3"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Q20: Do you agree with Guideline 12? If not, please justify.</w:t>
      </w:r>
    </w:p>
    <w:p w14:paraId="50A13977" w14:textId="65ED828F" w:rsidR="00AD5D1E" w:rsidRPr="004D4238" w:rsidRDefault="00984423" w:rsidP="00AD5D1E">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&lt;ESMA_QUESTION_GOMD_20&gt;</w:t>
      </w:r>
    </w:p>
    <w:p w14:paraId="14BA28D7" w14:textId="56ACB2CF" w:rsidR="009E6BB9" w:rsidRPr="004D4238" w:rsidRDefault="009E6BB9" w:rsidP="007601FA">
      <w:pPr>
        <w:spacing w:after="160"/>
        <w:jc w:val="both"/>
        <w:rPr>
          <w:rFonts w:ascii="Arial" w:hAnsi="Arial" w:cs="Arial"/>
          <w:sz w:val="22"/>
          <w:szCs w:val="22"/>
          <w:lang w:val="en-US"/>
        </w:rPr>
      </w:pPr>
      <w:r w:rsidRPr="004D4238">
        <w:rPr>
          <w:rFonts w:ascii="Arial" w:hAnsi="Arial" w:cs="Arial"/>
          <w:sz w:val="22"/>
          <w:szCs w:val="22"/>
          <w:lang w:val="en-US"/>
        </w:rPr>
        <w:t>DBG considers that publishing examples and descriptions of the types of costs that are taken into account to set the price for market data and principles according to which direct and variable joint costs are allocated and fixed joint costs are apportioned are sufficient aspects to fulfil and enhance the ability to comply with Article 11 of Delegated Regulation (EU) No 2017/567 and Article 89 of Delegated Regulation (EU) No 2017/565. This scope of information to be published would increase the usability and comparability of the information.</w:t>
      </w:r>
    </w:p>
    <w:p w14:paraId="3A549C25" w14:textId="59779DA9" w:rsidR="009E6BB9" w:rsidRPr="004D4238" w:rsidRDefault="009E6BB9" w:rsidP="007601FA">
      <w:pPr>
        <w:spacing w:after="160"/>
        <w:jc w:val="both"/>
        <w:rPr>
          <w:rFonts w:eastAsia="Calibri"/>
          <w:sz w:val="22"/>
          <w:szCs w:val="22"/>
          <w:lang w:val="en-US"/>
        </w:rPr>
      </w:pPr>
      <w:r w:rsidRPr="004D4238">
        <w:rPr>
          <w:rFonts w:ascii="Arial" w:hAnsi="Arial" w:cs="Arial"/>
          <w:sz w:val="22"/>
          <w:szCs w:val="22"/>
          <w:lang w:val="en-US"/>
        </w:rPr>
        <w:t>We therefore propose the following adaptions to Guideline 12:</w:t>
      </w:r>
    </w:p>
    <w:p w14:paraId="6EA33FC3" w14:textId="47048DA1" w:rsidR="009E6BB9" w:rsidRPr="00F6575F" w:rsidRDefault="009E6BB9" w:rsidP="007601FA">
      <w:pPr>
        <w:pStyle w:val="Default"/>
        <w:spacing w:after="160"/>
        <w:jc w:val="both"/>
        <w:rPr>
          <w:sz w:val="22"/>
          <w:szCs w:val="22"/>
        </w:rPr>
      </w:pPr>
      <w:r w:rsidRPr="00F6575F">
        <w:rPr>
          <w:b/>
          <w:bCs/>
          <w:sz w:val="22"/>
          <w:szCs w:val="22"/>
        </w:rPr>
        <w:t xml:space="preserve">Guideline 12: </w:t>
      </w:r>
      <w:r w:rsidRPr="00F6575F">
        <w:rPr>
          <w:sz w:val="22"/>
          <w:szCs w:val="22"/>
        </w:rPr>
        <w:t xml:space="preserve">To comply with Article 11(e) of Delegated Regulation (EU) No 2017/567 and Article 89(2)(e) of Delegated Regulation (EU) No 2017/565, market data providers should make public, by using the template in Annex I of the Guidelines, a </w:t>
      </w:r>
      <w:r w:rsidRPr="00F6575F">
        <w:rPr>
          <w:color w:val="FF0000"/>
          <w:sz w:val="22"/>
          <w:szCs w:val="22"/>
        </w:rPr>
        <w:t xml:space="preserve">brief </w:t>
      </w:r>
      <w:r w:rsidRPr="00F6575F">
        <w:rPr>
          <w:strike/>
          <w:color w:val="FF0000"/>
          <w:sz w:val="22"/>
          <w:szCs w:val="22"/>
        </w:rPr>
        <w:t>detailed</w:t>
      </w:r>
      <w:r w:rsidRPr="00F6575F">
        <w:rPr>
          <w:sz w:val="22"/>
          <w:szCs w:val="22"/>
        </w:rPr>
        <w:t xml:space="preserve"> explanation of the accounting methodology for setting the fees of market data. The explanation should provide, inter alia, the list of </w:t>
      </w:r>
      <w:r w:rsidRPr="00F6575F">
        <w:rPr>
          <w:strike/>
          <w:color w:val="FF0000"/>
          <w:sz w:val="22"/>
          <w:szCs w:val="22"/>
        </w:rPr>
        <w:t>all the</w:t>
      </w:r>
      <w:r w:rsidRPr="00F6575F">
        <w:rPr>
          <w:color w:val="FF0000"/>
          <w:sz w:val="22"/>
          <w:szCs w:val="22"/>
        </w:rPr>
        <w:t xml:space="preserve"> </w:t>
      </w:r>
      <w:r w:rsidRPr="00F6575F">
        <w:rPr>
          <w:sz w:val="22"/>
          <w:szCs w:val="22"/>
        </w:rPr>
        <w:t xml:space="preserve">costs included in the fees of market data and </w:t>
      </w:r>
      <w:r w:rsidRPr="00F6575F">
        <w:rPr>
          <w:strike/>
          <w:color w:val="FF0000"/>
          <w:sz w:val="22"/>
          <w:szCs w:val="22"/>
        </w:rPr>
        <w:t>the</w:t>
      </w:r>
      <w:r w:rsidRPr="00F6575F">
        <w:rPr>
          <w:sz w:val="22"/>
          <w:szCs w:val="22"/>
        </w:rPr>
        <w:t xml:space="preserve"> </w:t>
      </w:r>
      <w:r w:rsidRPr="00F6575F">
        <w:rPr>
          <w:color w:val="FF0000"/>
          <w:sz w:val="22"/>
          <w:szCs w:val="22"/>
        </w:rPr>
        <w:t xml:space="preserve">information on </w:t>
      </w:r>
      <w:r w:rsidRPr="00F6575F">
        <w:rPr>
          <w:sz w:val="22"/>
          <w:szCs w:val="22"/>
        </w:rPr>
        <w:t xml:space="preserve">allocation keys for joint costs. </w:t>
      </w:r>
    </w:p>
    <w:p w14:paraId="07D1FFA6" w14:textId="596D1B27" w:rsidR="009E6BB9" w:rsidRPr="00F6575F" w:rsidRDefault="009E6BB9" w:rsidP="007601FA">
      <w:pPr>
        <w:pStyle w:val="Default"/>
        <w:spacing w:after="160"/>
        <w:jc w:val="both"/>
        <w:rPr>
          <w:sz w:val="22"/>
          <w:szCs w:val="22"/>
        </w:rPr>
      </w:pPr>
      <w:r w:rsidRPr="00F6575F">
        <w:rPr>
          <w:sz w:val="22"/>
          <w:szCs w:val="22"/>
        </w:rPr>
        <w:t>Market data providers should disclose whether they include a margin in the fees of market data</w:t>
      </w:r>
      <w:r w:rsidR="008D3ABF" w:rsidRPr="00F6575F">
        <w:rPr>
          <w:sz w:val="22"/>
          <w:szCs w:val="22"/>
        </w:rPr>
        <w:t xml:space="preserve"> </w:t>
      </w:r>
      <w:r w:rsidR="008D3ABF" w:rsidRPr="00F6575F">
        <w:rPr>
          <w:color w:val="FF0000"/>
          <w:sz w:val="22"/>
          <w:szCs w:val="22"/>
        </w:rPr>
        <w:t>or not</w:t>
      </w:r>
      <w:r w:rsidRPr="00F6575F">
        <w:rPr>
          <w:color w:val="FF0000"/>
          <w:sz w:val="22"/>
          <w:szCs w:val="22"/>
        </w:rPr>
        <w:t xml:space="preserve"> </w:t>
      </w:r>
      <w:r w:rsidRPr="00F6575F">
        <w:rPr>
          <w:strike/>
          <w:color w:val="FF0000"/>
          <w:sz w:val="22"/>
          <w:szCs w:val="22"/>
        </w:rPr>
        <w:t>and explain, where applicable, why they consider the margin reasonable and, if why the margin differs from one category of market data to another (i.e. why some categories of market data have a higher margin than other categories of market data).</w:t>
      </w:r>
      <w:r w:rsidRPr="00F6575F">
        <w:rPr>
          <w:color w:val="FF0000"/>
          <w:sz w:val="22"/>
          <w:szCs w:val="22"/>
        </w:rPr>
        <w:t xml:space="preserve"> </w:t>
      </w:r>
    </w:p>
    <w:p w14:paraId="6E221E79" w14:textId="42CBB377" w:rsidR="00171C41" w:rsidRPr="00F6575F" w:rsidRDefault="009E6BB9" w:rsidP="007601FA">
      <w:pPr>
        <w:pStyle w:val="Default"/>
        <w:spacing w:after="160"/>
        <w:jc w:val="both"/>
        <w:rPr>
          <w:color w:val="FF0000"/>
          <w:sz w:val="22"/>
          <w:szCs w:val="22"/>
        </w:rPr>
      </w:pPr>
      <w:r w:rsidRPr="00F6575F">
        <w:rPr>
          <w:sz w:val="22"/>
          <w:szCs w:val="22"/>
        </w:rPr>
        <w:t xml:space="preserve">Market data providers are not required to disclose actual costs for producing or disseminating market data or the actual level of the margin, </w:t>
      </w:r>
      <w:r w:rsidRPr="00F6575F">
        <w:rPr>
          <w:strike/>
          <w:color w:val="FF0000"/>
          <w:sz w:val="22"/>
          <w:szCs w:val="22"/>
        </w:rPr>
        <w:t xml:space="preserve">however the information provided on costs and margin should enable users to understand how the price for market data was set and compare the methodologies of different market data providers. </w:t>
      </w:r>
    </w:p>
    <w:p w14:paraId="316B36BF"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lastRenderedPageBreak/>
        <w:t>&lt;ESMA_QUESTION_GOMD_20&gt;</w:t>
      </w:r>
    </w:p>
    <w:p w14:paraId="792010B4" w14:textId="77777777" w:rsidR="00984423" w:rsidRPr="004D4238" w:rsidRDefault="00984423" w:rsidP="00984423">
      <w:pPr>
        <w:spacing w:after="160" w:line="259" w:lineRule="auto"/>
        <w:rPr>
          <w:rFonts w:ascii="Arial" w:eastAsia="Calibri" w:hAnsi="Arial" w:cs="Arial"/>
          <w:sz w:val="22"/>
          <w:szCs w:val="22"/>
          <w:lang w:val="en-US" w:eastAsia="en-US"/>
        </w:rPr>
      </w:pPr>
    </w:p>
    <w:p w14:paraId="5E2DC8FE"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D849F01"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&lt;ESMA_QUESTION_GOMD_21&gt;</w:t>
      </w:r>
    </w:p>
    <w:p w14:paraId="03D49DF8" w14:textId="1273E704" w:rsidR="00984423" w:rsidRPr="00F6575F" w:rsidRDefault="00852EA2"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As mentioned in our answers to </w:t>
      </w:r>
      <w:r w:rsidR="003657C9" w:rsidRPr="00F6575F">
        <w:rPr>
          <w:rFonts w:ascii="Arial" w:eastAsia="Calibri" w:hAnsi="Arial" w:cs="Arial"/>
          <w:sz w:val="22"/>
          <w:szCs w:val="22"/>
          <w:lang w:val="en-US" w:eastAsia="en-US"/>
        </w:rPr>
        <w:t>Q</w:t>
      </w:r>
      <w:r w:rsidRPr="00F6575F">
        <w:rPr>
          <w:rFonts w:ascii="Arial" w:eastAsia="Calibri" w:hAnsi="Arial" w:cs="Arial"/>
          <w:sz w:val="22"/>
          <w:szCs w:val="22"/>
          <w:lang w:val="en-US" w:eastAsia="en-US"/>
        </w:rPr>
        <w:t xml:space="preserve">2 and </w:t>
      </w:r>
      <w:r w:rsidR="003657C9" w:rsidRPr="00F6575F">
        <w:rPr>
          <w:rFonts w:ascii="Arial" w:eastAsia="Calibri" w:hAnsi="Arial" w:cs="Arial"/>
          <w:sz w:val="22"/>
          <w:szCs w:val="22"/>
          <w:lang w:val="en-US" w:eastAsia="en-US"/>
        </w:rPr>
        <w:t>Q</w:t>
      </w:r>
      <w:r w:rsidRPr="00F6575F">
        <w:rPr>
          <w:rFonts w:ascii="Arial" w:eastAsia="Calibri" w:hAnsi="Arial" w:cs="Arial"/>
          <w:sz w:val="22"/>
          <w:szCs w:val="22"/>
          <w:lang w:val="en-US" w:eastAsia="en-US"/>
        </w:rPr>
        <w:t xml:space="preserve">3 </w:t>
      </w:r>
      <w:r w:rsidR="00FF3EDB" w:rsidRPr="00F6575F">
        <w:rPr>
          <w:rFonts w:ascii="Arial" w:eastAsia="Calibri" w:hAnsi="Arial" w:cs="Arial"/>
          <w:sz w:val="22"/>
          <w:szCs w:val="22"/>
          <w:lang w:val="en-US" w:eastAsia="en-US"/>
        </w:rPr>
        <w:t>DBG</w:t>
      </w:r>
      <w:r w:rsidR="006F31FE" w:rsidRPr="00F6575F">
        <w:rPr>
          <w:rFonts w:ascii="Arial" w:eastAsia="Calibri" w:hAnsi="Arial" w:cs="Arial"/>
          <w:sz w:val="22"/>
          <w:szCs w:val="22"/>
          <w:lang w:val="en-US" w:eastAsia="en-US"/>
        </w:rPr>
        <w:t xml:space="preserve"> </w:t>
      </w:r>
      <w:r w:rsidR="00A63D06" w:rsidRPr="00F6575F">
        <w:rPr>
          <w:rFonts w:ascii="Arial" w:eastAsia="Calibri" w:hAnsi="Arial" w:cs="Arial"/>
          <w:sz w:val="22"/>
          <w:szCs w:val="22"/>
          <w:lang w:val="en-US" w:eastAsia="en-US"/>
        </w:rPr>
        <w:t>considers</w:t>
      </w:r>
      <w:r w:rsidR="006F31FE" w:rsidRPr="00F6575F">
        <w:rPr>
          <w:rFonts w:ascii="Arial" w:eastAsia="Calibri" w:hAnsi="Arial" w:cs="Arial"/>
          <w:sz w:val="22"/>
          <w:szCs w:val="22"/>
          <w:lang w:val="en-US" w:eastAsia="en-US"/>
        </w:rPr>
        <w:t xml:space="preserve"> th</w:t>
      </w:r>
      <w:r w:rsidR="00A63D06" w:rsidRPr="00F6575F">
        <w:rPr>
          <w:rFonts w:ascii="Arial" w:eastAsia="Calibri" w:hAnsi="Arial" w:cs="Arial"/>
          <w:sz w:val="22"/>
          <w:szCs w:val="22"/>
          <w:lang w:val="en-US" w:eastAsia="en-US"/>
        </w:rPr>
        <w:t xml:space="preserve">e public </w:t>
      </w:r>
      <w:r w:rsidR="006F31FE" w:rsidRPr="00F6575F">
        <w:rPr>
          <w:rFonts w:ascii="Arial" w:eastAsia="Calibri" w:hAnsi="Arial" w:cs="Arial"/>
          <w:sz w:val="22"/>
          <w:szCs w:val="22"/>
          <w:lang w:val="en-US" w:eastAsia="en-US"/>
        </w:rPr>
        <w:t>disclos</w:t>
      </w:r>
      <w:r w:rsidR="00A63D06" w:rsidRPr="00F6575F">
        <w:rPr>
          <w:rFonts w:ascii="Arial" w:eastAsia="Calibri" w:hAnsi="Arial" w:cs="Arial"/>
          <w:sz w:val="22"/>
          <w:szCs w:val="22"/>
          <w:lang w:val="en-US" w:eastAsia="en-US"/>
        </w:rPr>
        <w:t>ure of</w:t>
      </w:r>
      <w:r w:rsidR="006F31FE" w:rsidRPr="00F6575F">
        <w:rPr>
          <w:rFonts w:ascii="Arial" w:eastAsia="Calibri" w:hAnsi="Arial" w:cs="Arial"/>
          <w:sz w:val="22"/>
          <w:szCs w:val="22"/>
          <w:lang w:val="en-US" w:eastAsia="en-US"/>
        </w:rPr>
        <w:t xml:space="preserve"> allocation keys and explanations around the determination of margins go</w:t>
      </w:r>
      <w:r w:rsidR="00A63D06" w:rsidRPr="00F6575F">
        <w:rPr>
          <w:rFonts w:ascii="Arial" w:eastAsia="Calibri" w:hAnsi="Arial" w:cs="Arial"/>
          <w:sz w:val="22"/>
          <w:szCs w:val="22"/>
          <w:lang w:val="en-US" w:eastAsia="en-US"/>
        </w:rPr>
        <w:t>es</w:t>
      </w:r>
      <w:r w:rsidR="006F31FE" w:rsidRPr="00F6575F">
        <w:rPr>
          <w:rFonts w:ascii="Arial" w:eastAsia="Calibri" w:hAnsi="Arial" w:cs="Arial"/>
          <w:sz w:val="22"/>
          <w:szCs w:val="22"/>
          <w:lang w:val="en-US" w:eastAsia="en-US"/>
        </w:rPr>
        <w:t xml:space="preserve"> beyond the scope of the current transparency plus approach and further industry harmoni</w:t>
      </w:r>
      <w:r w:rsidR="003657C9" w:rsidRPr="00F6575F">
        <w:rPr>
          <w:rFonts w:ascii="Arial" w:eastAsia="Calibri" w:hAnsi="Arial" w:cs="Arial"/>
          <w:sz w:val="22"/>
          <w:szCs w:val="22"/>
          <w:lang w:val="en-US" w:eastAsia="en-US"/>
        </w:rPr>
        <w:t>z</w:t>
      </w:r>
      <w:r w:rsidR="006F31FE" w:rsidRPr="00F6575F">
        <w:rPr>
          <w:rFonts w:ascii="Arial" w:eastAsia="Calibri" w:hAnsi="Arial" w:cs="Arial"/>
          <w:sz w:val="22"/>
          <w:szCs w:val="22"/>
          <w:lang w:val="en-US" w:eastAsia="en-US"/>
        </w:rPr>
        <w:t>ation could also be highly sensitive from a competition law point of view.</w:t>
      </w:r>
      <w:r w:rsidR="00A63D06" w:rsidRPr="00F6575F">
        <w:rPr>
          <w:rFonts w:ascii="Arial" w:eastAsia="Calibri" w:hAnsi="Arial" w:cs="Arial"/>
          <w:sz w:val="22"/>
          <w:szCs w:val="22"/>
          <w:lang w:val="en-US" w:eastAsia="en-US"/>
        </w:rPr>
        <w:t xml:space="preserve"> As trading venues disclose to their supervisors, this should be considered sufficient. </w:t>
      </w:r>
    </w:p>
    <w:p w14:paraId="0EBCD3D7"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&lt;ESMA_QUESTION_GOMD_21&gt;</w:t>
      </w:r>
    </w:p>
    <w:p w14:paraId="7D17A10A" w14:textId="77777777" w:rsidR="00984423" w:rsidRPr="004D4238" w:rsidRDefault="00984423" w:rsidP="00984423">
      <w:pPr>
        <w:spacing w:after="160" w:line="259" w:lineRule="auto"/>
        <w:rPr>
          <w:rFonts w:ascii="Arial" w:eastAsia="Calibri" w:hAnsi="Arial" w:cs="Arial"/>
          <w:sz w:val="22"/>
          <w:szCs w:val="22"/>
          <w:lang w:val="en-US" w:eastAsia="en-US"/>
        </w:rPr>
      </w:pPr>
    </w:p>
    <w:p w14:paraId="0E89F6D8"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Q22: Do you agree with Guideline 13? If not, please justify.</w:t>
      </w:r>
    </w:p>
    <w:p w14:paraId="5DCF79D5"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&lt;ESMA_QUESTION_GOMD_22&gt;</w:t>
      </w:r>
    </w:p>
    <w:p w14:paraId="4B1EA110" w14:textId="3AA97E71" w:rsidR="005F5126" w:rsidRPr="00F6575F" w:rsidRDefault="00FF3EDB" w:rsidP="00FA22E8">
      <w:pPr>
        <w:spacing w:after="160" w:line="259" w:lineRule="auto"/>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DBG</w:t>
      </w:r>
      <w:r w:rsidR="005F5126" w:rsidRPr="00F6575F">
        <w:rPr>
          <w:rFonts w:ascii="Arial" w:eastAsia="Calibri" w:hAnsi="Arial" w:cs="Arial"/>
          <w:sz w:val="22"/>
          <w:szCs w:val="22"/>
          <w:lang w:val="en-US" w:eastAsia="en-US"/>
        </w:rPr>
        <w:t xml:space="preserve"> generally supports ESMA</w:t>
      </w:r>
      <w:r w:rsidR="008F1350" w:rsidRPr="00F6575F">
        <w:rPr>
          <w:rFonts w:ascii="Arial" w:eastAsia="Calibri" w:hAnsi="Arial" w:cs="Arial"/>
          <w:sz w:val="22"/>
          <w:szCs w:val="22"/>
          <w:lang w:val="en-US" w:eastAsia="en-US"/>
        </w:rPr>
        <w:t>’</w:t>
      </w:r>
      <w:r w:rsidR="005F5126" w:rsidRPr="00F6575F">
        <w:rPr>
          <w:rFonts w:ascii="Arial" w:eastAsia="Calibri" w:hAnsi="Arial" w:cs="Arial"/>
          <w:sz w:val="22"/>
          <w:szCs w:val="22"/>
          <w:lang w:val="en-US" w:eastAsia="en-US"/>
        </w:rPr>
        <w:t xml:space="preserve">s proposals and lives up to it already as of today. </w:t>
      </w:r>
    </w:p>
    <w:p w14:paraId="3F35B573"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&lt;ESMA_QUESTION_GOMD_22&gt;</w:t>
      </w:r>
    </w:p>
    <w:p w14:paraId="0A7ED62C" w14:textId="77777777" w:rsidR="00984423" w:rsidRPr="004D4238" w:rsidRDefault="00984423" w:rsidP="00984423">
      <w:pPr>
        <w:spacing w:after="160" w:line="259" w:lineRule="auto"/>
        <w:rPr>
          <w:rFonts w:ascii="Arial" w:eastAsia="Calibri" w:hAnsi="Arial" w:cs="Arial"/>
          <w:sz w:val="22"/>
          <w:szCs w:val="22"/>
          <w:lang w:val="en-US" w:eastAsia="en-US"/>
        </w:rPr>
      </w:pPr>
    </w:p>
    <w:p w14:paraId="3EEAFDD9"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43D7C960" w14:textId="228FBA22" w:rsidR="00BF7053" w:rsidRPr="004D4238" w:rsidRDefault="00984423" w:rsidP="00BF705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&lt;ESMA_QUESTION_GOMD_23&gt;</w:t>
      </w:r>
    </w:p>
    <w:p w14:paraId="5AC2FB78" w14:textId="03724964" w:rsidR="00984423" w:rsidRPr="00F6575F" w:rsidRDefault="00BF7053"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Delayed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ata is being made available in a disaggregated format, meaning that pre- and post-trade data are being made available separately in line with Art</w:t>
      </w:r>
      <w:r w:rsidR="003657C9" w:rsidRPr="00F6575F">
        <w:rPr>
          <w:rFonts w:ascii="Arial" w:eastAsia="Calibri" w:hAnsi="Arial" w:cs="Arial"/>
          <w:sz w:val="22"/>
          <w:szCs w:val="22"/>
          <w:lang w:val="en-US" w:eastAsia="en-US"/>
        </w:rPr>
        <w:t>icle</w:t>
      </w:r>
      <w:r w:rsidRPr="00F6575F">
        <w:rPr>
          <w:rFonts w:ascii="Arial" w:eastAsia="Calibri" w:hAnsi="Arial" w:cs="Arial"/>
          <w:sz w:val="22"/>
          <w:szCs w:val="22"/>
          <w:lang w:val="en-US" w:eastAsia="en-US"/>
        </w:rPr>
        <w:t xml:space="preserve"> 12 MiFIR. While we apply a clear labelling of the respective data sets on our website, the respective data sets themselves contain the relevant data fields for identifying pre- or post-trade information and any other data content / data fields as well as required under MiFIR. </w:t>
      </w:r>
      <w:r w:rsidR="004B4CB8" w:rsidRPr="00F6575F">
        <w:rPr>
          <w:rFonts w:ascii="Arial" w:eastAsia="Calibri" w:hAnsi="Arial" w:cs="Arial"/>
          <w:sz w:val="22"/>
          <w:szCs w:val="22"/>
          <w:lang w:val="en-US" w:eastAsia="en-US"/>
        </w:rPr>
        <w:t xml:space="preserve">This includes all RTS 1/RTS 2 required information, including flags where applicable. </w:t>
      </w:r>
      <w:r w:rsidRPr="00F6575F">
        <w:rPr>
          <w:rFonts w:ascii="Arial" w:eastAsia="Calibri" w:hAnsi="Arial" w:cs="Arial"/>
          <w:sz w:val="22"/>
          <w:szCs w:val="22"/>
          <w:lang w:val="en-US" w:eastAsia="en-US"/>
        </w:rPr>
        <w:t xml:space="preserve">Delayed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provided on </w:t>
      </w:r>
      <w:r w:rsidR="00FF3EDB" w:rsidRPr="00F6575F">
        <w:rPr>
          <w:rFonts w:ascii="Arial" w:eastAsia="Calibri" w:hAnsi="Arial" w:cs="Arial"/>
          <w:sz w:val="22"/>
          <w:szCs w:val="22"/>
          <w:lang w:val="en-US" w:eastAsia="en-US"/>
        </w:rPr>
        <w:t>DBG</w:t>
      </w:r>
      <w:r w:rsidR="00EA6753" w:rsidRPr="00F6575F">
        <w:rPr>
          <w:rFonts w:ascii="Arial" w:eastAsia="Calibri" w:hAnsi="Arial" w:cs="Arial"/>
          <w:sz w:val="22"/>
          <w:szCs w:val="22"/>
          <w:lang w:val="en-US" w:eastAsia="en-US"/>
        </w:rPr>
        <w:t>’</w:t>
      </w:r>
      <w:r w:rsidRPr="00F6575F">
        <w:rPr>
          <w:rFonts w:ascii="Arial" w:eastAsia="Calibri" w:hAnsi="Arial" w:cs="Arial"/>
          <w:sz w:val="22"/>
          <w:szCs w:val="22"/>
          <w:lang w:val="en-US" w:eastAsia="en-US"/>
        </w:rPr>
        <w:t xml:space="preserve">s website contains all relevant pre- and post-trade information in line with </w:t>
      </w:r>
      <w:r w:rsidR="00852EA2" w:rsidRPr="00F6575F">
        <w:rPr>
          <w:rFonts w:ascii="Arial" w:eastAsia="Calibri" w:hAnsi="Arial" w:cs="Arial"/>
          <w:sz w:val="22"/>
          <w:szCs w:val="22"/>
          <w:lang w:val="en-US" w:eastAsia="en-US"/>
        </w:rPr>
        <w:t>MiFID II/</w:t>
      </w:r>
      <w:r w:rsidRPr="00F6575F">
        <w:rPr>
          <w:rFonts w:ascii="Arial" w:eastAsia="Calibri" w:hAnsi="Arial" w:cs="Arial"/>
          <w:sz w:val="22"/>
          <w:szCs w:val="22"/>
          <w:lang w:val="en-US" w:eastAsia="en-US"/>
        </w:rPr>
        <w:t>MiFIR requirements and reflecting all trading activities on the respective trading venue. Please note that globally data volumes are constantly increasing impacting data producers as well as data providers in various ways. While trading venues usually adapt their processing capacities on a constant basis accordingly, not all data users do so as well. Especially, pre-trade data is usually very voluminous representing approx</w:t>
      </w:r>
      <w:r w:rsidR="00EA6753" w:rsidRPr="00F6575F">
        <w:rPr>
          <w:rFonts w:ascii="Arial" w:eastAsia="Calibri" w:hAnsi="Arial" w:cs="Arial"/>
          <w:sz w:val="22"/>
          <w:szCs w:val="22"/>
          <w:lang w:val="en-US" w:eastAsia="en-US"/>
        </w:rPr>
        <w:t>imately</w:t>
      </w:r>
      <w:r w:rsidRPr="00F6575F">
        <w:rPr>
          <w:rFonts w:ascii="Arial" w:eastAsia="Calibri" w:hAnsi="Arial" w:cs="Arial"/>
          <w:sz w:val="22"/>
          <w:szCs w:val="22"/>
          <w:lang w:val="en-US" w:eastAsia="en-US"/>
        </w:rPr>
        <w:t xml:space="preserve"> 90% of data volumes. We therefore appreciate that ESMA intends to require a reduced scope of pre-trade data to be provided via the trading venues homepage going forward.  </w:t>
      </w:r>
    </w:p>
    <w:p w14:paraId="05360B7B"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&lt;ESMA_QUESTION_GOMD_23&gt;</w:t>
      </w:r>
    </w:p>
    <w:p w14:paraId="05631BD8" w14:textId="77777777" w:rsidR="00984423" w:rsidRPr="004D4238" w:rsidRDefault="00984423" w:rsidP="00984423">
      <w:pPr>
        <w:spacing w:after="160" w:line="259" w:lineRule="auto"/>
        <w:rPr>
          <w:rFonts w:ascii="Arial" w:eastAsia="Calibri" w:hAnsi="Arial" w:cs="Arial"/>
          <w:sz w:val="22"/>
          <w:szCs w:val="22"/>
          <w:lang w:val="en-US" w:eastAsia="en-US"/>
        </w:rPr>
      </w:pPr>
    </w:p>
    <w:p w14:paraId="462FDCC0"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35347CD4"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lastRenderedPageBreak/>
        <w:t>&lt;ESMA_QUESTION_GOMD_24&gt;</w:t>
      </w:r>
    </w:p>
    <w:p w14:paraId="39A5AB01" w14:textId="3AE99870" w:rsidR="00984423" w:rsidRPr="00F6575F" w:rsidRDefault="00073CCA"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Delayed exchange data still holds significant value for data users and commercial third parties, while it is adding to market transparency and stability. </w:t>
      </w:r>
      <w:r w:rsidR="00FF3EDB" w:rsidRPr="00F6575F">
        <w:rPr>
          <w:rFonts w:ascii="Arial" w:eastAsia="Calibri" w:hAnsi="Arial" w:cs="Arial"/>
          <w:sz w:val="22"/>
          <w:szCs w:val="22"/>
          <w:lang w:val="en-US" w:eastAsia="en-US"/>
        </w:rPr>
        <w:t>DBG</w:t>
      </w:r>
      <w:r w:rsidRPr="00F6575F">
        <w:rPr>
          <w:rFonts w:ascii="Arial" w:eastAsia="Calibri" w:hAnsi="Arial" w:cs="Arial"/>
          <w:sz w:val="22"/>
          <w:szCs w:val="22"/>
          <w:lang w:val="en-US" w:eastAsia="en-US"/>
        </w:rPr>
        <w:t xml:space="preserve"> generally distinguishes between end users (e.g. retail investors, or </w:t>
      </w:r>
      <w:r w:rsidR="00852EA2" w:rsidRPr="00F6575F">
        <w:rPr>
          <w:rFonts w:ascii="Arial" w:eastAsia="Calibri" w:hAnsi="Arial" w:cs="Arial"/>
          <w:sz w:val="22"/>
          <w:szCs w:val="22"/>
          <w:lang w:val="en-US" w:eastAsia="en-US"/>
        </w:rPr>
        <w:t>i</w:t>
      </w:r>
      <w:r w:rsidRPr="00F6575F">
        <w:rPr>
          <w:rFonts w:ascii="Arial" w:eastAsia="Calibri" w:hAnsi="Arial" w:cs="Arial"/>
          <w:sz w:val="22"/>
          <w:szCs w:val="22"/>
          <w:lang w:val="en-US" w:eastAsia="en-US"/>
        </w:rPr>
        <w:t xml:space="preserve">nvestment </w:t>
      </w:r>
      <w:r w:rsidR="00852EA2" w:rsidRPr="00F6575F">
        <w:rPr>
          <w:rFonts w:ascii="Arial" w:eastAsia="Calibri" w:hAnsi="Arial" w:cs="Arial"/>
          <w:sz w:val="22"/>
          <w:szCs w:val="22"/>
          <w:lang w:val="en-US" w:eastAsia="en-US"/>
        </w:rPr>
        <w:t>f</w:t>
      </w:r>
      <w:r w:rsidRPr="00F6575F">
        <w:rPr>
          <w:rFonts w:ascii="Arial" w:eastAsia="Calibri" w:hAnsi="Arial" w:cs="Arial"/>
          <w:sz w:val="22"/>
          <w:szCs w:val="22"/>
          <w:lang w:val="en-US" w:eastAsia="en-US"/>
        </w:rPr>
        <w:t xml:space="preserve">irms using the data, </w:t>
      </w:r>
      <w:r w:rsidR="001E13E5" w:rsidRPr="00F6575F">
        <w:rPr>
          <w:rFonts w:ascii="Arial" w:eastAsia="Calibri" w:hAnsi="Arial" w:cs="Arial"/>
          <w:sz w:val="22"/>
          <w:szCs w:val="22"/>
          <w:lang w:val="en-US" w:eastAsia="en-US"/>
        </w:rPr>
        <w:t xml:space="preserve">but do </w:t>
      </w:r>
      <w:r w:rsidRPr="00F6575F">
        <w:rPr>
          <w:rFonts w:ascii="Arial" w:eastAsia="Calibri" w:hAnsi="Arial" w:cs="Arial"/>
          <w:sz w:val="22"/>
          <w:szCs w:val="22"/>
          <w:lang w:val="en-US" w:eastAsia="en-US"/>
        </w:rPr>
        <w:t>not further onward-distribut</w:t>
      </w:r>
      <w:r w:rsidR="001E13E5" w:rsidRPr="00F6575F">
        <w:rPr>
          <w:rFonts w:ascii="Arial" w:eastAsia="Calibri" w:hAnsi="Arial" w:cs="Arial"/>
          <w:sz w:val="22"/>
          <w:szCs w:val="22"/>
          <w:lang w:val="en-US" w:eastAsia="en-US"/>
        </w:rPr>
        <w:t>e</w:t>
      </w:r>
      <w:r w:rsidRPr="00F6575F">
        <w:rPr>
          <w:rFonts w:ascii="Arial" w:eastAsia="Calibri" w:hAnsi="Arial" w:cs="Arial"/>
          <w:sz w:val="22"/>
          <w:szCs w:val="22"/>
          <w:lang w:val="en-US" w:eastAsia="en-US"/>
        </w:rPr>
        <w:t xml:space="preserve"> the original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and third parties/vendors, who onward-distribute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generating direct or indirect revenues otherwise not possible without provision of </w:t>
      </w:r>
      <w:r w:rsidR="00FF3EDB" w:rsidRPr="00F6575F">
        <w:rPr>
          <w:rFonts w:ascii="Arial" w:eastAsia="Calibri" w:hAnsi="Arial" w:cs="Arial"/>
          <w:sz w:val="22"/>
          <w:szCs w:val="22"/>
          <w:lang w:val="en-US" w:eastAsia="en-US"/>
        </w:rPr>
        <w:t>DBG</w:t>
      </w:r>
      <w:r w:rsidRPr="00F6575F">
        <w:rPr>
          <w:rFonts w:ascii="Arial" w:eastAsia="Calibri" w:hAnsi="Arial" w:cs="Arial"/>
          <w:sz w:val="22"/>
          <w:szCs w:val="22"/>
          <w:lang w:val="en-US" w:eastAsia="en-US"/>
        </w:rPr>
        <w:t xml:space="preserve">’s data. In line with regulation </w:t>
      </w:r>
      <w:r w:rsidR="00FF3EDB" w:rsidRPr="00F6575F">
        <w:rPr>
          <w:rFonts w:ascii="Arial" w:eastAsia="Calibri" w:hAnsi="Arial" w:cs="Arial"/>
          <w:sz w:val="22"/>
          <w:szCs w:val="22"/>
          <w:lang w:val="en-US" w:eastAsia="en-US"/>
        </w:rPr>
        <w:t>DBG</w:t>
      </w:r>
      <w:r w:rsidRPr="00F6575F">
        <w:rPr>
          <w:rFonts w:ascii="Arial" w:eastAsia="Calibri" w:hAnsi="Arial" w:cs="Arial"/>
          <w:sz w:val="22"/>
          <w:szCs w:val="22"/>
          <w:lang w:val="en-US" w:eastAsia="en-US"/>
        </w:rPr>
        <w:t xml:space="preserve"> provides access to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for those users free of charge, who use the data other than for operating a commercial data distribution business with this data. End users may be retail users as well as professional users, using the data exclusively for own purposes as well electronically, i.e. for purposes of risk calculation, portfolio evaluation, creating new derived data work such as indices and analytics, best execution verification, back-office use. This may, e.g. encompass portfolio valuation by the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user for a third party as well, as long as the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itself is not further onward distributed. Only the operation of a commercial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vending business, i.e. the onward dissemination of </w:t>
      </w:r>
      <w:r w:rsidR="00FF3EDB" w:rsidRPr="00F6575F">
        <w:rPr>
          <w:rFonts w:ascii="Arial" w:eastAsia="Calibri" w:hAnsi="Arial" w:cs="Arial"/>
          <w:sz w:val="22"/>
          <w:szCs w:val="22"/>
          <w:lang w:val="en-US" w:eastAsia="en-US"/>
        </w:rPr>
        <w:t>DBG</w:t>
      </w:r>
      <w:r w:rsidRPr="00F6575F">
        <w:rPr>
          <w:rFonts w:ascii="Arial" w:eastAsia="Calibri" w:hAnsi="Arial" w:cs="Arial"/>
          <w:sz w:val="22"/>
          <w:szCs w:val="22"/>
          <w:lang w:val="en-US" w:eastAsia="en-US"/>
        </w:rPr>
        <w:t xml:space="preserv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to third parties, is subject to a monthly </w:t>
      </w:r>
      <w:r w:rsidR="00FA39E3" w:rsidRPr="00F6575F">
        <w:rPr>
          <w:rFonts w:ascii="Arial" w:eastAsia="Calibri" w:hAnsi="Arial" w:cs="Arial"/>
          <w:sz w:val="22"/>
          <w:szCs w:val="22"/>
          <w:lang w:val="en-US" w:eastAsia="en-US"/>
        </w:rPr>
        <w:t xml:space="preserve">flat </w:t>
      </w:r>
      <w:r w:rsidRPr="00F6575F">
        <w:rPr>
          <w:rFonts w:ascii="Arial" w:eastAsia="Calibri" w:hAnsi="Arial" w:cs="Arial"/>
          <w:sz w:val="22"/>
          <w:szCs w:val="22"/>
          <w:lang w:val="en-US" w:eastAsia="en-US"/>
        </w:rPr>
        <w:t>fee of such vendor. One example could be</w:t>
      </w:r>
      <w:r w:rsidR="001E13E5" w:rsidRPr="00F6575F">
        <w:rPr>
          <w:rFonts w:ascii="Arial" w:eastAsia="Calibri" w:hAnsi="Arial" w:cs="Arial"/>
          <w:sz w:val="22"/>
          <w:szCs w:val="22"/>
          <w:lang w:val="en-US" w:eastAsia="en-US"/>
        </w:rPr>
        <w:t xml:space="preserve"> operators of search engines</w:t>
      </w:r>
      <w:r w:rsidRPr="00F6575F">
        <w:rPr>
          <w:rFonts w:ascii="Arial" w:eastAsia="Calibri" w:hAnsi="Arial" w:cs="Arial"/>
          <w:sz w:val="22"/>
          <w:szCs w:val="22"/>
          <w:lang w:val="en-US" w:eastAsia="en-US"/>
        </w:rPr>
        <w:t>, offering delayed exchange data free of charge to end users while receiving</w:t>
      </w:r>
      <w:r w:rsidRPr="004D4238">
        <w:rPr>
          <w:sz w:val="22"/>
          <w:szCs w:val="22"/>
          <w:lang w:val="en-US"/>
        </w:rPr>
        <w:t xml:space="preserve"> </w:t>
      </w:r>
      <w:r w:rsidRPr="00F6575F">
        <w:rPr>
          <w:rFonts w:ascii="Arial" w:eastAsia="Calibri" w:hAnsi="Arial" w:cs="Arial"/>
          <w:sz w:val="22"/>
          <w:szCs w:val="22"/>
          <w:lang w:val="en-US" w:eastAsia="en-US"/>
        </w:rPr>
        <w:t xml:space="preserve">advertising revenues due to the traffic generated by delayed pre-and post-trade data from an exchange. Another example is the use by market data vendors, who use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to build or enhance their product offerings (e.g. use </w:t>
      </w:r>
      <w:r w:rsidR="00852EA2"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elayed</w:t>
      </w:r>
      <w:r w:rsidR="00277516" w:rsidRPr="00F6575F">
        <w:rPr>
          <w:rFonts w:ascii="Arial" w:eastAsia="Calibri" w:hAnsi="Arial" w:cs="Arial"/>
          <w:sz w:val="22"/>
          <w:szCs w:val="22"/>
          <w:lang w:val="en-US" w:eastAsia="en-US"/>
        </w:rPr>
        <w:t xml:space="preserve"> </w:t>
      </w:r>
      <w:r w:rsidR="00852EA2" w:rsidRPr="00F6575F">
        <w:rPr>
          <w:rFonts w:ascii="Arial" w:eastAsia="Calibri" w:hAnsi="Arial" w:cs="Arial"/>
          <w:sz w:val="22"/>
          <w:szCs w:val="22"/>
          <w:lang w:val="en-US" w:eastAsia="en-US"/>
        </w:rPr>
        <w:t>d</w:t>
      </w:r>
      <w:r w:rsidR="00277516" w:rsidRPr="00F6575F">
        <w:rPr>
          <w:rFonts w:ascii="Arial" w:eastAsia="Calibri" w:hAnsi="Arial" w:cs="Arial"/>
          <w:sz w:val="22"/>
          <w:szCs w:val="22"/>
          <w:lang w:val="en-US" w:eastAsia="en-US"/>
        </w:rPr>
        <w:t xml:space="preserve">ata in charting, analytics, news) and in return only has to pay a monthly flat fee, i.e. the Distribution License Fee. </w:t>
      </w:r>
      <w:r w:rsidR="00FD530C" w:rsidRPr="00F6575F">
        <w:rPr>
          <w:rFonts w:ascii="Arial" w:eastAsia="Calibri" w:hAnsi="Arial" w:cs="Arial"/>
          <w:sz w:val="22"/>
          <w:szCs w:val="22"/>
          <w:lang w:val="en-US" w:eastAsia="en-US"/>
        </w:rPr>
        <w:t>U</w:t>
      </w:r>
      <w:r w:rsidR="00277516" w:rsidRPr="00F6575F">
        <w:rPr>
          <w:rFonts w:ascii="Arial" w:eastAsia="Calibri" w:hAnsi="Arial" w:cs="Arial"/>
          <w:sz w:val="22"/>
          <w:szCs w:val="22"/>
          <w:lang w:val="en-US" w:eastAsia="en-US"/>
        </w:rPr>
        <w:t>sers</w:t>
      </w:r>
      <w:r w:rsidR="00FD530C" w:rsidRPr="00F6575F">
        <w:rPr>
          <w:rFonts w:ascii="Arial" w:eastAsia="Calibri" w:hAnsi="Arial" w:cs="Arial"/>
          <w:sz w:val="22"/>
          <w:szCs w:val="22"/>
          <w:lang w:val="en-US" w:eastAsia="en-US"/>
        </w:rPr>
        <w:t xml:space="preserve"> of respective product/service offerings</w:t>
      </w:r>
      <w:r w:rsidR="00277516" w:rsidRPr="00F6575F">
        <w:rPr>
          <w:rFonts w:ascii="Arial" w:eastAsia="Calibri" w:hAnsi="Arial" w:cs="Arial"/>
          <w:sz w:val="22"/>
          <w:szCs w:val="22"/>
          <w:lang w:val="en-US" w:eastAsia="en-US"/>
        </w:rPr>
        <w:t xml:space="preserve">, however, can use </w:t>
      </w:r>
      <w:r w:rsidR="00FF3EDB" w:rsidRPr="00F6575F">
        <w:rPr>
          <w:rFonts w:ascii="Arial" w:eastAsia="Calibri" w:hAnsi="Arial" w:cs="Arial"/>
          <w:sz w:val="22"/>
          <w:szCs w:val="22"/>
          <w:lang w:val="en-US" w:eastAsia="en-US"/>
        </w:rPr>
        <w:t>DBG</w:t>
      </w:r>
      <w:r w:rsidR="00277516" w:rsidRPr="00F6575F">
        <w:rPr>
          <w:rFonts w:ascii="Arial" w:eastAsia="Calibri" w:hAnsi="Arial" w:cs="Arial"/>
          <w:sz w:val="22"/>
          <w:szCs w:val="22"/>
          <w:lang w:val="en-US" w:eastAsia="en-US"/>
        </w:rPr>
        <w:t xml:space="preserve">’s </w:t>
      </w:r>
      <w:r w:rsidR="00852EA2" w:rsidRPr="00F6575F">
        <w:rPr>
          <w:rFonts w:ascii="Arial" w:eastAsia="Calibri" w:hAnsi="Arial" w:cs="Arial"/>
          <w:sz w:val="22"/>
          <w:szCs w:val="22"/>
          <w:lang w:val="en-US" w:eastAsia="en-US"/>
        </w:rPr>
        <w:t>d</w:t>
      </w:r>
      <w:r w:rsidR="00277516" w:rsidRPr="00F6575F">
        <w:rPr>
          <w:rFonts w:ascii="Arial" w:eastAsia="Calibri" w:hAnsi="Arial" w:cs="Arial"/>
          <w:sz w:val="22"/>
          <w:szCs w:val="22"/>
          <w:lang w:val="en-US" w:eastAsia="en-US"/>
        </w:rPr>
        <w:t xml:space="preserve">elayed </w:t>
      </w:r>
      <w:r w:rsidR="00852EA2" w:rsidRPr="00F6575F">
        <w:rPr>
          <w:rFonts w:ascii="Arial" w:eastAsia="Calibri" w:hAnsi="Arial" w:cs="Arial"/>
          <w:sz w:val="22"/>
          <w:szCs w:val="22"/>
          <w:lang w:val="en-US" w:eastAsia="en-US"/>
        </w:rPr>
        <w:t>d</w:t>
      </w:r>
      <w:r w:rsidR="00277516" w:rsidRPr="00F6575F">
        <w:rPr>
          <w:rFonts w:ascii="Arial" w:eastAsia="Calibri" w:hAnsi="Arial" w:cs="Arial"/>
          <w:sz w:val="22"/>
          <w:szCs w:val="22"/>
          <w:lang w:val="en-US" w:eastAsia="en-US"/>
        </w:rPr>
        <w:t>ata in a streaming mode free of any exchange data fees.</w:t>
      </w:r>
    </w:p>
    <w:p w14:paraId="793AA46E" w14:textId="51E26E50" w:rsidR="00434C09" w:rsidRPr="00F6575F" w:rsidRDefault="00434C09" w:rsidP="007601FA">
      <w:pPr>
        <w:pStyle w:val="Default"/>
        <w:spacing w:after="160"/>
        <w:jc w:val="both"/>
        <w:rPr>
          <w:rFonts w:eastAsia="Calibri"/>
          <w:sz w:val="22"/>
          <w:szCs w:val="22"/>
        </w:rPr>
      </w:pPr>
      <w:r w:rsidRPr="00F6575F">
        <w:rPr>
          <w:rFonts w:eastAsia="Calibri"/>
          <w:sz w:val="22"/>
          <w:szCs w:val="22"/>
        </w:rPr>
        <w:t>Furthermore, DBG strongly appreciates ESMA’s general support as regards a simple registration or simple agreement by the user of delayed data</w:t>
      </w:r>
      <w:r w:rsidR="008A75A4" w:rsidRPr="00F6575F">
        <w:rPr>
          <w:rFonts w:eastAsia="Calibri"/>
          <w:sz w:val="22"/>
          <w:szCs w:val="22"/>
        </w:rPr>
        <w:t xml:space="preserve">, and we suggest that ESMA explicitly mentions this within their Guidelines. </w:t>
      </w:r>
      <w:r w:rsidRPr="00F6575F">
        <w:rPr>
          <w:rFonts w:eastAsia="Calibri"/>
          <w:sz w:val="22"/>
          <w:szCs w:val="22"/>
        </w:rPr>
        <w:t>DBG strongly suggests that this should include a brief clarification of rights and liabilities in a light fashion. This registration / agreement should as well include the acknowledgement, that the delayed data taken from the website will be used exclusively for own purposes. The disclaimer as such refers to rights and liabilities in the context with using the data provided by DBG.</w:t>
      </w:r>
    </w:p>
    <w:p w14:paraId="0FAD1AA4" w14:textId="128BCC7E" w:rsidR="00434C09" w:rsidRPr="00F6575F" w:rsidRDefault="00434C09" w:rsidP="007601FA">
      <w:pPr>
        <w:spacing w:after="160"/>
        <w:jc w:val="both"/>
        <w:rPr>
          <w:rFonts w:ascii="Arial" w:eastAsia="Calibri" w:hAnsi="Arial" w:cs="Arial"/>
          <w:sz w:val="22"/>
          <w:szCs w:val="22"/>
          <w:lang w:val="en-US" w:eastAsia="en-US"/>
        </w:rPr>
      </w:pPr>
      <w:bookmarkStart w:id="16" w:name="_Hlk59467371"/>
      <w:r w:rsidRPr="00F6575F">
        <w:rPr>
          <w:rFonts w:ascii="Arial" w:eastAsia="Calibri" w:hAnsi="Arial" w:cs="Arial"/>
          <w:sz w:val="22"/>
          <w:szCs w:val="22"/>
          <w:lang w:val="en-US" w:eastAsia="en-US"/>
        </w:rPr>
        <w:t xml:space="preserve">Guideline 14: The access to the delayed data should be provided to both professional and non-processional customers. It is acceptable for market data providers to require a simple registration </w:t>
      </w:r>
      <w:r w:rsidRPr="00F6575F">
        <w:rPr>
          <w:rFonts w:ascii="Arial" w:eastAsia="Calibri" w:hAnsi="Arial" w:cs="Arial"/>
          <w:color w:val="FF0000"/>
          <w:sz w:val="22"/>
          <w:szCs w:val="22"/>
          <w:lang w:val="en-US" w:eastAsia="en-US"/>
        </w:rPr>
        <w:t xml:space="preserve">or agreement </w:t>
      </w:r>
      <w:r w:rsidRPr="00F6575F">
        <w:rPr>
          <w:rFonts w:ascii="Arial" w:eastAsia="Calibri" w:hAnsi="Arial" w:cs="Arial"/>
          <w:sz w:val="22"/>
          <w:szCs w:val="22"/>
          <w:lang w:val="en-US" w:eastAsia="en-US"/>
        </w:rPr>
        <w:t xml:space="preserve">for the purpose of monitoring who has access to the data </w:t>
      </w:r>
      <w:r w:rsidRPr="00F6575F">
        <w:rPr>
          <w:rFonts w:ascii="Arial" w:eastAsia="Calibri" w:hAnsi="Arial" w:cs="Arial"/>
          <w:color w:val="FF0000"/>
          <w:sz w:val="22"/>
          <w:szCs w:val="22"/>
          <w:lang w:val="en-US" w:eastAsia="en-US"/>
        </w:rPr>
        <w:t>as well as the clarification of rights and liabilities</w:t>
      </w:r>
      <w:r w:rsidRPr="00F6575F">
        <w:rPr>
          <w:rFonts w:ascii="Arial" w:eastAsia="Calibri" w:hAnsi="Arial" w:cs="Arial"/>
          <w:sz w:val="22"/>
          <w:szCs w:val="22"/>
          <w:lang w:val="en-US" w:eastAsia="en-US"/>
        </w:rPr>
        <w:t xml:space="preserve">. The delayed data publications should cover all the </w:t>
      </w:r>
      <w:r w:rsidRPr="00F6575F">
        <w:rPr>
          <w:rFonts w:ascii="Arial" w:eastAsia="Calibri" w:hAnsi="Arial" w:cs="Arial"/>
          <w:strike/>
          <w:color w:val="FF0000"/>
          <w:sz w:val="22"/>
          <w:szCs w:val="22"/>
          <w:lang w:val="en-US" w:eastAsia="en-US"/>
        </w:rPr>
        <w:t>trading systems operated by the trading venues</w:t>
      </w:r>
      <w:r w:rsidRPr="00F6575F">
        <w:rPr>
          <w:rFonts w:ascii="Arial" w:eastAsia="Calibri" w:hAnsi="Arial" w:cs="Arial"/>
          <w:color w:val="FF0000"/>
          <w:sz w:val="22"/>
          <w:szCs w:val="22"/>
          <w:u w:val="single"/>
          <w:lang w:val="en-US" w:eastAsia="en-US"/>
        </w:rPr>
        <w:t xml:space="preserve"> </w:t>
      </w:r>
      <w:r w:rsidRPr="00F6575F">
        <w:rPr>
          <w:rFonts w:ascii="Arial" w:eastAsia="Calibri" w:hAnsi="Arial" w:cs="Arial"/>
          <w:color w:val="FF0000"/>
          <w:sz w:val="22"/>
          <w:szCs w:val="22"/>
          <w:lang w:val="en-US" w:eastAsia="en-US"/>
        </w:rPr>
        <w:t>relevant information as defined within the regulation</w:t>
      </w:r>
      <w:r w:rsidRPr="00F6575F">
        <w:rPr>
          <w:rFonts w:ascii="Arial" w:eastAsia="Calibri" w:hAnsi="Arial" w:cs="Arial"/>
          <w:sz w:val="22"/>
          <w:szCs w:val="22"/>
          <w:lang w:val="en-US" w:eastAsia="en-US"/>
        </w:rPr>
        <w:t>.</w:t>
      </w:r>
      <w:r w:rsidR="00BF5D00" w:rsidRPr="00F6575F">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 xml:space="preserve">The post-trade data should contain all the </w:t>
      </w:r>
      <w:r w:rsidRPr="00F6575F">
        <w:rPr>
          <w:rFonts w:ascii="Arial" w:eastAsia="Calibri" w:hAnsi="Arial" w:cs="Arial"/>
          <w:color w:val="FF0000"/>
          <w:sz w:val="22"/>
          <w:szCs w:val="22"/>
          <w:lang w:val="en-US" w:eastAsia="en-US"/>
        </w:rPr>
        <w:t xml:space="preserve">content of the </w:t>
      </w:r>
      <w:r w:rsidRPr="00F6575F">
        <w:rPr>
          <w:rFonts w:ascii="Arial" w:eastAsia="Calibri" w:hAnsi="Arial" w:cs="Arial"/>
          <w:sz w:val="22"/>
          <w:szCs w:val="22"/>
          <w:lang w:val="en-US" w:eastAsia="en-US"/>
        </w:rPr>
        <w:t xml:space="preserve">relevant fields for the purpose of post-trade transparency, including flags, as specified in RTS 1 and 2. For pre-trade delayed data, given the operational challenges resulting from high volumes of pre-trade data on one hand, and the requirements of data users on the other hand, it is considered sufficient to only include the first current best bid and offer prices available. </w:t>
      </w:r>
    </w:p>
    <w:bookmarkEnd w:id="16"/>
    <w:p w14:paraId="239E24F9"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&lt;ESMA_QUESTION_GOMD_24&gt;</w:t>
      </w:r>
    </w:p>
    <w:p w14:paraId="04FD359C" w14:textId="77777777" w:rsidR="00984423" w:rsidRPr="004D4238" w:rsidRDefault="00984423" w:rsidP="00984423">
      <w:pPr>
        <w:spacing w:after="160" w:line="259" w:lineRule="auto"/>
        <w:rPr>
          <w:rFonts w:ascii="Arial" w:eastAsia="Calibri" w:hAnsi="Arial" w:cs="Arial"/>
          <w:sz w:val="22"/>
          <w:szCs w:val="22"/>
          <w:lang w:val="en-US" w:eastAsia="en-US"/>
        </w:rPr>
      </w:pPr>
    </w:p>
    <w:p w14:paraId="00FE4A4A"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Q25: Do you agree with the definitions of data-distribution and value-added services provided in Guideline 16? Please explain.</w:t>
      </w:r>
    </w:p>
    <w:p w14:paraId="3FD431DF" w14:textId="34FFBDF9" w:rsidR="00D621BD" w:rsidRPr="004D4238" w:rsidRDefault="00984423" w:rsidP="00D621BD">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&lt;ESMA_QUESTION_GOMD_25&gt;</w:t>
      </w:r>
    </w:p>
    <w:p w14:paraId="5DCC3C83" w14:textId="52763900" w:rsidR="00D621BD" w:rsidRPr="00F6575F" w:rsidRDefault="00D621BD" w:rsidP="007601FA">
      <w:pPr>
        <w:spacing w:after="160"/>
        <w:jc w:val="both"/>
        <w:rPr>
          <w:rFonts w:ascii="Arial" w:eastAsia="Calibri" w:hAnsi="Arial" w:cs="Arial"/>
          <w:sz w:val="22"/>
          <w:szCs w:val="22"/>
          <w:lang w:val="en-US" w:eastAsia="en-US"/>
        </w:rPr>
      </w:pPr>
      <w:r w:rsidRPr="00F6575F">
        <w:rPr>
          <w:rFonts w:ascii="Arial" w:eastAsia="Calibri" w:hAnsi="Arial" w:cs="Arial"/>
          <w:sz w:val="22"/>
          <w:szCs w:val="22"/>
          <w:lang w:val="en-US" w:eastAsia="en-US"/>
        </w:rPr>
        <w:t xml:space="preserve">ESMA’s </w:t>
      </w:r>
      <w:r w:rsidR="00EA6753" w:rsidRPr="00F6575F">
        <w:rPr>
          <w:rFonts w:ascii="Arial" w:eastAsia="Calibri" w:hAnsi="Arial" w:cs="Arial"/>
          <w:sz w:val="22"/>
          <w:szCs w:val="22"/>
          <w:lang w:val="en-US" w:eastAsia="en-US"/>
        </w:rPr>
        <w:t>Q&amp;</w:t>
      </w:r>
      <w:r w:rsidRPr="00F6575F">
        <w:rPr>
          <w:rFonts w:ascii="Arial" w:eastAsia="Calibri" w:hAnsi="Arial" w:cs="Arial"/>
          <w:sz w:val="22"/>
          <w:szCs w:val="22"/>
          <w:lang w:val="en-US" w:eastAsia="en-US"/>
        </w:rPr>
        <w:t xml:space="preserve">A 10 significantly expands the provision of </w:t>
      </w:r>
      <w:r w:rsidR="003657C9"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3657C9"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ata from a streaming set of data to an ad interim database, which publishes and holds the data for up to 24 hours. This way, regulators ask for more compared to what otherwise would be understood as </w:t>
      </w:r>
      <w:r w:rsidR="003657C9"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 xml:space="preserve">elayed </w:t>
      </w:r>
      <w:r w:rsidR="003657C9" w:rsidRPr="00F6575F">
        <w:rPr>
          <w:rFonts w:ascii="Arial" w:eastAsia="Calibri" w:hAnsi="Arial" w:cs="Arial"/>
          <w:sz w:val="22"/>
          <w:szCs w:val="22"/>
          <w:lang w:val="en-US" w:eastAsia="en-US"/>
        </w:rPr>
        <w:t>d</w:t>
      </w:r>
      <w:r w:rsidRPr="00F6575F">
        <w:rPr>
          <w:rFonts w:ascii="Arial" w:eastAsia="Calibri" w:hAnsi="Arial" w:cs="Arial"/>
          <w:sz w:val="22"/>
          <w:szCs w:val="22"/>
          <w:lang w:val="en-US" w:eastAsia="en-US"/>
        </w:rPr>
        <w:t>ata: one set of data published 15 minutes after its creation and immediately being replaced by the next set in a sequential row</w:t>
      </w:r>
      <w:r w:rsidR="0072465B" w:rsidRPr="00F6575F">
        <w:rPr>
          <w:rFonts w:ascii="Arial" w:eastAsia="Calibri" w:hAnsi="Arial" w:cs="Arial"/>
          <w:sz w:val="22"/>
          <w:szCs w:val="22"/>
          <w:lang w:val="en-US" w:eastAsia="en-US"/>
        </w:rPr>
        <w:t xml:space="preserve"> of information</w:t>
      </w:r>
      <w:r w:rsidRPr="00F6575F">
        <w:rPr>
          <w:rFonts w:ascii="Arial" w:eastAsia="Calibri" w:hAnsi="Arial" w:cs="Arial"/>
          <w:sz w:val="22"/>
          <w:szCs w:val="22"/>
          <w:lang w:val="en-US" w:eastAsia="en-US"/>
        </w:rPr>
        <w:t xml:space="preserve">. In this context as well in the context of better </w:t>
      </w:r>
      <w:r w:rsidRPr="00F6575F">
        <w:rPr>
          <w:rFonts w:ascii="Arial" w:eastAsia="Calibri" w:hAnsi="Arial" w:cs="Arial"/>
          <w:sz w:val="22"/>
          <w:szCs w:val="22"/>
          <w:lang w:val="en-US" w:eastAsia="en-US"/>
        </w:rPr>
        <w:lastRenderedPageBreak/>
        <w:t xml:space="preserve">use by end users, we appreciate that at least in the area of pre-trade data ESMA </w:t>
      </w:r>
      <w:r w:rsidR="002B34CF" w:rsidRPr="00F6575F">
        <w:rPr>
          <w:rFonts w:ascii="Arial" w:eastAsia="Calibri" w:hAnsi="Arial" w:cs="Arial"/>
          <w:sz w:val="22"/>
          <w:szCs w:val="22"/>
          <w:lang w:val="en-US" w:eastAsia="en-US"/>
        </w:rPr>
        <w:t>considers adapting</w:t>
      </w:r>
      <w:r w:rsidRPr="00F6575F">
        <w:rPr>
          <w:rFonts w:ascii="Arial" w:eastAsia="Calibri" w:hAnsi="Arial" w:cs="Arial"/>
          <w:sz w:val="22"/>
          <w:szCs w:val="22"/>
          <w:lang w:val="en-US" w:eastAsia="en-US"/>
        </w:rPr>
        <w:t xml:space="preserve"> the requirements accordingly.</w:t>
      </w:r>
      <w:r w:rsidR="001321E3" w:rsidRPr="00F6575F">
        <w:rPr>
          <w:rFonts w:ascii="Arial" w:eastAsia="Calibri" w:hAnsi="Arial" w:cs="Arial"/>
          <w:sz w:val="22"/>
          <w:szCs w:val="22"/>
          <w:lang w:val="en-US" w:eastAsia="en-US"/>
        </w:rPr>
        <w:t xml:space="preserve"> We trust that trading venues would be free to change the </w:t>
      </w:r>
      <w:r w:rsidR="005767FB" w:rsidRPr="00F6575F">
        <w:rPr>
          <w:rFonts w:ascii="Arial" w:eastAsia="Calibri" w:hAnsi="Arial" w:cs="Arial"/>
          <w:sz w:val="22"/>
          <w:szCs w:val="22"/>
          <w:lang w:val="en-US" w:eastAsia="en-US"/>
        </w:rPr>
        <w:t>current delayed data provision compared to ESMA</w:t>
      </w:r>
      <w:r w:rsidR="003657C9" w:rsidRPr="00F6575F">
        <w:rPr>
          <w:rFonts w:ascii="Arial" w:eastAsia="Calibri" w:hAnsi="Arial" w:cs="Arial"/>
          <w:sz w:val="22"/>
          <w:szCs w:val="22"/>
          <w:lang w:val="en-US" w:eastAsia="en-US"/>
        </w:rPr>
        <w:t>’</w:t>
      </w:r>
      <w:r w:rsidR="005767FB" w:rsidRPr="00F6575F">
        <w:rPr>
          <w:rFonts w:ascii="Arial" w:eastAsia="Calibri" w:hAnsi="Arial" w:cs="Arial"/>
          <w:sz w:val="22"/>
          <w:szCs w:val="22"/>
          <w:lang w:val="en-US" w:eastAsia="en-US"/>
        </w:rPr>
        <w:t xml:space="preserve">s </w:t>
      </w:r>
      <w:r w:rsidR="001321E3" w:rsidRPr="00F6575F">
        <w:rPr>
          <w:rFonts w:ascii="Arial" w:eastAsia="Calibri" w:hAnsi="Arial" w:cs="Arial"/>
          <w:sz w:val="22"/>
          <w:szCs w:val="22"/>
          <w:lang w:val="en-US" w:eastAsia="en-US"/>
        </w:rPr>
        <w:t>propos</w:t>
      </w:r>
      <w:r w:rsidR="005767FB" w:rsidRPr="00F6575F">
        <w:rPr>
          <w:rFonts w:ascii="Arial" w:eastAsia="Calibri" w:hAnsi="Arial" w:cs="Arial"/>
          <w:sz w:val="22"/>
          <w:szCs w:val="22"/>
          <w:lang w:val="en-US" w:eastAsia="en-US"/>
        </w:rPr>
        <w:t>ed solution</w:t>
      </w:r>
      <w:r w:rsidR="001321E3" w:rsidRPr="00F6575F">
        <w:rPr>
          <w:rFonts w:ascii="Arial" w:eastAsia="Calibri" w:hAnsi="Arial" w:cs="Arial"/>
          <w:sz w:val="22"/>
          <w:szCs w:val="22"/>
          <w:lang w:val="en-US" w:eastAsia="en-US"/>
        </w:rPr>
        <w:t xml:space="preserve"> at any time</w:t>
      </w:r>
      <w:r w:rsidR="008A75A4" w:rsidRPr="00F6575F">
        <w:rPr>
          <w:rFonts w:ascii="Arial" w:eastAsia="Calibri" w:hAnsi="Arial" w:cs="Arial"/>
          <w:sz w:val="22"/>
          <w:szCs w:val="22"/>
          <w:lang w:val="en-US" w:eastAsia="en-US"/>
        </w:rPr>
        <w:t xml:space="preserve"> on their discretion</w:t>
      </w:r>
      <w:r w:rsidR="001321E3" w:rsidRPr="00F6575F">
        <w:rPr>
          <w:rFonts w:ascii="Arial" w:eastAsia="Calibri" w:hAnsi="Arial" w:cs="Arial"/>
          <w:sz w:val="22"/>
          <w:szCs w:val="22"/>
          <w:lang w:val="en-US" w:eastAsia="en-US"/>
        </w:rPr>
        <w:t xml:space="preserve">, </w:t>
      </w:r>
      <w:r w:rsidR="008A75A4" w:rsidRPr="00F6575F">
        <w:rPr>
          <w:rFonts w:ascii="Arial" w:eastAsia="Calibri" w:hAnsi="Arial" w:cs="Arial"/>
          <w:sz w:val="22"/>
          <w:szCs w:val="22"/>
          <w:lang w:val="en-US" w:eastAsia="en-US"/>
        </w:rPr>
        <w:t xml:space="preserve">once </w:t>
      </w:r>
      <w:r w:rsidR="001321E3" w:rsidRPr="00F6575F">
        <w:rPr>
          <w:rFonts w:ascii="Arial" w:eastAsia="Calibri" w:hAnsi="Arial" w:cs="Arial"/>
          <w:sz w:val="22"/>
          <w:szCs w:val="22"/>
          <w:lang w:val="en-US" w:eastAsia="en-US"/>
        </w:rPr>
        <w:t xml:space="preserve">the </w:t>
      </w:r>
      <w:r w:rsidR="00852EA2" w:rsidRPr="00F6575F">
        <w:rPr>
          <w:rFonts w:ascii="Arial" w:eastAsia="Calibri" w:hAnsi="Arial" w:cs="Arial"/>
          <w:sz w:val="22"/>
          <w:szCs w:val="22"/>
          <w:lang w:val="en-US" w:eastAsia="en-US"/>
        </w:rPr>
        <w:t>g</w:t>
      </w:r>
      <w:r w:rsidR="001321E3" w:rsidRPr="00F6575F">
        <w:rPr>
          <w:rFonts w:ascii="Arial" w:eastAsia="Calibri" w:hAnsi="Arial" w:cs="Arial"/>
          <w:sz w:val="22"/>
          <w:szCs w:val="22"/>
          <w:lang w:val="en-US" w:eastAsia="en-US"/>
        </w:rPr>
        <w:t>uidelines</w:t>
      </w:r>
      <w:r w:rsidR="008A75A4" w:rsidRPr="00F6575F">
        <w:rPr>
          <w:rFonts w:ascii="Arial" w:eastAsia="Calibri" w:hAnsi="Arial" w:cs="Arial"/>
          <w:sz w:val="22"/>
          <w:szCs w:val="22"/>
          <w:lang w:val="en-US" w:eastAsia="en-US"/>
        </w:rPr>
        <w:t xml:space="preserve"> are being implemented</w:t>
      </w:r>
      <w:r w:rsidR="00112939" w:rsidRPr="00F6575F">
        <w:rPr>
          <w:rFonts w:ascii="Arial" w:eastAsia="Calibri" w:hAnsi="Arial" w:cs="Arial"/>
          <w:sz w:val="22"/>
          <w:szCs w:val="22"/>
          <w:lang w:val="en-US" w:eastAsia="en-US"/>
        </w:rPr>
        <w:t xml:space="preserve">. </w:t>
      </w:r>
      <w:r w:rsidR="008A75A4" w:rsidRPr="00F6575F">
        <w:rPr>
          <w:rFonts w:ascii="Arial" w:eastAsia="Calibri" w:hAnsi="Arial" w:cs="Arial"/>
          <w:sz w:val="22"/>
          <w:szCs w:val="22"/>
          <w:lang w:val="en-US" w:eastAsia="en-US"/>
        </w:rPr>
        <w:t>Of course</w:t>
      </w:r>
      <w:r w:rsidR="00112939" w:rsidRPr="00F6575F">
        <w:rPr>
          <w:rFonts w:ascii="Arial" w:eastAsia="Calibri" w:hAnsi="Arial" w:cs="Arial"/>
          <w:sz w:val="22"/>
          <w:szCs w:val="22"/>
          <w:lang w:val="en-US" w:eastAsia="en-US"/>
        </w:rPr>
        <w:t>,</w:t>
      </w:r>
      <w:r w:rsidR="008A75A4" w:rsidRPr="00F6575F">
        <w:rPr>
          <w:rFonts w:ascii="Arial" w:eastAsia="Calibri" w:hAnsi="Arial" w:cs="Arial"/>
          <w:sz w:val="22"/>
          <w:szCs w:val="22"/>
          <w:lang w:val="en-US" w:eastAsia="en-US"/>
        </w:rPr>
        <w:t xml:space="preserve"> we understand that this option should only apply</w:t>
      </w:r>
      <w:r w:rsidR="005767FB" w:rsidRPr="00F6575F">
        <w:rPr>
          <w:rFonts w:ascii="Arial" w:eastAsia="Calibri" w:hAnsi="Arial" w:cs="Arial"/>
          <w:sz w:val="22"/>
          <w:szCs w:val="22"/>
          <w:lang w:val="en-US" w:eastAsia="en-US"/>
        </w:rPr>
        <w:t xml:space="preserve"> in case the trading venue</w:t>
      </w:r>
      <w:r w:rsidR="00B40EE9" w:rsidRPr="00F6575F">
        <w:rPr>
          <w:rFonts w:ascii="Arial" w:eastAsia="Calibri" w:hAnsi="Arial" w:cs="Arial"/>
          <w:sz w:val="22"/>
          <w:szCs w:val="22"/>
          <w:lang w:val="en-US" w:eastAsia="en-US"/>
        </w:rPr>
        <w:t xml:space="preserve"> in question</w:t>
      </w:r>
      <w:r w:rsidR="005767FB" w:rsidRPr="00F6575F">
        <w:rPr>
          <w:rFonts w:ascii="Arial" w:eastAsia="Calibri" w:hAnsi="Arial" w:cs="Arial"/>
          <w:sz w:val="22"/>
          <w:szCs w:val="22"/>
          <w:lang w:val="en-US" w:eastAsia="en-US"/>
        </w:rPr>
        <w:t xml:space="preserve"> does not provide less than </w:t>
      </w:r>
      <w:r w:rsidR="00B40EE9" w:rsidRPr="00F6575F">
        <w:rPr>
          <w:rFonts w:ascii="Arial" w:eastAsia="Calibri" w:hAnsi="Arial" w:cs="Arial"/>
          <w:sz w:val="22"/>
          <w:szCs w:val="22"/>
          <w:lang w:val="en-US" w:eastAsia="en-US"/>
        </w:rPr>
        <w:t xml:space="preserve">the </w:t>
      </w:r>
      <w:r w:rsidR="005767FB" w:rsidRPr="00F6575F">
        <w:rPr>
          <w:rFonts w:ascii="Arial" w:eastAsia="Calibri" w:hAnsi="Arial" w:cs="Arial"/>
          <w:sz w:val="22"/>
          <w:szCs w:val="22"/>
          <w:lang w:val="en-US" w:eastAsia="en-US"/>
        </w:rPr>
        <w:t>required transparency</w:t>
      </w:r>
      <w:r w:rsidR="008A75A4" w:rsidRPr="00F6575F">
        <w:rPr>
          <w:rFonts w:ascii="Arial" w:eastAsia="Calibri" w:hAnsi="Arial" w:cs="Arial"/>
          <w:sz w:val="22"/>
          <w:szCs w:val="22"/>
          <w:lang w:val="en-US" w:eastAsia="en-US"/>
        </w:rPr>
        <w:t xml:space="preserve"> before the adaption required by the </w:t>
      </w:r>
      <w:r w:rsidR="003657C9" w:rsidRPr="00F6575F">
        <w:rPr>
          <w:rFonts w:ascii="Arial" w:eastAsia="Calibri" w:hAnsi="Arial" w:cs="Arial"/>
          <w:sz w:val="22"/>
          <w:szCs w:val="22"/>
          <w:lang w:val="en-US" w:eastAsia="en-US"/>
        </w:rPr>
        <w:t>g</w:t>
      </w:r>
      <w:r w:rsidR="008A75A4" w:rsidRPr="00F6575F">
        <w:rPr>
          <w:rFonts w:ascii="Arial" w:eastAsia="Calibri" w:hAnsi="Arial" w:cs="Arial"/>
          <w:sz w:val="22"/>
          <w:szCs w:val="22"/>
          <w:lang w:val="en-US" w:eastAsia="en-US"/>
        </w:rPr>
        <w:t>uidelines</w:t>
      </w:r>
      <w:r w:rsidR="005767FB" w:rsidRPr="00F6575F">
        <w:rPr>
          <w:rFonts w:ascii="Arial" w:eastAsia="Calibri" w:hAnsi="Arial" w:cs="Arial"/>
          <w:sz w:val="22"/>
          <w:szCs w:val="22"/>
          <w:lang w:val="en-US" w:eastAsia="en-US"/>
        </w:rPr>
        <w:t xml:space="preserve">. </w:t>
      </w:r>
      <w:r w:rsidR="00926101" w:rsidRPr="00F6575F">
        <w:rPr>
          <w:rFonts w:ascii="Arial" w:eastAsia="Calibri" w:hAnsi="Arial" w:cs="Arial"/>
          <w:sz w:val="22"/>
          <w:szCs w:val="22"/>
          <w:lang w:val="en-US" w:eastAsia="en-US"/>
        </w:rPr>
        <w:t>In case that was not the case, we kindly ask ESMA to consider that technical adaptions usually require sufficient time</w:t>
      </w:r>
      <w:r w:rsidR="00434C09" w:rsidRPr="00F6575F">
        <w:rPr>
          <w:rFonts w:ascii="Arial" w:eastAsia="Calibri" w:hAnsi="Arial" w:cs="Arial"/>
          <w:sz w:val="22"/>
          <w:szCs w:val="22"/>
          <w:lang w:val="en-US" w:eastAsia="en-US"/>
        </w:rPr>
        <w:t xml:space="preserve"> for orderly and reliable implementation</w:t>
      </w:r>
      <w:r w:rsidR="00B40EE9" w:rsidRPr="00F6575F">
        <w:rPr>
          <w:rFonts w:ascii="Arial" w:eastAsia="Calibri" w:hAnsi="Arial" w:cs="Arial"/>
          <w:sz w:val="22"/>
          <w:szCs w:val="22"/>
          <w:lang w:val="en-US" w:eastAsia="en-US"/>
        </w:rPr>
        <w:t xml:space="preserve">. Please note that we at least recommend three quarters of a year at minimum to be </w:t>
      </w:r>
      <w:r w:rsidR="0086793B" w:rsidRPr="00F6575F">
        <w:rPr>
          <w:rFonts w:ascii="Arial" w:eastAsia="Calibri" w:hAnsi="Arial" w:cs="Arial"/>
          <w:sz w:val="22"/>
          <w:szCs w:val="22"/>
          <w:lang w:val="en-US" w:eastAsia="en-US"/>
        </w:rPr>
        <w:t xml:space="preserve">on </w:t>
      </w:r>
      <w:r w:rsidR="00B40EE9" w:rsidRPr="00F6575F">
        <w:rPr>
          <w:rFonts w:ascii="Arial" w:eastAsia="Calibri" w:hAnsi="Arial" w:cs="Arial"/>
          <w:sz w:val="22"/>
          <w:szCs w:val="22"/>
          <w:lang w:val="en-US" w:eastAsia="en-US"/>
        </w:rPr>
        <w:t>the save side</w:t>
      </w:r>
      <w:r w:rsidR="00926101" w:rsidRPr="00F6575F">
        <w:rPr>
          <w:rFonts w:ascii="Arial" w:eastAsia="Calibri" w:hAnsi="Arial" w:cs="Arial"/>
          <w:sz w:val="22"/>
          <w:szCs w:val="22"/>
          <w:lang w:val="en-US" w:eastAsia="en-US"/>
        </w:rPr>
        <w:t xml:space="preserve">. </w:t>
      </w:r>
      <w:r w:rsidR="001321E3" w:rsidRPr="00F6575F">
        <w:rPr>
          <w:rFonts w:ascii="Arial" w:eastAsia="Calibri" w:hAnsi="Arial" w:cs="Arial"/>
          <w:sz w:val="22"/>
          <w:szCs w:val="22"/>
          <w:lang w:val="en-US" w:eastAsia="en-US"/>
        </w:rPr>
        <w:t xml:space="preserve">In this context, please see </w:t>
      </w:r>
      <w:r w:rsidR="002B34CF" w:rsidRPr="00F6575F">
        <w:rPr>
          <w:rFonts w:ascii="Arial" w:eastAsia="Calibri" w:hAnsi="Arial" w:cs="Arial"/>
          <w:sz w:val="22"/>
          <w:szCs w:val="22"/>
          <w:lang w:val="en-US" w:eastAsia="en-US"/>
        </w:rPr>
        <w:t>our comments as well</w:t>
      </w:r>
      <w:r w:rsidR="001321E3" w:rsidRPr="00F6575F">
        <w:rPr>
          <w:rFonts w:ascii="Arial" w:eastAsia="Calibri" w:hAnsi="Arial" w:cs="Arial"/>
          <w:sz w:val="22"/>
          <w:szCs w:val="22"/>
          <w:lang w:val="en-US" w:eastAsia="en-US"/>
        </w:rPr>
        <w:t xml:space="preserve"> to Q23.</w:t>
      </w:r>
    </w:p>
    <w:p w14:paraId="443D4996" w14:textId="6BE28580" w:rsidR="00434C09" w:rsidRPr="00F6575F" w:rsidRDefault="001321E3" w:rsidP="007601FA">
      <w:pPr>
        <w:pStyle w:val="Default"/>
        <w:spacing w:after="160"/>
        <w:jc w:val="both"/>
        <w:rPr>
          <w:rFonts w:eastAsia="Calibri"/>
          <w:color w:val="auto"/>
          <w:sz w:val="22"/>
          <w:szCs w:val="22"/>
        </w:rPr>
      </w:pPr>
      <w:r w:rsidRPr="00F6575F">
        <w:rPr>
          <w:rFonts w:eastAsia="Calibri"/>
          <w:color w:val="auto"/>
          <w:sz w:val="22"/>
          <w:szCs w:val="22"/>
        </w:rPr>
        <w:t xml:space="preserve">Furthermore, high quality data is costly to produce, and valuable for investors but as well for all different users including commercial third parties. This applies of course as well for 15 minutes delayed data. Making data available on </w:t>
      </w:r>
      <w:r w:rsidR="00FF3EDB" w:rsidRPr="00F6575F">
        <w:rPr>
          <w:rFonts w:eastAsia="Calibri"/>
          <w:color w:val="auto"/>
          <w:sz w:val="22"/>
          <w:szCs w:val="22"/>
        </w:rPr>
        <w:t>DBG</w:t>
      </w:r>
      <w:r w:rsidRPr="00F6575F">
        <w:rPr>
          <w:rFonts w:eastAsia="Calibri"/>
          <w:color w:val="auto"/>
          <w:sz w:val="22"/>
          <w:szCs w:val="22"/>
        </w:rPr>
        <w:t xml:space="preserve">’s homepage further adds to the cost of producing and disseminating market data. </w:t>
      </w:r>
      <w:r w:rsidR="00C865AD" w:rsidRPr="00F6575F">
        <w:rPr>
          <w:rFonts w:eastAsia="Calibri"/>
          <w:color w:val="auto"/>
          <w:sz w:val="22"/>
          <w:szCs w:val="22"/>
        </w:rPr>
        <w:t xml:space="preserve">Therefore, </w:t>
      </w:r>
      <w:r w:rsidR="00852EA2" w:rsidRPr="00F6575F">
        <w:rPr>
          <w:rFonts w:eastAsia="Calibri"/>
          <w:color w:val="auto"/>
          <w:sz w:val="22"/>
          <w:szCs w:val="22"/>
        </w:rPr>
        <w:t>d</w:t>
      </w:r>
      <w:r w:rsidR="00C865AD" w:rsidRPr="00F6575F">
        <w:rPr>
          <w:rFonts w:eastAsia="Calibri"/>
          <w:color w:val="auto"/>
          <w:sz w:val="22"/>
          <w:szCs w:val="22"/>
        </w:rPr>
        <w:t xml:space="preserve">elayed </w:t>
      </w:r>
      <w:r w:rsidR="00852EA2" w:rsidRPr="00F6575F">
        <w:rPr>
          <w:rFonts w:eastAsia="Calibri"/>
          <w:color w:val="auto"/>
          <w:sz w:val="22"/>
          <w:szCs w:val="22"/>
        </w:rPr>
        <w:t>d</w:t>
      </w:r>
      <w:r w:rsidR="00C865AD" w:rsidRPr="00F6575F">
        <w:rPr>
          <w:rFonts w:eastAsia="Calibri"/>
          <w:color w:val="auto"/>
          <w:sz w:val="22"/>
          <w:szCs w:val="22"/>
        </w:rPr>
        <w:t>ata should be free of charge only for end users for the purpose of investor protection, rather than privileging professional business entities building viable market data vending businesses based on such data. The latter would clearly be disproportionate in our view.</w:t>
      </w:r>
      <w:r w:rsidR="00434C09" w:rsidRPr="00F6575F">
        <w:rPr>
          <w:rFonts w:eastAsia="Calibri"/>
          <w:color w:val="auto"/>
          <w:sz w:val="22"/>
          <w:szCs w:val="22"/>
        </w:rPr>
        <w:t xml:space="preserve"> </w:t>
      </w:r>
    </w:p>
    <w:p w14:paraId="2E79A1F1" w14:textId="39CFB05F" w:rsidR="00C865AD" w:rsidRPr="00F6575F" w:rsidRDefault="00C865AD" w:rsidP="007601FA">
      <w:pPr>
        <w:pStyle w:val="Default"/>
        <w:spacing w:after="160"/>
        <w:jc w:val="both"/>
        <w:rPr>
          <w:rFonts w:eastAsia="Calibri"/>
          <w:color w:val="auto"/>
          <w:sz w:val="22"/>
          <w:szCs w:val="22"/>
        </w:rPr>
      </w:pPr>
      <w:r w:rsidRPr="00F6575F">
        <w:rPr>
          <w:rFonts w:eastAsia="Calibri"/>
          <w:color w:val="auto"/>
          <w:sz w:val="22"/>
          <w:szCs w:val="22"/>
        </w:rPr>
        <w:t xml:space="preserve">“Where a delayed data user publishes delayed data on its website, but does not charge for that access, it should not be considered as data re-distribution for the purpose of this guideline”, second paragraph </w:t>
      </w:r>
      <w:r w:rsidR="003657C9" w:rsidRPr="00F6575F">
        <w:rPr>
          <w:rFonts w:eastAsia="Calibri"/>
          <w:color w:val="auto"/>
          <w:sz w:val="22"/>
          <w:szCs w:val="22"/>
        </w:rPr>
        <w:t xml:space="preserve">of </w:t>
      </w:r>
      <w:r w:rsidR="00852EA2" w:rsidRPr="00F6575F">
        <w:rPr>
          <w:rFonts w:eastAsia="Calibri"/>
          <w:color w:val="auto"/>
          <w:sz w:val="22"/>
          <w:szCs w:val="22"/>
        </w:rPr>
        <w:t>d</w:t>
      </w:r>
      <w:r w:rsidRPr="00F6575F">
        <w:rPr>
          <w:rFonts w:eastAsia="Calibri"/>
          <w:color w:val="auto"/>
          <w:sz w:val="22"/>
          <w:szCs w:val="22"/>
        </w:rPr>
        <w:t xml:space="preserve">raft </w:t>
      </w:r>
      <w:r w:rsidR="00852EA2" w:rsidRPr="00F6575F">
        <w:rPr>
          <w:rFonts w:eastAsia="Calibri"/>
          <w:color w:val="auto"/>
          <w:sz w:val="22"/>
          <w:szCs w:val="22"/>
        </w:rPr>
        <w:t>g</w:t>
      </w:r>
      <w:r w:rsidRPr="00F6575F">
        <w:rPr>
          <w:rFonts w:eastAsia="Calibri"/>
          <w:color w:val="auto"/>
          <w:sz w:val="22"/>
          <w:szCs w:val="22"/>
        </w:rPr>
        <w:t xml:space="preserve">uideline 16. From a legal perspective, </w:t>
      </w:r>
      <w:r w:rsidR="00D32B19" w:rsidRPr="00F6575F">
        <w:rPr>
          <w:rFonts w:eastAsia="Calibri"/>
          <w:color w:val="auto"/>
          <w:sz w:val="22"/>
          <w:szCs w:val="22"/>
        </w:rPr>
        <w:t>we are concerned that</w:t>
      </w:r>
      <w:r w:rsidRPr="00F6575F">
        <w:rPr>
          <w:rFonts w:eastAsia="Calibri"/>
          <w:color w:val="auto"/>
          <w:sz w:val="22"/>
          <w:szCs w:val="22"/>
        </w:rPr>
        <w:t xml:space="preserve"> this statement allows for a circumvention of the entire regime established by the ESMA Q&amp;As on transparency issues. Q&amp;A 9</w:t>
      </w:r>
      <w:r w:rsidR="0024438C" w:rsidRPr="00F6575F">
        <w:rPr>
          <w:rFonts w:eastAsia="Calibri"/>
          <w:color w:val="auto"/>
          <w:sz w:val="22"/>
          <w:szCs w:val="22"/>
        </w:rPr>
        <w:t xml:space="preserve"> </w:t>
      </w:r>
      <w:r w:rsidRPr="00F6575F">
        <w:rPr>
          <w:rFonts w:eastAsia="Calibri"/>
          <w:color w:val="auto"/>
          <w:sz w:val="22"/>
          <w:szCs w:val="22"/>
        </w:rPr>
        <w:t>b specified that trading venues, APAs and CTP may not impose redistribution fees on redistributors or third parties, unless where redistributors/third parties charge for the distribution of data and or commerciali</w:t>
      </w:r>
      <w:r w:rsidR="00852EA2" w:rsidRPr="00F6575F">
        <w:rPr>
          <w:rFonts w:eastAsia="Calibri"/>
          <w:color w:val="auto"/>
          <w:sz w:val="22"/>
          <w:szCs w:val="22"/>
        </w:rPr>
        <w:t>z</w:t>
      </w:r>
      <w:r w:rsidRPr="00F6575F">
        <w:rPr>
          <w:rFonts w:eastAsia="Calibri"/>
          <w:color w:val="auto"/>
          <w:sz w:val="22"/>
          <w:szCs w:val="22"/>
        </w:rPr>
        <w:t>e value-added services created from such data.</w:t>
      </w:r>
      <w:r w:rsidR="0024438C" w:rsidRPr="00F6575F">
        <w:rPr>
          <w:rFonts w:eastAsia="Calibri"/>
          <w:color w:val="auto"/>
          <w:sz w:val="22"/>
          <w:szCs w:val="22"/>
        </w:rPr>
        <w:t xml:space="preserve"> </w:t>
      </w:r>
      <w:r w:rsidRPr="00F6575F">
        <w:rPr>
          <w:rFonts w:eastAsia="Calibri"/>
          <w:color w:val="auto"/>
          <w:sz w:val="22"/>
          <w:szCs w:val="22"/>
        </w:rPr>
        <w:t>If a new entity interposes itself between market data vendor and the redistributor resulting in the situation that the market data provider is not entitled any longer to charge for the data if the redistributor also charges its client for the data, but argues that the data was obtained by an independent entity which is interposed between the two, the regime can be circumvented.</w:t>
      </w:r>
    </w:p>
    <w:p w14:paraId="2DA094B1" w14:textId="78955186" w:rsidR="00305781" w:rsidRPr="00F6575F" w:rsidRDefault="001321E3" w:rsidP="007601FA">
      <w:pPr>
        <w:pStyle w:val="Default"/>
        <w:spacing w:after="160"/>
        <w:jc w:val="both"/>
        <w:rPr>
          <w:rFonts w:eastAsia="Calibri"/>
          <w:color w:val="auto"/>
          <w:sz w:val="22"/>
          <w:szCs w:val="22"/>
        </w:rPr>
      </w:pPr>
      <w:r w:rsidRPr="00F6575F">
        <w:rPr>
          <w:rFonts w:eastAsia="Calibri"/>
          <w:color w:val="auto"/>
          <w:sz w:val="22"/>
          <w:szCs w:val="22"/>
        </w:rPr>
        <w:t>In this context, we strongly appreciate ESMA</w:t>
      </w:r>
      <w:r w:rsidR="00EA6753" w:rsidRPr="00F6575F">
        <w:rPr>
          <w:rFonts w:eastAsia="Calibri"/>
          <w:color w:val="auto"/>
          <w:sz w:val="22"/>
          <w:szCs w:val="22"/>
        </w:rPr>
        <w:t>’</w:t>
      </w:r>
      <w:r w:rsidRPr="00F6575F">
        <w:rPr>
          <w:rFonts w:eastAsia="Calibri"/>
          <w:color w:val="auto"/>
          <w:sz w:val="22"/>
          <w:szCs w:val="22"/>
        </w:rPr>
        <w:t>s Q</w:t>
      </w:r>
      <w:r w:rsidR="00EA6753" w:rsidRPr="00F6575F">
        <w:rPr>
          <w:rFonts w:eastAsia="Calibri"/>
          <w:color w:val="auto"/>
          <w:sz w:val="22"/>
          <w:szCs w:val="22"/>
        </w:rPr>
        <w:t>&amp;</w:t>
      </w:r>
      <w:r w:rsidRPr="00F6575F">
        <w:rPr>
          <w:rFonts w:eastAsia="Calibri"/>
          <w:color w:val="auto"/>
          <w:sz w:val="22"/>
          <w:szCs w:val="22"/>
        </w:rPr>
        <w:t xml:space="preserve">A 9 allowing </w:t>
      </w:r>
      <w:r w:rsidR="00852EA2" w:rsidRPr="00F6575F">
        <w:rPr>
          <w:rFonts w:eastAsia="Calibri"/>
          <w:color w:val="auto"/>
          <w:sz w:val="22"/>
          <w:szCs w:val="22"/>
        </w:rPr>
        <w:t>t</w:t>
      </w:r>
      <w:r w:rsidRPr="00F6575F">
        <w:rPr>
          <w:rFonts w:eastAsia="Calibri"/>
          <w:color w:val="auto"/>
          <w:sz w:val="22"/>
          <w:szCs w:val="22"/>
        </w:rPr>
        <w:t xml:space="preserve">rading </w:t>
      </w:r>
      <w:r w:rsidR="00852EA2" w:rsidRPr="00F6575F">
        <w:rPr>
          <w:rFonts w:eastAsia="Calibri"/>
          <w:color w:val="auto"/>
          <w:sz w:val="22"/>
          <w:szCs w:val="22"/>
        </w:rPr>
        <w:t>v</w:t>
      </w:r>
      <w:r w:rsidRPr="00F6575F">
        <w:rPr>
          <w:rFonts w:eastAsia="Calibri"/>
          <w:color w:val="auto"/>
          <w:sz w:val="22"/>
          <w:szCs w:val="22"/>
        </w:rPr>
        <w:t xml:space="preserve">enues to charge third parties who are using the data for operating a commercial data vending business (e.g. onward dissemination of </w:t>
      </w:r>
      <w:r w:rsidR="00852EA2" w:rsidRPr="00F6575F">
        <w:rPr>
          <w:rFonts w:eastAsia="Calibri"/>
          <w:color w:val="auto"/>
          <w:sz w:val="22"/>
          <w:szCs w:val="22"/>
        </w:rPr>
        <w:t>d</w:t>
      </w:r>
      <w:r w:rsidRPr="00F6575F">
        <w:rPr>
          <w:rFonts w:eastAsia="Calibri"/>
          <w:color w:val="auto"/>
          <w:sz w:val="22"/>
          <w:szCs w:val="22"/>
        </w:rPr>
        <w:t xml:space="preserve">elayed </w:t>
      </w:r>
      <w:r w:rsidR="00852EA2" w:rsidRPr="00F6575F">
        <w:rPr>
          <w:rFonts w:eastAsia="Calibri"/>
          <w:color w:val="auto"/>
          <w:sz w:val="22"/>
          <w:szCs w:val="22"/>
        </w:rPr>
        <w:t>d</w:t>
      </w:r>
      <w:r w:rsidRPr="00F6575F">
        <w:rPr>
          <w:rFonts w:eastAsia="Calibri"/>
          <w:color w:val="auto"/>
          <w:sz w:val="22"/>
          <w:szCs w:val="22"/>
        </w:rPr>
        <w:t>ata in services for commercial benefits of such third parties). We strongly suggest that ESMA maintains the spirit of Q</w:t>
      </w:r>
      <w:r w:rsidR="00EA6753" w:rsidRPr="00F6575F">
        <w:rPr>
          <w:rFonts w:eastAsia="Calibri"/>
          <w:color w:val="auto"/>
          <w:sz w:val="22"/>
          <w:szCs w:val="22"/>
        </w:rPr>
        <w:t>&amp;</w:t>
      </w:r>
      <w:r w:rsidRPr="00F6575F">
        <w:rPr>
          <w:rFonts w:eastAsia="Calibri"/>
          <w:color w:val="auto"/>
          <w:sz w:val="22"/>
          <w:szCs w:val="22"/>
        </w:rPr>
        <w:t xml:space="preserve">A 9, or better strengthens it further, by clarifying that </w:t>
      </w:r>
      <w:r w:rsidR="00852EA2" w:rsidRPr="00F6575F">
        <w:rPr>
          <w:rFonts w:eastAsia="Calibri"/>
          <w:color w:val="auto"/>
          <w:sz w:val="22"/>
          <w:szCs w:val="22"/>
        </w:rPr>
        <w:t>d</w:t>
      </w:r>
      <w:r w:rsidRPr="00F6575F">
        <w:rPr>
          <w:rFonts w:eastAsia="Calibri"/>
          <w:color w:val="auto"/>
          <w:sz w:val="22"/>
          <w:szCs w:val="22"/>
        </w:rPr>
        <w:t xml:space="preserve">elayed </w:t>
      </w:r>
      <w:r w:rsidR="00852EA2" w:rsidRPr="00F6575F">
        <w:rPr>
          <w:rFonts w:eastAsia="Calibri"/>
          <w:color w:val="auto"/>
          <w:sz w:val="22"/>
          <w:szCs w:val="22"/>
        </w:rPr>
        <w:t>d</w:t>
      </w:r>
      <w:r w:rsidRPr="00F6575F">
        <w:rPr>
          <w:rFonts w:eastAsia="Calibri"/>
          <w:color w:val="auto"/>
          <w:sz w:val="22"/>
          <w:szCs w:val="22"/>
        </w:rPr>
        <w:t xml:space="preserve">ata are free of charge for the purpose of investor protection and the avoidance of information asymmetries within the EU while any </w:t>
      </w:r>
      <w:r w:rsidR="00852EA2" w:rsidRPr="00F6575F">
        <w:rPr>
          <w:rFonts w:eastAsia="Calibri"/>
          <w:color w:val="auto"/>
          <w:sz w:val="22"/>
          <w:szCs w:val="22"/>
        </w:rPr>
        <w:t>v</w:t>
      </w:r>
      <w:r w:rsidRPr="00F6575F">
        <w:rPr>
          <w:rFonts w:eastAsia="Calibri"/>
          <w:color w:val="auto"/>
          <w:sz w:val="22"/>
          <w:szCs w:val="22"/>
        </w:rPr>
        <w:t xml:space="preserve">ending </w:t>
      </w:r>
      <w:r w:rsidR="00852EA2" w:rsidRPr="00F6575F">
        <w:rPr>
          <w:rFonts w:eastAsia="Calibri"/>
          <w:color w:val="auto"/>
          <w:sz w:val="22"/>
          <w:szCs w:val="22"/>
        </w:rPr>
        <w:t>b</w:t>
      </w:r>
      <w:r w:rsidRPr="00F6575F">
        <w:rPr>
          <w:rFonts w:eastAsia="Calibri"/>
          <w:color w:val="auto"/>
          <w:sz w:val="22"/>
          <w:szCs w:val="22"/>
        </w:rPr>
        <w:t>usiness as lined out above remains fee liable (Distribution License Fee). We would consider that both, direct as well as indirect revenues generated (e.g. the latter by reversed business models such as internet advertising), should be fee liable and miss this conformation in ESMA</w:t>
      </w:r>
      <w:r w:rsidR="00EA6753" w:rsidRPr="00F6575F">
        <w:rPr>
          <w:rFonts w:eastAsia="Calibri"/>
          <w:color w:val="auto"/>
          <w:sz w:val="22"/>
          <w:szCs w:val="22"/>
        </w:rPr>
        <w:t>’</w:t>
      </w:r>
      <w:r w:rsidRPr="00F6575F">
        <w:rPr>
          <w:rFonts w:eastAsia="Calibri"/>
          <w:color w:val="auto"/>
          <w:sz w:val="22"/>
          <w:szCs w:val="22"/>
        </w:rPr>
        <w:t xml:space="preserve">s suggested </w:t>
      </w:r>
      <w:r w:rsidR="00852EA2" w:rsidRPr="00F6575F">
        <w:rPr>
          <w:rFonts w:eastAsia="Calibri"/>
          <w:color w:val="auto"/>
          <w:sz w:val="22"/>
          <w:szCs w:val="22"/>
        </w:rPr>
        <w:t>g</w:t>
      </w:r>
      <w:r w:rsidRPr="00F6575F">
        <w:rPr>
          <w:rFonts w:eastAsia="Calibri"/>
          <w:color w:val="auto"/>
          <w:sz w:val="22"/>
          <w:szCs w:val="22"/>
        </w:rPr>
        <w:t xml:space="preserve">uidelines. We therefore suggest </w:t>
      </w:r>
      <w:r w:rsidR="002B34CF" w:rsidRPr="00F6575F">
        <w:rPr>
          <w:rFonts w:eastAsia="Calibri"/>
          <w:color w:val="auto"/>
          <w:sz w:val="22"/>
          <w:szCs w:val="22"/>
        </w:rPr>
        <w:t>complementing</w:t>
      </w:r>
      <w:r w:rsidRPr="00F6575F">
        <w:rPr>
          <w:rFonts w:eastAsia="Calibri"/>
          <w:color w:val="auto"/>
          <w:sz w:val="22"/>
          <w:szCs w:val="22"/>
        </w:rPr>
        <w:t xml:space="preserve"> the new </w:t>
      </w:r>
      <w:r w:rsidR="00852EA2" w:rsidRPr="00F6575F">
        <w:rPr>
          <w:rFonts w:eastAsia="Calibri"/>
          <w:color w:val="auto"/>
          <w:sz w:val="22"/>
          <w:szCs w:val="22"/>
        </w:rPr>
        <w:t>g</w:t>
      </w:r>
      <w:r w:rsidRPr="00F6575F">
        <w:rPr>
          <w:rFonts w:eastAsia="Calibri"/>
          <w:color w:val="auto"/>
          <w:sz w:val="22"/>
          <w:szCs w:val="22"/>
        </w:rPr>
        <w:t xml:space="preserve">uidelines accordingly, with the indirect business model.  </w:t>
      </w:r>
    </w:p>
    <w:p w14:paraId="03C14D5B" w14:textId="2F698844" w:rsidR="00E84C9E" w:rsidRPr="00F6575F" w:rsidRDefault="00E84C9E" w:rsidP="007601FA">
      <w:pPr>
        <w:pStyle w:val="Default"/>
        <w:spacing w:after="160"/>
        <w:jc w:val="both"/>
        <w:rPr>
          <w:rFonts w:eastAsia="Calibri"/>
          <w:color w:val="auto"/>
          <w:sz w:val="22"/>
          <w:szCs w:val="22"/>
        </w:rPr>
      </w:pPr>
      <w:r w:rsidRPr="00F6575F">
        <w:rPr>
          <w:rFonts w:eastAsia="Calibri"/>
          <w:color w:val="auto"/>
          <w:sz w:val="22"/>
          <w:szCs w:val="22"/>
        </w:rPr>
        <w:t>In the context of the above, and taking note of the recent published ESMA Annual Statistical report on EU securities markets, we would like to express our concern that only trading venues and APAs (as well as CTPs) are being required to publish their market data 15 minutes delayed on their web-site. Taking into consideration that the number of SIs has not only significantly increased since the introduction of MiFI</w:t>
      </w:r>
      <w:r w:rsidR="00427F80" w:rsidRPr="00F6575F">
        <w:rPr>
          <w:rFonts w:eastAsia="Calibri"/>
          <w:color w:val="auto"/>
          <w:sz w:val="22"/>
          <w:szCs w:val="22"/>
        </w:rPr>
        <w:t>D II</w:t>
      </w:r>
      <w:r w:rsidRPr="00F6575F">
        <w:rPr>
          <w:rFonts w:eastAsia="Calibri"/>
          <w:color w:val="auto"/>
          <w:sz w:val="22"/>
          <w:szCs w:val="22"/>
        </w:rPr>
        <w:t xml:space="preserve"> /MiFI</w:t>
      </w:r>
      <w:r w:rsidR="00427F80" w:rsidRPr="00F6575F">
        <w:rPr>
          <w:rFonts w:eastAsia="Calibri"/>
          <w:color w:val="auto"/>
          <w:sz w:val="22"/>
          <w:szCs w:val="22"/>
        </w:rPr>
        <w:t>R</w:t>
      </w:r>
      <w:r w:rsidRPr="00F6575F">
        <w:rPr>
          <w:rFonts w:eastAsia="Calibri"/>
          <w:color w:val="auto"/>
          <w:sz w:val="22"/>
          <w:szCs w:val="22"/>
        </w:rPr>
        <w:t xml:space="preserve">, but that </w:t>
      </w:r>
      <w:r w:rsidR="00C672B6" w:rsidRPr="00F6575F">
        <w:rPr>
          <w:rFonts w:eastAsia="Calibri"/>
          <w:color w:val="auto"/>
          <w:sz w:val="22"/>
          <w:szCs w:val="22"/>
        </w:rPr>
        <w:t>a significant and persistent amount of trading activities are executed via SIs</w:t>
      </w:r>
      <w:r w:rsidRPr="00F6575F">
        <w:rPr>
          <w:rFonts w:eastAsia="Calibri"/>
          <w:color w:val="auto"/>
          <w:sz w:val="22"/>
          <w:szCs w:val="22"/>
        </w:rPr>
        <w:t xml:space="preserve">, we deem it difficult to see a level playing field in the EU as regards the provision of delayed data. </w:t>
      </w:r>
      <w:r w:rsidR="00900A05" w:rsidRPr="00F6575F">
        <w:rPr>
          <w:rFonts w:eastAsia="Calibri"/>
          <w:color w:val="auto"/>
          <w:sz w:val="22"/>
          <w:szCs w:val="22"/>
        </w:rPr>
        <w:t>In addition, we think that the market has a tremendous interest in 15 minutes delayed market data of SIs because of the significant and persistent amount of trading activities executed on SIs</w:t>
      </w:r>
      <w:r w:rsidR="00E3240D" w:rsidRPr="00F6575F">
        <w:rPr>
          <w:rFonts w:eastAsia="Calibri"/>
          <w:color w:val="auto"/>
          <w:sz w:val="22"/>
          <w:szCs w:val="22"/>
        </w:rPr>
        <w:t xml:space="preserve"> (as outlined in our answer to Q1)</w:t>
      </w:r>
      <w:r w:rsidR="00900A05" w:rsidRPr="00F6575F">
        <w:rPr>
          <w:rFonts w:eastAsia="Calibri"/>
          <w:color w:val="auto"/>
          <w:sz w:val="22"/>
          <w:szCs w:val="22"/>
        </w:rPr>
        <w:t>. Therefore</w:t>
      </w:r>
      <w:r w:rsidR="00E3240D" w:rsidRPr="00F6575F">
        <w:rPr>
          <w:rFonts w:eastAsia="Calibri"/>
          <w:color w:val="auto"/>
          <w:sz w:val="22"/>
          <w:szCs w:val="22"/>
        </w:rPr>
        <w:t>,</w:t>
      </w:r>
      <w:r w:rsidR="00900A05" w:rsidRPr="00F6575F">
        <w:rPr>
          <w:rFonts w:eastAsia="Calibri"/>
          <w:color w:val="auto"/>
          <w:sz w:val="22"/>
          <w:szCs w:val="22"/>
        </w:rPr>
        <w:t xml:space="preserve"> the MiFI</w:t>
      </w:r>
      <w:r w:rsidR="00E3240D" w:rsidRPr="00F6575F">
        <w:rPr>
          <w:rFonts w:eastAsia="Calibri"/>
          <w:color w:val="auto"/>
          <w:sz w:val="22"/>
          <w:szCs w:val="22"/>
        </w:rPr>
        <w:t>D II</w:t>
      </w:r>
      <w:r w:rsidR="00900A05" w:rsidRPr="00F6575F">
        <w:rPr>
          <w:rFonts w:eastAsia="Calibri"/>
          <w:color w:val="auto"/>
          <w:sz w:val="22"/>
          <w:szCs w:val="22"/>
        </w:rPr>
        <w:t>/MiFI</w:t>
      </w:r>
      <w:r w:rsidR="00E3240D" w:rsidRPr="00F6575F">
        <w:rPr>
          <w:rFonts w:eastAsia="Calibri"/>
          <w:color w:val="auto"/>
          <w:sz w:val="22"/>
          <w:szCs w:val="22"/>
        </w:rPr>
        <w:t>R</w:t>
      </w:r>
      <w:r w:rsidR="00900A05" w:rsidRPr="00F6575F">
        <w:rPr>
          <w:rFonts w:eastAsia="Calibri"/>
          <w:color w:val="auto"/>
          <w:sz w:val="22"/>
          <w:szCs w:val="22"/>
        </w:rPr>
        <w:t xml:space="preserve"> transparency regime should likewise apply for SIs, thus, </w:t>
      </w:r>
      <w:r w:rsidR="00900A05" w:rsidRPr="00F6575F">
        <w:rPr>
          <w:rFonts w:eastAsia="Calibri"/>
          <w:color w:val="auto"/>
          <w:sz w:val="22"/>
          <w:szCs w:val="22"/>
        </w:rPr>
        <w:lastRenderedPageBreak/>
        <w:t xml:space="preserve">publication of 15 minutes delayed market data </w:t>
      </w:r>
      <w:r w:rsidR="00E3240D" w:rsidRPr="00F6575F">
        <w:rPr>
          <w:rFonts w:eastAsia="Calibri"/>
          <w:color w:val="auto"/>
          <w:sz w:val="22"/>
          <w:szCs w:val="22"/>
        </w:rPr>
        <w:t>o</w:t>
      </w:r>
      <w:r w:rsidR="00900A05" w:rsidRPr="00F6575F">
        <w:rPr>
          <w:rFonts w:eastAsia="Calibri"/>
          <w:color w:val="auto"/>
          <w:sz w:val="22"/>
          <w:szCs w:val="22"/>
        </w:rPr>
        <w:t>n the</w:t>
      </w:r>
      <w:r w:rsidR="00E3240D" w:rsidRPr="00F6575F">
        <w:rPr>
          <w:rFonts w:eastAsia="Calibri"/>
          <w:color w:val="auto"/>
          <w:sz w:val="22"/>
          <w:szCs w:val="22"/>
        </w:rPr>
        <w:t>ir</w:t>
      </w:r>
      <w:r w:rsidR="00900A05" w:rsidRPr="00F6575F">
        <w:rPr>
          <w:rFonts w:eastAsia="Calibri"/>
          <w:color w:val="auto"/>
          <w:sz w:val="22"/>
          <w:szCs w:val="22"/>
        </w:rPr>
        <w:t xml:space="preserve"> websites. </w:t>
      </w:r>
      <w:r w:rsidRPr="00F6575F">
        <w:rPr>
          <w:rFonts w:eastAsia="Calibri"/>
          <w:color w:val="auto"/>
          <w:sz w:val="22"/>
          <w:szCs w:val="22"/>
        </w:rPr>
        <w:t xml:space="preserve">We therefore recommend </w:t>
      </w:r>
      <w:r w:rsidR="00E3240D" w:rsidRPr="00F6575F">
        <w:rPr>
          <w:rFonts w:eastAsia="Calibri"/>
          <w:color w:val="auto"/>
          <w:sz w:val="22"/>
          <w:szCs w:val="22"/>
        </w:rPr>
        <w:t>reviewing</w:t>
      </w:r>
      <w:r w:rsidRPr="00F6575F">
        <w:rPr>
          <w:rFonts w:eastAsia="Calibri"/>
          <w:color w:val="auto"/>
          <w:sz w:val="22"/>
          <w:szCs w:val="22"/>
        </w:rPr>
        <w:t xml:space="preserve"> L1 in this respect during the MiFI</w:t>
      </w:r>
      <w:r w:rsidR="00E3240D" w:rsidRPr="00F6575F">
        <w:rPr>
          <w:rFonts w:eastAsia="Calibri"/>
          <w:color w:val="auto"/>
          <w:sz w:val="22"/>
          <w:szCs w:val="22"/>
        </w:rPr>
        <w:t>D II</w:t>
      </w:r>
      <w:r w:rsidRPr="00F6575F">
        <w:rPr>
          <w:rFonts w:eastAsia="Calibri"/>
          <w:color w:val="auto"/>
          <w:sz w:val="22"/>
          <w:szCs w:val="22"/>
        </w:rPr>
        <w:t>/MiFI</w:t>
      </w:r>
      <w:r w:rsidR="00E3240D" w:rsidRPr="00F6575F">
        <w:rPr>
          <w:rFonts w:eastAsia="Calibri"/>
          <w:color w:val="auto"/>
          <w:sz w:val="22"/>
          <w:szCs w:val="22"/>
        </w:rPr>
        <w:t>R</w:t>
      </w:r>
      <w:r w:rsidRPr="00F6575F">
        <w:rPr>
          <w:rFonts w:eastAsia="Calibri"/>
          <w:color w:val="auto"/>
          <w:sz w:val="22"/>
          <w:szCs w:val="22"/>
        </w:rPr>
        <w:t xml:space="preserve"> review. </w:t>
      </w:r>
    </w:p>
    <w:p w14:paraId="2AFEC382" w14:textId="03350B33" w:rsidR="00411834" w:rsidRPr="00F6575F" w:rsidRDefault="00411834" w:rsidP="007601FA">
      <w:pPr>
        <w:spacing w:after="160"/>
        <w:jc w:val="both"/>
        <w:rPr>
          <w:rFonts w:ascii="Arial" w:eastAsia="Calibri" w:hAnsi="Arial" w:cs="Arial"/>
          <w:sz w:val="22"/>
          <w:szCs w:val="22"/>
          <w:lang w:val="en-US" w:eastAsia="en-US"/>
        </w:rPr>
      </w:pPr>
      <w:bookmarkStart w:id="17" w:name="_Hlk59017367"/>
      <w:r w:rsidRPr="00F6575F">
        <w:rPr>
          <w:rFonts w:ascii="Arial" w:eastAsia="Calibri" w:hAnsi="Arial" w:cs="Arial"/>
          <w:sz w:val="22"/>
          <w:szCs w:val="22"/>
          <w:lang w:val="en-US" w:eastAsia="en-US"/>
        </w:rPr>
        <w:t xml:space="preserve">Finally, </w:t>
      </w:r>
      <w:r w:rsidR="00FF3EDB" w:rsidRPr="00F6575F">
        <w:rPr>
          <w:rFonts w:ascii="Arial" w:eastAsia="Calibri" w:hAnsi="Arial" w:cs="Arial"/>
          <w:sz w:val="22"/>
          <w:szCs w:val="22"/>
          <w:lang w:val="en-US" w:eastAsia="en-US"/>
        </w:rPr>
        <w:t>DBG</w:t>
      </w:r>
      <w:r w:rsidRPr="00F6575F">
        <w:rPr>
          <w:rFonts w:ascii="Arial" w:eastAsia="Calibri" w:hAnsi="Arial" w:cs="Arial"/>
          <w:sz w:val="22"/>
          <w:szCs w:val="22"/>
          <w:lang w:val="en-US" w:eastAsia="en-US"/>
        </w:rPr>
        <w:t xml:space="preserve"> takes note that </w:t>
      </w:r>
      <w:r w:rsidR="000C3219" w:rsidRPr="00F6575F">
        <w:rPr>
          <w:rFonts w:ascii="Arial" w:eastAsia="Calibri" w:hAnsi="Arial" w:cs="Arial"/>
          <w:sz w:val="22"/>
          <w:szCs w:val="22"/>
          <w:lang w:val="en-US" w:eastAsia="en-US"/>
        </w:rPr>
        <w:t xml:space="preserve">ESMA </w:t>
      </w:r>
      <w:r w:rsidRPr="00F6575F">
        <w:rPr>
          <w:rFonts w:ascii="Arial" w:eastAsia="Calibri" w:hAnsi="Arial" w:cs="Arial"/>
          <w:sz w:val="22"/>
          <w:szCs w:val="22"/>
          <w:lang w:val="en-US" w:eastAsia="en-US"/>
        </w:rPr>
        <w:t xml:space="preserve">intends </w:t>
      </w:r>
      <w:r w:rsidR="000C3219" w:rsidRPr="00F6575F">
        <w:rPr>
          <w:rFonts w:ascii="Arial" w:eastAsia="Calibri" w:hAnsi="Arial" w:cs="Arial"/>
          <w:sz w:val="22"/>
          <w:szCs w:val="22"/>
          <w:lang w:val="en-US" w:eastAsia="en-US"/>
        </w:rPr>
        <w:t xml:space="preserve">to withdraw </w:t>
      </w:r>
      <w:r w:rsidRPr="00F6575F">
        <w:rPr>
          <w:rFonts w:ascii="Arial" w:eastAsia="Calibri" w:hAnsi="Arial" w:cs="Arial"/>
          <w:sz w:val="22"/>
          <w:szCs w:val="22"/>
          <w:lang w:val="en-US" w:eastAsia="en-US"/>
        </w:rPr>
        <w:t xml:space="preserve">its </w:t>
      </w:r>
      <w:r w:rsidR="000C3219" w:rsidRPr="00F6575F">
        <w:rPr>
          <w:rFonts w:ascii="Arial" w:eastAsia="Calibri" w:hAnsi="Arial" w:cs="Arial"/>
          <w:sz w:val="22"/>
          <w:szCs w:val="22"/>
          <w:lang w:val="en-US" w:eastAsia="en-US"/>
        </w:rPr>
        <w:t>Q</w:t>
      </w:r>
      <w:r w:rsidR="00EA6753" w:rsidRPr="00F6575F">
        <w:rPr>
          <w:rFonts w:ascii="Arial" w:eastAsia="Calibri" w:hAnsi="Arial" w:cs="Arial"/>
          <w:sz w:val="22"/>
          <w:szCs w:val="22"/>
          <w:lang w:val="en-US" w:eastAsia="en-US"/>
        </w:rPr>
        <w:t>&amp;</w:t>
      </w:r>
      <w:r w:rsidR="000C3219" w:rsidRPr="00F6575F">
        <w:rPr>
          <w:rFonts w:ascii="Arial" w:eastAsia="Calibri" w:hAnsi="Arial" w:cs="Arial"/>
          <w:sz w:val="22"/>
          <w:szCs w:val="22"/>
          <w:lang w:val="en-US" w:eastAsia="en-US"/>
        </w:rPr>
        <w:t xml:space="preserve">A </w:t>
      </w:r>
      <w:r w:rsidRPr="00F6575F">
        <w:rPr>
          <w:rFonts w:ascii="Arial" w:eastAsia="Calibri" w:hAnsi="Arial" w:cs="Arial"/>
          <w:sz w:val="22"/>
          <w:szCs w:val="22"/>
          <w:lang w:val="en-US" w:eastAsia="en-US"/>
        </w:rPr>
        <w:t xml:space="preserve">9 and 10 </w:t>
      </w:r>
      <w:r w:rsidR="000C3219" w:rsidRPr="00F6575F">
        <w:rPr>
          <w:rFonts w:ascii="Arial" w:eastAsia="Calibri" w:hAnsi="Arial" w:cs="Arial"/>
          <w:sz w:val="22"/>
          <w:szCs w:val="22"/>
          <w:lang w:val="en-US" w:eastAsia="en-US"/>
        </w:rPr>
        <w:t xml:space="preserve">immediately after publication of </w:t>
      </w:r>
      <w:r w:rsidRPr="00F6575F">
        <w:rPr>
          <w:rFonts w:ascii="Arial" w:eastAsia="Calibri" w:hAnsi="Arial" w:cs="Arial"/>
          <w:sz w:val="22"/>
          <w:szCs w:val="22"/>
          <w:lang w:val="en-US" w:eastAsia="en-US"/>
        </w:rPr>
        <w:t xml:space="preserve">the new </w:t>
      </w:r>
      <w:r w:rsidR="000C3219" w:rsidRPr="00F6575F">
        <w:rPr>
          <w:rFonts w:ascii="Arial" w:eastAsia="Calibri" w:hAnsi="Arial" w:cs="Arial"/>
          <w:sz w:val="22"/>
          <w:szCs w:val="22"/>
          <w:lang w:val="en-US" w:eastAsia="en-US"/>
        </w:rPr>
        <w:t>Guidelines</w:t>
      </w:r>
      <w:r w:rsidRPr="00F6575F">
        <w:rPr>
          <w:rFonts w:ascii="Arial" w:eastAsia="Calibri" w:hAnsi="Arial" w:cs="Arial"/>
          <w:sz w:val="22"/>
          <w:szCs w:val="22"/>
          <w:lang w:val="en-US" w:eastAsia="en-US"/>
        </w:rPr>
        <w:t>.</w:t>
      </w:r>
      <w:r w:rsidR="000C3219" w:rsidRPr="00F6575F">
        <w:rPr>
          <w:rFonts w:ascii="Arial" w:eastAsia="Calibri" w:hAnsi="Arial" w:cs="Arial"/>
          <w:sz w:val="22"/>
          <w:szCs w:val="22"/>
          <w:lang w:val="en-US" w:eastAsia="en-US"/>
        </w:rPr>
        <w:t xml:space="preserve"> </w:t>
      </w:r>
      <w:r w:rsidRPr="00F6575F">
        <w:rPr>
          <w:rFonts w:ascii="Arial" w:eastAsia="Calibri" w:hAnsi="Arial" w:cs="Arial"/>
          <w:sz w:val="22"/>
          <w:szCs w:val="22"/>
          <w:lang w:val="en-US" w:eastAsia="en-US"/>
        </w:rPr>
        <w:t xml:space="preserve">There are </w:t>
      </w:r>
      <w:r w:rsidR="00EA6753" w:rsidRPr="00F6575F">
        <w:rPr>
          <w:rFonts w:ascii="Arial" w:eastAsia="Calibri" w:hAnsi="Arial" w:cs="Arial"/>
          <w:sz w:val="22"/>
          <w:szCs w:val="22"/>
          <w:lang w:val="en-US" w:eastAsia="en-US"/>
        </w:rPr>
        <w:t xml:space="preserve">important </w:t>
      </w:r>
      <w:r w:rsidRPr="00F6575F">
        <w:rPr>
          <w:rFonts w:ascii="Arial" w:eastAsia="Calibri" w:hAnsi="Arial" w:cs="Arial"/>
          <w:sz w:val="22"/>
          <w:szCs w:val="22"/>
          <w:lang w:val="en-US" w:eastAsia="en-US"/>
        </w:rPr>
        <w:t>clarifications, within these Q</w:t>
      </w:r>
      <w:r w:rsidR="00EA6753" w:rsidRPr="00F6575F">
        <w:rPr>
          <w:rFonts w:ascii="Arial" w:eastAsia="Calibri" w:hAnsi="Arial" w:cs="Arial"/>
          <w:sz w:val="22"/>
          <w:szCs w:val="22"/>
          <w:lang w:val="en-US" w:eastAsia="en-US"/>
        </w:rPr>
        <w:t>&amp;</w:t>
      </w:r>
      <w:r w:rsidRPr="00F6575F">
        <w:rPr>
          <w:rFonts w:ascii="Arial" w:eastAsia="Calibri" w:hAnsi="Arial" w:cs="Arial"/>
          <w:sz w:val="22"/>
          <w:szCs w:val="22"/>
          <w:lang w:val="en-US" w:eastAsia="en-US"/>
        </w:rPr>
        <w:t xml:space="preserve">As, which are currently not included in the Guidelines, e.g. the clarification that historical data is not affected by regulation. We encourage ESMA to </w:t>
      </w:r>
      <w:r w:rsidR="002948E6" w:rsidRPr="00F6575F">
        <w:rPr>
          <w:rFonts w:ascii="Arial" w:eastAsia="Calibri" w:hAnsi="Arial" w:cs="Arial"/>
          <w:sz w:val="22"/>
          <w:szCs w:val="22"/>
          <w:lang w:val="en-US" w:eastAsia="en-US"/>
        </w:rPr>
        <w:t>keep</w:t>
      </w:r>
      <w:r w:rsidRPr="00F6575F">
        <w:rPr>
          <w:rFonts w:ascii="Arial" w:eastAsia="Calibri" w:hAnsi="Arial" w:cs="Arial"/>
          <w:sz w:val="22"/>
          <w:szCs w:val="22"/>
          <w:lang w:val="en-US" w:eastAsia="en-US"/>
        </w:rPr>
        <w:t xml:space="preserve"> this clarification within the Q</w:t>
      </w:r>
      <w:r w:rsidR="00EA6753" w:rsidRPr="00F6575F">
        <w:rPr>
          <w:rFonts w:ascii="Arial" w:eastAsia="Calibri" w:hAnsi="Arial" w:cs="Arial"/>
          <w:sz w:val="22"/>
          <w:szCs w:val="22"/>
          <w:lang w:val="en-US" w:eastAsia="en-US"/>
        </w:rPr>
        <w:t>&amp;</w:t>
      </w:r>
      <w:r w:rsidRPr="00F6575F">
        <w:rPr>
          <w:rFonts w:ascii="Arial" w:eastAsia="Calibri" w:hAnsi="Arial" w:cs="Arial"/>
          <w:sz w:val="22"/>
          <w:szCs w:val="22"/>
          <w:lang w:val="en-US" w:eastAsia="en-US"/>
        </w:rPr>
        <w:t xml:space="preserve">As in future. </w:t>
      </w:r>
    </w:p>
    <w:bookmarkEnd w:id="17"/>
    <w:p w14:paraId="25C33368"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&lt;ESMA_QUESTION_GOMD_25&gt;</w:t>
      </w:r>
    </w:p>
    <w:p w14:paraId="4C97EC6E" w14:textId="77777777" w:rsidR="00984423" w:rsidRPr="004D4238" w:rsidRDefault="00984423" w:rsidP="00984423">
      <w:pPr>
        <w:spacing w:after="160" w:line="259" w:lineRule="auto"/>
        <w:rPr>
          <w:rFonts w:ascii="Arial" w:eastAsia="Calibri" w:hAnsi="Arial" w:cs="Arial"/>
          <w:sz w:val="22"/>
          <w:szCs w:val="22"/>
          <w:lang w:val="en-US" w:eastAsia="en-US"/>
        </w:rPr>
      </w:pPr>
    </w:p>
    <w:p w14:paraId="7B561505"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Q26: Do you have any further comment or suggestion on the draft Guidelines? Please explain. </w:t>
      </w:r>
    </w:p>
    <w:p w14:paraId="30715196"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&lt;ESMA_QUESTION_GOMD_26&gt;</w:t>
      </w:r>
    </w:p>
    <w:p w14:paraId="0653A935" w14:textId="40580C1C" w:rsidR="00984423" w:rsidRPr="004D4238" w:rsidRDefault="0035324C"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N/A</w:t>
      </w:r>
    </w:p>
    <w:p w14:paraId="528F1531"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&lt;ESMA_QUESTION_GOMD_26&gt;</w:t>
      </w:r>
    </w:p>
    <w:p w14:paraId="562CE8D1" w14:textId="77777777" w:rsidR="00984423" w:rsidRPr="004D4238" w:rsidRDefault="00984423" w:rsidP="00984423">
      <w:pPr>
        <w:spacing w:after="160" w:line="259" w:lineRule="auto"/>
        <w:rPr>
          <w:rFonts w:ascii="Arial" w:eastAsia="Calibri" w:hAnsi="Arial" w:cs="Arial"/>
          <w:sz w:val="22"/>
          <w:szCs w:val="22"/>
          <w:lang w:val="en-US" w:eastAsia="en-US"/>
        </w:rPr>
      </w:pPr>
    </w:p>
    <w:p w14:paraId="13EC88F9" w14:textId="77777777" w:rsidR="00984423" w:rsidRPr="00F6575F" w:rsidRDefault="00984423" w:rsidP="00984423">
      <w:pPr>
        <w:spacing w:after="250" w:line="276" w:lineRule="auto"/>
        <w:ind w:left="720" w:hanging="360"/>
        <w:contextualSpacing/>
        <w:jc w:val="both"/>
        <w:rPr>
          <w:rFonts w:ascii="Arial" w:hAnsi="Arial" w:cs="Arial"/>
          <w:b/>
          <w:sz w:val="22"/>
          <w:szCs w:val="22"/>
          <w:lang w:val="en-US" w:eastAsia="en-US"/>
        </w:rPr>
      </w:pPr>
      <w:r w:rsidRPr="00F6575F">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744F7346" w14:textId="77777777" w:rsidR="00984423" w:rsidRPr="004D4238" w:rsidRDefault="00984423" w:rsidP="00984423">
      <w:pPr>
        <w:spacing w:after="160" w:line="259" w:lineRule="auto"/>
        <w:rPr>
          <w:rFonts w:ascii="Arial" w:eastAsia="Calibri" w:hAnsi="Arial" w:cs="Arial"/>
          <w:sz w:val="22"/>
          <w:szCs w:val="22"/>
          <w:lang w:val="en-US" w:eastAsia="en-US"/>
        </w:rPr>
      </w:pPr>
      <w:r w:rsidRPr="004D4238">
        <w:rPr>
          <w:rFonts w:ascii="Arial" w:eastAsia="Calibri" w:hAnsi="Arial" w:cs="Arial"/>
          <w:sz w:val="22"/>
          <w:szCs w:val="22"/>
          <w:lang w:val="en-US" w:eastAsia="en-US"/>
        </w:rPr>
        <w:t>&lt;ESMA_QUESTION_GOMD_27&gt;</w:t>
      </w:r>
    </w:p>
    <w:p w14:paraId="428B8B1F" w14:textId="27B25F67" w:rsidR="0059212B" w:rsidRPr="0059212B" w:rsidRDefault="00EC18CF" w:rsidP="007601FA">
      <w:pPr>
        <w:spacing w:after="160"/>
        <w:jc w:val="both"/>
        <w:rPr>
          <w:rFonts w:ascii="Arial" w:eastAsia="Calibri" w:hAnsi="Arial" w:cs="Arial"/>
          <w:sz w:val="22"/>
          <w:szCs w:val="22"/>
          <w:lang w:val="en-US" w:eastAsia="en-US"/>
        </w:rPr>
      </w:pPr>
      <w:r w:rsidRPr="00EC18CF">
        <w:rPr>
          <w:rFonts w:ascii="Arial" w:eastAsia="Calibri" w:hAnsi="Arial" w:cs="Arial"/>
          <w:sz w:val="22"/>
          <w:szCs w:val="22"/>
          <w:lang w:val="en-US" w:eastAsia="en-US"/>
        </w:rPr>
        <w:t>For an estimation of costs, a detailed impact analysis has to be conducted dependent on the final ESMA guidelines. However, we cannot confirm ESMA</w:t>
      </w:r>
      <w:r w:rsidR="00B44018">
        <w:rPr>
          <w:rFonts w:ascii="Arial" w:eastAsia="Calibri" w:hAnsi="Arial" w:cs="Arial"/>
          <w:sz w:val="22"/>
          <w:szCs w:val="22"/>
          <w:lang w:val="en-US" w:eastAsia="en-US"/>
        </w:rPr>
        <w:t>’</w:t>
      </w:r>
      <w:r w:rsidRPr="00EC18CF">
        <w:rPr>
          <w:rFonts w:ascii="Arial" w:eastAsia="Calibri" w:hAnsi="Arial" w:cs="Arial"/>
          <w:sz w:val="22"/>
          <w:szCs w:val="22"/>
          <w:lang w:val="en-US" w:eastAsia="en-US"/>
        </w:rPr>
        <w:t>s moderate cost estimate on their proposed guidelines at all. In case ESMA</w:t>
      </w:r>
      <w:r w:rsidR="00B44018">
        <w:rPr>
          <w:rFonts w:ascii="Arial" w:eastAsia="Calibri" w:hAnsi="Arial" w:cs="Arial"/>
          <w:sz w:val="22"/>
          <w:szCs w:val="22"/>
          <w:lang w:val="en-US" w:eastAsia="en-US"/>
        </w:rPr>
        <w:t>’</w:t>
      </w:r>
      <w:r w:rsidRPr="00EC18CF">
        <w:rPr>
          <w:rFonts w:ascii="Arial" w:eastAsia="Calibri" w:hAnsi="Arial" w:cs="Arial"/>
          <w:sz w:val="22"/>
          <w:szCs w:val="22"/>
          <w:lang w:val="en-US" w:eastAsia="en-US"/>
        </w:rPr>
        <w:t xml:space="preserve">s proposed guidelines would be transposed 1:1, we expect </w:t>
      </w:r>
      <w:r w:rsidR="00B44018">
        <w:rPr>
          <w:rFonts w:ascii="Arial" w:eastAsia="Calibri" w:hAnsi="Arial" w:cs="Arial"/>
          <w:sz w:val="22"/>
          <w:szCs w:val="22"/>
          <w:lang w:val="en-US" w:eastAsia="en-US"/>
        </w:rPr>
        <w:t xml:space="preserve">a </w:t>
      </w:r>
      <w:r w:rsidRPr="00EC18CF">
        <w:rPr>
          <w:rFonts w:ascii="Arial" w:eastAsia="Calibri" w:hAnsi="Arial" w:cs="Arial"/>
          <w:sz w:val="22"/>
          <w:szCs w:val="22"/>
          <w:lang w:val="en-US" w:eastAsia="en-US"/>
        </w:rPr>
        <w:t>significant cost impact not only on data providers but as well to the industry overall. Especially adaptions which impact the Unit</w:t>
      </w:r>
      <w:r w:rsidR="0053365C">
        <w:rPr>
          <w:rFonts w:ascii="Arial" w:eastAsia="Calibri" w:hAnsi="Arial" w:cs="Arial"/>
          <w:sz w:val="22"/>
          <w:szCs w:val="22"/>
          <w:lang w:val="en-US" w:eastAsia="en-US"/>
        </w:rPr>
        <w:t>-</w:t>
      </w:r>
      <w:r w:rsidRPr="00EC18CF">
        <w:rPr>
          <w:rFonts w:ascii="Arial" w:eastAsia="Calibri" w:hAnsi="Arial" w:cs="Arial"/>
          <w:sz w:val="22"/>
          <w:szCs w:val="22"/>
          <w:lang w:val="en-US" w:eastAsia="en-US"/>
        </w:rPr>
        <w:t>of</w:t>
      </w:r>
      <w:r w:rsidR="0053365C">
        <w:rPr>
          <w:rFonts w:ascii="Arial" w:eastAsia="Calibri" w:hAnsi="Arial" w:cs="Arial"/>
          <w:sz w:val="22"/>
          <w:szCs w:val="22"/>
          <w:lang w:val="en-US" w:eastAsia="en-US"/>
        </w:rPr>
        <w:t>-</w:t>
      </w:r>
      <w:r w:rsidRPr="00EC18CF">
        <w:rPr>
          <w:rFonts w:ascii="Arial" w:eastAsia="Calibri" w:hAnsi="Arial" w:cs="Arial"/>
          <w:sz w:val="22"/>
          <w:szCs w:val="22"/>
          <w:lang w:val="en-US" w:eastAsia="en-US"/>
        </w:rPr>
        <w:t>Count might lead to a change of the current billing systems, accounting systems and customers management system &amp; order tools. Taking into account that ESMA</w:t>
      </w:r>
      <w:r w:rsidR="00B44018">
        <w:rPr>
          <w:rFonts w:ascii="Arial" w:eastAsia="Calibri" w:hAnsi="Arial" w:cs="Arial"/>
          <w:sz w:val="22"/>
          <w:szCs w:val="22"/>
          <w:lang w:val="en-US" w:eastAsia="en-US"/>
        </w:rPr>
        <w:t>’</w:t>
      </w:r>
      <w:r w:rsidRPr="00EC18CF">
        <w:rPr>
          <w:rFonts w:ascii="Arial" w:eastAsia="Calibri" w:hAnsi="Arial" w:cs="Arial"/>
          <w:sz w:val="22"/>
          <w:szCs w:val="22"/>
          <w:lang w:val="en-US" w:eastAsia="en-US"/>
        </w:rPr>
        <w:t>s proposed unit of counts are currently only used by a few and often rather large data users, adaptions would most likely impact a high number of smaller data users especially. These costs would need to be taken into account as well besides the cost occurred by data providers themselves. In a nutshell, for DBG, all changes of the contractual framework entail initial and ongoing costs as well as human resources needed, dependent on the extent of changes, which are at this stage not finally defined</w:t>
      </w:r>
      <w:r w:rsidR="0059212B" w:rsidRPr="0059212B">
        <w:rPr>
          <w:rFonts w:ascii="Arial" w:eastAsia="Calibri" w:hAnsi="Arial" w:cs="Arial"/>
          <w:sz w:val="22"/>
          <w:szCs w:val="22"/>
          <w:lang w:val="en-US" w:eastAsia="en-US"/>
        </w:rPr>
        <w:t>.</w:t>
      </w:r>
    </w:p>
    <w:p w14:paraId="1540C324" w14:textId="581EADE4" w:rsidR="00984423" w:rsidRPr="004D4238" w:rsidRDefault="00984423" w:rsidP="0059212B">
      <w:pPr>
        <w:spacing w:after="160" w:line="259" w:lineRule="auto"/>
        <w:rPr>
          <w:rFonts w:ascii="Arial" w:hAnsi="Arial" w:cs="Arial"/>
          <w:lang w:val="en-US"/>
        </w:rPr>
      </w:pPr>
      <w:r w:rsidRPr="004D4238">
        <w:rPr>
          <w:rFonts w:ascii="Arial" w:eastAsia="Calibri" w:hAnsi="Arial" w:cs="Arial"/>
          <w:sz w:val="22"/>
          <w:szCs w:val="22"/>
          <w:lang w:val="en-US" w:eastAsia="en-US"/>
        </w:rPr>
        <w:t>&lt;ESMA_QUESTION_GOMD_27&gt;</w:t>
      </w:r>
      <w:bookmarkEnd w:id="3"/>
    </w:p>
    <w:sectPr w:rsidR="00984423" w:rsidRPr="004D4238" w:rsidSect="00B60ED2">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BDA9" w14:textId="77777777" w:rsidR="00E33F7E" w:rsidRDefault="00E33F7E" w:rsidP="00984423">
      <w:r>
        <w:separator/>
      </w:r>
    </w:p>
  </w:endnote>
  <w:endnote w:type="continuationSeparator" w:id="0">
    <w:p w14:paraId="203FEEE5" w14:textId="77777777" w:rsidR="00E33F7E" w:rsidRDefault="00E33F7E" w:rsidP="00984423">
      <w:r>
        <w:continuationSeparator/>
      </w:r>
    </w:p>
  </w:endnote>
  <w:endnote w:type="continuationNotice" w:id="1">
    <w:p w14:paraId="0DB4D88C" w14:textId="77777777" w:rsidR="00E33F7E" w:rsidRDefault="00E3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5E4C5D0A" w14:textId="77777777" w:rsidR="00E33F7E" w:rsidRDefault="00E33F7E">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29A2F23" w14:textId="77777777" w:rsidR="00E33F7E" w:rsidRDefault="00E33F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4FD8" w14:textId="77777777" w:rsidR="00E33F7E" w:rsidRDefault="00E33F7E" w:rsidP="00B60ED2">
    <w:pPr>
      <w:pStyle w:val="Fuzeile"/>
    </w:pPr>
    <w:r>
      <w:rPr>
        <w:rFonts w:asciiTheme="majorHAnsi" w:hAnsiTheme="majorHAnsi"/>
        <w:color w:val="FFFFFF" w:themeColor="background1"/>
      </w:rPr>
      <w:tab/>
    </w:r>
    <w:r>
      <w:rPr>
        <w:rFonts w:asciiTheme="majorHAnsi" w:hAnsiTheme="majorHAnsi"/>
        <w:color w:val="FFFFFF" w:themeColor="background1"/>
      </w:rPr>
      <w:tab/>
    </w:r>
    <w:r w:rsidRPr="005657AE">
      <w:rPr>
        <w:rFonts w:asciiTheme="majorHAnsi" w:hAnsiTheme="majorHAnsi"/>
        <w:color w:val="FFFFFF" w:themeColor="background1"/>
      </w:rPr>
      <w:t xml:space="preserve"> 6 November 2020 | E</w:t>
    </w:r>
    <w:r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664C854A" w14:textId="77777777" w:rsidR="00E33F7E" w:rsidRDefault="00E33F7E">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14:paraId="20A24745" w14:textId="77777777" w:rsidR="00E33F7E" w:rsidRDefault="00E33F7E" w:rsidP="00B60ED2">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CE67" w14:textId="77777777" w:rsidR="00E33F7E" w:rsidRDefault="00E33F7E" w:rsidP="00984423">
      <w:r>
        <w:separator/>
      </w:r>
    </w:p>
  </w:footnote>
  <w:footnote w:type="continuationSeparator" w:id="0">
    <w:p w14:paraId="18F733AE" w14:textId="77777777" w:rsidR="00E33F7E" w:rsidRDefault="00E33F7E" w:rsidP="00984423">
      <w:r>
        <w:continuationSeparator/>
      </w:r>
    </w:p>
  </w:footnote>
  <w:footnote w:type="continuationNotice" w:id="1">
    <w:p w14:paraId="63E5ED82" w14:textId="77777777" w:rsidR="00E33F7E" w:rsidRDefault="00E33F7E"/>
  </w:footnote>
  <w:footnote w:id="2">
    <w:p w14:paraId="10AA036F" w14:textId="5B0BCED9" w:rsidR="00E33F7E" w:rsidRPr="00225E84" w:rsidRDefault="00E33F7E" w:rsidP="00827A30">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OXERA, What is the data on market data? Taking stock of the debate.</w:t>
      </w:r>
      <w:r>
        <w:rPr>
          <w:sz w:val="18"/>
          <w:szCs w:val="18"/>
        </w:rPr>
        <w:t xml:space="preserve"> November 2020: </w:t>
      </w:r>
      <w:r w:rsidRPr="00225E84">
        <w:rPr>
          <w:sz w:val="18"/>
          <w:szCs w:val="18"/>
        </w:rPr>
        <w:t xml:space="preserve"> https://www.oxera.com/agenda/whats-the-data-on-equity-trading-market-data-taking-stock-of-the-debate/</w:t>
      </w:r>
    </w:p>
  </w:footnote>
  <w:footnote w:id="3">
    <w:p w14:paraId="3FF7B45B" w14:textId="4405819D" w:rsidR="00E33F7E" w:rsidRPr="00225E84" w:rsidRDefault="00E33F7E" w:rsidP="0036323B">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OXERA, Report on Primary and Secondary markets</w:t>
      </w:r>
      <w:r>
        <w:rPr>
          <w:sz w:val="18"/>
          <w:szCs w:val="18"/>
        </w:rPr>
        <w:t>, November 2020</w:t>
      </w:r>
      <w:r w:rsidRPr="00225E84">
        <w:rPr>
          <w:sz w:val="18"/>
          <w:szCs w:val="18"/>
        </w:rPr>
        <w:t>: https://www.oxera.com/publications/primary-and-secondary-equity-markets-in-the-eu/</w:t>
      </w:r>
    </w:p>
  </w:footnote>
  <w:footnote w:id="4">
    <w:p w14:paraId="6609A3C0" w14:textId="2328EAEF"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ESMA, Annual Statistical Report on EU securities markets</w:t>
      </w:r>
      <w:r>
        <w:rPr>
          <w:sz w:val="18"/>
          <w:szCs w:val="18"/>
        </w:rPr>
        <w:t>, November 2020</w:t>
      </w:r>
      <w:r w:rsidRPr="00225E84">
        <w:rPr>
          <w:sz w:val="18"/>
          <w:szCs w:val="18"/>
        </w:rPr>
        <w:t>: http://www.publicdebtnet.org/pdm/.content/Report/Report-00747.html</w:t>
      </w:r>
    </w:p>
  </w:footnote>
  <w:footnote w:id="5">
    <w:p w14:paraId="341285A5" w14:textId="6518C45B" w:rsidR="00E33F7E" w:rsidRPr="00225E84" w:rsidRDefault="00E33F7E" w:rsidP="0036323B">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w:t>
      </w:r>
      <w:r>
        <w:rPr>
          <w:sz w:val="18"/>
          <w:szCs w:val="18"/>
        </w:rPr>
        <w:t>Yegerman, Henry</w:t>
      </w:r>
      <w:r w:rsidRPr="00550EEA">
        <w:rPr>
          <w:sz w:val="18"/>
          <w:szCs w:val="18"/>
        </w:rPr>
        <w:t>, Liquid Metrix,</w:t>
      </w:r>
      <w:r w:rsidRPr="00225E84">
        <w:rPr>
          <w:sz w:val="18"/>
          <w:szCs w:val="18"/>
        </w:rPr>
        <w:t xml:space="preserve"> </w:t>
      </w:r>
      <w:r>
        <w:rPr>
          <w:sz w:val="18"/>
          <w:szCs w:val="18"/>
        </w:rPr>
        <w:t xml:space="preserve">SI’s: The Good, The Bad and The Ugly: </w:t>
      </w:r>
      <w:r w:rsidRPr="00550EEA">
        <w:rPr>
          <w:sz w:val="18"/>
          <w:szCs w:val="18"/>
        </w:rPr>
        <w:t>https://insights.issgovernance.com/posts/sis-the-good-the-bad-and-the-ugly/</w:t>
      </w:r>
    </w:p>
  </w:footnote>
  <w:footnote w:id="6">
    <w:p w14:paraId="646D5CF0" w14:textId="15158DD2"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Lee, Ruben, What is an Exchange?: Oxford University Press 1998</w:t>
      </w:r>
    </w:p>
  </w:footnote>
  <w:footnote w:id="7">
    <w:p w14:paraId="2DDE1D8D" w14:textId="0CF16D84"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OXERA, Is ESMA becoming a price regulator?</w:t>
      </w:r>
      <w:r>
        <w:rPr>
          <w:sz w:val="18"/>
          <w:szCs w:val="18"/>
        </w:rPr>
        <w:t>, September 2014</w:t>
      </w:r>
      <w:r w:rsidRPr="00225E84">
        <w:rPr>
          <w:sz w:val="18"/>
          <w:szCs w:val="18"/>
        </w:rPr>
        <w:t>: https://www.oxera.com/agenda/is-esma-becoming-a-price-regulator/</w:t>
      </w:r>
    </w:p>
  </w:footnote>
  <w:footnote w:id="8">
    <w:p w14:paraId="41C0E1CB" w14:textId="0DA70E35"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Lee, Ruben, What is an Exchange?: Oxford University Press 1998</w:t>
      </w:r>
    </w:p>
  </w:footnote>
  <w:footnote w:id="9">
    <w:p w14:paraId="03A6962F" w14:textId="01696C82"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w:t>
      </w:r>
      <w:bookmarkStart w:id="4" w:name="_Hlk60840257"/>
      <w:r w:rsidRPr="00225E84">
        <w:rPr>
          <w:sz w:val="18"/>
          <w:szCs w:val="18"/>
        </w:rPr>
        <w:t>ESMA, Annual Statistical Report on EU securities markets</w:t>
      </w:r>
      <w:r>
        <w:rPr>
          <w:sz w:val="18"/>
          <w:szCs w:val="18"/>
        </w:rPr>
        <w:t>, November 2020</w:t>
      </w:r>
      <w:r w:rsidRPr="00225E84">
        <w:rPr>
          <w:sz w:val="18"/>
          <w:szCs w:val="18"/>
        </w:rPr>
        <w:t>: http://www.publicdebtnet.org/pdm/.content/Report/Report-00747.html</w:t>
      </w:r>
      <w:bookmarkEnd w:id="4"/>
    </w:p>
  </w:footnote>
  <w:footnote w:id="10">
    <w:p w14:paraId="72CDCEC9" w14:textId="4A8510F1"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Pr>
          <w:sz w:val="18"/>
          <w:szCs w:val="18"/>
        </w:rPr>
        <w:t xml:space="preserve"> </w:t>
      </w:r>
      <w:r w:rsidRPr="00225E84">
        <w:rPr>
          <w:sz w:val="18"/>
          <w:szCs w:val="18"/>
        </w:rPr>
        <w:t xml:space="preserve">ESMA, MiFID II/MiFIR </w:t>
      </w:r>
      <w:r w:rsidRPr="00827A30">
        <w:rPr>
          <w:sz w:val="18"/>
          <w:szCs w:val="18"/>
        </w:rPr>
        <w:t>review report on the development in prices of pre- and post-trade data and on the consolidated tape for equity data,</w:t>
      </w:r>
      <w:r w:rsidRPr="00225E84">
        <w:rPr>
          <w:sz w:val="18"/>
          <w:szCs w:val="18"/>
        </w:rPr>
        <w:t>: https://www.esma.europa.eu/document/mifid-iimifir-review-report-no-1</w:t>
      </w:r>
    </w:p>
  </w:footnote>
  <w:footnote w:id="11">
    <w:p w14:paraId="35959A88" w14:textId="535E7F76"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OXERA, Report on Primary and Secondary market</w:t>
      </w:r>
      <w:r>
        <w:rPr>
          <w:sz w:val="18"/>
          <w:szCs w:val="18"/>
        </w:rPr>
        <w:t>, November 2020</w:t>
      </w:r>
      <w:r w:rsidRPr="00225E84">
        <w:rPr>
          <w:sz w:val="18"/>
          <w:szCs w:val="18"/>
        </w:rPr>
        <w:t>s: https://www.oxera.com/publications/primary-and-secondary-equity-markets-in-the-eu/</w:t>
      </w:r>
    </w:p>
  </w:footnote>
  <w:footnote w:id="12">
    <w:p w14:paraId="265A662E" w14:textId="64F87924" w:rsidR="00E33F7E" w:rsidRPr="00225E84" w:rsidRDefault="00E33F7E" w:rsidP="00225E84">
      <w:pPr>
        <w:pStyle w:val="Funotentext"/>
        <w:ind w:left="142" w:hanging="142"/>
        <w:contextualSpacing/>
        <w:rPr>
          <w:sz w:val="18"/>
          <w:szCs w:val="18"/>
        </w:rPr>
      </w:pPr>
      <w:r w:rsidRPr="00225E84">
        <w:rPr>
          <w:rStyle w:val="Funotenzeichen"/>
          <w:sz w:val="18"/>
          <w:szCs w:val="18"/>
        </w:rPr>
        <w:footnoteRef/>
      </w:r>
      <w:r w:rsidRPr="00225E84">
        <w:rPr>
          <w:sz w:val="18"/>
          <w:szCs w:val="18"/>
        </w:rPr>
        <w:t xml:space="preserve"> ESMA, Annual statistical report of securities markets</w:t>
      </w:r>
      <w:r>
        <w:rPr>
          <w:sz w:val="18"/>
          <w:szCs w:val="18"/>
        </w:rPr>
        <w:t>, November 2020</w:t>
      </w:r>
      <w:r w:rsidRPr="00225E84">
        <w:rPr>
          <w:sz w:val="18"/>
          <w:szCs w:val="18"/>
        </w:rPr>
        <w:t>: http://www.publicdebtnet.org/pdm/.content/Report/Report-00747.html</w:t>
      </w:r>
    </w:p>
  </w:footnote>
  <w:footnote w:id="13">
    <w:p w14:paraId="0F6A9A0B" w14:textId="62713ECD" w:rsidR="00E33F7E" w:rsidRPr="00225E84" w:rsidRDefault="00E33F7E" w:rsidP="00225E84">
      <w:pPr>
        <w:pStyle w:val="Funotentext"/>
        <w:ind w:left="142" w:hanging="142"/>
        <w:rPr>
          <w:sz w:val="18"/>
          <w:szCs w:val="18"/>
        </w:rPr>
      </w:pPr>
      <w:r w:rsidRPr="00225E84">
        <w:rPr>
          <w:rStyle w:val="Funotenzeichen"/>
          <w:sz w:val="18"/>
          <w:szCs w:val="18"/>
        </w:rPr>
        <w:footnoteRef/>
      </w:r>
      <w:r w:rsidRPr="00225E84">
        <w:rPr>
          <w:sz w:val="18"/>
          <w:szCs w:val="18"/>
        </w:rPr>
        <w:t xml:space="preserve"> OXERA, Is ESMA becoming a price regulator?</w:t>
      </w:r>
      <w:r>
        <w:rPr>
          <w:sz w:val="18"/>
          <w:szCs w:val="18"/>
        </w:rPr>
        <w:t>, September 2014</w:t>
      </w:r>
      <w:r w:rsidRPr="00225E84">
        <w:rPr>
          <w:sz w:val="18"/>
          <w:szCs w:val="18"/>
        </w:rPr>
        <w:t>: https://www.oxera.com/agenda/is-esma-becoming-a-price-regulator/</w:t>
      </w:r>
    </w:p>
  </w:footnote>
  <w:footnote w:id="14">
    <w:p w14:paraId="48C131A3" w14:textId="6AD93FFE" w:rsidR="00E33F7E" w:rsidRPr="004F493A" w:rsidRDefault="00E33F7E" w:rsidP="004F493A">
      <w:pPr>
        <w:pStyle w:val="Funotentext"/>
        <w:ind w:left="142" w:hanging="142"/>
        <w:contextualSpacing/>
        <w:rPr>
          <w:sz w:val="18"/>
          <w:szCs w:val="18"/>
        </w:rPr>
      </w:pPr>
      <w:r w:rsidRPr="004F493A">
        <w:rPr>
          <w:rStyle w:val="Funotenzeichen"/>
          <w:sz w:val="18"/>
          <w:szCs w:val="18"/>
        </w:rPr>
        <w:footnoteRef/>
      </w:r>
      <w:r w:rsidRPr="004F493A">
        <w:rPr>
          <w:sz w:val="18"/>
          <w:szCs w:val="18"/>
        </w:rPr>
        <w:t xml:space="preserve"> </w:t>
      </w:r>
      <w:bookmarkStart w:id="6" w:name="_Hlk60834520"/>
      <w:r w:rsidRPr="004F493A">
        <w:rPr>
          <w:sz w:val="18"/>
          <w:szCs w:val="18"/>
        </w:rPr>
        <w:t>Lee, Ruben, What is an Exchange?: Oxford University Press 1998</w:t>
      </w:r>
      <w:bookmarkEnd w:id="6"/>
    </w:p>
  </w:footnote>
  <w:footnote w:id="15">
    <w:p w14:paraId="4BD179AD" w14:textId="25842CA7" w:rsidR="00E33F7E" w:rsidRPr="00603A9C" w:rsidRDefault="00E33F7E" w:rsidP="004F493A">
      <w:pPr>
        <w:pStyle w:val="Funotentext"/>
        <w:ind w:left="142" w:hanging="142"/>
        <w:contextualSpacing/>
      </w:pPr>
      <w:r w:rsidRPr="004F493A">
        <w:rPr>
          <w:rStyle w:val="Funotenzeichen"/>
          <w:sz w:val="18"/>
          <w:szCs w:val="18"/>
        </w:rPr>
        <w:footnoteRef/>
      </w:r>
      <w:r w:rsidRPr="004F493A">
        <w:rPr>
          <w:sz w:val="18"/>
          <w:szCs w:val="18"/>
        </w:rPr>
        <w:t xml:space="preserve"> Ibid.</w:t>
      </w:r>
    </w:p>
  </w:footnote>
  <w:footnote w:id="16">
    <w:p w14:paraId="3FF23996" w14:textId="1ACDDBCD" w:rsidR="00E33F7E" w:rsidRPr="002C5CFE" w:rsidRDefault="00E33F7E" w:rsidP="002C5CFE">
      <w:pPr>
        <w:pStyle w:val="Funotentext"/>
        <w:ind w:left="142" w:hanging="142"/>
        <w:contextualSpacing/>
        <w:rPr>
          <w:sz w:val="18"/>
          <w:szCs w:val="18"/>
        </w:rPr>
      </w:pPr>
      <w:r w:rsidRPr="002C5CFE">
        <w:rPr>
          <w:rStyle w:val="Funotenzeichen"/>
          <w:sz w:val="18"/>
          <w:szCs w:val="18"/>
        </w:rPr>
        <w:footnoteRef/>
      </w:r>
      <w:r w:rsidRPr="002C5CFE">
        <w:rPr>
          <w:sz w:val="18"/>
          <w:szCs w:val="18"/>
        </w:rPr>
        <w:t xml:space="preserve"> often referred to as “joint cost” in economic literature</w:t>
      </w:r>
    </w:p>
  </w:footnote>
  <w:footnote w:id="17">
    <w:p w14:paraId="2B713F66" w14:textId="3E00DEE3" w:rsidR="00E33F7E" w:rsidRPr="006B0C7E" w:rsidRDefault="00E33F7E" w:rsidP="00456591">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w:t>
      </w:r>
      <w:r w:rsidRPr="00322DD2">
        <w:rPr>
          <w:sz w:val="18"/>
          <w:szCs w:val="18"/>
        </w:rPr>
        <w:t>see our Response Form to the ESMA Consultation paper MiFID</w:t>
      </w:r>
      <w:r>
        <w:rPr>
          <w:sz w:val="18"/>
          <w:szCs w:val="18"/>
        </w:rPr>
        <w:t xml:space="preserve"> </w:t>
      </w:r>
      <w:r w:rsidRPr="00322DD2">
        <w:rPr>
          <w:sz w:val="18"/>
          <w:szCs w:val="18"/>
        </w:rPr>
        <w:t>II/MiFIR review report on the development in prices of pre- and post-trade data and on the consolidated tape for equity data, p. 5, July 2019</w:t>
      </w:r>
      <w:r>
        <w:rPr>
          <w:sz w:val="18"/>
          <w:szCs w:val="18"/>
        </w:rPr>
        <w:t xml:space="preserve">: </w:t>
      </w:r>
      <w:r w:rsidRPr="00827A30">
        <w:rPr>
          <w:sz w:val="18"/>
          <w:szCs w:val="18"/>
        </w:rPr>
        <w:t>https://www.esma.europa.eu/file/52632/download?token=mA4bj60e</w:t>
      </w:r>
      <w:r w:rsidRPr="006B0C7E">
        <w:rPr>
          <w:sz w:val="18"/>
          <w:szCs w:val="18"/>
        </w:rPr>
        <w:t>/</w:t>
      </w:r>
    </w:p>
  </w:footnote>
  <w:footnote w:id="18">
    <w:p w14:paraId="58B86A80" w14:textId="634FC552"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OXERA, What is the data on market data?</w:t>
      </w:r>
      <w:r w:rsidRPr="00827A30">
        <w:rPr>
          <w:sz w:val="18"/>
          <w:szCs w:val="18"/>
        </w:rPr>
        <w:t xml:space="preserve"> </w:t>
      </w:r>
      <w:r w:rsidRPr="00225E84">
        <w:rPr>
          <w:sz w:val="18"/>
          <w:szCs w:val="18"/>
        </w:rPr>
        <w:t>Taking stock of the debate.</w:t>
      </w:r>
      <w:r w:rsidRPr="00827A30">
        <w:rPr>
          <w:sz w:val="18"/>
          <w:szCs w:val="18"/>
        </w:rPr>
        <w:t xml:space="preserve"> </w:t>
      </w:r>
      <w:r>
        <w:rPr>
          <w:sz w:val="18"/>
          <w:szCs w:val="18"/>
        </w:rPr>
        <w:t>September 2014</w:t>
      </w:r>
      <w:r w:rsidRPr="006B0C7E">
        <w:rPr>
          <w:sz w:val="18"/>
          <w:szCs w:val="18"/>
        </w:rPr>
        <w:t>: https://www.oxera.com/agenda/whats-the-data-on-equity-trading-market-data-taking-stock-of-the-debate/</w:t>
      </w:r>
    </w:p>
  </w:footnote>
  <w:footnote w:id="19">
    <w:p w14:paraId="69FAD745" w14:textId="6837B004"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Redmen, Thomas C., Bad Data Costs the U.S. $3 Trillion Per Year, Hardvard Business Review, September 2016</w:t>
      </w:r>
    </w:p>
  </w:footnote>
  <w:footnote w:id="20">
    <w:p w14:paraId="02FCF4A3" w14:textId="5391E7D1"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Lee, Ruben, What is an Exchange?: Oxford University Press 1998</w:t>
      </w:r>
    </w:p>
  </w:footnote>
  <w:footnote w:id="21">
    <w:p w14:paraId="4A6CC300" w14:textId="14087422"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w:t>
      </w:r>
      <w:bookmarkStart w:id="9" w:name="_Hlk60835591"/>
      <w:r w:rsidRPr="006B0C7E">
        <w:rPr>
          <w:sz w:val="18"/>
          <w:szCs w:val="18"/>
        </w:rPr>
        <w:t>Shapiro, Carl &amp; Varian, Hal, Information Rules: Harvard Business Press 1998</w:t>
      </w:r>
      <w:bookmarkEnd w:id="9"/>
    </w:p>
  </w:footnote>
  <w:footnote w:id="22">
    <w:p w14:paraId="37F1C57B" w14:textId="041503F3"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Ibid.</w:t>
      </w:r>
    </w:p>
  </w:footnote>
  <w:footnote w:id="23">
    <w:p w14:paraId="5CA6036E" w14:textId="3FEE95C4"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Ibid.</w:t>
      </w:r>
    </w:p>
  </w:footnote>
  <w:footnote w:id="24">
    <w:p w14:paraId="7C2BEA17" w14:textId="13B06155"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Lee, Ruben, What is an Exchange?: Oxford University Press 1998</w:t>
      </w:r>
    </w:p>
  </w:footnote>
  <w:footnote w:id="25">
    <w:p w14:paraId="264F02E9" w14:textId="69ECB744"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Case 27/76, United Brands v Commission (1978) ECR 207</w:t>
      </w:r>
    </w:p>
  </w:footnote>
  <w:footnote w:id="26">
    <w:p w14:paraId="40F61BF9" w14:textId="3F11669D"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OXERA, Report on Primary and Secondary markets</w:t>
      </w:r>
      <w:r>
        <w:rPr>
          <w:sz w:val="18"/>
          <w:szCs w:val="18"/>
        </w:rPr>
        <w:t>, November 2020</w:t>
      </w:r>
      <w:r w:rsidRPr="006B0C7E">
        <w:rPr>
          <w:sz w:val="18"/>
          <w:szCs w:val="18"/>
        </w:rPr>
        <w:t>: https://www.oxera.com/publications/primary-and-secondary-equity-markets-in-the-eu/</w:t>
      </w:r>
    </w:p>
  </w:footnote>
  <w:footnote w:id="27">
    <w:p w14:paraId="2AB12703" w14:textId="30BCB366"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ESMA, Annual statistical report of securities markets</w:t>
      </w:r>
      <w:r>
        <w:rPr>
          <w:sz w:val="18"/>
          <w:szCs w:val="18"/>
        </w:rPr>
        <w:t>, November 2020</w:t>
      </w:r>
      <w:r w:rsidRPr="006B0C7E">
        <w:rPr>
          <w:sz w:val="18"/>
          <w:szCs w:val="18"/>
        </w:rPr>
        <w:t>: http://www.publicdebtnet.org/pdm/.content/Report/Report-00747.html</w:t>
      </w:r>
    </w:p>
  </w:footnote>
  <w:footnote w:id="28">
    <w:p w14:paraId="3ABD1B33" w14:textId="4F28E849" w:rsidR="00E33F7E" w:rsidRPr="006B0C7E" w:rsidRDefault="00E33F7E" w:rsidP="006B0C7E">
      <w:pPr>
        <w:pStyle w:val="Funotentext"/>
        <w:ind w:left="142" w:hanging="142"/>
        <w:contextualSpacing/>
        <w:rPr>
          <w:sz w:val="18"/>
          <w:szCs w:val="18"/>
        </w:rPr>
      </w:pPr>
      <w:r w:rsidRPr="006B0C7E">
        <w:rPr>
          <w:rStyle w:val="Funotenzeichen"/>
          <w:sz w:val="18"/>
          <w:szCs w:val="18"/>
        </w:rPr>
        <w:footnoteRef/>
      </w:r>
      <w:r w:rsidRPr="006B0C7E">
        <w:rPr>
          <w:sz w:val="18"/>
          <w:szCs w:val="18"/>
        </w:rPr>
        <w:t xml:space="preserve"> Shapiro, Carl &amp; Varian, Hal, Information Rules: Harvard Business Press 1998</w:t>
      </w:r>
    </w:p>
  </w:footnote>
  <w:footnote w:id="29">
    <w:p w14:paraId="5C2BA7CA" w14:textId="77777777" w:rsidR="00E33F7E" w:rsidRDefault="00E33F7E" w:rsidP="006B0C7E">
      <w:pPr>
        <w:pStyle w:val="Funotentext"/>
        <w:ind w:left="142" w:hanging="142"/>
        <w:contextualSpacing/>
        <w:rPr>
          <w:sz w:val="18"/>
          <w:szCs w:val="18"/>
          <w:lang w:val="en-GB"/>
        </w:rPr>
      </w:pPr>
      <w:r w:rsidRPr="006B0C7E">
        <w:rPr>
          <w:rStyle w:val="Funotenzeichen"/>
          <w:sz w:val="18"/>
          <w:szCs w:val="18"/>
          <w:lang w:val="en-GB"/>
        </w:rPr>
        <w:footnoteRef/>
      </w:r>
      <w:r w:rsidRPr="006B0C7E">
        <w:rPr>
          <w:sz w:val="18"/>
          <w:szCs w:val="18"/>
          <w:lang w:val="en-GB"/>
        </w:rPr>
        <w:t xml:space="preserve"> This term refers to market operators other than Vendors and Sub-Vendors providing market data. This term is not a </w:t>
      </w:r>
      <w:r>
        <w:rPr>
          <w:sz w:val="18"/>
          <w:szCs w:val="18"/>
          <w:lang w:val="en-GB"/>
        </w:rPr>
        <w:t xml:space="preserve">  </w:t>
      </w:r>
    </w:p>
    <w:p w14:paraId="5A27F140" w14:textId="52E046AA" w:rsidR="00E33F7E" w:rsidRPr="006B0C7E" w:rsidRDefault="00E33F7E" w:rsidP="006B0C7E">
      <w:pPr>
        <w:pStyle w:val="Funotentext"/>
        <w:ind w:left="142" w:hanging="142"/>
        <w:contextualSpacing/>
        <w:rPr>
          <w:sz w:val="18"/>
          <w:szCs w:val="18"/>
          <w:lang w:val="en-GB"/>
        </w:rPr>
      </w:pPr>
      <w:r>
        <w:rPr>
          <w:sz w:val="18"/>
          <w:szCs w:val="18"/>
          <w:lang w:val="en-GB"/>
        </w:rPr>
        <w:t xml:space="preserve">    </w:t>
      </w:r>
      <w:r w:rsidRPr="006B0C7E">
        <w:rPr>
          <w:sz w:val="18"/>
          <w:szCs w:val="18"/>
          <w:lang w:val="en-GB"/>
        </w:rPr>
        <w:t xml:space="preserve">recommended reference term and is only included for legibility purposes. </w:t>
      </w:r>
    </w:p>
  </w:footnote>
  <w:footnote w:id="30">
    <w:p w14:paraId="495F13E5" w14:textId="77777777" w:rsidR="00E33F7E" w:rsidRPr="006B0C7E" w:rsidRDefault="00E33F7E" w:rsidP="006B0C7E">
      <w:pPr>
        <w:pStyle w:val="Funotentext"/>
        <w:ind w:left="142" w:hanging="142"/>
        <w:contextualSpacing/>
        <w:rPr>
          <w:sz w:val="18"/>
          <w:szCs w:val="18"/>
          <w:lang w:val="en-GB"/>
        </w:rPr>
      </w:pPr>
      <w:r w:rsidRPr="006B0C7E">
        <w:rPr>
          <w:rStyle w:val="Funotenzeichen"/>
          <w:sz w:val="18"/>
          <w:szCs w:val="18"/>
          <w:lang w:val="en-GB"/>
        </w:rPr>
        <w:footnoteRef/>
      </w:r>
      <w:r w:rsidRPr="006B0C7E">
        <w:rPr>
          <w:sz w:val="18"/>
          <w:szCs w:val="18"/>
          <w:lang w:val="en-GB"/>
        </w:rPr>
        <w:t xml:space="preserve"> This term is not a recommended reference term and is only included for legibility purposes.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D4F3" w14:textId="77777777" w:rsidR="00E33F7E" w:rsidRDefault="00E33F7E">
    <w:pPr>
      <w:pStyle w:val="Kopfzeile"/>
    </w:pPr>
  </w:p>
  <w:p w14:paraId="79A1348F" w14:textId="77777777" w:rsidR="00E33F7E" w:rsidRDefault="00E33F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DA66" w14:textId="77777777" w:rsidR="00E33F7E" w:rsidRDefault="00E33F7E">
    <w:pPr>
      <w:pStyle w:val="Kopfzeile"/>
    </w:pPr>
    <w:r>
      <w:rPr>
        <w:noProof/>
      </w:rPr>
      <w:drawing>
        <wp:anchor distT="0" distB="0" distL="114300" distR="114300" simplePos="0" relativeHeight="251658242" behindDoc="0" locked="0" layoutInCell="1" allowOverlap="1" wp14:anchorId="6C90CCBD" wp14:editId="0A0B6653">
          <wp:simplePos x="0" y="0"/>
          <wp:positionH relativeFrom="page">
            <wp:posOffset>366395</wp:posOffset>
          </wp:positionH>
          <wp:positionV relativeFrom="page">
            <wp:posOffset>372745</wp:posOffset>
          </wp:positionV>
          <wp:extent cx="2209800" cy="904875"/>
          <wp:effectExtent l="0" t="0" r="0" b="9525"/>
          <wp:wrapNone/>
          <wp:docPr id="19"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6134C6" wp14:editId="163279BB">
          <wp:simplePos x="0" y="0"/>
          <wp:positionH relativeFrom="page">
            <wp:align>right</wp:align>
          </wp:positionH>
          <wp:positionV relativeFrom="page">
            <wp:align>bottom</wp:align>
          </wp:positionV>
          <wp:extent cx="7560310" cy="6800850"/>
          <wp:effectExtent l="0" t="0" r="2540" b="0"/>
          <wp:wrapNone/>
          <wp:docPr id="20" name="Picture 18"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9BA0" w14:textId="77777777" w:rsidR="00E33F7E" w:rsidRDefault="00E33F7E" w:rsidP="00B60ED2">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498FA4E4" wp14:editId="26B59ED0">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0FB0"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3DC94C8D" w14:textId="77777777" w:rsidR="00E33F7E" w:rsidRPr="00D13661" w:rsidRDefault="00E33F7E" w:rsidP="00B60ED2">
    <w:pPr>
      <w:pStyle w:val="Kopfzeile"/>
      <w:jc w:val="right"/>
      <w:rPr>
        <w:rFonts w:asciiTheme="minorHAnsi" w:hAnsiTheme="minorHAnsi" w:cstheme="minorHAnsi"/>
        <w:color w:val="2E74B5" w:themeColor="accent5" w:themeShade="BF"/>
        <w:sz w:val="20"/>
      </w:rPr>
    </w:pPr>
    <w:r w:rsidRPr="00D13661">
      <w:rPr>
        <w:rFonts w:asciiTheme="minorHAnsi" w:hAnsiTheme="minorHAnsi" w:cstheme="minorHAnsi"/>
        <w:noProof/>
        <w:color w:val="2E74B5" w:themeColor="accent5" w:themeShade="BF"/>
        <w:sz w:val="20"/>
      </w:rPr>
      <w:drawing>
        <wp:anchor distT="0" distB="0" distL="114300" distR="114300" simplePos="0" relativeHeight="251658241" behindDoc="0" locked="0" layoutInCell="1" allowOverlap="1" wp14:anchorId="209A5F31" wp14:editId="5D42952B">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E74B5" w:themeColor="accent5" w:themeShade="BF"/>
        <w:sz w:val="20"/>
      </w:rPr>
      <w:t>ESMA REGULAR USE</w:t>
    </w:r>
  </w:p>
  <w:p w14:paraId="6E8A87C6" w14:textId="77777777" w:rsidR="00E33F7E" w:rsidRPr="00C3170E" w:rsidRDefault="00E33F7E" w:rsidP="00B60ED2">
    <w:pPr>
      <w:pStyle w:val="Kopfzeile"/>
      <w:jc w:val="right"/>
      <w:rPr>
        <w:color w:val="2E74B5" w:themeColor="accent5" w:themeShade="BF"/>
        <w:sz w:val="20"/>
      </w:rPr>
    </w:pPr>
  </w:p>
  <w:p w14:paraId="5387ACDE" w14:textId="77777777" w:rsidR="00E33F7E" w:rsidRPr="00B50534" w:rsidRDefault="00E33F7E" w:rsidP="00B60ED2">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5F21CA"/>
    <w:multiLevelType w:val="hybridMultilevel"/>
    <w:tmpl w:val="3DB9258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AD270C"/>
    <w:multiLevelType w:val="hybridMultilevel"/>
    <w:tmpl w:val="CEC61F1C"/>
    <w:lvl w:ilvl="0" w:tplc="E0EE96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505F9"/>
    <w:multiLevelType w:val="hybridMultilevel"/>
    <w:tmpl w:val="309C44F2"/>
    <w:lvl w:ilvl="0" w:tplc="7C124236">
      <w:start w:val="1"/>
      <w:numFmt w:val="decimal"/>
      <w:lvlText w:val="%1)"/>
      <w:lvlJc w:val="left"/>
      <w:pPr>
        <w:ind w:left="720"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0EA2DEC"/>
    <w:multiLevelType w:val="hybridMultilevel"/>
    <w:tmpl w:val="96188DF2"/>
    <w:lvl w:ilvl="0" w:tplc="18B41B3C">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197C76"/>
    <w:multiLevelType w:val="hybridMultilevel"/>
    <w:tmpl w:val="A900EB06"/>
    <w:lvl w:ilvl="0" w:tplc="015EE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D36B5"/>
    <w:multiLevelType w:val="hybridMultilevel"/>
    <w:tmpl w:val="659213D6"/>
    <w:lvl w:ilvl="0" w:tplc="39642CD6">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14EC9"/>
    <w:multiLevelType w:val="hybridMultilevel"/>
    <w:tmpl w:val="60DC4A60"/>
    <w:lvl w:ilvl="0" w:tplc="2F28676E">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8F3874"/>
    <w:multiLevelType w:val="hybridMultilevel"/>
    <w:tmpl w:val="F4481982"/>
    <w:lvl w:ilvl="0" w:tplc="E6109F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A61628"/>
    <w:multiLevelType w:val="hybridMultilevel"/>
    <w:tmpl w:val="F7201018"/>
    <w:lvl w:ilvl="0" w:tplc="0409000B">
      <w:start w:val="2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3B94"/>
    <w:multiLevelType w:val="hybridMultilevel"/>
    <w:tmpl w:val="7BDC062A"/>
    <w:lvl w:ilvl="0" w:tplc="81B0D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F1F530F"/>
    <w:multiLevelType w:val="hybridMultilevel"/>
    <w:tmpl w:val="77122F2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3B7ED3"/>
    <w:multiLevelType w:val="hybridMultilevel"/>
    <w:tmpl w:val="AD4AA372"/>
    <w:lvl w:ilvl="0" w:tplc="2F82F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E5A7F"/>
    <w:multiLevelType w:val="hybridMultilevel"/>
    <w:tmpl w:val="5F78E05C"/>
    <w:lvl w:ilvl="0" w:tplc="B28C2776">
      <w:numFmt w:val="bullet"/>
      <w:pStyle w:val="Listenabsatz"/>
      <w:lvlText w:val="-"/>
      <w:lvlJc w:val="left"/>
      <w:pPr>
        <w:ind w:left="720" w:hanging="360"/>
      </w:pPr>
      <w:rPr>
        <w:rFonts w:ascii="Arial" w:eastAsia="Calibri" w:hAnsi="Arial" w:cs="Arial" w:hint="default"/>
      </w:rPr>
    </w:lvl>
    <w:lvl w:ilvl="1" w:tplc="0C46263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91043"/>
    <w:multiLevelType w:val="hybridMultilevel"/>
    <w:tmpl w:val="E36C5C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453CDC"/>
    <w:multiLevelType w:val="hybridMultilevel"/>
    <w:tmpl w:val="086A147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F0B2029"/>
    <w:multiLevelType w:val="hybridMultilevel"/>
    <w:tmpl w:val="BCF22C62"/>
    <w:lvl w:ilvl="0" w:tplc="08726F0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F50DA"/>
    <w:multiLevelType w:val="hybridMultilevel"/>
    <w:tmpl w:val="02CE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3"/>
  </w:num>
  <w:num w:numId="7">
    <w:abstractNumId w:val="18"/>
  </w:num>
  <w:num w:numId="8">
    <w:abstractNumId w:val="0"/>
  </w:num>
  <w:num w:numId="9">
    <w:abstractNumId w:val="19"/>
  </w:num>
  <w:num w:numId="10">
    <w:abstractNumId w:val="7"/>
  </w:num>
  <w:num w:numId="11">
    <w:abstractNumId w:val="2"/>
  </w:num>
  <w:num w:numId="12">
    <w:abstractNumId w:val="21"/>
  </w:num>
  <w:num w:numId="13">
    <w:abstractNumId w:val="4"/>
  </w:num>
  <w:num w:numId="14">
    <w:abstractNumId w:val="17"/>
  </w:num>
  <w:num w:numId="15">
    <w:abstractNumId w:val="16"/>
  </w:num>
  <w:num w:numId="16">
    <w:abstractNumId w:val="8"/>
  </w:num>
  <w:num w:numId="17">
    <w:abstractNumId w:val="6"/>
  </w:num>
  <w:num w:numId="18">
    <w:abstractNumId w:val="20"/>
  </w:num>
  <w:num w:numId="19">
    <w:abstractNumId w:val="10"/>
  </w:num>
  <w:num w:numId="20">
    <w:abstractNumId w:val="9"/>
  </w:num>
  <w:num w:numId="21">
    <w:abstractNumId w:val="15"/>
  </w:num>
  <w:num w:numId="22">
    <w:abstractNumId w:val="11"/>
  </w:num>
  <w:num w:numId="2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23"/>
    <w:rsid w:val="000104E8"/>
    <w:rsid w:val="000120E4"/>
    <w:rsid w:val="00012B20"/>
    <w:rsid w:val="00016BD7"/>
    <w:rsid w:val="000239B7"/>
    <w:rsid w:val="00026F28"/>
    <w:rsid w:val="00035A5B"/>
    <w:rsid w:val="00037FA6"/>
    <w:rsid w:val="00040249"/>
    <w:rsid w:val="000428BD"/>
    <w:rsid w:val="00050F4F"/>
    <w:rsid w:val="000535FC"/>
    <w:rsid w:val="000543F7"/>
    <w:rsid w:val="00056047"/>
    <w:rsid w:val="00063980"/>
    <w:rsid w:val="00065355"/>
    <w:rsid w:val="0006751E"/>
    <w:rsid w:val="00072B49"/>
    <w:rsid w:val="00073092"/>
    <w:rsid w:val="00073141"/>
    <w:rsid w:val="00073C3E"/>
    <w:rsid w:val="00073CCA"/>
    <w:rsid w:val="00075EF1"/>
    <w:rsid w:val="00081F5A"/>
    <w:rsid w:val="0008327E"/>
    <w:rsid w:val="00084EB7"/>
    <w:rsid w:val="000867C6"/>
    <w:rsid w:val="000903EF"/>
    <w:rsid w:val="00093EE0"/>
    <w:rsid w:val="000A5138"/>
    <w:rsid w:val="000A6EAD"/>
    <w:rsid w:val="000A6FEF"/>
    <w:rsid w:val="000B34A0"/>
    <w:rsid w:val="000B7B1C"/>
    <w:rsid w:val="000C3219"/>
    <w:rsid w:val="000C75DC"/>
    <w:rsid w:val="000D078A"/>
    <w:rsid w:val="000D18FD"/>
    <w:rsid w:val="000D5FBC"/>
    <w:rsid w:val="000D6142"/>
    <w:rsid w:val="000D7327"/>
    <w:rsid w:val="000E311F"/>
    <w:rsid w:val="000E37E5"/>
    <w:rsid w:val="000E6367"/>
    <w:rsid w:val="000F2116"/>
    <w:rsid w:val="000F3237"/>
    <w:rsid w:val="000F5B2A"/>
    <w:rsid w:val="00102E90"/>
    <w:rsid w:val="001054FF"/>
    <w:rsid w:val="00106078"/>
    <w:rsid w:val="00112939"/>
    <w:rsid w:val="001149DD"/>
    <w:rsid w:val="00116DF0"/>
    <w:rsid w:val="00117413"/>
    <w:rsid w:val="00117DDB"/>
    <w:rsid w:val="00122185"/>
    <w:rsid w:val="00124F3F"/>
    <w:rsid w:val="001321E3"/>
    <w:rsid w:val="00132632"/>
    <w:rsid w:val="00133814"/>
    <w:rsid w:val="001365E8"/>
    <w:rsid w:val="00140391"/>
    <w:rsid w:val="00140D1F"/>
    <w:rsid w:val="00142534"/>
    <w:rsid w:val="001477CF"/>
    <w:rsid w:val="00151813"/>
    <w:rsid w:val="00155D86"/>
    <w:rsid w:val="00161B8B"/>
    <w:rsid w:val="0016394D"/>
    <w:rsid w:val="001671CF"/>
    <w:rsid w:val="00171C41"/>
    <w:rsid w:val="00172804"/>
    <w:rsid w:val="001738A1"/>
    <w:rsid w:val="00176E0A"/>
    <w:rsid w:val="00181C41"/>
    <w:rsid w:val="00184596"/>
    <w:rsid w:val="001850C1"/>
    <w:rsid w:val="001975D3"/>
    <w:rsid w:val="001A250B"/>
    <w:rsid w:val="001A56A3"/>
    <w:rsid w:val="001A6658"/>
    <w:rsid w:val="001B5AF1"/>
    <w:rsid w:val="001B7B09"/>
    <w:rsid w:val="001C14C2"/>
    <w:rsid w:val="001C62F9"/>
    <w:rsid w:val="001E13E5"/>
    <w:rsid w:val="001E1AAD"/>
    <w:rsid w:val="001F084D"/>
    <w:rsid w:val="00205481"/>
    <w:rsid w:val="00207F32"/>
    <w:rsid w:val="00214D65"/>
    <w:rsid w:val="00216172"/>
    <w:rsid w:val="00217D33"/>
    <w:rsid w:val="00220986"/>
    <w:rsid w:val="002221BB"/>
    <w:rsid w:val="00225AB7"/>
    <w:rsid w:val="00225E84"/>
    <w:rsid w:val="0022622A"/>
    <w:rsid w:val="00230CB3"/>
    <w:rsid w:val="00232C88"/>
    <w:rsid w:val="002352A2"/>
    <w:rsid w:val="00237424"/>
    <w:rsid w:val="00240B2B"/>
    <w:rsid w:val="00241B0B"/>
    <w:rsid w:val="00241F38"/>
    <w:rsid w:val="002421C5"/>
    <w:rsid w:val="0024438C"/>
    <w:rsid w:val="00252BE1"/>
    <w:rsid w:val="00257DE8"/>
    <w:rsid w:val="00265FAE"/>
    <w:rsid w:val="002700B3"/>
    <w:rsid w:val="0027214F"/>
    <w:rsid w:val="00274A19"/>
    <w:rsid w:val="00275AA4"/>
    <w:rsid w:val="00277516"/>
    <w:rsid w:val="0028196B"/>
    <w:rsid w:val="00291E75"/>
    <w:rsid w:val="00293BB5"/>
    <w:rsid w:val="002948E6"/>
    <w:rsid w:val="00294A67"/>
    <w:rsid w:val="00295C97"/>
    <w:rsid w:val="002A0DC0"/>
    <w:rsid w:val="002A6717"/>
    <w:rsid w:val="002A77EE"/>
    <w:rsid w:val="002B0E14"/>
    <w:rsid w:val="002B13FD"/>
    <w:rsid w:val="002B1435"/>
    <w:rsid w:val="002B34CF"/>
    <w:rsid w:val="002C055C"/>
    <w:rsid w:val="002C5CFE"/>
    <w:rsid w:val="002C6127"/>
    <w:rsid w:val="002C6528"/>
    <w:rsid w:val="002D07B1"/>
    <w:rsid w:val="002D133F"/>
    <w:rsid w:val="002D163E"/>
    <w:rsid w:val="002D1DEE"/>
    <w:rsid w:val="002E2AA3"/>
    <w:rsid w:val="002E4491"/>
    <w:rsid w:val="002E4F15"/>
    <w:rsid w:val="002E6419"/>
    <w:rsid w:val="002E7365"/>
    <w:rsid w:val="002F0685"/>
    <w:rsid w:val="002F0DA4"/>
    <w:rsid w:val="002F71D3"/>
    <w:rsid w:val="00305781"/>
    <w:rsid w:val="0031202E"/>
    <w:rsid w:val="00312CB0"/>
    <w:rsid w:val="00314463"/>
    <w:rsid w:val="00317B5F"/>
    <w:rsid w:val="0032062D"/>
    <w:rsid w:val="00322DD2"/>
    <w:rsid w:val="00326124"/>
    <w:rsid w:val="00330650"/>
    <w:rsid w:val="003311B3"/>
    <w:rsid w:val="003317A8"/>
    <w:rsid w:val="00333C32"/>
    <w:rsid w:val="00333F39"/>
    <w:rsid w:val="00342623"/>
    <w:rsid w:val="0034330E"/>
    <w:rsid w:val="00344773"/>
    <w:rsid w:val="0034545B"/>
    <w:rsid w:val="0035324C"/>
    <w:rsid w:val="00354302"/>
    <w:rsid w:val="00361B77"/>
    <w:rsid w:val="00362241"/>
    <w:rsid w:val="0036323B"/>
    <w:rsid w:val="00364221"/>
    <w:rsid w:val="00364548"/>
    <w:rsid w:val="003657C9"/>
    <w:rsid w:val="0036652D"/>
    <w:rsid w:val="00382ACF"/>
    <w:rsid w:val="003878EF"/>
    <w:rsid w:val="003A0593"/>
    <w:rsid w:val="003A0DC5"/>
    <w:rsid w:val="003A241E"/>
    <w:rsid w:val="003A7FB3"/>
    <w:rsid w:val="003B48A8"/>
    <w:rsid w:val="003C14A0"/>
    <w:rsid w:val="003C27C6"/>
    <w:rsid w:val="003C6584"/>
    <w:rsid w:val="003C7ABB"/>
    <w:rsid w:val="003D0837"/>
    <w:rsid w:val="003D2BDD"/>
    <w:rsid w:val="003D48E9"/>
    <w:rsid w:val="003D6749"/>
    <w:rsid w:val="003D7C48"/>
    <w:rsid w:val="003E2563"/>
    <w:rsid w:val="003E7F2D"/>
    <w:rsid w:val="003F3890"/>
    <w:rsid w:val="003F68FA"/>
    <w:rsid w:val="004013D8"/>
    <w:rsid w:val="00402AC2"/>
    <w:rsid w:val="004063C8"/>
    <w:rsid w:val="00410DD2"/>
    <w:rsid w:val="00411834"/>
    <w:rsid w:val="004131C4"/>
    <w:rsid w:val="00417423"/>
    <w:rsid w:val="00424F73"/>
    <w:rsid w:val="00427F80"/>
    <w:rsid w:val="00430D29"/>
    <w:rsid w:val="00431742"/>
    <w:rsid w:val="0043427D"/>
    <w:rsid w:val="00434C09"/>
    <w:rsid w:val="00441DFA"/>
    <w:rsid w:val="00447FFB"/>
    <w:rsid w:val="00456591"/>
    <w:rsid w:val="00457BC4"/>
    <w:rsid w:val="004600BF"/>
    <w:rsid w:val="00461B91"/>
    <w:rsid w:val="00463962"/>
    <w:rsid w:val="00467756"/>
    <w:rsid w:val="0047046F"/>
    <w:rsid w:val="00470878"/>
    <w:rsid w:val="00476ED0"/>
    <w:rsid w:val="00480F99"/>
    <w:rsid w:val="00481011"/>
    <w:rsid w:val="00483D35"/>
    <w:rsid w:val="004876A5"/>
    <w:rsid w:val="004917B5"/>
    <w:rsid w:val="0049455D"/>
    <w:rsid w:val="00496A57"/>
    <w:rsid w:val="004A1837"/>
    <w:rsid w:val="004A3591"/>
    <w:rsid w:val="004A3A85"/>
    <w:rsid w:val="004A5A0D"/>
    <w:rsid w:val="004B0B76"/>
    <w:rsid w:val="004B21F4"/>
    <w:rsid w:val="004B4280"/>
    <w:rsid w:val="004B4CB8"/>
    <w:rsid w:val="004B662A"/>
    <w:rsid w:val="004C03AA"/>
    <w:rsid w:val="004C3FFA"/>
    <w:rsid w:val="004C663D"/>
    <w:rsid w:val="004D4238"/>
    <w:rsid w:val="004D77A4"/>
    <w:rsid w:val="004E3FC5"/>
    <w:rsid w:val="004F3C44"/>
    <w:rsid w:val="004F409D"/>
    <w:rsid w:val="004F493A"/>
    <w:rsid w:val="004F4AD0"/>
    <w:rsid w:val="004F4B90"/>
    <w:rsid w:val="005035EF"/>
    <w:rsid w:val="0050374A"/>
    <w:rsid w:val="00504783"/>
    <w:rsid w:val="00505446"/>
    <w:rsid w:val="0050588F"/>
    <w:rsid w:val="00506FF9"/>
    <w:rsid w:val="0051552B"/>
    <w:rsid w:val="00517F77"/>
    <w:rsid w:val="005230AF"/>
    <w:rsid w:val="00531CAF"/>
    <w:rsid w:val="0053273E"/>
    <w:rsid w:val="0053365C"/>
    <w:rsid w:val="00537F45"/>
    <w:rsid w:val="0054553F"/>
    <w:rsid w:val="0054618A"/>
    <w:rsid w:val="00553198"/>
    <w:rsid w:val="00553AC3"/>
    <w:rsid w:val="00557E80"/>
    <w:rsid w:val="00562C65"/>
    <w:rsid w:val="005673D0"/>
    <w:rsid w:val="00573FF5"/>
    <w:rsid w:val="00576671"/>
    <w:rsid w:val="005767FB"/>
    <w:rsid w:val="0058622E"/>
    <w:rsid w:val="0059212B"/>
    <w:rsid w:val="0059351B"/>
    <w:rsid w:val="005960DE"/>
    <w:rsid w:val="005A2FE9"/>
    <w:rsid w:val="005A33F7"/>
    <w:rsid w:val="005A5356"/>
    <w:rsid w:val="005B0452"/>
    <w:rsid w:val="005B24C2"/>
    <w:rsid w:val="005B2748"/>
    <w:rsid w:val="005B49F5"/>
    <w:rsid w:val="005C2E02"/>
    <w:rsid w:val="005D15F5"/>
    <w:rsid w:val="005D4330"/>
    <w:rsid w:val="005D5DA1"/>
    <w:rsid w:val="005D6A31"/>
    <w:rsid w:val="005E138B"/>
    <w:rsid w:val="005F5126"/>
    <w:rsid w:val="00602FFC"/>
    <w:rsid w:val="00603A9C"/>
    <w:rsid w:val="00604C15"/>
    <w:rsid w:val="00610116"/>
    <w:rsid w:val="006104FD"/>
    <w:rsid w:val="0061068B"/>
    <w:rsid w:val="00610F77"/>
    <w:rsid w:val="0061191A"/>
    <w:rsid w:val="006133C7"/>
    <w:rsid w:val="00615826"/>
    <w:rsid w:val="00617100"/>
    <w:rsid w:val="00620073"/>
    <w:rsid w:val="00622564"/>
    <w:rsid w:val="00623A27"/>
    <w:rsid w:val="00624714"/>
    <w:rsid w:val="00626BF6"/>
    <w:rsid w:val="006306E1"/>
    <w:rsid w:val="00640A37"/>
    <w:rsid w:val="0064436E"/>
    <w:rsid w:val="00647BD7"/>
    <w:rsid w:val="006506E6"/>
    <w:rsid w:val="006516E1"/>
    <w:rsid w:val="0065350F"/>
    <w:rsid w:val="00653D30"/>
    <w:rsid w:val="00656798"/>
    <w:rsid w:val="0066191B"/>
    <w:rsid w:val="0066698E"/>
    <w:rsid w:val="00667181"/>
    <w:rsid w:val="00667384"/>
    <w:rsid w:val="00670AE3"/>
    <w:rsid w:val="006716EA"/>
    <w:rsid w:val="006721B0"/>
    <w:rsid w:val="00675497"/>
    <w:rsid w:val="006761A5"/>
    <w:rsid w:val="006818DD"/>
    <w:rsid w:val="00683173"/>
    <w:rsid w:val="0068332E"/>
    <w:rsid w:val="006839CF"/>
    <w:rsid w:val="00695441"/>
    <w:rsid w:val="00696601"/>
    <w:rsid w:val="006A571B"/>
    <w:rsid w:val="006B0C7E"/>
    <w:rsid w:val="006B0E3B"/>
    <w:rsid w:val="006B58B7"/>
    <w:rsid w:val="006C1173"/>
    <w:rsid w:val="006C16D2"/>
    <w:rsid w:val="006C43FD"/>
    <w:rsid w:val="006C57AE"/>
    <w:rsid w:val="006D228D"/>
    <w:rsid w:val="006D6CA4"/>
    <w:rsid w:val="006D7E56"/>
    <w:rsid w:val="006F31FE"/>
    <w:rsid w:val="006F44ED"/>
    <w:rsid w:val="006F51AB"/>
    <w:rsid w:val="006F6C1A"/>
    <w:rsid w:val="00701293"/>
    <w:rsid w:val="00704E22"/>
    <w:rsid w:val="00711C77"/>
    <w:rsid w:val="0071257C"/>
    <w:rsid w:val="00713AEA"/>
    <w:rsid w:val="00720E28"/>
    <w:rsid w:val="00722085"/>
    <w:rsid w:val="0072465B"/>
    <w:rsid w:val="0072652D"/>
    <w:rsid w:val="007276C9"/>
    <w:rsid w:val="00727B89"/>
    <w:rsid w:val="00731966"/>
    <w:rsid w:val="0073595F"/>
    <w:rsid w:val="00737214"/>
    <w:rsid w:val="00750FB6"/>
    <w:rsid w:val="00754AE4"/>
    <w:rsid w:val="00757065"/>
    <w:rsid w:val="007601FA"/>
    <w:rsid w:val="007618DD"/>
    <w:rsid w:val="00767CF8"/>
    <w:rsid w:val="007711B0"/>
    <w:rsid w:val="007770EE"/>
    <w:rsid w:val="00780E2B"/>
    <w:rsid w:val="00786F81"/>
    <w:rsid w:val="00787C37"/>
    <w:rsid w:val="007924D6"/>
    <w:rsid w:val="007A36BC"/>
    <w:rsid w:val="007A6513"/>
    <w:rsid w:val="007B1875"/>
    <w:rsid w:val="007B5513"/>
    <w:rsid w:val="007C26C6"/>
    <w:rsid w:val="007C2CF3"/>
    <w:rsid w:val="007C2E24"/>
    <w:rsid w:val="007C2ED9"/>
    <w:rsid w:val="007C3ADC"/>
    <w:rsid w:val="007C6AB9"/>
    <w:rsid w:val="007D0E17"/>
    <w:rsid w:val="007D46F3"/>
    <w:rsid w:val="007D67E4"/>
    <w:rsid w:val="007F1553"/>
    <w:rsid w:val="00803C9A"/>
    <w:rsid w:val="008044EF"/>
    <w:rsid w:val="00815777"/>
    <w:rsid w:val="008169AC"/>
    <w:rsid w:val="008173BA"/>
    <w:rsid w:val="00823316"/>
    <w:rsid w:val="008269A4"/>
    <w:rsid w:val="00827A30"/>
    <w:rsid w:val="008316DE"/>
    <w:rsid w:val="00834A97"/>
    <w:rsid w:val="00834DDE"/>
    <w:rsid w:val="00837EDE"/>
    <w:rsid w:val="00840BF1"/>
    <w:rsid w:val="00851445"/>
    <w:rsid w:val="00852EA2"/>
    <w:rsid w:val="00856F02"/>
    <w:rsid w:val="00863B53"/>
    <w:rsid w:val="008648B6"/>
    <w:rsid w:val="0086793B"/>
    <w:rsid w:val="008700A7"/>
    <w:rsid w:val="00870FCB"/>
    <w:rsid w:val="00873EA3"/>
    <w:rsid w:val="00877299"/>
    <w:rsid w:val="0088463A"/>
    <w:rsid w:val="0088629E"/>
    <w:rsid w:val="008923B2"/>
    <w:rsid w:val="00894D96"/>
    <w:rsid w:val="00895323"/>
    <w:rsid w:val="00896518"/>
    <w:rsid w:val="008A17C0"/>
    <w:rsid w:val="008A6330"/>
    <w:rsid w:val="008A6453"/>
    <w:rsid w:val="008A75A4"/>
    <w:rsid w:val="008A7B15"/>
    <w:rsid w:val="008B01D9"/>
    <w:rsid w:val="008B4E45"/>
    <w:rsid w:val="008B5515"/>
    <w:rsid w:val="008C1A9D"/>
    <w:rsid w:val="008C3E14"/>
    <w:rsid w:val="008C4B38"/>
    <w:rsid w:val="008C5BB2"/>
    <w:rsid w:val="008D0159"/>
    <w:rsid w:val="008D3ABF"/>
    <w:rsid w:val="008D49EB"/>
    <w:rsid w:val="008E212B"/>
    <w:rsid w:val="008E721F"/>
    <w:rsid w:val="008F1350"/>
    <w:rsid w:val="008F1FAC"/>
    <w:rsid w:val="008F63F9"/>
    <w:rsid w:val="008F7708"/>
    <w:rsid w:val="00900038"/>
    <w:rsid w:val="0090017A"/>
    <w:rsid w:val="00900A05"/>
    <w:rsid w:val="00904BEB"/>
    <w:rsid w:val="00905357"/>
    <w:rsid w:val="00906B6A"/>
    <w:rsid w:val="00906FE9"/>
    <w:rsid w:val="009120ED"/>
    <w:rsid w:val="0091366D"/>
    <w:rsid w:val="00914F81"/>
    <w:rsid w:val="009173FB"/>
    <w:rsid w:val="009175BD"/>
    <w:rsid w:val="009202A7"/>
    <w:rsid w:val="0092218D"/>
    <w:rsid w:val="00923A44"/>
    <w:rsid w:val="00926101"/>
    <w:rsid w:val="009263D2"/>
    <w:rsid w:val="00927971"/>
    <w:rsid w:val="00930875"/>
    <w:rsid w:val="00930CCD"/>
    <w:rsid w:val="0093647B"/>
    <w:rsid w:val="00937F4C"/>
    <w:rsid w:val="00941127"/>
    <w:rsid w:val="00943212"/>
    <w:rsid w:val="00952BA8"/>
    <w:rsid w:val="009607D9"/>
    <w:rsid w:val="00961E95"/>
    <w:rsid w:val="00972733"/>
    <w:rsid w:val="009748A7"/>
    <w:rsid w:val="00976277"/>
    <w:rsid w:val="009763FE"/>
    <w:rsid w:val="009764A3"/>
    <w:rsid w:val="00977A3B"/>
    <w:rsid w:val="00980805"/>
    <w:rsid w:val="00983E68"/>
    <w:rsid w:val="00984423"/>
    <w:rsid w:val="009867C2"/>
    <w:rsid w:val="009867E7"/>
    <w:rsid w:val="00986A59"/>
    <w:rsid w:val="00990F4A"/>
    <w:rsid w:val="00993672"/>
    <w:rsid w:val="00996F40"/>
    <w:rsid w:val="00997493"/>
    <w:rsid w:val="009A2C3C"/>
    <w:rsid w:val="009A733E"/>
    <w:rsid w:val="009B1D06"/>
    <w:rsid w:val="009B2266"/>
    <w:rsid w:val="009B2935"/>
    <w:rsid w:val="009B4C5F"/>
    <w:rsid w:val="009B526F"/>
    <w:rsid w:val="009C2C67"/>
    <w:rsid w:val="009C4182"/>
    <w:rsid w:val="009D05F0"/>
    <w:rsid w:val="009D0A02"/>
    <w:rsid w:val="009D23D0"/>
    <w:rsid w:val="009E0B45"/>
    <w:rsid w:val="009E2598"/>
    <w:rsid w:val="009E6BB9"/>
    <w:rsid w:val="009E7529"/>
    <w:rsid w:val="009F0B1C"/>
    <w:rsid w:val="009F10FD"/>
    <w:rsid w:val="00A021A8"/>
    <w:rsid w:val="00A070E5"/>
    <w:rsid w:val="00A079E1"/>
    <w:rsid w:val="00A150C2"/>
    <w:rsid w:val="00A15456"/>
    <w:rsid w:val="00A15B7F"/>
    <w:rsid w:val="00A2060D"/>
    <w:rsid w:val="00A21568"/>
    <w:rsid w:val="00A34425"/>
    <w:rsid w:val="00A3498F"/>
    <w:rsid w:val="00A370FF"/>
    <w:rsid w:val="00A41514"/>
    <w:rsid w:val="00A42E5E"/>
    <w:rsid w:val="00A46D4F"/>
    <w:rsid w:val="00A502D9"/>
    <w:rsid w:val="00A55521"/>
    <w:rsid w:val="00A562E1"/>
    <w:rsid w:val="00A56F7C"/>
    <w:rsid w:val="00A616F8"/>
    <w:rsid w:val="00A6228D"/>
    <w:rsid w:val="00A62335"/>
    <w:rsid w:val="00A62A60"/>
    <w:rsid w:val="00A63098"/>
    <w:rsid w:val="00A63D06"/>
    <w:rsid w:val="00A63DE0"/>
    <w:rsid w:val="00A65294"/>
    <w:rsid w:val="00A6626F"/>
    <w:rsid w:val="00A76E61"/>
    <w:rsid w:val="00A77C81"/>
    <w:rsid w:val="00A82077"/>
    <w:rsid w:val="00A86160"/>
    <w:rsid w:val="00A869A3"/>
    <w:rsid w:val="00A946E6"/>
    <w:rsid w:val="00AA3585"/>
    <w:rsid w:val="00AA3CF2"/>
    <w:rsid w:val="00AB0227"/>
    <w:rsid w:val="00AB1D88"/>
    <w:rsid w:val="00AB637D"/>
    <w:rsid w:val="00AB7B16"/>
    <w:rsid w:val="00AC0190"/>
    <w:rsid w:val="00AC3CF7"/>
    <w:rsid w:val="00AD54F5"/>
    <w:rsid w:val="00AD5D1E"/>
    <w:rsid w:val="00AD5F7B"/>
    <w:rsid w:val="00AD7829"/>
    <w:rsid w:val="00AE219A"/>
    <w:rsid w:val="00AE354E"/>
    <w:rsid w:val="00AE7981"/>
    <w:rsid w:val="00AF51FA"/>
    <w:rsid w:val="00B0160E"/>
    <w:rsid w:val="00B02110"/>
    <w:rsid w:val="00B05640"/>
    <w:rsid w:val="00B05654"/>
    <w:rsid w:val="00B06096"/>
    <w:rsid w:val="00B072CB"/>
    <w:rsid w:val="00B07C42"/>
    <w:rsid w:val="00B10FC3"/>
    <w:rsid w:val="00B179A2"/>
    <w:rsid w:val="00B21539"/>
    <w:rsid w:val="00B21BC8"/>
    <w:rsid w:val="00B32FE3"/>
    <w:rsid w:val="00B33BC9"/>
    <w:rsid w:val="00B34AE7"/>
    <w:rsid w:val="00B368DC"/>
    <w:rsid w:val="00B40EE9"/>
    <w:rsid w:val="00B44018"/>
    <w:rsid w:val="00B45D87"/>
    <w:rsid w:val="00B54562"/>
    <w:rsid w:val="00B60ED2"/>
    <w:rsid w:val="00B628E9"/>
    <w:rsid w:val="00B652F5"/>
    <w:rsid w:val="00B65479"/>
    <w:rsid w:val="00B65753"/>
    <w:rsid w:val="00B66327"/>
    <w:rsid w:val="00B66E26"/>
    <w:rsid w:val="00B72E9E"/>
    <w:rsid w:val="00B85876"/>
    <w:rsid w:val="00B90399"/>
    <w:rsid w:val="00B91C61"/>
    <w:rsid w:val="00B93399"/>
    <w:rsid w:val="00B94D2F"/>
    <w:rsid w:val="00BA618B"/>
    <w:rsid w:val="00BA7D99"/>
    <w:rsid w:val="00BA7EF9"/>
    <w:rsid w:val="00BC0263"/>
    <w:rsid w:val="00BC28E8"/>
    <w:rsid w:val="00BC30A4"/>
    <w:rsid w:val="00BC3134"/>
    <w:rsid w:val="00BC54BC"/>
    <w:rsid w:val="00BC56FD"/>
    <w:rsid w:val="00BC5D11"/>
    <w:rsid w:val="00BD1831"/>
    <w:rsid w:val="00BD4B16"/>
    <w:rsid w:val="00BD65E9"/>
    <w:rsid w:val="00BE122B"/>
    <w:rsid w:val="00BE2554"/>
    <w:rsid w:val="00BF05E9"/>
    <w:rsid w:val="00BF1BF1"/>
    <w:rsid w:val="00BF450E"/>
    <w:rsid w:val="00BF53BF"/>
    <w:rsid w:val="00BF58C9"/>
    <w:rsid w:val="00BF5D00"/>
    <w:rsid w:val="00BF7053"/>
    <w:rsid w:val="00C04156"/>
    <w:rsid w:val="00C06FED"/>
    <w:rsid w:val="00C1184C"/>
    <w:rsid w:val="00C21EF9"/>
    <w:rsid w:val="00C23BA1"/>
    <w:rsid w:val="00C25FBB"/>
    <w:rsid w:val="00C2755A"/>
    <w:rsid w:val="00C277EB"/>
    <w:rsid w:val="00C30DB5"/>
    <w:rsid w:val="00C33705"/>
    <w:rsid w:val="00C3593B"/>
    <w:rsid w:val="00C36171"/>
    <w:rsid w:val="00C371D1"/>
    <w:rsid w:val="00C401A4"/>
    <w:rsid w:val="00C4381C"/>
    <w:rsid w:val="00C52785"/>
    <w:rsid w:val="00C52DFE"/>
    <w:rsid w:val="00C54703"/>
    <w:rsid w:val="00C54D54"/>
    <w:rsid w:val="00C551C1"/>
    <w:rsid w:val="00C6244A"/>
    <w:rsid w:val="00C672B6"/>
    <w:rsid w:val="00C71F25"/>
    <w:rsid w:val="00C72E20"/>
    <w:rsid w:val="00C73A57"/>
    <w:rsid w:val="00C75A0F"/>
    <w:rsid w:val="00C771B8"/>
    <w:rsid w:val="00C77EFB"/>
    <w:rsid w:val="00C84377"/>
    <w:rsid w:val="00C865AD"/>
    <w:rsid w:val="00C86BB9"/>
    <w:rsid w:val="00C91379"/>
    <w:rsid w:val="00C94A1A"/>
    <w:rsid w:val="00CA1214"/>
    <w:rsid w:val="00CA4473"/>
    <w:rsid w:val="00CA5ADF"/>
    <w:rsid w:val="00CB5D52"/>
    <w:rsid w:val="00CD041C"/>
    <w:rsid w:val="00CD103F"/>
    <w:rsid w:val="00CD1194"/>
    <w:rsid w:val="00CD1773"/>
    <w:rsid w:val="00CD61C1"/>
    <w:rsid w:val="00CE7210"/>
    <w:rsid w:val="00CF06B7"/>
    <w:rsid w:val="00CF7AD3"/>
    <w:rsid w:val="00D05A37"/>
    <w:rsid w:val="00D11589"/>
    <w:rsid w:val="00D117CE"/>
    <w:rsid w:val="00D26980"/>
    <w:rsid w:val="00D27561"/>
    <w:rsid w:val="00D32B19"/>
    <w:rsid w:val="00D35E7F"/>
    <w:rsid w:val="00D36BB4"/>
    <w:rsid w:val="00D3769C"/>
    <w:rsid w:val="00D4275C"/>
    <w:rsid w:val="00D464B6"/>
    <w:rsid w:val="00D4740B"/>
    <w:rsid w:val="00D50536"/>
    <w:rsid w:val="00D51F01"/>
    <w:rsid w:val="00D60EDB"/>
    <w:rsid w:val="00D621BD"/>
    <w:rsid w:val="00D6252A"/>
    <w:rsid w:val="00D62A68"/>
    <w:rsid w:val="00D65DCD"/>
    <w:rsid w:val="00D7258C"/>
    <w:rsid w:val="00D76ABE"/>
    <w:rsid w:val="00D84AF9"/>
    <w:rsid w:val="00D9483B"/>
    <w:rsid w:val="00D962BF"/>
    <w:rsid w:val="00D97810"/>
    <w:rsid w:val="00D97EC0"/>
    <w:rsid w:val="00DA45DC"/>
    <w:rsid w:val="00DA477D"/>
    <w:rsid w:val="00DA53E9"/>
    <w:rsid w:val="00DB02E1"/>
    <w:rsid w:val="00DB1143"/>
    <w:rsid w:val="00DB48FB"/>
    <w:rsid w:val="00DB7DE4"/>
    <w:rsid w:val="00DC33D1"/>
    <w:rsid w:val="00DC72B4"/>
    <w:rsid w:val="00DD30C4"/>
    <w:rsid w:val="00DD5133"/>
    <w:rsid w:val="00DD58F3"/>
    <w:rsid w:val="00DE0D52"/>
    <w:rsid w:val="00DE10C0"/>
    <w:rsid w:val="00DE3E8A"/>
    <w:rsid w:val="00DE50A4"/>
    <w:rsid w:val="00DE56E2"/>
    <w:rsid w:val="00DE6196"/>
    <w:rsid w:val="00DE7220"/>
    <w:rsid w:val="00DE7AE8"/>
    <w:rsid w:val="00E049F1"/>
    <w:rsid w:val="00E10E46"/>
    <w:rsid w:val="00E11BEF"/>
    <w:rsid w:val="00E121C0"/>
    <w:rsid w:val="00E12C3A"/>
    <w:rsid w:val="00E15492"/>
    <w:rsid w:val="00E25EA6"/>
    <w:rsid w:val="00E27D85"/>
    <w:rsid w:val="00E27EED"/>
    <w:rsid w:val="00E3240D"/>
    <w:rsid w:val="00E33A2B"/>
    <w:rsid w:val="00E33F7E"/>
    <w:rsid w:val="00E35E70"/>
    <w:rsid w:val="00E36266"/>
    <w:rsid w:val="00E36779"/>
    <w:rsid w:val="00E46234"/>
    <w:rsid w:val="00E55B7F"/>
    <w:rsid w:val="00E57090"/>
    <w:rsid w:val="00E5737E"/>
    <w:rsid w:val="00E63C3D"/>
    <w:rsid w:val="00E7044B"/>
    <w:rsid w:val="00E73A51"/>
    <w:rsid w:val="00E833FD"/>
    <w:rsid w:val="00E84C9E"/>
    <w:rsid w:val="00E93B8F"/>
    <w:rsid w:val="00E96126"/>
    <w:rsid w:val="00EA0A13"/>
    <w:rsid w:val="00EA5457"/>
    <w:rsid w:val="00EA5C6D"/>
    <w:rsid w:val="00EA6753"/>
    <w:rsid w:val="00EB297C"/>
    <w:rsid w:val="00EB49A7"/>
    <w:rsid w:val="00EB4B80"/>
    <w:rsid w:val="00EB4E68"/>
    <w:rsid w:val="00EC18CF"/>
    <w:rsid w:val="00EC1E21"/>
    <w:rsid w:val="00EC252F"/>
    <w:rsid w:val="00EC3B40"/>
    <w:rsid w:val="00EC76E9"/>
    <w:rsid w:val="00EC781A"/>
    <w:rsid w:val="00ED54A3"/>
    <w:rsid w:val="00ED5BE5"/>
    <w:rsid w:val="00ED6F70"/>
    <w:rsid w:val="00ED711D"/>
    <w:rsid w:val="00EE18EE"/>
    <w:rsid w:val="00EE5902"/>
    <w:rsid w:val="00EE5959"/>
    <w:rsid w:val="00EF4B2B"/>
    <w:rsid w:val="00EF4E25"/>
    <w:rsid w:val="00EF68C6"/>
    <w:rsid w:val="00F0077C"/>
    <w:rsid w:val="00F02EA1"/>
    <w:rsid w:val="00F06B9F"/>
    <w:rsid w:val="00F10344"/>
    <w:rsid w:val="00F1532E"/>
    <w:rsid w:val="00F25EE0"/>
    <w:rsid w:val="00F26672"/>
    <w:rsid w:val="00F276D3"/>
    <w:rsid w:val="00F302EB"/>
    <w:rsid w:val="00F3364F"/>
    <w:rsid w:val="00F34721"/>
    <w:rsid w:val="00F34FEB"/>
    <w:rsid w:val="00F35833"/>
    <w:rsid w:val="00F365F9"/>
    <w:rsid w:val="00F37CD8"/>
    <w:rsid w:val="00F40127"/>
    <w:rsid w:val="00F4381A"/>
    <w:rsid w:val="00F44601"/>
    <w:rsid w:val="00F47322"/>
    <w:rsid w:val="00F5438A"/>
    <w:rsid w:val="00F577AA"/>
    <w:rsid w:val="00F655C1"/>
    <w:rsid w:val="00F6575F"/>
    <w:rsid w:val="00F71215"/>
    <w:rsid w:val="00F77659"/>
    <w:rsid w:val="00F93D6B"/>
    <w:rsid w:val="00F94509"/>
    <w:rsid w:val="00F956EA"/>
    <w:rsid w:val="00F959AB"/>
    <w:rsid w:val="00FA22E8"/>
    <w:rsid w:val="00FA39E3"/>
    <w:rsid w:val="00FA5DC9"/>
    <w:rsid w:val="00FA7D4E"/>
    <w:rsid w:val="00FB30CD"/>
    <w:rsid w:val="00FB57B4"/>
    <w:rsid w:val="00FC3535"/>
    <w:rsid w:val="00FC404B"/>
    <w:rsid w:val="00FD0ABC"/>
    <w:rsid w:val="00FD2C2E"/>
    <w:rsid w:val="00FD4A62"/>
    <w:rsid w:val="00FD530C"/>
    <w:rsid w:val="00FD6EA5"/>
    <w:rsid w:val="00FE5961"/>
    <w:rsid w:val="00FF1824"/>
    <w:rsid w:val="00FF2506"/>
    <w:rsid w:val="00FF3CD3"/>
    <w:rsid w:val="00FF3EDB"/>
    <w:rsid w:val="00FF430A"/>
    <w:rsid w:val="00FF77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74C0B2"/>
  <w15:chartTrackingRefBased/>
  <w15:docId w15:val="{F8E9A3AB-A9E0-48AC-9C4B-EF693B35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984423"/>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984423"/>
    <w:pPr>
      <w:keepNext/>
      <w:keepLines/>
      <w:numPr>
        <w:numId w:val="1"/>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984423"/>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984423"/>
    <w:pPr>
      <w:keepNext/>
      <w:keepLines/>
      <w:numPr>
        <w:ilvl w:val="2"/>
        <w:numId w:val="1"/>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984423"/>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984423"/>
    <w:pPr>
      <w:keepNext/>
      <w:keepLines/>
      <w:numPr>
        <w:ilvl w:val="5"/>
        <w:numId w:val="1"/>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984423"/>
    <w:pPr>
      <w:keepNext/>
      <w:keepLines/>
      <w:numPr>
        <w:ilvl w:val="6"/>
        <w:numId w:val="1"/>
      </w:numPr>
      <w:spacing w:before="40"/>
      <w:outlineLvl w:val="6"/>
    </w:pPr>
    <w:rPr>
      <w:rFonts w:asciiTheme="majorHAnsi" w:eastAsiaTheme="majorEastAsia" w:hAnsiTheme="majorHAnsi" w:cstheme="majorBidi"/>
      <w:i/>
      <w:iCs/>
      <w:color w:val="1F3864" w:themeColor="accent1" w:themeShade="80"/>
      <w:sz w:val="21"/>
      <w:szCs w:val="21"/>
    </w:rPr>
  </w:style>
  <w:style w:type="paragraph" w:styleId="berschrift8">
    <w:name w:val="heading 8"/>
    <w:basedOn w:val="Standard"/>
    <w:next w:val="Standard"/>
    <w:link w:val="berschrift8Zchn"/>
    <w:unhideWhenUsed/>
    <w:qFormat/>
    <w:rsid w:val="00984423"/>
    <w:pPr>
      <w:keepNext/>
      <w:keepLines/>
      <w:numPr>
        <w:ilvl w:val="7"/>
        <w:numId w:val="1"/>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984423"/>
    <w:pPr>
      <w:keepNext/>
      <w:keepLines/>
      <w:numPr>
        <w:ilvl w:val="8"/>
        <w:numId w:val="1"/>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84423"/>
    <w:pPr>
      <w:tabs>
        <w:tab w:val="center" w:pos="4513"/>
        <w:tab w:val="right" w:pos="9026"/>
      </w:tabs>
    </w:pPr>
  </w:style>
  <w:style w:type="character" w:customStyle="1" w:styleId="KopfzeileZchn">
    <w:name w:val="Kopfzeile Zchn"/>
    <w:basedOn w:val="Absatz-Standardschriftart"/>
    <w:link w:val="Kopfzeile"/>
    <w:uiPriority w:val="99"/>
    <w:rsid w:val="00984423"/>
  </w:style>
  <w:style w:type="paragraph" w:styleId="Fuzeile">
    <w:name w:val="footer"/>
    <w:basedOn w:val="Standard"/>
    <w:link w:val="FuzeileZchn"/>
    <w:uiPriority w:val="99"/>
    <w:unhideWhenUsed/>
    <w:rsid w:val="00984423"/>
    <w:pPr>
      <w:tabs>
        <w:tab w:val="center" w:pos="4513"/>
        <w:tab w:val="right" w:pos="9026"/>
      </w:tabs>
    </w:pPr>
  </w:style>
  <w:style w:type="character" w:customStyle="1" w:styleId="FuzeileZchn">
    <w:name w:val="Fußzeile Zchn"/>
    <w:basedOn w:val="Absatz-Standardschriftart"/>
    <w:link w:val="Fuzeile"/>
    <w:uiPriority w:val="99"/>
    <w:rsid w:val="00984423"/>
  </w:style>
  <w:style w:type="character" w:customStyle="1" w:styleId="berschrift1Zchn">
    <w:name w:val="Überschrift 1 Zchn"/>
    <w:basedOn w:val="Absatz-Standardschriftart"/>
    <w:link w:val="berschrift1"/>
    <w:rsid w:val="00984423"/>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984423"/>
    <w:rPr>
      <w:rFonts w:asciiTheme="majorHAnsi" w:eastAsiaTheme="majorEastAsia" w:hAnsiTheme="majorHAnsi" w:cstheme="majorBidi"/>
      <w:b/>
      <w:sz w:val="28"/>
      <w:szCs w:val="28"/>
      <w:lang w:val="en-GB" w:eastAsia="en-GB"/>
    </w:rPr>
  </w:style>
  <w:style w:type="character" w:customStyle="1" w:styleId="berschrift3Zchn">
    <w:name w:val="Überschrift 3 Zchn"/>
    <w:basedOn w:val="Absatz-Standardschriftart"/>
    <w:link w:val="berschrift3"/>
    <w:rsid w:val="00984423"/>
    <w:rPr>
      <w:rFonts w:asciiTheme="majorHAnsi" w:eastAsiaTheme="majorEastAsia" w:hAnsiTheme="majorHAnsi" w:cstheme="majorBidi"/>
      <w:sz w:val="24"/>
      <w:szCs w:val="24"/>
      <w:lang w:val="en-GB" w:eastAsia="en-GB"/>
    </w:rPr>
  </w:style>
  <w:style w:type="character" w:customStyle="1" w:styleId="berschrift4Zchn">
    <w:name w:val="Überschrift 4 Zchn"/>
    <w:basedOn w:val="Absatz-Standardschriftart"/>
    <w:link w:val="berschrift4"/>
    <w:rsid w:val="00984423"/>
    <w:rPr>
      <w:rFonts w:asciiTheme="majorHAnsi" w:eastAsiaTheme="majorEastAsia" w:hAnsiTheme="majorHAnsi" w:cstheme="majorBidi"/>
      <w:sz w:val="24"/>
      <w:lang w:val="en-GB" w:eastAsia="en-GB"/>
    </w:rPr>
  </w:style>
  <w:style w:type="character" w:customStyle="1" w:styleId="berschrift6Zchn">
    <w:name w:val="Überschrift 6 Zchn"/>
    <w:basedOn w:val="Absatz-Standardschriftart"/>
    <w:link w:val="berschrift6"/>
    <w:rsid w:val="00984423"/>
    <w:rPr>
      <w:rFonts w:asciiTheme="majorHAnsi" w:eastAsiaTheme="majorEastAsia" w:hAnsiTheme="majorHAnsi" w:cstheme="majorBidi"/>
      <w:i/>
      <w:iCs/>
      <w:color w:val="44546A" w:themeColor="text2"/>
      <w:sz w:val="21"/>
      <w:szCs w:val="21"/>
      <w:lang w:val="en-GB" w:eastAsia="en-GB"/>
    </w:rPr>
  </w:style>
  <w:style w:type="character" w:customStyle="1" w:styleId="berschrift7Zchn">
    <w:name w:val="Überschrift 7 Zchn"/>
    <w:basedOn w:val="Absatz-Standardschriftart"/>
    <w:link w:val="berschrift7"/>
    <w:rsid w:val="00984423"/>
    <w:rPr>
      <w:rFonts w:asciiTheme="majorHAnsi" w:eastAsiaTheme="majorEastAsia" w:hAnsiTheme="majorHAnsi" w:cstheme="majorBidi"/>
      <w:i/>
      <w:iCs/>
      <w:color w:val="1F3864" w:themeColor="accent1" w:themeShade="80"/>
      <w:sz w:val="21"/>
      <w:szCs w:val="21"/>
      <w:lang w:val="en-GB" w:eastAsia="en-GB"/>
    </w:rPr>
  </w:style>
  <w:style w:type="character" w:customStyle="1" w:styleId="berschrift8Zchn">
    <w:name w:val="Überschrift 8 Zchn"/>
    <w:basedOn w:val="Absatz-Standardschriftart"/>
    <w:link w:val="berschrift8"/>
    <w:rsid w:val="00984423"/>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984423"/>
    <w:rPr>
      <w:rFonts w:asciiTheme="majorHAnsi" w:eastAsiaTheme="majorEastAsia" w:hAnsiTheme="majorHAnsi" w:cstheme="majorBidi"/>
      <w:b/>
      <w:bCs/>
      <w:i/>
      <w:iCs/>
      <w:color w:val="44546A" w:themeColor="text2"/>
      <w:sz w:val="24"/>
      <w:szCs w:val="24"/>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7601FA"/>
    <w:pPr>
      <w:numPr>
        <w:numId w:val="14"/>
      </w:numPr>
      <w:spacing w:after="160"/>
      <w:contextualSpacing/>
      <w:jc w:val="both"/>
    </w:pPr>
    <w:rPr>
      <w:rFonts w:ascii="Arial" w:eastAsia="Calibri" w:hAnsi="Arial" w:cs="Arial"/>
      <w:sz w:val="22"/>
      <w:szCs w:val="22"/>
      <w:lang w:val="en-US" w:eastAsia="en-US"/>
    </w:rPr>
  </w:style>
  <w:style w:type="paragraph" w:styleId="Titel">
    <w:name w:val="Title"/>
    <w:basedOn w:val="Standard"/>
    <w:next w:val="Standard"/>
    <w:link w:val="TitelZchn"/>
    <w:uiPriority w:val="10"/>
    <w:qFormat/>
    <w:rsid w:val="00984423"/>
    <w:pPr>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elZchn">
    <w:name w:val="Titel Zchn"/>
    <w:basedOn w:val="Absatz-Standardschriftart"/>
    <w:link w:val="Titel"/>
    <w:uiPriority w:val="10"/>
    <w:rsid w:val="00984423"/>
    <w:rPr>
      <w:rFonts w:asciiTheme="majorHAnsi" w:eastAsiaTheme="majorEastAsia" w:hAnsiTheme="majorHAnsi" w:cstheme="majorBidi"/>
      <w:b/>
      <w:color w:val="2E74B5" w:themeColor="accent5" w:themeShade="BF"/>
      <w:spacing w:val="-10"/>
      <w:sz w:val="56"/>
      <w:szCs w:val="56"/>
      <w:lang w:val="en-GB"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7601FA"/>
    <w:rPr>
      <w:rFonts w:ascii="Arial" w:eastAsia="Calibri" w:hAnsi="Arial" w:cs="Arial"/>
      <w:lang w:val="en-US"/>
    </w:rPr>
  </w:style>
  <w:style w:type="paragraph" w:styleId="Sprechblasentext">
    <w:name w:val="Balloon Text"/>
    <w:basedOn w:val="Standard"/>
    <w:link w:val="SprechblasentextZchn"/>
    <w:uiPriority w:val="99"/>
    <w:semiHidden/>
    <w:unhideWhenUsed/>
    <w:rsid w:val="00C551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51C1"/>
    <w:rPr>
      <w:rFonts w:ascii="Segoe UI" w:eastAsia="Times New Roman" w:hAnsi="Segoe UI" w:cs="Segoe UI"/>
      <w:sz w:val="18"/>
      <w:szCs w:val="18"/>
      <w:lang w:val="en-GB" w:eastAsia="en-GB"/>
    </w:rPr>
  </w:style>
  <w:style w:type="character" w:styleId="Kommentarzeichen">
    <w:name w:val="annotation reference"/>
    <w:basedOn w:val="Absatz-Standardschriftart"/>
    <w:uiPriority w:val="99"/>
    <w:semiHidden/>
    <w:unhideWhenUsed/>
    <w:rsid w:val="001477CF"/>
    <w:rPr>
      <w:sz w:val="16"/>
      <w:szCs w:val="16"/>
    </w:rPr>
  </w:style>
  <w:style w:type="paragraph" w:styleId="Kommentartext">
    <w:name w:val="annotation text"/>
    <w:basedOn w:val="Standard"/>
    <w:link w:val="KommentartextZchn"/>
    <w:uiPriority w:val="99"/>
    <w:unhideWhenUsed/>
    <w:rsid w:val="001477CF"/>
    <w:rPr>
      <w:sz w:val="20"/>
      <w:szCs w:val="20"/>
    </w:rPr>
  </w:style>
  <w:style w:type="character" w:customStyle="1" w:styleId="KommentartextZchn">
    <w:name w:val="Kommentartext Zchn"/>
    <w:basedOn w:val="Absatz-Standardschriftart"/>
    <w:link w:val="Kommentartext"/>
    <w:uiPriority w:val="99"/>
    <w:rsid w:val="001477CF"/>
    <w:rPr>
      <w:rFonts w:ascii="Times New Roman" w:eastAsia="Times New Roman" w:hAnsi="Times New Roman" w:cs="Times New Roman"/>
      <w:sz w:val="20"/>
      <w:szCs w:val="20"/>
      <w:lang w:val="en-GB" w:eastAsia="en-GB"/>
    </w:rPr>
  </w:style>
  <w:style w:type="paragraph" w:styleId="Kommentarthema">
    <w:name w:val="annotation subject"/>
    <w:basedOn w:val="Kommentartext"/>
    <w:next w:val="Kommentartext"/>
    <w:link w:val="KommentarthemaZchn"/>
    <w:uiPriority w:val="99"/>
    <w:semiHidden/>
    <w:unhideWhenUsed/>
    <w:rsid w:val="001477CF"/>
    <w:rPr>
      <w:b/>
      <w:bCs/>
    </w:rPr>
  </w:style>
  <w:style w:type="character" w:customStyle="1" w:styleId="KommentarthemaZchn">
    <w:name w:val="Kommentarthema Zchn"/>
    <w:basedOn w:val="KommentartextZchn"/>
    <w:link w:val="Kommentarthema"/>
    <w:uiPriority w:val="99"/>
    <w:semiHidden/>
    <w:rsid w:val="001477CF"/>
    <w:rPr>
      <w:rFonts w:ascii="Times New Roman" w:eastAsia="Times New Roman" w:hAnsi="Times New Roman" w:cs="Times New Roman"/>
      <w:b/>
      <w:bCs/>
      <w:sz w:val="20"/>
      <w:szCs w:val="20"/>
      <w:lang w:val="en-GB" w:eastAsia="en-GB"/>
    </w:rPr>
  </w:style>
  <w:style w:type="paragraph" w:customStyle="1" w:styleId="Default">
    <w:name w:val="Default"/>
    <w:rsid w:val="00470878"/>
    <w:pPr>
      <w:autoSpaceDE w:val="0"/>
      <w:autoSpaceDN w:val="0"/>
      <w:adjustRightInd w:val="0"/>
      <w:spacing w:after="0" w:line="240" w:lineRule="auto"/>
    </w:pPr>
    <w:rPr>
      <w:rFonts w:ascii="Arial" w:hAnsi="Arial" w:cs="Arial"/>
      <w:color w:val="000000"/>
      <w:sz w:val="24"/>
      <w:szCs w:val="24"/>
      <w:lang w:val="en-US"/>
    </w:rPr>
  </w:style>
  <w:style w:type="paragraph" w:styleId="Zitat">
    <w:name w:val="Quote"/>
    <w:basedOn w:val="Standard"/>
    <w:next w:val="Standard"/>
    <w:link w:val="ZitatZchn"/>
    <w:uiPriority w:val="29"/>
    <w:qFormat/>
    <w:rsid w:val="00EE5902"/>
    <w:pPr>
      <w:spacing w:before="200" w:after="160"/>
      <w:ind w:left="864" w:right="864"/>
      <w:jc w:val="center"/>
    </w:pPr>
    <w:rPr>
      <w:rFonts w:ascii="Trebuchet MS" w:eastAsiaTheme="minorHAnsi" w:hAnsi="Trebuchet MS"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EE5902"/>
    <w:rPr>
      <w:rFonts w:ascii="Trebuchet MS" w:hAnsi="Trebuchet MS"/>
      <w:i/>
      <w:iCs/>
      <w:color w:val="404040" w:themeColor="text1" w:themeTint="BF"/>
      <w:lang w:val="en-GB"/>
    </w:rPr>
  </w:style>
  <w:style w:type="character" w:customStyle="1" w:styleId="normaltextrun">
    <w:name w:val="normaltextrun"/>
    <w:basedOn w:val="Absatz-Standardschriftart"/>
    <w:rsid w:val="002D133F"/>
  </w:style>
  <w:style w:type="paragraph" w:styleId="Untertitel">
    <w:name w:val="Subtitle"/>
    <w:basedOn w:val="Standard"/>
    <w:next w:val="Textkrper"/>
    <w:link w:val="UntertitelZchn"/>
    <w:qFormat/>
    <w:rsid w:val="00410DD2"/>
    <w:pPr>
      <w:keepNext/>
      <w:spacing w:after="240"/>
      <w:jc w:val="center"/>
    </w:pPr>
    <w:rPr>
      <w:rFonts w:eastAsia="SimSun"/>
      <w:b/>
      <w:szCs w:val="20"/>
      <w:lang w:val="en-US" w:eastAsia="zh-CN"/>
    </w:rPr>
  </w:style>
  <w:style w:type="character" w:customStyle="1" w:styleId="UntertitelZchn">
    <w:name w:val="Untertitel Zchn"/>
    <w:basedOn w:val="Absatz-Standardschriftart"/>
    <w:link w:val="Untertitel"/>
    <w:rsid w:val="00410DD2"/>
    <w:rPr>
      <w:rFonts w:ascii="Times New Roman" w:eastAsia="SimSun" w:hAnsi="Times New Roman" w:cs="Times New Roman"/>
      <w:b/>
      <w:sz w:val="24"/>
      <w:szCs w:val="20"/>
      <w:lang w:val="en-US" w:eastAsia="zh-CN"/>
    </w:rPr>
  </w:style>
  <w:style w:type="paragraph" w:styleId="Textkrper">
    <w:name w:val="Body Text"/>
    <w:basedOn w:val="Standard"/>
    <w:link w:val="TextkrperZchn"/>
    <w:uiPriority w:val="99"/>
    <w:semiHidden/>
    <w:unhideWhenUsed/>
    <w:rsid w:val="00410DD2"/>
    <w:pPr>
      <w:spacing w:after="120"/>
    </w:pPr>
  </w:style>
  <w:style w:type="character" w:customStyle="1" w:styleId="TextkrperZchn">
    <w:name w:val="Textkörper Zchn"/>
    <w:basedOn w:val="Absatz-Standardschriftart"/>
    <w:link w:val="Textkrper"/>
    <w:uiPriority w:val="99"/>
    <w:semiHidden/>
    <w:rsid w:val="00410DD2"/>
    <w:rPr>
      <w:rFonts w:ascii="Times New Roman" w:eastAsia="Times New Roman" w:hAnsi="Times New Roman" w:cs="Times New Roman"/>
      <w:sz w:val="24"/>
      <w:szCs w:val="24"/>
      <w:lang w:val="en-GB" w:eastAsia="en-GB"/>
    </w:rPr>
  </w:style>
  <w:style w:type="character" w:styleId="Hyperlink">
    <w:name w:val="Hyperlink"/>
    <w:rsid w:val="00F10344"/>
    <w:rPr>
      <w:rFonts w:ascii="Times New Roman" w:hAnsi="Times New Roman"/>
      <w:color w:val="0000FF"/>
      <w:sz w:val="24"/>
      <w:u w:val="single"/>
    </w:rPr>
  </w:style>
  <w:style w:type="paragraph" w:styleId="Funotentext">
    <w:name w:val="footnote text"/>
    <w:basedOn w:val="Standard"/>
    <w:link w:val="FunotentextZchn"/>
    <w:rsid w:val="005230AF"/>
    <w:pPr>
      <w:spacing w:after="120"/>
      <w:ind w:firstLine="720"/>
    </w:pPr>
    <w:rPr>
      <w:rFonts w:eastAsia="SimSun"/>
      <w:sz w:val="20"/>
      <w:szCs w:val="20"/>
      <w:lang w:val="en-US" w:eastAsia="zh-CN"/>
    </w:rPr>
  </w:style>
  <w:style w:type="character" w:customStyle="1" w:styleId="FunotentextZchn">
    <w:name w:val="Fußnotentext Zchn"/>
    <w:basedOn w:val="Absatz-Standardschriftart"/>
    <w:link w:val="Funotentext"/>
    <w:rsid w:val="005230AF"/>
    <w:rPr>
      <w:rFonts w:ascii="Times New Roman" w:eastAsia="SimSun" w:hAnsi="Times New Roman" w:cs="Times New Roman"/>
      <w:sz w:val="20"/>
      <w:szCs w:val="20"/>
      <w:lang w:val="en-US" w:eastAsia="zh-CN"/>
    </w:rPr>
  </w:style>
  <w:style w:type="character" w:styleId="Funotenzeichen">
    <w:name w:val="footnote reference"/>
    <w:rsid w:val="005230AF"/>
    <w:rPr>
      <w:rFonts w:ascii="Times New Roman" w:hAnsi="Times New Roman"/>
      <w:sz w:val="24"/>
      <w:vertAlign w:val="superscript"/>
    </w:rPr>
  </w:style>
  <w:style w:type="table" w:styleId="Tabellenraster">
    <w:name w:val="Table Grid"/>
    <w:basedOn w:val="NormaleTabelle"/>
    <w:uiPriority w:val="39"/>
    <w:rsid w:val="0089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40127"/>
    <w:pPr>
      <w:spacing w:after="0" w:line="240" w:lineRule="auto"/>
    </w:pPr>
    <w:rPr>
      <w:rFonts w:ascii="Times New Roman" w:eastAsia="Times New Roman" w:hAnsi="Times New Roman" w:cs="Times New Roman"/>
      <w:sz w:val="24"/>
      <w:szCs w:val="24"/>
      <w:lang w:val="en-GB" w:eastAsia="en-GB"/>
    </w:rPr>
  </w:style>
  <w:style w:type="paragraph" w:customStyle="1" w:styleId="ti-art">
    <w:name w:val="ti-art"/>
    <w:basedOn w:val="Standard"/>
    <w:rsid w:val="00E049F1"/>
    <w:pPr>
      <w:spacing w:before="100" w:beforeAutospacing="1" w:after="100" w:afterAutospacing="1"/>
    </w:pPr>
    <w:rPr>
      <w:rFonts w:ascii="Calibri" w:hAnsi="Calibri" w:cs="Calibri"/>
      <w:sz w:val="22"/>
      <w:szCs w:val="22"/>
      <w:lang w:val="en-US" w:eastAsia="en-US"/>
    </w:rPr>
  </w:style>
  <w:style w:type="character" w:styleId="NichtaufgelsteErwhnung">
    <w:name w:val="Unresolved Mention"/>
    <w:basedOn w:val="Absatz-Standardschriftart"/>
    <w:uiPriority w:val="99"/>
    <w:semiHidden/>
    <w:unhideWhenUsed/>
    <w:rsid w:val="003F68FA"/>
    <w:rPr>
      <w:color w:val="605E5C"/>
      <w:shd w:val="clear" w:color="auto" w:fill="E1DFDD"/>
    </w:rPr>
  </w:style>
  <w:style w:type="character" w:styleId="BesuchterLink">
    <w:name w:val="FollowedHyperlink"/>
    <w:basedOn w:val="Absatz-Standardschriftart"/>
    <w:uiPriority w:val="99"/>
    <w:semiHidden/>
    <w:unhideWhenUsed/>
    <w:rsid w:val="003F68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99360">
      <w:bodyDiv w:val="1"/>
      <w:marLeft w:val="0"/>
      <w:marRight w:val="0"/>
      <w:marTop w:val="0"/>
      <w:marBottom w:val="0"/>
      <w:divBdr>
        <w:top w:val="none" w:sz="0" w:space="0" w:color="auto"/>
        <w:left w:val="none" w:sz="0" w:space="0" w:color="auto"/>
        <w:bottom w:val="none" w:sz="0" w:space="0" w:color="auto"/>
        <w:right w:val="none" w:sz="0" w:space="0" w:color="auto"/>
      </w:divBdr>
    </w:div>
    <w:div w:id="20632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ur-lex.europa.eu/legal-content/EN/ALL/?uri=CELEX%3A32003H036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4A0FD359A46749F716E2EB93E2B8A"/>
        <w:category>
          <w:name w:val="Allgemein"/>
          <w:gallery w:val="placeholder"/>
        </w:category>
        <w:types>
          <w:type w:val="bbPlcHdr"/>
        </w:types>
        <w:behaviors>
          <w:behavior w:val="content"/>
        </w:behaviors>
        <w:guid w:val="{AB40F70B-2C6B-455B-B936-5A4D3162F3D8}"/>
      </w:docPartPr>
      <w:docPartBody>
        <w:p w:rsidR="009B43B6" w:rsidRDefault="009E0BA6" w:rsidP="009E0BA6">
          <w:pPr>
            <w:pStyle w:val="CE74A0FD359A46749F716E2EB93E2B8A"/>
          </w:pPr>
          <w:r w:rsidRPr="00C85C8B">
            <w:rPr>
              <w:rFonts w:ascii="Arial" w:hAnsi="Arial" w:cs="Arial"/>
              <w:color w:val="808080"/>
              <w:sz w:val="20"/>
            </w:rPr>
            <w:t>Click here to enter text.</w:t>
          </w:r>
        </w:p>
      </w:docPartBody>
    </w:docPart>
    <w:docPart>
      <w:docPartPr>
        <w:name w:val="33307466196D4DD085FDE4C3414522E1"/>
        <w:category>
          <w:name w:val="Allgemein"/>
          <w:gallery w:val="placeholder"/>
        </w:category>
        <w:types>
          <w:type w:val="bbPlcHdr"/>
        </w:types>
        <w:behaviors>
          <w:behavior w:val="content"/>
        </w:behaviors>
        <w:guid w:val="{8133DE0F-8519-4B0E-B90D-7FDCF663418B}"/>
      </w:docPartPr>
      <w:docPartBody>
        <w:p w:rsidR="009B43B6" w:rsidRDefault="009E0BA6" w:rsidP="009E0BA6">
          <w:pPr>
            <w:pStyle w:val="33307466196D4DD085FDE4C3414522E1"/>
          </w:pPr>
          <w:r w:rsidRPr="00C85C8B">
            <w:rPr>
              <w:rFonts w:ascii="Arial" w:hAnsi="Arial" w:cs="Arial"/>
              <w:color w:val="80808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A6"/>
    <w:rsid w:val="000F7B80"/>
    <w:rsid w:val="001153AA"/>
    <w:rsid w:val="0031699E"/>
    <w:rsid w:val="003D1BB5"/>
    <w:rsid w:val="004763BC"/>
    <w:rsid w:val="004B7736"/>
    <w:rsid w:val="005937BE"/>
    <w:rsid w:val="006268E7"/>
    <w:rsid w:val="00766610"/>
    <w:rsid w:val="007D303E"/>
    <w:rsid w:val="008A4E56"/>
    <w:rsid w:val="009552A2"/>
    <w:rsid w:val="009921C9"/>
    <w:rsid w:val="009A6162"/>
    <w:rsid w:val="009B3599"/>
    <w:rsid w:val="009B43B6"/>
    <w:rsid w:val="009E0BA6"/>
    <w:rsid w:val="009E352B"/>
    <w:rsid w:val="00B132B8"/>
    <w:rsid w:val="00B825CC"/>
    <w:rsid w:val="00BE7F6A"/>
    <w:rsid w:val="00C0675A"/>
    <w:rsid w:val="00C11952"/>
    <w:rsid w:val="00C24315"/>
    <w:rsid w:val="00CB489C"/>
    <w:rsid w:val="00E64F24"/>
    <w:rsid w:val="00F424D3"/>
    <w:rsid w:val="00F85C7C"/>
    <w:rsid w:val="00F931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74A0FD359A46749F716E2EB93E2B8A">
    <w:name w:val="CE74A0FD359A46749F716E2EB93E2B8A"/>
    <w:rsid w:val="009E0BA6"/>
  </w:style>
  <w:style w:type="paragraph" w:customStyle="1" w:styleId="33307466196D4DD085FDE4C3414522E1">
    <w:name w:val="33307466196D4DD085FDE4C3414522E1"/>
    <w:rsid w:val="009E0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ucDUwNzwvVXNlck5hbWU+PERhdGVUaW1lPjIzLjExLjIwMjAgMDk6MTk6MjI8L0RhdGVUaW1lPjxMYWJlbFN0cmluZz5JbnRlcm5hbDwvTGFiZWxTdHJpbmc+PC9pdGVtPjwvbGFiZWxIaXN0b3J5Pg==</Value>
</WrappedLabelHistory>
</file>

<file path=customXml/item4.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5.xml><?xml version="1.0" encoding="utf-8"?>
<p:properties xmlns:p="http://schemas.microsoft.com/office/2006/metadata/properties" xmlns:xsi="http://www.w3.org/2001/XMLSchema-instance" xmlns:pc="http://schemas.microsoft.com/office/infopath/2007/PartnerControls">
  <documentManagement>
    <SharedWithUsers xmlns="df456490-b339-48a6-b6e8-b5a0ccf2834f">
      <UserInfo>
        <DisplayName>Christiane Baumgarten</DisplayName>
        <AccountId>228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443D-EEC8-4C55-A1F0-A285C69F6F9A}">
  <ds:schemaRefs>
    <ds:schemaRef ds:uri="http://schemas.microsoft.com/sharepoint/v3/contenttype/forms"/>
  </ds:schemaRefs>
</ds:datastoreItem>
</file>

<file path=customXml/itemProps2.xml><?xml version="1.0" encoding="utf-8"?>
<ds:datastoreItem xmlns:ds="http://schemas.openxmlformats.org/officeDocument/2006/customXml" ds:itemID="{F45FFCB0-1091-4208-8FFA-B97BEC1D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5C904-54C4-473D-B408-2E1EAFAFE2B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C212A72-963D-4208-91DE-B37AA1D1D59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88CD0FD-CFA7-47B8-99E1-31C5AD0154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56490-b339-48a6-b6e8-b5a0ccf2834f"/>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3D707A50-B7A8-4316-A70D-FCE04FF3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11665</Words>
  <Characters>73493</Characters>
  <Application>Microsoft Office Word</Application>
  <DocSecurity>0</DocSecurity>
  <Lines>612</Lines>
  <Paragraphs>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Riess</dc:creator>
  <cp:keywords/>
  <dc:description/>
  <cp:lastModifiedBy>Viktoria Hackenberg</cp:lastModifiedBy>
  <cp:revision>4</cp:revision>
  <dcterms:created xsi:type="dcterms:W3CDTF">2021-01-11T09:44:00Z</dcterms:created>
  <dcterms:modified xsi:type="dcterms:W3CDTF">2021-01-11T10:01:00Z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1771a6f1-79ef-4f5f-8468-e500104103ed</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VYYvd7PnWOo6mbQGaA6+xGcOogzgwXIx</vt:lpwstr>
  </property>
  <property fmtid="{D5CDD505-2E9C-101B-9397-08002B2CF9AE}" pid="9" name="bjLabelHistoryID">
    <vt:lpwstr>{5995C904-54C4-473D-B408-2E1EAFAFE2B0}</vt:lpwstr>
  </property>
  <property fmtid="{D5CDD505-2E9C-101B-9397-08002B2CF9AE}" pid="10" name="ContentTypeId">
    <vt:lpwstr>0x0101009742CDA3EBE7494587163B8E118BA823</vt:lpwstr>
  </property>
</Properties>
</file>