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316901865" w:edGrp="everyone" w:displacedByCustomXml="next"/>
    <w:permEnd w:id="1316901865" w:displacedByCustomXml="next"/>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567951BE" w:rsidR="00C92E09" w:rsidRPr="00C92E09" w:rsidRDefault="00C92E09" w:rsidP="00C92E09">
                <w:pPr>
                  <w:pStyle w:val="Titel"/>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w:t>
                </w:r>
                <w:r w:rsidR="00EE7FF4" w:rsidRPr="00EE7FF4">
                  <w:rPr>
                    <w:rFonts w:cs="Arial"/>
                    <w:sz w:val="40"/>
                    <w:szCs w:val="40"/>
                  </w:rPr>
                  <w:t>Guidelines on the MiFID II/ MiFIR obligations on market data</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34402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BB1D03">
            <w:rPr>
              <w:rFonts w:asciiTheme="minorHAnsi" w:eastAsiaTheme="minorEastAsia" w:hAnsiTheme="minorHAnsi" w:cstheme="minorBidi"/>
              <w:b/>
              <w:bCs/>
              <w:sz w:val="22"/>
              <w:szCs w:val="20"/>
              <w:lang w:eastAsia="en-US"/>
            </w:rPr>
            <w:t>11 January 2021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1A58AF2E"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EE7FF4">
            <w:rPr>
              <w:rFonts w:eastAsiaTheme="minorEastAsia" w:cstheme="minorBidi"/>
              <w:szCs w:val="20"/>
              <w:lang w:eastAsia="en-US"/>
            </w:rPr>
            <w:t>GOMD</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41A288A2"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EE7FF4">
            <w:rPr>
              <w:rFonts w:eastAsiaTheme="minorEastAsia" w:cstheme="minorBidi"/>
              <w:szCs w:val="20"/>
              <w:lang w:eastAsia="en-US"/>
            </w:rPr>
            <w:t>GOMD</w:t>
          </w:r>
          <w:r w:rsidRPr="00C85C8B">
            <w:rPr>
              <w:rFonts w:eastAsiaTheme="minorEastAsia" w:cstheme="minorBidi"/>
              <w:szCs w:val="20"/>
              <w:lang w:eastAsia="en-US"/>
            </w:rPr>
            <w:t>_ABCD_RESPONSEFORM.</w:t>
          </w:r>
        </w:p>
        <w:p w14:paraId="1A9C59D6" w14:textId="70778638"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bookmarkStart w:id="0" w:name="_Hlk55292859"/>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w:t>
          </w:r>
          <w:r w:rsidRPr="005657AE">
            <w:rPr>
              <w:rFonts w:eastAsiaTheme="minorEastAsia" w:cstheme="minorBidi"/>
              <w:szCs w:val="20"/>
              <w:lang w:eastAsia="en-US"/>
            </w:rPr>
            <w:t>on</w:t>
          </w:r>
          <w:r w:rsidR="009F22E7" w:rsidRPr="005657AE">
            <w:rPr>
              <w:rFonts w:eastAsiaTheme="minorEastAsia" w:cstheme="minorBidi"/>
              <w:szCs w:val="20"/>
              <w:lang w:eastAsia="en-US"/>
            </w:rPr>
            <w:t xml:space="preserve"> the </w:t>
          </w:r>
          <w:r w:rsidR="00BB1D03" w:rsidRPr="005657AE">
            <w:rPr>
              <w:rFonts w:eastAsiaTheme="minorEastAsia" w:cstheme="minorBidi"/>
              <w:szCs w:val="20"/>
              <w:lang w:eastAsia="en-US"/>
            </w:rPr>
            <w:t>Guidelines</w:t>
          </w:r>
          <w:r w:rsidR="009F22E7" w:rsidRPr="005657AE">
            <w:rPr>
              <w:rFonts w:eastAsiaTheme="minorEastAsia" w:cstheme="minorBidi"/>
              <w:szCs w:val="20"/>
              <w:lang w:eastAsia="en-US"/>
            </w:rPr>
            <w:t xml:space="preserve"> o</w:t>
          </w:r>
          <w:r w:rsidR="00BB1D03" w:rsidRPr="005657AE">
            <w:rPr>
              <w:rFonts w:eastAsiaTheme="minorEastAsia" w:cstheme="minorBidi"/>
              <w:szCs w:val="20"/>
              <w:lang w:eastAsia="en-US"/>
            </w:rPr>
            <w:t>n</w:t>
          </w:r>
          <w:r w:rsidR="009F22E7" w:rsidRPr="005657AE">
            <w:rPr>
              <w:rFonts w:eastAsiaTheme="minorEastAsia" w:cstheme="minorBidi"/>
              <w:szCs w:val="20"/>
              <w:lang w:eastAsia="en-US"/>
            </w:rPr>
            <w:t xml:space="preserve"> the </w:t>
          </w:r>
          <w:r w:rsidR="00BB1D03" w:rsidRPr="005657AE">
            <w:rPr>
              <w:rFonts w:eastAsiaTheme="minorEastAsia" w:cstheme="minorBidi"/>
              <w:szCs w:val="20"/>
              <w:lang w:eastAsia="en-US"/>
            </w:rPr>
            <w:t>MiFID II/MiFIR obligation</w:t>
          </w:r>
          <w:r w:rsidR="005657AE" w:rsidRPr="005657AE">
            <w:rPr>
              <w:rFonts w:eastAsiaTheme="minorEastAsia" w:cstheme="minorBidi"/>
              <w:szCs w:val="20"/>
              <w:lang w:eastAsia="en-US"/>
            </w:rPr>
            <w:t>s</w:t>
          </w:r>
          <w:r w:rsidR="00BB1D03" w:rsidRPr="005657AE">
            <w:rPr>
              <w:rFonts w:eastAsiaTheme="minorEastAsia" w:cstheme="minorBidi"/>
              <w:szCs w:val="20"/>
              <w:lang w:eastAsia="en-US"/>
            </w:rPr>
            <w:t xml:space="preserve"> on market data</w:t>
          </w:r>
          <w:r w:rsidRPr="005657AE">
            <w:rPr>
              <w:rFonts w:eastAsiaTheme="minorEastAsia" w:cstheme="minorBidi"/>
              <w:szCs w:val="20"/>
              <w:lang w:eastAsia="en-US"/>
            </w:rPr>
            <w:t>”).</w:t>
          </w:r>
        </w:p>
        <w:bookmarkEnd w:id="0"/>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6BFF7401" w:rsidR="00AF2EF7" w:rsidRPr="00B8572C" w:rsidRDefault="00BB1D03" w:rsidP="001F23C9">
          <w:pPr>
            <w:spacing w:after="250" w:line="276" w:lineRule="auto"/>
            <w:jc w:val="both"/>
            <w:rPr>
              <w:rFonts w:asciiTheme="minorHAnsi" w:hAnsiTheme="minorHAnsi" w:cstheme="minorHAnsi"/>
            </w:rPr>
          </w:pPr>
          <w:r w:rsidRPr="00BB1D03">
            <w:rPr>
              <w:rFonts w:ascii="Arial" w:hAnsi="Arial" w:cs="Arial"/>
              <w:sz w:val="22"/>
              <w:szCs w:val="22"/>
              <w:lang w:eastAsia="it-IT"/>
            </w:rPr>
            <w:t>This consultation paper is interesting for you if you are a trading venue, an APA, an SI or a consumer of market data.</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bersch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val="de-DE" w:eastAsia="de-DE"/>
            </w:rPr>
            <w:id w:val="-1905066999"/>
            <w:placeholder>
              <w:docPart w:val="D9E005FE31544309B6450B0F95C92484"/>
            </w:placeholder>
            <w:text/>
          </w:sdtPr>
          <w:sdtEndPr/>
          <w:sdtContent>
            <w:tc>
              <w:tcPr>
                <w:tcW w:w="5595" w:type="dxa"/>
                <w:shd w:val="clear" w:color="auto" w:fill="auto"/>
              </w:tcPr>
              <w:p w14:paraId="1B67440D" w14:textId="082AEA67" w:rsidR="00C85C8B" w:rsidRPr="00414BCF" w:rsidRDefault="002C6BC8" w:rsidP="002C6BC8">
                <w:pPr>
                  <w:rPr>
                    <w:rFonts w:ascii="Arial" w:hAnsi="Arial" w:cs="Arial"/>
                    <w:color w:val="808080"/>
                    <w:sz w:val="20"/>
                    <w:lang w:val="de-DE" w:eastAsia="de-DE"/>
                  </w:rPr>
                </w:pPr>
                <w:r w:rsidRPr="00414BCF">
                  <w:rPr>
                    <w:lang w:val="de-DE"/>
                  </w:rPr>
                  <w:t>Deutscher Derivate Verband</w:t>
                </w:r>
                <w:r w:rsidR="00414BCF" w:rsidRPr="00414BCF">
                  <w:rPr>
                    <w:lang w:val="de-DE"/>
                  </w:rPr>
                  <w:t xml:space="preserve"> e.V.</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2E8BA244" w:rsidR="00C85C8B" w:rsidRPr="00C85C8B" w:rsidRDefault="0021033C"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C6BC8">
                  <w:rPr>
                    <w:rFonts w:ascii="Arial" w:hAnsi="Arial" w:cs="Arial"/>
                    <w:sz w:val="20"/>
                    <w:lang w:eastAsia="de-DE"/>
                  </w:rPr>
                  <w:t>Non-financial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41D2D8FE" w:rsidR="00C85C8B" w:rsidRPr="00C85C8B" w:rsidRDefault="002C6BC8"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placeholder>
              <w:docPart w:val="617DB8E926994CDA83F7807BDFE6B640"/>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407708A" w:rsidR="00C85C8B" w:rsidRPr="00C85C8B" w:rsidRDefault="002C6BC8" w:rsidP="00C85C8B">
                <w:pPr>
                  <w:rPr>
                    <w:rFonts w:ascii="Arial" w:hAnsi="Arial" w:cs="Arial"/>
                    <w:sz w:val="20"/>
                    <w:lang w:eastAsia="de-DE"/>
                  </w:rPr>
                </w:pPr>
                <w:r>
                  <w:rPr>
                    <w:rFonts w:ascii="Arial" w:hAnsi="Arial" w:cs="Arial"/>
                    <w:sz w:val="20"/>
                    <w:lang w:eastAsia="de-DE"/>
                  </w:rPr>
                  <w:t>Germany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EA9BFB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EE7FF4">
        <w:rPr>
          <w:rFonts w:asciiTheme="minorHAnsi" w:eastAsiaTheme="minorEastAsia" w:hAnsiTheme="minorHAnsi" w:cstheme="minorBidi"/>
          <w:sz w:val="22"/>
          <w:szCs w:val="20"/>
          <w:lang w:eastAsia="en-US"/>
        </w:rPr>
        <w:t>GOMD</w:t>
      </w:r>
      <w:r w:rsidRPr="00C85C8B">
        <w:rPr>
          <w:rFonts w:asciiTheme="minorHAnsi" w:eastAsiaTheme="minorEastAsia" w:hAnsiTheme="minorHAnsi" w:cstheme="minorBidi"/>
          <w:sz w:val="22"/>
          <w:szCs w:val="20"/>
          <w:lang w:eastAsia="en-US"/>
        </w:rPr>
        <w:t>_1&gt;</w:t>
      </w:r>
    </w:p>
    <w:p w14:paraId="78EDE8C3" w14:textId="77777777" w:rsidR="002C6BC8" w:rsidRPr="002C6BC8" w:rsidRDefault="002C6BC8" w:rsidP="002C6BC8">
      <w:permStart w:id="885457707" w:edGrp="everyone"/>
      <w:r w:rsidRPr="002C6BC8">
        <w:t xml:space="preserve">This paper constitutes the response by the Deutscher Derivate Verband </w:t>
      </w:r>
      <w:proofErr w:type="spellStart"/>
      <w:r w:rsidRPr="002C6BC8">
        <w:t>e.V</w:t>
      </w:r>
      <w:proofErr w:type="spellEnd"/>
      <w:r w:rsidRPr="002C6BC8">
        <w:t>. ("DDV") to the European Securities and Markets Authority ("ESMA") in connection with its consultation paper dated 6 November 2020 (ESMA70-156-2477) regarding the Guidelines on the MiFID II/</w:t>
      </w:r>
      <w:proofErr w:type="spellStart"/>
      <w:r w:rsidRPr="002C6BC8">
        <w:t>MiFIR</w:t>
      </w:r>
      <w:proofErr w:type="spellEnd"/>
      <w:r w:rsidRPr="002C6BC8">
        <w:t xml:space="preserve"> obligations on market data (the "Consultation Paper").</w:t>
      </w:r>
    </w:p>
    <w:p w14:paraId="5A07737B" w14:textId="4D836869" w:rsidR="002C6BC8" w:rsidRPr="002C6BC8" w:rsidRDefault="002C6BC8" w:rsidP="002C6BC8">
      <w:r w:rsidRPr="00F806D0">
        <w:t>DDV is the industry representative body for the 1</w:t>
      </w:r>
      <w:r>
        <w:t>5</w:t>
      </w:r>
      <w:r w:rsidRPr="00F806D0">
        <w:t xml:space="preserve"> leading issuers of structured products in Germany. </w:t>
      </w:r>
    </w:p>
    <w:p w14:paraId="6AE60C39" w14:textId="77777777" w:rsidR="002C6BC8" w:rsidRPr="002C6BC8" w:rsidRDefault="002C6BC8" w:rsidP="002C6BC8">
      <w:r w:rsidRPr="00F806D0">
        <w:t xml:space="preserve">DDV members are among the most important issuers of structured products in Germany. They represent more than 90 percent of the total market. DDV’s work is supported by 17 sponsoring members, including the stock exchanges in Stuttgart and Frankfurt as well as direct banks and online brokers. </w:t>
      </w:r>
    </w:p>
    <w:p w14:paraId="166FDF0B" w14:textId="77777777" w:rsidR="002C6BC8" w:rsidRPr="002C6BC8" w:rsidRDefault="002C6BC8" w:rsidP="002C6BC8">
      <w:r w:rsidRPr="00450486">
        <w:t>We thank ESMA</w:t>
      </w:r>
      <w:r w:rsidRPr="002C6BC8">
        <w:t xml:space="preserve"> for the initiative and fully support ESMA’s approach to provide clarity for market participants and thus ensure better and uniform application of these obligations.</w:t>
      </w:r>
    </w:p>
    <w:p w14:paraId="7F790692" w14:textId="77777777" w:rsidR="00414BCF" w:rsidRDefault="002C6BC8" w:rsidP="00414BCF">
      <w:r w:rsidRPr="005523D0">
        <w:t xml:space="preserve">As ESMA states in the initial remarks of the Consultation Paper, it is essential for market participants to have access to market data to obtain </w:t>
      </w:r>
      <w:r w:rsidRPr="002C6BC8">
        <w:t>a desired overview of trading activity. The regulatory framework is key to ensure that such information is available to market participants in an easily accessible, fair and non-discriminatory manner. In so far, the guidelines on MiFID II/</w:t>
      </w:r>
      <w:proofErr w:type="spellStart"/>
      <w:r w:rsidRPr="002C6BC8">
        <w:t>MiFIR</w:t>
      </w:r>
      <w:proofErr w:type="spellEnd"/>
      <w:r w:rsidRPr="002C6BC8">
        <w:t xml:space="preserve"> obligations on market data are a very helpful tool to ensure the uniform and consistent application of those obligations.</w:t>
      </w:r>
    </w:p>
    <w:p w14:paraId="46C3426E" w14:textId="21D0E45F" w:rsidR="002C6BC8" w:rsidRDefault="002C6BC8" w:rsidP="00414BCF">
      <w:r w:rsidRPr="00F806D0">
        <w:t>Please note that our response is b</w:t>
      </w:r>
      <w:r w:rsidRPr="002C6BC8">
        <w:t>ased on the experience of our members which are leading issuers of structured products and are on the buy side of market data. The availability of market data is a pre-requisite for the structuring and pricing of structured products. We therefore focused on selected questions.</w:t>
      </w:r>
    </w:p>
    <w:p w14:paraId="65D5D4FF" w14:textId="77777777" w:rsidR="000E5E28" w:rsidRDefault="000E5E28" w:rsidP="00414BCF"/>
    <w:p w14:paraId="30A801B0" w14:textId="77777777" w:rsidR="00414BCF" w:rsidRDefault="002C6BC8" w:rsidP="00C85C8B">
      <w:pPr>
        <w:spacing w:after="250" w:line="276" w:lineRule="auto"/>
        <w:jc w:val="both"/>
        <w:rPr>
          <w:rFonts w:eastAsiaTheme="minorEastAsia"/>
        </w:rPr>
      </w:pPr>
      <w:r w:rsidRPr="002C6BC8">
        <w:rPr>
          <w:rFonts w:eastAsiaTheme="minorEastAsia"/>
        </w:rPr>
        <w:t xml:space="preserve">The guidelines should not only be applicable with regard to market data relevant for pre- and </w:t>
      </w:r>
      <w:proofErr w:type="spellStart"/>
      <w:r w:rsidRPr="002C6BC8">
        <w:rPr>
          <w:rFonts w:eastAsiaTheme="minorEastAsia"/>
        </w:rPr>
        <w:t>post trade</w:t>
      </w:r>
      <w:proofErr w:type="spellEnd"/>
      <w:r w:rsidRPr="002C6BC8">
        <w:rPr>
          <w:rFonts w:eastAsiaTheme="minorEastAsia"/>
        </w:rPr>
        <w:t xml:space="preserve"> requirements but for all areas in relation to financial instruments under MiFID II, where market participants have to rely on market data provided by market data providers. This </w:t>
      </w:r>
      <w:r w:rsidRPr="002C6BC8">
        <w:rPr>
          <w:rFonts w:eastAsiaTheme="minorEastAsia"/>
        </w:rPr>
        <w:lastRenderedPageBreak/>
        <w:t xml:space="preserve">covers all areas that are linked to the core business of banks, such as risk control or analysis of market data in the context of the trading, which is necessary in order to comply with applicable supervisory regulations. </w:t>
      </w:r>
    </w:p>
    <w:p w14:paraId="15D00E65" w14:textId="161EA4E1" w:rsidR="00C85C8B" w:rsidRPr="00C85C8B" w:rsidRDefault="002C6BC8" w:rsidP="00C85C8B">
      <w:pPr>
        <w:spacing w:after="250" w:line="276" w:lineRule="auto"/>
        <w:jc w:val="both"/>
        <w:rPr>
          <w:rFonts w:asciiTheme="minorHAnsi" w:eastAsiaTheme="minorEastAsia" w:hAnsiTheme="minorHAnsi" w:cstheme="minorBidi"/>
          <w:sz w:val="22"/>
          <w:szCs w:val="20"/>
          <w:lang w:eastAsia="en-US"/>
        </w:rPr>
      </w:pPr>
      <w:r w:rsidRPr="002C6BC8">
        <w:rPr>
          <w:rFonts w:eastAsiaTheme="minorEastAsia"/>
        </w:rPr>
        <w:t>Of course, with regard to these areas, provision of market data free of charge might not always be reasonable, however, standardized key terminology, transparency of calculations and cost disclosure, unbundling, or transparency of the model according to which data is offered to customers (e.g. per user model, etc.).</w:t>
      </w:r>
      <w:permEnd w:id="885457707"/>
      <w:r w:rsidR="00C85C8B" w:rsidRPr="00C85C8B">
        <w:rPr>
          <w:rFonts w:asciiTheme="minorHAnsi" w:eastAsiaTheme="minorEastAsia" w:hAnsiTheme="minorHAnsi" w:cstheme="minorBidi"/>
          <w:sz w:val="22"/>
          <w:szCs w:val="20"/>
          <w:lang w:eastAsia="en-US"/>
        </w:rPr>
        <w:t>&lt;ESMA_COMMENT_</w:t>
      </w:r>
      <w:r w:rsidR="00EE7FF4">
        <w:rPr>
          <w:rFonts w:asciiTheme="minorHAnsi" w:eastAsiaTheme="minorEastAsia" w:hAnsiTheme="minorHAnsi" w:cs="Arial"/>
          <w:sz w:val="22"/>
          <w:szCs w:val="20"/>
          <w:lang w:eastAsia="en-US"/>
        </w:rPr>
        <w:t>GOMD</w:t>
      </w:r>
      <w:r w:rsidR="00C85C8B"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p w14:paraId="034B1AB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bookmarkStart w:id="2" w:name="_Hlk54104951"/>
      <w:bookmarkEnd w:id="1"/>
      <w:r w:rsidRPr="00EE7FF4">
        <w:rPr>
          <w:rFonts w:ascii="Arial" w:hAnsi="Arial" w:cs="Arial"/>
          <w:b/>
          <w:sz w:val="22"/>
          <w:szCs w:val="22"/>
          <w:lang w:val="en-US" w:eastAsia="en-US"/>
        </w:rPr>
        <w:t>Q1: What are your views on covering in the Guidelines also market data providers offering market data free of charge for the requirements not explicitly exempted in the Level 2 requirements?</w:t>
      </w:r>
    </w:p>
    <w:p w14:paraId="734B7740" w14:textId="3EEFA3A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&gt;</w:t>
      </w:r>
    </w:p>
    <w:p w14:paraId="00922D5E" w14:textId="2E5A3CF7" w:rsidR="002C6BC8" w:rsidRPr="002C6BC8" w:rsidRDefault="00414BCF" w:rsidP="002C6BC8">
      <w:permStart w:id="1933377942" w:edGrp="everyone"/>
      <w:r>
        <w:t>We agree with ESMA'</w:t>
      </w:r>
      <w:r w:rsidR="002C6BC8" w:rsidRPr="002C6BC8">
        <w:t xml:space="preserve">s view that market data providers offering market data free of charge should remain within the scope of certain requirements, notably the requirement to make market data available to all customers on the same terms and conditions, the requirement to have scalable capacities in place to ensure that customers can obtain timely access to market data at all times on a non-discriminatory basis and the requirements to offer unbundled market data.  </w:t>
      </w:r>
    </w:p>
    <w:p w14:paraId="35161028" w14:textId="77777777" w:rsidR="00414BCF" w:rsidRDefault="002C6BC8" w:rsidP="00414BCF">
      <w:r w:rsidRPr="002C6BC8">
        <w:t xml:space="preserve">To ensure transparency and to guarantee that customers are treated equally, it is important that all providers of market data have to comply with the MiFID II and </w:t>
      </w:r>
      <w:proofErr w:type="spellStart"/>
      <w:r w:rsidRPr="002C6BC8">
        <w:t>MiFIR</w:t>
      </w:r>
      <w:proofErr w:type="spellEnd"/>
      <w:r w:rsidRPr="002C6BC8">
        <w:t xml:space="preserve"> Level 2 provisions to the largest extent possible.</w:t>
      </w:r>
      <w:r w:rsidR="00414BCF">
        <w:t xml:space="preserve"> </w:t>
      </w:r>
    </w:p>
    <w:p w14:paraId="312ABDA0" w14:textId="1FCDCBF4" w:rsidR="00EE7FF4" w:rsidRPr="00EE7FF4" w:rsidRDefault="002C6BC8" w:rsidP="00414BCF">
      <w:pPr>
        <w:rPr>
          <w:rFonts w:ascii="Arial" w:eastAsia="Calibri" w:hAnsi="Arial" w:cs="Arial"/>
          <w:sz w:val="22"/>
          <w:szCs w:val="22"/>
          <w:lang w:eastAsia="en-US"/>
        </w:rPr>
      </w:pPr>
      <w:r w:rsidRPr="002C6BC8">
        <w:rPr>
          <w:rFonts w:eastAsia="Calibri"/>
        </w:rPr>
        <w:t>Further</w:t>
      </w:r>
      <w:r>
        <w:rPr>
          <w:rFonts w:eastAsia="Calibri"/>
        </w:rPr>
        <w:t>,</w:t>
      </w:r>
      <w:r w:rsidRPr="002C6BC8">
        <w:rPr>
          <w:rFonts w:eastAsia="Calibri"/>
        </w:rPr>
        <w:t xml:space="preserve"> we would like to emphasize that systematic </w:t>
      </w:r>
      <w:proofErr w:type="spellStart"/>
      <w:r w:rsidRPr="002C6BC8">
        <w:rPr>
          <w:rFonts w:eastAsia="Calibri"/>
        </w:rPr>
        <w:t>internalisers</w:t>
      </w:r>
      <w:proofErr w:type="spellEnd"/>
      <w:r w:rsidRPr="002C6BC8">
        <w:rPr>
          <w:rFonts w:eastAsia="Calibri"/>
        </w:rPr>
        <w:t xml:space="preserve"> providing data only for reasons of MiFID/</w:t>
      </w:r>
      <w:proofErr w:type="spellStart"/>
      <w:r w:rsidRPr="002C6BC8">
        <w:rPr>
          <w:rFonts w:eastAsia="Calibri"/>
        </w:rPr>
        <w:t>MiFIR</w:t>
      </w:r>
      <w:proofErr w:type="spellEnd"/>
      <w:r w:rsidRPr="002C6BC8">
        <w:rPr>
          <w:rFonts w:eastAsia="Calibri"/>
        </w:rPr>
        <w:t xml:space="preserve"> requirements should be covered only to the extent that the Level 2 requirements stipulate requirements for them and not vice versa, i.e. generally covered, unless Level 2 stipulates an exemption. Level 3 requirements cannot and should not impose more requirements than the EU legislator explicitly provided for.</w:t>
      </w:r>
    </w:p>
    <w:permEnd w:id="1933377942"/>
    <w:p w14:paraId="4FB978C4" w14:textId="19AC4F1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&gt;</w:t>
      </w:r>
    </w:p>
    <w:p w14:paraId="195AE8A6" w14:textId="77777777" w:rsidR="00EE7FF4" w:rsidRPr="00EE7FF4" w:rsidRDefault="00EE7FF4" w:rsidP="00EE7FF4">
      <w:pPr>
        <w:spacing w:after="160" w:line="259" w:lineRule="auto"/>
        <w:rPr>
          <w:rFonts w:ascii="Arial" w:eastAsia="Calibri" w:hAnsi="Arial" w:cs="Arial"/>
          <w:sz w:val="22"/>
          <w:szCs w:val="22"/>
          <w:lang w:eastAsia="en-US"/>
        </w:rPr>
      </w:pPr>
    </w:p>
    <w:p w14:paraId="4F9BDBE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 Do you agree with Guideline 1? If not, please justify. </w:t>
      </w:r>
    </w:p>
    <w:p w14:paraId="29511912" w14:textId="2DAAF2E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&gt;</w:t>
      </w:r>
    </w:p>
    <w:p w14:paraId="07F93938" w14:textId="1D5379D1" w:rsidR="002C6BC8" w:rsidRDefault="002C6BC8" w:rsidP="002E119A">
      <w:permStart w:id="1229730904" w:edGrp="everyone"/>
      <w:r w:rsidRPr="002C6BC8">
        <w:t xml:space="preserve">We support more stringent requirements for methodology setting, transparency and review. Providers of market data regularly have a dominant market position and market participants are dependent on the provider's services to conduct their business. Consequently, they are bound to accept the conditions imposed by the data provider. This leads to an imbalance of power between the data provider and its customers. </w:t>
      </w:r>
    </w:p>
    <w:p w14:paraId="26751394" w14:textId="77777777" w:rsidR="000E5E28" w:rsidRPr="002C6BC8" w:rsidRDefault="000E5E28" w:rsidP="002E119A"/>
    <w:p w14:paraId="7F14CC5E" w14:textId="71C55096" w:rsidR="002C6BC8" w:rsidRDefault="002C6BC8" w:rsidP="002E119A">
      <w:r w:rsidRPr="002C6BC8">
        <w:t>Such imbalance creates the risk that data providers abuse their power which could result in less informed markets and impair competition. It is therefore necessary to compensate this imbalance of power to ensure a limitation of the data provider’s influence and a more even relationship between the contracting parties.</w:t>
      </w:r>
    </w:p>
    <w:p w14:paraId="39B188BF" w14:textId="77777777" w:rsidR="000E5E28" w:rsidRPr="002C6BC8" w:rsidRDefault="000E5E28" w:rsidP="002E119A"/>
    <w:p w14:paraId="5BF126BC" w14:textId="6A6024B5" w:rsidR="002C6BC8" w:rsidRDefault="002C6BC8" w:rsidP="002E119A">
      <w:r w:rsidRPr="002C6BC8">
        <w:t>To strengthen the position of the market participants, it is essential that the price of market data, including costs for its production and dissemination, are provided in a transparent way to enable market participants to compare the services of different data providers. In addition to that, market participants should have equal access to data provided.</w:t>
      </w:r>
    </w:p>
    <w:p w14:paraId="056D11CB" w14:textId="77777777" w:rsidR="000E5E28" w:rsidRPr="002C6BC8" w:rsidRDefault="000E5E28" w:rsidP="002E119A"/>
    <w:p w14:paraId="4D67EC6A" w14:textId="1D21546E" w:rsidR="002C6BC8" w:rsidRDefault="002C6BC8" w:rsidP="002E119A">
      <w:r w:rsidRPr="002C6BC8">
        <w:t>We therefore fully agree with and welcome the proposed requirements in Guideline 1. The principle of transparency requires that prices for market data are clearly structured and that customers can identify the costs for market data and how they were composed. As we already stated in our response (6 September 2019, Q1, p. 4) to the ESMA’s Consultation Paper on the development in prices for pre- and post-trade data (ESMA70-156-1271), from our point of view prices of market data have increased since the application of MiFID II/</w:t>
      </w:r>
      <w:proofErr w:type="spellStart"/>
      <w:r w:rsidRPr="002C6BC8">
        <w:t>MiFIR</w:t>
      </w:r>
      <w:proofErr w:type="spellEnd"/>
      <w:r w:rsidRPr="002C6BC8">
        <w:t xml:space="preserve">. It is </w:t>
      </w:r>
      <w:r w:rsidRPr="002C6BC8">
        <w:lastRenderedPageBreak/>
        <w:t xml:space="preserve">therefore necessary to stop, or at least slow down this development by introducing stricter transparency rules in relation to prices and costs of market data. </w:t>
      </w:r>
    </w:p>
    <w:p w14:paraId="22B0C9D8" w14:textId="77777777" w:rsidR="000E5E28" w:rsidRPr="002C6BC8" w:rsidRDefault="000E5E28" w:rsidP="002E119A"/>
    <w:p w14:paraId="26E56A7D" w14:textId="0693497C" w:rsidR="002C6BC8" w:rsidRDefault="002C6BC8" w:rsidP="002E119A">
      <w:r w:rsidRPr="002C6BC8">
        <w:t>We</w:t>
      </w:r>
      <w:r w:rsidRPr="00A72FF0">
        <w:t xml:space="preserve"> </w:t>
      </w:r>
      <w:r w:rsidRPr="002C6BC8">
        <w:t>therefore agree that market data providers should have a clear and documented methodology for setting the price of market data. The methodology should identify the costs that are solely attributable to the production and dissemination of market data and the costs that are shared with other services.</w:t>
      </w:r>
    </w:p>
    <w:p w14:paraId="5B76D6E3" w14:textId="77777777" w:rsidR="000E5E28" w:rsidRPr="002C6BC8" w:rsidRDefault="000E5E28" w:rsidP="002E119A"/>
    <w:p w14:paraId="4A32F7EE" w14:textId="018E8825" w:rsidR="002C6BC8" w:rsidRDefault="002C6BC8" w:rsidP="002E119A">
      <w:r w:rsidRPr="002C6BC8">
        <w:t>Furthermore, any price methodology setting and review process should include a public consultation mechanism followed by a feedback statement by market data providers.</w:t>
      </w:r>
    </w:p>
    <w:p w14:paraId="5409B647" w14:textId="77777777" w:rsidR="000E5E28" w:rsidRPr="002C6BC8" w:rsidRDefault="000E5E28" w:rsidP="002E119A"/>
    <w:p w14:paraId="205E39FB" w14:textId="1D30D53A" w:rsidR="002C6BC8" w:rsidRDefault="002C6BC8" w:rsidP="002E119A">
      <w:r w:rsidRPr="002C6BC8">
        <w:t>Market data should be offered on a reasonable commercial basis taking into account the costs for creation and dissemination of the data.</w:t>
      </w:r>
    </w:p>
    <w:p w14:paraId="7570D1FB" w14:textId="77777777" w:rsidR="000E5E28" w:rsidRPr="002C6BC8" w:rsidRDefault="000E5E28" w:rsidP="002E119A"/>
    <w:p w14:paraId="345D66EA" w14:textId="59E327D3" w:rsidR="00EE7FF4" w:rsidRPr="00EE7FF4" w:rsidRDefault="002C6BC8" w:rsidP="00EE7FF4">
      <w:pPr>
        <w:spacing w:after="160" w:line="259" w:lineRule="auto"/>
        <w:rPr>
          <w:rFonts w:ascii="Arial" w:eastAsia="Calibri" w:hAnsi="Arial" w:cs="Arial"/>
          <w:sz w:val="22"/>
          <w:szCs w:val="22"/>
          <w:lang w:eastAsia="en-US"/>
        </w:rPr>
      </w:pPr>
      <w:r w:rsidRPr="002C6BC8">
        <w:t>In addition, we would suggest to issue a further Guideline with respect to the availability of price lists, in particular historic price lists which include a multiyear comparisons. It is important for users of the data that the development of prices is transparent. The price lists should also take the suggested simplification of users / customers into account (see our response to Q6 below)</w:t>
      </w:r>
      <w:proofErr w:type="gramStart"/>
      <w:r w:rsidRPr="002C6BC8">
        <w:t>.</w:t>
      </w:r>
      <w:permEnd w:id="1229730904"/>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2</w:t>
      </w:r>
      <w:r w:rsidR="00EE7FF4" w:rsidRPr="00EE7FF4">
        <w:rPr>
          <w:rFonts w:ascii="Arial" w:eastAsia="Calibri" w:hAnsi="Arial" w:cs="Arial"/>
          <w:sz w:val="22"/>
          <w:szCs w:val="22"/>
          <w:lang w:eastAsia="en-US"/>
        </w:rPr>
        <w:t>&gt;</w:t>
      </w:r>
    </w:p>
    <w:p w14:paraId="7E41E3B7" w14:textId="77777777" w:rsidR="00EE7FF4" w:rsidRPr="00EE7FF4" w:rsidRDefault="00EE7FF4" w:rsidP="00EE7FF4">
      <w:pPr>
        <w:spacing w:after="160" w:line="259" w:lineRule="auto"/>
        <w:rPr>
          <w:rFonts w:ascii="Arial" w:eastAsia="Calibri" w:hAnsi="Arial" w:cs="Arial"/>
          <w:sz w:val="22"/>
          <w:szCs w:val="22"/>
          <w:lang w:eastAsia="en-US"/>
        </w:rPr>
      </w:pPr>
    </w:p>
    <w:p w14:paraId="40C9D2F9"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Q3: Do you think ESMA should clarify other aspects of the accounting methodologies for setting up the fees of market data? If yes, please explain.</w:t>
      </w:r>
    </w:p>
    <w:p w14:paraId="19AF7F17" w14:textId="0582789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3</w:t>
      </w:r>
      <w:r w:rsidRPr="00EE7FF4">
        <w:rPr>
          <w:rFonts w:ascii="Arial" w:eastAsia="Calibri" w:hAnsi="Arial" w:cs="Arial"/>
          <w:sz w:val="22"/>
          <w:szCs w:val="22"/>
          <w:lang w:eastAsia="en-US"/>
        </w:rPr>
        <w:t>&gt;</w:t>
      </w:r>
    </w:p>
    <w:p w14:paraId="51C288CD" w14:textId="27CD5ACB" w:rsidR="00EE7FF4" w:rsidRPr="00EE7FF4" w:rsidRDefault="002C6BC8" w:rsidP="00EE7FF4">
      <w:pPr>
        <w:spacing w:after="160" w:line="259" w:lineRule="auto"/>
        <w:rPr>
          <w:rFonts w:ascii="Arial" w:eastAsia="Calibri" w:hAnsi="Arial" w:cs="Arial"/>
          <w:sz w:val="22"/>
          <w:szCs w:val="22"/>
          <w:lang w:eastAsia="en-US"/>
        </w:rPr>
      </w:pPr>
      <w:permStart w:id="1462970602" w:edGrp="everyone"/>
      <w:r w:rsidRPr="005523D0">
        <w:t>We believe that it is necessary to clarify and specify accounting methodologies and procedures, with minimum rules set up for requirements and documentation. We would suggest to be as prescriptive as possible. It is essential to ensure a high degree of consistency and predictability in terms of the accounting methodologies employed by market data providers. Furthermore, ESMA should also address how market data providers allocate costs to specific products. We believe that only uniformity in the model will enable comparability and assessment of compliance with the principle of reasonable cost basis</w:t>
      </w:r>
      <w:proofErr w:type="gramStart"/>
      <w:r w:rsidRPr="005523D0">
        <w:t>.</w:t>
      </w:r>
      <w:permEnd w:id="1462970602"/>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3</w:t>
      </w:r>
      <w:r w:rsidR="00EE7FF4" w:rsidRPr="00EE7FF4">
        <w:rPr>
          <w:rFonts w:ascii="Arial" w:eastAsia="Calibri" w:hAnsi="Arial" w:cs="Arial"/>
          <w:sz w:val="22"/>
          <w:szCs w:val="22"/>
          <w:lang w:eastAsia="en-US"/>
        </w:rPr>
        <w:t>&gt;</w:t>
      </w:r>
    </w:p>
    <w:p w14:paraId="2F06FE5C" w14:textId="77777777" w:rsidR="00EE7FF4" w:rsidRPr="00EE7FF4" w:rsidRDefault="00EE7FF4" w:rsidP="00EE7FF4">
      <w:pPr>
        <w:spacing w:after="160" w:line="259" w:lineRule="auto"/>
        <w:rPr>
          <w:rFonts w:ascii="Arial" w:eastAsia="Calibri" w:hAnsi="Arial" w:cs="Arial"/>
          <w:sz w:val="22"/>
          <w:szCs w:val="22"/>
          <w:lang w:eastAsia="en-US"/>
        </w:rPr>
      </w:pPr>
    </w:p>
    <w:p w14:paraId="3A58D9C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Q4: With regard to Guideline 2, do you think placing the burden of proof, with respect to non-compliance with the terms of the market data agreement, on data providers can address the issue? Please provide any other comments you may have on Guideline 2.</w:t>
      </w:r>
    </w:p>
    <w:p w14:paraId="7DA67BC7" w14:textId="3552B54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4</w:t>
      </w:r>
      <w:r w:rsidRPr="00EE7FF4">
        <w:rPr>
          <w:rFonts w:ascii="Arial" w:eastAsia="Calibri" w:hAnsi="Arial" w:cs="Arial"/>
          <w:sz w:val="22"/>
          <w:szCs w:val="22"/>
          <w:lang w:eastAsia="en-US"/>
        </w:rPr>
        <w:t>&gt;</w:t>
      </w:r>
    </w:p>
    <w:p w14:paraId="1293689F" w14:textId="08B13691" w:rsidR="002C6BC8" w:rsidRDefault="002C6BC8" w:rsidP="002C6BC8">
      <w:permStart w:id="2097551244" w:edGrp="everyone"/>
      <w:r w:rsidRPr="005523D0">
        <w:t xml:space="preserve">In our view, </w:t>
      </w:r>
      <w:r w:rsidRPr="002C6BC8">
        <w:t>the data provider, typically operators of regulated markets and MTFs, should bear the burden of proof regarding the alleged non-compliance with the terms of the market data agreement. Any penalty system - if introduced - should be appropriately regulated to prevent it from being used as a form of alternative indirect revenue source.</w:t>
      </w:r>
    </w:p>
    <w:p w14:paraId="118718BE" w14:textId="77777777" w:rsidR="000E5E28" w:rsidRPr="002C6BC8" w:rsidRDefault="000E5E28" w:rsidP="002C6BC8"/>
    <w:p w14:paraId="2BAA4816" w14:textId="6AEE6CB6" w:rsidR="00EE7FF4" w:rsidRPr="00EE7FF4" w:rsidRDefault="002C6BC8" w:rsidP="00EE7FF4">
      <w:pPr>
        <w:spacing w:after="160" w:line="259" w:lineRule="auto"/>
        <w:rPr>
          <w:rFonts w:ascii="Arial" w:eastAsia="Calibri" w:hAnsi="Arial" w:cs="Arial"/>
          <w:sz w:val="22"/>
          <w:szCs w:val="22"/>
          <w:lang w:eastAsia="en-US"/>
        </w:rPr>
      </w:pPr>
      <w:r>
        <w:t>There should also be a requirement</w:t>
      </w:r>
      <w:r w:rsidRPr="002C6BC8">
        <w:t xml:space="preserve"> for data providers to consult amendments to make sure that policies and price lists are understood and applied in the right way by users. Such </w:t>
      </w:r>
      <w:r w:rsidRPr="002C6BC8">
        <w:lastRenderedPageBreak/>
        <w:t>consulting of the market when establishing a new audit procedure could also be combined with the necessity of a</w:t>
      </w:r>
      <w:r>
        <w:t>n</w:t>
      </w:r>
      <w:r w:rsidRPr="002C6BC8">
        <w:t xml:space="preserve"> approval of the audit procedure by the relevant NCA. This could lead to a higher recognition of auditing procedures by market participants</w:t>
      </w:r>
      <w:proofErr w:type="gramStart"/>
      <w:r w:rsidRPr="002C6BC8">
        <w:t>.</w:t>
      </w:r>
      <w:permEnd w:id="2097551244"/>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4</w:t>
      </w:r>
      <w:r w:rsidR="00EE7FF4" w:rsidRPr="00EE7FF4">
        <w:rPr>
          <w:rFonts w:ascii="Arial" w:eastAsia="Calibri" w:hAnsi="Arial" w:cs="Arial"/>
          <w:sz w:val="22"/>
          <w:szCs w:val="22"/>
          <w:lang w:eastAsia="en-US"/>
        </w:rPr>
        <w:t>&gt;</w:t>
      </w:r>
    </w:p>
    <w:p w14:paraId="3E9C4DD5" w14:textId="77777777" w:rsidR="00EE7FF4" w:rsidRPr="00EE7FF4" w:rsidRDefault="00EE7FF4" w:rsidP="00EE7FF4">
      <w:pPr>
        <w:spacing w:after="160" w:line="259" w:lineRule="auto"/>
        <w:rPr>
          <w:rFonts w:ascii="Arial" w:eastAsia="Calibri" w:hAnsi="Arial" w:cs="Arial"/>
          <w:sz w:val="22"/>
          <w:szCs w:val="22"/>
          <w:lang w:eastAsia="en-US"/>
        </w:rPr>
      </w:pPr>
    </w:p>
    <w:p w14:paraId="0D62B60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Q5: Do you consider that auditing practices may contribute to higher costs of market data? Please explain and provide practical examples of auditing practices that you consider problematic in this context. Such examples can be provided on a confidential basis via a separate submission to ESMA.</w:t>
      </w:r>
    </w:p>
    <w:p w14:paraId="1EEEEA1D" w14:textId="40A1325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5</w:t>
      </w:r>
      <w:r w:rsidRPr="00EE7FF4">
        <w:rPr>
          <w:rFonts w:ascii="Arial" w:eastAsia="Calibri" w:hAnsi="Arial" w:cs="Arial"/>
          <w:sz w:val="22"/>
          <w:szCs w:val="22"/>
          <w:lang w:eastAsia="en-US"/>
        </w:rPr>
        <w:t>&gt;</w:t>
      </w:r>
    </w:p>
    <w:p w14:paraId="5BDFBD60" w14:textId="77777777" w:rsidR="002C6BC8" w:rsidRPr="002C6BC8" w:rsidRDefault="002C6BC8" w:rsidP="002E119A">
      <w:pPr>
        <w:rPr>
          <w:rFonts w:eastAsia="Calibri"/>
        </w:rPr>
      </w:pPr>
      <w:permStart w:id="2104177022" w:edGrp="everyone"/>
      <w:r w:rsidRPr="002C6BC8">
        <w:rPr>
          <w:rFonts w:eastAsia="Calibri"/>
        </w:rPr>
        <w:t>In our view, auditing practices have been an immense cost driver in the past. Market data costs are often inflated following audits due to expansive policy (the potential access standard) and third-party auditors that are compensated on a percent recovered basis.</w:t>
      </w:r>
    </w:p>
    <w:p w14:paraId="31710389" w14:textId="77777777" w:rsidR="002C6BC8" w:rsidRPr="002C6BC8" w:rsidRDefault="002C6BC8" w:rsidP="002E119A">
      <w:pPr>
        <w:rPr>
          <w:rFonts w:eastAsia="Calibri"/>
        </w:rPr>
      </w:pPr>
    </w:p>
    <w:p w14:paraId="57A17BAE" w14:textId="77777777" w:rsidR="002C6BC8" w:rsidRPr="002C6BC8" w:rsidRDefault="002C6BC8" w:rsidP="002E119A">
      <w:pPr>
        <w:rPr>
          <w:rFonts w:eastAsia="Calibri"/>
        </w:rPr>
      </w:pPr>
      <w:r w:rsidRPr="002C6BC8">
        <w:rPr>
          <w:rFonts w:eastAsia="Calibri"/>
        </w:rPr>
        <w:t xml:space="preserve">Under the potential access standard a display user is considered fee-liable if they potentially had the ability to access market data from that exchange, regardless of whether or not they actually made use of it. </w:t>
      </w:r>
    </w:p>
    <w:p w14:paraId="6912A50A" w14:textId="77777777" w:rsidR="002C6BC8" w:rsidRPr="002C6BC8" w:rsidRDefault="002C6BC8" w:rsidP="002E119A">
      <w:pPr>
        <w:rPr>
          <w:rFonts w:eastAsia="Calibri"/>
        </w:rPr>
      </w:pPr>
    </w:p>
    <w:p w14:paraId="3E608C98" w14:textId="0B5260E1" w:rsidR="00EE7FF4" w:rsidRPr="00EE7FF4" w:rsidRDefault="002C6BC8" w:rsidP="00EE7FF4">
      <w:pPr>
        <w:spacing w:after="160" w:line="259" w:lineRule="auto"/>
        <w:rPr>
          <w:rFonts w:ascii="Arial" w:eastAsia="Calibri" w:hAnsi="Arial" w:cs="Arial"/>
          <w:sz w:val="22"/>
          <w:szCs w:val="22"/>
          <w:lang w:eastAsia="en-US"/>
        </w:rPr>
      </w:pPr>
      <w:r w:rsidRPr="002C6BC8">
        <w:rPr>
          <w:rFonts w:eastAsia="Calibri"/>
        </w:rPr>
        <w:t>Even if usage data prove that only several users had accessed each market and the rest of a firm had not, under audit, this firm could be liable for immense costs. This standard could unnecessarily increase the cost of market data for participants. We therefore believe that ESMA should ensure that exchanges implement an actual rather than potential usage standard</w:t>
      </w:r>
      <w:proofErr w:type="gramStart"/>
      <w:r w:rsidRPr="002C6BC8">
        <w:rPr>
          <w:rFonts w:eastAsia="Calibri"/>
        </w:rPr>
        <w:t>.</w:t>
      </w:r>
      <w:permEnd w:id="2104177022"/>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5</w:t>
      </w:r>
      <w:r w:rsidR="00EE7FF4" w:rsidRPr="00EE7FF4">
        <w:rPr>
          <w:rFonts w:ascii="Arial" w:eastAsia="Calibri" w:hAnsi="Arial" w:cs="Arial"/>
          <w:sz w:val="22"/>
          <w:szCs w:val="22"/>
          <w:lang w:eastAsia="en-US"/>
        </w:rPr>
        <w:t>&gt;</w:t>
      </w:r>
    </w:p>
    <w:p w14:paraId="18FE6F33" w14:textId="77777777" w:rsidR="00EE7FF4" w:rsidRPr="00EE7FF4" w:rsidRDefault="00EE7FF4" w:rsidP="00EE7FF4">
      <w:pPr>
        <w:spacing w:after="160" w:line="259" w:lineRule="auto"/>
        <w:rPr>
          <w:rFonts w:ascii="Arial" w:eastAsia="Calibri" w:hAnsi="Arial" w:cs="Arial"/>
          <w:sz w:val="22"/>
          <w:szCs w:val="22"/>
          <w:lang w:eastAsia="en-US"/>
        </w:rPr>
      </w:pPr>
    </w:p>
    <w:p w14:paraId="73FCB20B"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Q6: Do you agree with Guideline 3? If not, please justify, by indicating which parts of the Guideline you do not agree with and the relevant reasons. </w:t>
      </w:r>
    </w:p>
    <w:p w14:paraId="40474AE1" w14:textId="300FFF8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6</w:t>
      </w:r>
      <w:r w:rsidRPr="00EE7FF4">
        <w:rPr>
          <w:rFonts w:ascii="Arial" w:eastAsia="Calibri" w:hAnsi="Arial" w:cs="Arial"/>
          <w:sz w:val="22"/>
          <w:szCs w:val="22"/>
          <w:lang w:eastAsia="en-US"/>
        </w:rPr>
        <w:t>&gt;</w:t>
      </w:r>
    </w:p>
    <w:p w14:paraId="30DBD63B" w14:textId="7409C195" w:rsidR="002C6BC8" w:rsidRDefault="002C6BC8" w:rsidP="002C6BC8">
      <w:pPr>
        <w:rPr>
          <w:rFonts w:eastAsia="Calibri"/>
        </w:rPr>
      </w:pPr>
      <w:permStart w:id="744248132" w:edGrp="everyone"/>
      <w:r w:rsidRPr="002C6BC8">
        <w:rPr>
          <w:rFonts w:eastAsia="Calibri"/>
        </w:rPr>
        <w:t>We generally agree with Guideline 3 and believe that market data providers should be required to disclose categories of customers and how data use is considered in setting such categories. As highlighted by ESMA in the consultation paper, customers often find it challenging to determine which client category they belong to which severely hampers their ability to anticipate the fees, terms and conditions applicable to them and to compare different offerings of data providers.</w:t>
      </w:r>
    </w:p>
    <w:p w14:paraId="35545BDE" w14:textId="77777777" w:rsidR="00B03002" w:rsidRPr="002C6BC8" w:rsidRDefault="00B03002" w:rsidP="002C6BC8">
      <w:pPr>
        <w:rPr>
          <w:rFonts w:eastAsia="Calibri"/>
        </w:rPr>
      </w:pPr>
    </w:p>
    <w:p w14:paraId="761973E6" w14:textId="77777777" w:rsidR="002C6BC8" w:rsidRDefault="002C6BC8" w:rsidP="00EE7FF4">
      <w:pPr>
        <w:spacing w:after="160" w:line="259" w:lineRule="auto"/>
        <w:rPr>
          <w:rFonts w:eastAsia="Calibri"/>
        </w:rPr>
      </w:pPr>
      <w:r w:rsidRPr="002C6BC8">
        <w:rPr>
          <w:rFonts w:eastAsia="Calibri"/>
        </w:rPr>
        <w:t xml:space="preserve">At the beginning, there should only be two categories of customers – professional and non-professional customers. If categories are introduced, ESMA should prescribe the criteria used by market data providers to determine the client categories on the basis of objective and easily verifiable criteria to enable customers to estimate the conditions that will apply to them. These categories should be grounded on objective reasons and not only on the value represented by the data to the clients or the role of the client as a systematic </w:t>
      </w:r>
      <w:proofErr w:type="spellStart"/>
      <w:r w:rsidRPr="002C6BC8">
        <w:rPr>
          <w:rFonts w:eastAsia="Calibri"/>
        </w:rPr>
        <w:t>internaliser</w:t>
      </w:r>
      <w:proofErr w:type="spellEnd"/>
      <w:r w:rsidRPr="002C6BC8">
        <w:rPr>
          <w:rFonts w:eastAsia="Calibri"/>
        </w:rPr>
        <w:t>. Furthermore, the same technical arrangements should apply to customers in the same customer category. In case of practical limitations to that requirement, the market data provider should provide a justification based on valid technical constraints.</w:t>
      </w:r>
    </w:p>
    <w:p w14:paraId="44151478" w14:textId="77777777" w:rsidR="002C6BC8" w:rsidRPr="002C6BC8" w:rsidRDefault="002C6BC8" w:rsidP="002C6BC8">
      <w:pPr>
        <w:rPr>
          <w:rFonts w:eastAsia="Calibri"/>
        </w:rPr>
      </w:pPr>
      <w:r w:rsidRPr="002C6BC8">
        <w:rPr>
          <w:rFonts w:eastAsia="Calibri"/>
        </w:rPr>
        <w:lastRenderedPageBreak/>
        <w:t>We also share ESMA’s assessment that customers should not be charged more than once for the same data based on use cases. The duplication of fees in this manner dramatically increases the cost of market data for end-users and clearly contravenes the requirement that data costs be based on the cost of producing and disseminating the data.</w:t>
      </w:r>
    </w:p>
    <w:permEnd w:id="744248132"/>
    <w:p w14:paraId="338DCDAE" w14:textId="13CE8D8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6</w:t>
      </w:r>
      <w:r w:rsidRPr="00EE7FF4">
        <w:rPr>
          <w:rFonts w:ascii="Arial" w:eastAsia="Calibri" w:hAnsi="Arial" w:cs="Arial"/>
          <w:sz w:val="22"/>
          <w:szCs w:val="22"/>
          <w:lang w:eastAsia="en-US"/>
        </w:rPr>
        <w:t>&gt;</w:t>
      </w:r>
    </w:p>
    <w:p w14:paraId="62186633" w14:textId="77777777" w:rsidR="00EE7FF4" w:rsidRPr="00EE7FF4" w:rsidRDefault="00EE7FF4" w:rsidP="00EE7FF4">
      <w:pPr>
        <w:spacing w:after="160" w:line="259" w:lineRule="auto"/>
        <w:rPr>
          <w:rFonts w:ascii="Arial" w:eastAsia="Calibri" w:hAnsi="Arial" w:cs="Arial"/>
          <w:sz w:val="22"/>
          <w:szCs w:val="22"/>
          <w:lang w:eastAsia="en-US"/>
        </w:rPr>
      </w:pPr>
    </w:p>
    <w:p w14:paraId="5D159222"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Q7: Do you agree with the approach taken in Guideline 4? If not, please justify, also by providing arguments for the adoption of a different approach.</w:t>
      </w:r>
    </w:p>
    <w:p w14:paraId="1F9419DD" w14:textId="6FAC39E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7</w:t>
      </w:r>
      <w:r w:rsidRPr="00EE7FF4">
        <w:rPr>
          <w:rFonts w:ascii="Arial" w:eastAsia="Calibri" w:hAnsi="Arial" w:cs="Arial"/>
          <w:sz w:val="22"/>
          <w:szCs w:val="22"/>
          <w:lang w:eastAsia="en-US"/>
        </w:rPr>
        <w:t>&gt;</w:t>
      </w:r>
    </w:p>
    <w:p w14:paraId="29426064" w14:textId="632C1BF9" w:rsidR="002C6BC8" w:rsidRDefault="002C6BC8" w:rsidP="002C6BC8">
      <w:pPr>
        <w:rPr>
          <w:rFonts w:eastAsia="Calibri"/>
        </w:rPr>
      </w:pPr>
      <w:permStart w:id="1946551265" w:edGrp="everyone"/>
      <w:r w:rsidRPr="002C6BC8">
        <w:rPr>
          <w:rFonts w:eastAsia="Calibri"/>
        </w:rPr>
        <w:t xml:space="preserve">DDV endorses Guideline 4, although it is quite generic. </w:t>
      </w:r>
    </w:p>
    <w:p w14:paraId="2E3A061C" w14:textId="77777777" w:rsidR="00B03002" w:rsidRPr="002C6BC8" w:rsidRDefault="00B03002" w:rsidP="002C6BC8">
      <w:pPr>
        <w:rPr>
          <w:rFonts w:eastAsia="Calibri"/>
        </w:rPr>
      </w:pPr>
    </w:p>
    <w:p w14:paraId="72789233" w14:textId="227DF568" w:rsidR="002C6BC8" w:rsidRDefault="002C6BC8" w:rsidP="002C6BC8">
      <w:r w:rsidRPr="005523D0">
        <w:t xml:space="preserve">The customers of market data providers require certainty </w:t>
      </w:r>
      <w:r w:rsidRPr="002C6BC8">
        <w:t>for their categorisation regarding market data fees and applicable terms and conditions. Possible inconsistencies in the treatment of different clients and unnecessary inequalities should be avoided, but could potentially arise where a market data provider can charge multiple fees for market data based on different use cases or a client potentially belonging to more than one category. There should be one customer charge only, especially when it comes to database use (non-display licenses) vs. human interface (display licenses). It needs to be clarified whether these are treated as one client (e.g. the asset management firm or bank) and not as several clients (e.g. the individual employees with access to data).</w:t>
      </w:r>
    </w:p>
    <w:p w14:paraId="553C6BD3" w14:textId="77777777" w:rsidR="00B03002" w:rsidRPr="002C6BC8" w:rsidRDefault="00B03002" w:rsidP="002C6BC8"/>
    <w:p w14:paraId="14B0890D" w14:textId="168D9F5F" w:rsidR="00EE7FF4" w:rsidRPr="00EE7FF4" w:rsidRDefault="002C6BC8" w:rsidP="00EE7FF4">
      <w:pPr>
        <w:spacing w:after="160" w:line="259" w:lineRule="auto"/>
        <w:rPr>
          <w:rFonts w:ascii="Arial" w:eastAsia="Calibri" w:hAnsi="Arial" w:cs="Arial"/>
          <w:sz w:val="22"/>
          <w:szCs w:val="22"/>
          <w:lang w:eastAsia="en-US"/>
        </w:rPr>
      </w:pPr>
      <w:r>
        <w:t xml:space="preserve">Therefore, it is essential to clarify the categorisation and provide this information in advance. </w:t>
      </w:r>
      <w:r w:rsidRPr="002C6BC8">
        <w:t>More specified standards for the categorisation discussed in Guideline 4 would ensure a similar application of the Guideline by data providers</w:t>
      </w:r>
      <w:proofErr w:type="gramStart"/>
      <w:r w:rsidRPr="002C6BC8">
        <w:t>.</w:t>
      </w:r>
      <w:permEnd w:id="1946551265"/>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7</w:t>
      </w:r>
      <w:r w:rsidR="00EE7FF4" w:rsidRPr="00EE7FF4">
        <w:rPr>
          <w:rFonts w:ascii="Arial" w:eastAsia="Calibri" w:hAnsi="Arial" w:cs="Arial"/>
          <w:sz w:val="22"/>
          <w:szCs w:val="22"/>
          <w:lang w:eastAsia="en-US"/>
        </w:rPr>
        <w:t>&gt;</w:t>
      </w:r>
    </w:p>
    <w:p w14:paraId="538680DA" w14:textId="77777777" w:rsidR="00EE7FF4" w:rsidRPr="00EE7FF4" w:rsidRDefault="00EE7FF4" w:rsidP="00EE7FF4">
      <w:pPr>
        <w:spacing w:after="160" w:line="259" w:lineRule="auto"/>
        <w:rPr>
          <w:rFonts w:ascii="Arial" w:eastAsia="Calibri" w:hAnsi="Arial" w:cs="Arial"/>
          <w:sz w:val="22"/>
          <w:szCs w:val="22"/>
          <w:lang w:eastAsia="en-US"/>
        </w:rPr>
      </w:pPr>
    </w:p>
    <w:p w14:paraId="6A0A0FD2"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Q8: Do you agree with Guideline 5? If not, please justify.</w:t>
      </w:r>
    </w:p>
    <w:p w14:paraId="1F0DE952" w14:textId="0E574E3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8</w:t>
      </w:r>
      <w:r w:rsidRPr="00EE7FF4">
        <w:rPr>
          <w:rFonts w:ascii="Arial" w:eastAsia="Calibri" w:hAnsi="Arial" w:cs="Arial"/>
          <w:sz w:val="22"/>
          <w:szCs w:val="22"/>
          <w:lang w:eastAsia="en-US"/>
        </w:rPr>
        <w:t>&gt;</w:t>
      </w:r>
    </w:p>
    <w:p w14:paraId="29A679FA" w14:textId="3B038286" w:rsidR="00EE7FF4" w:rsidRPr="00EE7FF4" w:rsidRDefault="002C6BC8" w:rsidP="00EE7FF4">
      <w:pPr>
        <w:spacing w:after="160" w:line="259" w:lineRule="auto"/>
        <w:rPr>
          <w:rFonts w:ascii="Arial" w:eastAsia="Calibri" w:hAnsi="Arial" w:cs="Arial"/>
          <w:sz w:val="22"/>
          <w:szCs w:val="22"/>
          <w:lang w:eastAsia="en-US"/>
        </w:rPr>
      </w:pPr>
      <w:permStart w:id="1321233513" w:edGrp="everyone"/>
      <w:r w:rsidRPr="002C6BC8">
        <w:rPr>
          <w:rFonts w:eastAsia="Calibri"/>
        </w:rPr>
        <w:t>In our view, in order to avoid discrimination, the same technical arrangements should be available to all customers in the same category. Overall, a differentiation of criteria to avoid charging more than once by applying only one customer “technical arrangements” category would be helpful for market participants, e.g. database use (non-display licenses) vs. human interface (display licenses). We already stated the relevance of this classification in our answer to Q7</w:t>
      </w:r>
      <w:proofErr w:type="gramStart"/>
      <w:r w:rsidRPr="002C6BC8">
        <w:rPr>
          <w:rFonts w:eastAsia="Calibri"/>
        </w:rPr>
        <w:t>.</w:t>
      </w:r>
      <w:permEnd w:id="1321233513"/>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8</w:t>
      </w:r>
      <w:r w:rsidR="00EE7FF4" w:rsidRPr="00EE7FF4">
        <w:rPr>
          <w:rFonts w:ascii="Arial" w:eastAsia="Calibri" w:hAnsi="Arial" w:cs="Arial"/>
          <w:sz w:val="22"/>
          <w:szCs w:val="22"/>
          <w:lang w:eastAsia="en-US"/>
        </w:rPr>
        <w:t>&gt;</w:t>
      </w:r>
    </w:p>
    <w:p w14:paraId="72A22F2E" w14:textId="77777777" w:rsidR="00EE7FF4" w:rsidRPr="00EE7FF4" w:rsidRDefault="00EE7FF4" w:rsidP="00EE7FF4">
      <w:pPr>
        <w:spacing w:after="160" w:line="259" w:lineRule="auto"/>
        <w:rPr>
          <w:rFonts w:ascii="Arial" w:eastAsia="Calibri" w:hAnsi="Arial" w:cs="Arial"/>
          <w:sz w:val="22"/>
          <w:szCs w:val="22"/>
          <w:lang w:eastAsia="en-US"/>
        </w:rPr>
      </w:pPr>
    </w:p>
    <w:p w14:paraId="52F8DCDD"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Q9: Do you think that ESMA should clarify other elements of the obligation to provide market data on a non-discriminatory basis? If yes, please explain.</w:t>
      </w:r>
    </w:p>
    <w:p w14:paraId="303DEC84" w14:textId="2D6F2CC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9</w:t>
      </w:r>
      <w:r w:rsidRPr="00EE7FF4">
        <w:rPr>
          <w:rFonts w:ascii="Arial" w:eastAsia="Calibri" w:hAnsi="Arial" w:cs="Arial"/>
          <w:sz w:val="22"/>
          <w:szCs w:val="22"/>
          <w:lang w:eastAsia="en-US"/>
        </w:rPr>
        <w:t>&gt;</w:t>
      </w:r>
    </w:p>
    <w:p w14:paraId="52A762D0" w14:textId="77777777" w:rsidR="00EE7FF4" w:rsidRPr="00EE7FF4" w:rsidRDefault="00EE7FF4" w:rsidP="00EE7FF4">
      <w:pPr>
        <w:spacing w:after="160" w:line="259" w:lineRule="auto"/>
        <w:rPr>
          <w:rFonts w:ascii="Arial" w:eastAsia="Calibri" w:hAnsi="Arial" w:cs="Arial"/>
          <w:sz w:val="22"/>
          <w:szCs w:val="22"/>
          <w:lang w:eastAsia="en-US"/>
        </w:rPr>
      </w:pPr>
      <w:permStart w:id="443503228" w:edGrp="everyone"/>
      <w:r w:rsidRPr="00EE7FF4">
        <w:rPr>
          <w:rFonts w:ascii="Arial" w:eastAsia="Calibri" w:hAnsi="Arial" w:cs="Arial"/>
          <w:sz w:val="22"/>
          <w:szCs w:val="22"/>
          <w:lang w:eastAsia="en-US"/>
        </w:rPr>
        <w:t>TYPE YOUR TEXT HERE</w:t>
      </w:r>
    </w:p>
    <w:permEnd w:id="443503228"/>
    <w:p w14:paraId="7A869DC0" w14:textId="7E11F8C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9</w:t>
      </w:r>
      <w:r w:rsidRPr="00EE7FF4">
        <w:rPr>
          <w:rFonts w:ascii="Arial" w:eastAsia="Calibri" w:hAnsi="Arial" w:cs="Arial"/>
          <w:sz w:val="22"/>
          <w:szCs w:val="22"/>
          <w:lang w:eastAsia="en-US"/>
        </w:rPr>
        <w:t>&gt;</w:t>
      </w:r>
    </w:p>
    <w:p w14:paraId="195EC6F0" w14:textId="77777777" w:rsidR="00EE7FF4" w:rsidRPr="00EE7FF4" w:rsidRDefault="00EE7FF4" w:rsidP="00EE7FF4">
      <w:pPr>
        <w:spacing w:after="160" w:line="259" w:lineRule="auto"/>
        <w:rPr>
          <w:rFonts w:ascii="Arial" w:eastAsia="Calibri" w:hAnsi="Arial" w:cs="Arial"/>
          <w:sz w:val="22"/>
          <w:szCs w:val="22"/>
          <w:lang w:eastAsia="en-US"/>
        </w:rPr>
      </w:pPr>
    </w:p>
    <w:p w14:paraId="6402A626"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lastRenderedPageBreak/>
        <w:t xml:space="preserve">Q10: Do you agree on the interpretation of the per user model provided by Guideline 6? If not, please justify and include in your answer any different interpretation you may have of the per user model and supporting grounds. </w:t>
      </w:r>
    </w:p>
    <w:p w14:paraId="54ACEC26" w14:textId="10A0B809"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10</w:t>
      </w:r>
      <w:r w:rsidRPr="00EE7FF4">
        <w:rPr>
          <w:rFonts w:ascii="Arial" w:eastAsia="Calibri" w:hAnsi="Arial" w:cs="Arial"/>
          <w:sz w:val="22"/>
          <w:szCs w:val="22"/>
          <w:lang w:eastAsia="en-US"/>
        </w:rPr>
        <w:t>&gt;</w:t>
      </w:r>
    </w:p>
    <w:p w14:paraId="6F456B6A" w14:textId="2FB2413E" w:rsidR="00EE7FF4" w:rsidRPr="00EE7FF4" w:rsidRDefault="002C6BC8" w:rsidP="00EE7FF4">
      <w:pPr>
        <w:spacing w:after="160" w:line="259" w:lineRule="auto"/>
        <w:rPr>
          <w:rFonts w:ascii="Arial" w:eastAsia="Calibri" w:hAnsi="Arial" w:cs="Arial"/>
          <w:sz w:val="22"/>
          <w:szCs w:val="22"/>
          <w:lang w:eastAsia="en-US"/>
        </w:rPr>
      </w:pPr>
      <w:permStart w:id="1614824364" w:edGrp="everyone"/>
      <w:r>
        <w:t xml:space="preserve">We </w:t>
      </w:r>
      <w:r w:rsidRPr="002C6BC8">
        <w:t>feel that there is a need to change the definition of “Active User-ID” which should refer to users who actually use data instead of including all those who could access data (i.e. unit of account per user). Once the definition is adjusted, we believe that the per user model is a good starting point, as it enables customers to pay per actual user even if market data is received through multiple data products or subscriptions. However, the per user model can lead to additional administrative costs</w:t>
      </w:r>
      <w:proofErr w:type="gramStart"/>
      <w:r w:rsidRPr="002C6BC8">
        <w:t>.</w:t>
      </w:r>
      <w:permEnd w:id="1614824364"/>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1</w:t>
      </w:r>
      <w:r w:rsidR="00EE7FF4" w:rsidRPr="00EE7FF4">
        <w:rPr>
          <w:rFonts w:ascii="Arial" w:eastAsia="Calibri" w:hAnsi="Arial" w:cs="Arial"/>
          <w:sz w:val="22"/>
          <w:szCs w:val="22"/>
          <w:lang w:eastAsia="en-US"/>
        </w:rPr>
        <w:t>0&gt;</w:t>
      </w:r>
    </w:p>
    <w:p w14:paraId="5536C5E8" w14:textId="77777777" w:rsidR="00EE7FF4" w:rsidRPr="00EE7FF4" w:rsidRDefault="00EE7FF4" w:rsidP="00EE7FF4">
      <w:pPr>
        <w:spacing w:after="160" w:line="259" w:lineRule="auto"/>
        <w:rPr>
          <w:rFonts w:ascii="Arial" w:eastAsia="Calibri" w:hAnsi="Arial" w:cs="Arial"/>
          <w:sz w:val="22"/>
          <w:szCs w:val="22"/>
          <w:lang w:eastAsia="en-US"/>
        </w:rPr>
      </w:pPr>
    </w:p>
    <w:p w14:paraId="31532D9F"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Q11: Do you agree with Guideline 7? If not, please justify. In your opinion, are there any other additional conditions that need to be met by the customer in order to permit the application of the per user model or do you consider the conditions listed in Guideline 7 sufficient to this aim? Please include in your answer the main obstacles you see in the adoption of the per user model, if any, and comments or suggestions you may have to encourage its application. </w:t>
      </w:r>
    </w:p>
    <w:p w14:paraId="5F0A0C85" w14:textId="57A49A8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11</w:t>
      </w:r>
      <w:r w:rsidRPr="00EE7FF4">
        <w:rPr>
          <w:rFonts w:ascii="Arial" w:eastAsia="Calibri" w:hAnsi="Arial" w:cs="Arial"/>
          <w:sz w:val="22"/>
          <w:szCs w:val="22"/>
          <w:lang w:eastAsia="en-US"/>
        </w:rPr>
        <w:t>&gt;</w:t>
      </w:r>
    </w:p>
    <w:p w14:paraId="048363B4" w14:textId="24838D9B" w:rsidR="002C6BC8" w:rsidRDefault="002C6BC8" w:rsidP="002C6BC8">
      <w:pPr>
        <w:rPr>
          <w:rFonts w:eastAsia="Calibri"/>
        </w:rPr>
      </w:pPr>
      <w:permStart w:id="1660039463" w:edGrp="everyone"/>
      <w:r w:rsidRPr="002C6BC8">
        <w:rPr>
          <w:rFonts w:eastAsia="Calibri"/>
        </w:rPr>
        <w:t>In our view, there may be a need to clarify the meaning of intermediate database use (non-display licenses) to provide a final human interface (display licenses to end clients). The ultimate number of end users (clients or employees) may not be verified. Website visitors may not be identified individually as a result of GDPR constraints. There needs to be an estimation possibility to be able to provide a reasonable number of clients which is also valid for audit purposes.</w:t>
      </w:r>
    </w:p>
    <w:p w14:paraId="65DC28E1" w14:textId="77777777" w:rsidR="00B03002" w:rsidRPr="002C6BC8" w:rsidRDefault="00B03002" w:rsidP="002C6BC8">
      <w:pPr>
        <w:rPr>
          <w:rFonts w:eastAsia="Calibri"/>
        </w:rPr>
      </w:pPr>
    </w:p>
    <w:p w14:paraId="52341B26" w14:textId="3F94B1F4" w:rsidR="00EE7FF4" w:rsidRPr="00EE7FF4" w:rsidRDefault="002C6BC8" w:rsidP="00EE7FF4">
      <w:pPr>
        <w:spacing w:after="160" w:line="259" w:lineRule="auto"/>
        <w:rPr>
          <w:rFonts w:ascii="Arial" w:eastAsia="Calibri" w:hAnsi="Arial" w:cs="Arial"/>
          <w:sz w:val="22"/>
          <w:szCs w:val="22"/>
          <w:lang w:eastAsia="en-US"/>
        </w:rPr>
      </w:pPr>
      <w:r w:rsidRPr="002C6BC8">
        <w:rPr>
          <w:rFonts w:eastAsia="Calibri"/>
        </w:rPr>
        <w:t>However, we think that the information required or requested should be kept to a minimum. For a uniform application of the rules, further standardisation and specification is needed</w:t>
      </w:r>
      <w:proofErr w:type="gramStart"/>
      <w:r w:rsidRPr="002C6BC8">
        <w:rPr>
          <w:rFonts w:eastAsia="Calibri"/>
        </w:rPr>
        <w:t>.</w:t>
      </w:r>
      <w:permEnd w:id="1660039463"/>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11</w:t>
      </w:r>
      <w:r w:rsidR="00EE7FF4" w:rsidRPr="00EE7FF4">
        <w:rPr>
          <w:rFonts w:ascii="Arial" w:eastAsia="Calibri" w:hAnsi="Arial" w:cs="Arial"/>
          <w:sz w:val="22"/>
          <w:szCs w:val="22"/>
          <w:lang w:eastAsia="en-US"/>
        </w:rPr>
        <w:t>&gt;</w:t>
      </w:r>
    </w:p>
    <w:p w14:paraId="34026CA1" w14:textId="77777777" w:rsidR="00EE7FF4" w:rsidRPr="00EE7FF4" w:rsidRDefault="00EE7FF4" w:rsidP="00EE7FF4">
      <w:pPr>
        <w:spacing w:after="160" w:line="259" w:lineRule="auto"/>
        <w:rPr>
          <w:rFonts w:ascii="Arial" w:eastAsia="Calibri" w:hAnsi="Arial" w:cs="Arial"/>
          <w:sz w:val="22"/>
          <w:szCs w:val="22"/>
          <w:lang w:eastAsia="en-US"/>
        </w:rPr>
      </w:pPr>
    </w:p>
    <w:p w14:paraId="5C0E1E93"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Q12: Do you agree with Guideline 8? If not, please justify also by indicating what are the elements making the adoption of the per user model disproportionate and the reasons hampering their disclosure.   </w:t>
      </w:r>
    </w:p>
    <w:p w14:paraId="24B7CF30" w14:textId="179AD81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12</w:t>
      </w:r>
      <w:r w:rsidRPr="00EE7FF4">
        <w:rPr>
          <w:rFonts w:ascii="Arial" w:eastAsia="Calibri" w:hAnsi="Arial" w:cs="Arial"/>
          <w:sz w:val="22"/>
          <w:szCs w:val="22"/>
          <w:lang w:eastAsia="en-US"/>
        </w:rPr>
        <w:t>&gt;</w:t>
      </w:r>
    </w:p>
    <w:p w14:paraId="5EA29AF6" w14:textId="3B64F7BD" w:rsidR="00EE7FF4" w:rsidRPr="00EE7FF4" w:rsidRDefault="008C3719" w:rsidP="00EE7FF4">
      <w:pPr>
        <w:spacing w:after="160" w:line="259" w:lineRule="auto"/>
        <w:rPr>
          <w:rFonts w:ascii="Arial" w:eastAsia="Calibri" w:hAnsi="Arial" w:cs="Arial"/>
          <w:sz w:val="22"/>
          <w:szCs w:val="22"/>
          <w:lang w:eastAsia="en-US"/>
        </w:rPr>
      </w:pPr>
      <w:permStart w:id="2083202219" w:edGrp="everyone"/>
      <w:r w:rsidRPr="005523D0">
        <w:t xml:space="preserve">In our view, all market data providers </w:t>
      </w:r>
      <w:r w:rsidRPr="008C3719">
        <w:t>should be required to offer per user models. If the option to opt out remains, it should be limited to few very specific situations and require a full explanation and transparency from the party not offering the model, e.g. by publishing the grounds for the refusal on their webpage.</w:t>
      </w:r>
      <w:permEnd w:id="2083202219"/>
      <w:r w:rsidR="00EE7FF4" w:rsidRPr="00EE7FF4">
        <w:rPr>
          <w:rFonts w:ascii="Arial" w:eastAsia="Calibri" w:hAnsi="Arial" w:cs="Arial"/>
          <w:sz w:val="22"/>
          <w:szCs w:val="22"/>
          <w:lang w:eastAsia="en-US"/>
        </w:rPr>
        <w:t>&lt;ESMA_QUESTION_GOMD_</w:t>
      </w:r>
      <w:r w:rsidR="00EE7FF4">
        <w:rPr>
          <w:rFonts w:ascii="Arial" w:eastAsia="Calibri" w:hAnsi="Arial" w:cs="Arial"/>
          <w:sz w:val="22"/>
          <w:szCs w:val="22"/>
          <w:lang w:eastAsia="en-US"/>
        </w:rPr>
        <w:t>12</w:t>
      </w:r>
      <w:r w:rsidR="00EE7FF4" w:rsidRPr="00EE7FF4">
        <w:rPr>
          <w:rFonts w:ascii="Arial" w:eastAsia="Calibri" w:hAnsi="Arial" w:cs="Arial"/>
          <w:sz w:val="22"/>
          <w:szCs w:val="22"/>
          <w:lang w:eastAsia="en-US"/>
        </w:rPr>
        <w:t>&gt;</w:t>
      </w:r>
    </w:p>
    <w:p w14:paraId="1F1FC54F" w14:textId="77777777" w:rsidR="00EE7FF4" w:rsidRPr="00EE7FF4" w:rsidRDefault="00EE7FF4" w:rsidP="00EE7FF4">
      <w:pPr>
        <w:spacing w:after="160" w:line="259" w:lineRule="auto"/>
        <w:rPr>
          <w:rFonts w:ascii="Arial" w:eastAsia="Calibri" w:hAnsi="Arial" w:cs="Arial"/>
          <w:sz w:val="22"/>
          <w:szCs w:val="22"/>
          <w:lang w:eastAsia="en-US"/>
        </w:rPr>
      </w:pPr>
    </w:p>
    <w:p w14:paraId="20E1176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Q13: Do you think ESMA should clarify other elements of the obligation to provide market data on a per user fees basis? If yes, please explain.</w:t>
      </w:r>
    </w:p>
    <w:p w14:paraId="764CA57C" w14:textId="7569DC6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13</w:t>
      </w:r>
      <w:r w:rsidRPr="00EE7FF4">
        <w:rPr>
          <w:rFonts w:ascii="Arial" w:eastAsia="Calibri" w:hAnsi="Arial" w:cs="Arial"/>
          <w:sz w:val="22"/>
          <w:szCs w:val="22"/>
          <w:lang w:eastAsia="en-US"/>
        </w:rPr>
        <w:t>&gt;</w:t>
      </w:r>
    </w:p>
    <w:p w14:paraId="54251CD4" w14:textId="431FBB33" w:rsidR="008C3719" w:rsidRDefault="008C3719" w:rsidP="008C3719">
      <w:pPr>
        <w:rPr>
          <w:rFonts w:eastAsia="Calibri"/>
        </w:rPr>
      </w:pPr>
      <w:permStart w:id="705716648" w:edGrp="everyone"/>
      <w:r w:rsidRPr="008C3719">
        <w:rPr>
          <w:rFonts w:eastAsia="Calibri"/>
        </w:rPr>
        <w:lastRenderedPageBreak/>
        <w:t>We would welcome standardised reporting requirements. Currently, each market data provider uses a different format for the reporting of the user (web-site application, excel sheet, etc.), which makes the reporting on the part of the customers very onerous.</w:t>
      </w:r>
    </w:p>
    <w:p w14:paraId="335D6593" w14:textId="77777777" w:rsidR="00B03002" w:rsidRPr="008C3719" w:rsidRDefault="00B03002" w:rsidP="008C3719">
      <w:pPr>
        <w:rPr>
          <w:rFonts w:eastAsia="Calibri"/>
        </w:rPr>
      </w:pPr>
    </w:p>
    <w:p w14:paraId="34FD416B" w14:textId="45FEB647" w:rsidR="00EE7FF4" w:rsidRPr="00EE7FF4" w:rsidRDefault="008C3719" w:rsidP="00EE7FF4">
      <w:pPr>
        <w:spacing w:after="160" w:line="259" w:lineRule="auto"/>
        <w:rPr>
          <w:rFonts w:ascii="Arial" w:eastAsia="Calibri" w:hAnsi="Arial" w:cs="Arial"/>
          <w:sz w:val="22"/>
          <w:szCs w:val="22"/>
          <w:lang w:eastAsia="en-US"/>
        </w:rPr>
      </w:pPr>
      <w:r w:rsidRPr="008C3719">
        <w:t>Furthermore</w:t>
      </w:r>
      <w:r w:rsidR="00B03002">
        <w:t>,</w:t>
      </w:r>
      <w:r w:rsidRPr="008C3719">
        <w:t xml:space="preserve"> it should be addressed that current Display unit of counts are based on the theoretical ability to access the vendor data, not on proven usage</w:t>
      </w:r>
      <w:proofErr w:type="gramStart"/>
      <w:r w:rsidRPr="008C3719">
        <w:t>.</w:t>
      </w:r>
      <w:permEnd w:id="705716648"/>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13</w:t>
      </w:r>
      <w:r w:rsidR="00EE7FF4" w:rsidRPr="00EE7FF4">
        <w:rPr>
          <w:rFonts w:ascii="Arial" w:eastAsia="Calibri" w:hAnsi="Arial" w:cs="Arial"/>
          <w:sz w:val="22"/>
          <w:szCs w:val="22"/>
          <w:lang w:eastAsia="en-US"/>
        </w:rPr>
        <w:t>&gt;</w:t>
      </w:r>
    </w:p>
    <w:p w14:paraId="72C368EE" w14:textId="77777777" w:rsidR="00EE7FF4" w:rsidRPr="00EE7FF4" w:rsidRDefault="00EE7FF4" w:rsidP="00EE7FF4">
      <w:pPr>
        <w:spacing w:after="160" w:line="259" w:lineRule="auto"/>
        <w:rPr>
          <w:rFonts w:ascii="Arial" w:eastAsia="Calibri" w:hAnsi="Arial" w:cs="Arial"/>
          <w:sz w:val="22"/>
          <w:szCs w:val="22"/>
          <w:lang w:eastAsia="en-US"/>
        </w:rPr>
      </w:pPr>
    </w:p>
    <w:p w14:paraId="4D9D621B"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Q14: Do you agree with Guideline 9? If not, please justify. </w:t>
      </w:r>
    </w:p>
    <w:p w14:paraId="29C9722A" w14:textId="40538AA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14</w:t>
      </w:r>
      <w:r w:rsidRPr="00EE7FF4">
        <w:rPr>
          <w:rFonts w:ascii="Arial" w:eastAsia="Calibri" w:hAnsi="Arial" w:cs="Arial"/>
          <w:sz w:val="22"/>
          <w:szCs w:val="22"/>
          <w:lang w:eastAsia="en-US"/>
        </w:rPr>
        <w:t>&gt;</w:t>
      </w:r>
    </w:p>
    <w:p w14:paraId="599EDFE4" w14:textId="46EDB877" w:rsidR="00EE7FF4" w:rsidRPr="00EE7FF4" w:rsidRDefault="008C3719" w:rsidP="00EE7FF4">
      <w:pPr>
        <w:spacing w:after="160" w:line="259" w:lineRule="auto"/>
        <w:rPr>
          <w:rFonts w:ascii="Arial" w:eastAsia="Calibri" w:hAnsi="Arial" w:cs="Arial"/>
          <w:sz w:val="22"/>
          <w:szCs w:val="22"/>
          <w:lang w:eastAsia="en-US"/>
        </w:rPr>
      </w:pPr>
      <w:permStart w:id="1735354217" w:edGrp="everyone"/>
      <w:r w:rsidRPr="008C3719">
        <w:rPr>
          <w:rFonts w:eastAsia="Calibri"/>
        </w:rPr>
        <w:t>The DDV generally welcomes the unbundling of data. Market data providers should always inform customers if market data are also available from other providers and should not condition the sale of market data upon the purchase of additional services. However, details may need to be revisited. The discussion about unbundling must be considered together with the fragmentation taking place when an area of market usage which was once covered by one license requires two or more licenses, or where a new license is introduced in an area of usage that did not exist before. Data providers should not be allowed to offer discounts on additional services to obtain market data licenses at regular prices. Additional services, e.g. indexing, should be offered through separate companies. However, the additional services should only be payable as far as they can be described and be separated precisely and can be offered independently from other market data</w:t>
      </w:r>
      <w:proofErr w:type="gramStart"/>
      <w:r w:rsidRPr="008C3719">
        <w:rPr>
          <w:rFonts w:eastAsia="Calibri"/>
        </w:rPr>
        <w:t>.</w:t>
      </w:r>
      <w:permEnd w:id="1735354217"/>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14</w:t>
      </w:r>
      <w:r w:rsidR="00EE7FF4" w:rsidRPr="00EE7FF4">
        <w:rPr>
          <w:rFonts w:ascii="Arial" w:eastAsia="Calibri" w:hAnsi="Arial" w:cs="Arial"/>
          <w:sz w:val="22"/>
          <w:szCs w:val="22"/>
          <w:lang w:eastAsia="en-US"/>
        </w:rPr>
        <w:t>&gt;</w:t>
      </w:r>
    </w:p>
    <w:p w14:paraId="3F000558" w14:textId="77777777" w:rsidR="00EE7FF4" w:rsidRPr="00EE7FF4" w:rsidRDefault="00EE7FF4" w:rsidP="00EE7FF4">
      <w:pPr>
        <w:spacing w:after="160" w:line="259" w:lineRule="auto"/>
        <w:rPr>
          <w:rFonts w:ascii="Arial" w:eastAsia="Calibri" w:hAnsi="Arial" w:cs="Arial"/>
          <w:sz w:val="22"/>
          <w:szCs w:val="22"/>
          <w:lang w:eastAsia="en-US"/>
        </w:rPr>
      </w:pPr>
    </w:p>
    <w:p w14:paraId="7ED9E0CC"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Q15: Do you think ESMA should clarify other elements in relation to the obligation to keep data unbundled? If yes, please explain.</w:t>
      </w:r>
    </w:p>
    <w:p w14:paraId="0791FE87" w14:textId="7749F7F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15</w:t>
      </w:r>
      <w:r w:rsidRPr="00EE7FF4">
        <w:rPr>
          <w:rFonts w:ascii="Arial" w:eastAsia="Calibri" w:hAnsi="Arial" w:cs="Arial"/>
          <w:sz w:val="22"/>
          <w:szCs w:val="22"/>
          <w:lang w:eastAsia="en-US"/>
        </w:rPr>
        <w:t>&gt;</w:t>
      </w:r>
    </w:p>
    <w:p w14:paraId="2E66D97D" w14:textId="3B4289F2" w:rsidR="008C3719" w:rsidRDefault="008C3719" w:rsidP="008C3719">
      <w:pPr>
        <w:rPr>
          <w:rFonts w:eastAsia="Calibri"/>
        </w:rPr>
      </w:pPr>
      <w:permStart w:id="956322942" w:edGrp="everyone"/>
      <w:r w:rsidRPr="008C3719">
        <w:rPr>
          <w:rFonts w:eastAsia="Calibri"/>
        </w:rPr>
        <w:t>The concept of unbundling is two-fold. It is to be welcomed where each of the separate licenses is priced and sold separately, and where the price of the total bundled offering is lower or do not exceed the cost for the parts included in the bundling.</w:t>
      </w:r>
    </w:p>
    <w:p w14:paraId="02B2E6E1" w14:textId="77777777" w:rsidR="00B03002" w:rsidRPr="008C3719" w:rsidRDefault="00B03002" w:rsidP="008C3719">
      <w:pPr>
        <w:rPr>
          <w:rFonts w:eastAsia="Calibri"/>
        </w:rPr>
      </w:pPr>
    </w:p>
    <w:p w14:paraId="17DC099C" w14:textId="3AB25EA3" w:rsidR="00EE7FF4" w:rsidRPr="00EE7FF4" w:rsidRDefault="008C3719" w:rsidP="00EE7FF4">
      <w:pPr>
        <w:spacing w:after="160" w:line="259" w:lineRule="auto"/>
        <w:rPr>
          <w:rFonts w:ascii="Arial" w:eastAsia="Calibri" w:hAnsi="Arial" w:cs="Arial"/>
          <w:sz w:val="22"/>
          <w:szCs w:val="22"/>
          <w:lang w:eastAsia="en-US"/>
        </w:rPr>
      </w:pPr>
      <w:r w:rsidRPr="008C3719">
        <w:rPr>
          <w:rFonts w:eastAsia="Calibri"/>
        </w:rPr>
        <w:t>However, the opposite will happen where market data providers have increased the total prices for market data (which may have been the ultimate goal under the disguise of the "unbundling") by unbundling and adding licenses</w:t>
      </w:r>
      <w:proofErr w:type="gramStart"/>
      <w:r w:rsidRPr="008C3719">
        <w:rPr>
          <w:rFonts w:eastAsia="Calibri"/>
        </w:rPr>
        <w:t>.</w:t>
      </w:r>
      <w:permEnd w:id="956322942"/>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15</w:t>
      </w:r>
      <w:r w:rsidR="00EE7FF4" w:rsidRPr="00EE7FF4">
        <w:rPr>
          <w:rFonts w:ascii="Arial" w:eastAsia="Calibri" w:hAnsi="Arial" w:cs="Arial"/>
          <w:sz w:val="22"/>
          <w:szCs w:val="22"/>
          <w:lang w:eastAsia="en-US"/>
        </w:rPr>
        <w:t>&gt;</w:t>
      </w:r>
    </w:p>
    <w:p w14:paraId="6F695BFE" w14:textId="77777777" w:rsidR="00EE7FF4" w:rsidRPr="00EE7FF4" w:rsidRDefault="00EE7FF4" w:rsidP="00EE7FF4">
      <w:pPr>
        <w:spacing w:after="160" w:line="259" w:lineRule="auto"/>
        <w:rPr>
          <w:rFonts w:ascii="Arial" w:eastAsia="Calibri" w:hAnsi="Arial" w:cs="Arial"/>
          <w:sz w:val="22"/>
          <w:szCs w:val="22"/>
          <w:lang w:eastAsia="en-US"/>
        </w:rPr>
      </w:pPr>
    </w:p>
    <w:p w14:paraId="37FB139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Q16: Do you agree with Guideline 10 that market data providers should use a standardised publication format to publish the RCB information? If not, please justify. </w:t>
      </w:r>
    </w:p>
    <w:p w14:paraId="362A518E" w14:textId="5F973FE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16</w:t>
      </w:r>
      <w:r w:rsidRPr="00EE7FF4">
        <w:rPr>
          <w:rFonts w:ascii="Arial" w:eastAsia="Calibri" w:hAnsi="Arial" w:cs="Arial"/>
          <w:sz w:val="22"/>
          <w:szCs w:val="22"/>
          <w:lang w:eastAsia="en-US"/>
        </w:rPr>
        <w:t>&gt;</w:t>
      </w:r>
    </w:p>
    <w:p w14:paraId="3BD458BE" w14:textId="7B78EDB3" w:rsidR="00EE7FF4" w:rsidRPr="00EE7FF4" w:rsidRDefault="008C3719" w:rsidP="00EE7FF4">
      <w:pPr>
        <w:spacing w:after="160" w:line="259" w:lineRule="auto"/>
        <w:rPr>
          <w:rFonts w:ascii="Arial" w:eastAsia="Calibri" w:hAnsi="Arial" w:cs="Arial"/>
          <w:sz w:val="22"/>
          <w:szCs w:val="22"/>
          <w:lang w:eastAsia="en-US"/>
        </w:rPr>
      </w:pPr>
      <w:permStart w:id="942635280" w:edGrp="everyone"/>
      <w:r w:rsidRPr="008C3719">
        <w:rPr>
          <w:rFonts w:eastAsia="Calibri"/>
        </w:rPr>
        <w:t>We are in favour of the proposed standardisation as a key to comparability, including separate descriptions of margin calculation. We object that market data providers so far are not required to disclose actual costs for producing or disseminating market data or the actual level of the margin. Comparability would be undermined if other criteria were permitted. The optional addition of further definitions should suffice</w:t>
      </w:r>
      <w:proofErr w:type="gramStart"/>
      <w:r w:rsidRPr="008C3719">
        <w:rPr>
          <w:rFonts w:eastAsia="Calibri"/>
        </w:rPr>
        <w:t>.</w:t>
      </w:r>
      <w:permEnd w:id="942635280"/>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16</w:t>
      </w:r>
      <w:r w:rsidR="00EE7FF4" w:rsidRPr="00EE7FF4">
        <w:rPr>
          <w:rFonts w:ascii="Arial" w:eastAsia="Calibri" w:hAnsi="Arial" w:cs="Arial"/>
          <w:sz w:val="22"/>
          <w:szCs w:val="22"/>
          <w:lang w:eastAsia="en-US"/>
        </w:rPr>
        <w:t>&gt;</w:t>
      </w:r>
    </w:p>
    <w:p w14:paraId="5C5D53A1" w14:textId="77777777" w:rsidR="00EE7FF4" w:rsidRPr="00EE7FF4" w:rsidRDefault="00EE7FF4" w:rsidP="00EE7FF4">
      <w:pPr>
        <w:spacing w:after="160" w:line="259" w:lineRule="auto"/>
        <w:rPr>
          <w:rFonts w:ascii="Arial" w:eastAsia="Calibri" w:hAnsi="Arial" w:cs="Arial"/>
          <w:sz w:val="22"/>
          <w:szCs w:val="22"/>
          <w:lang w:eastAsia="en-US"/>
        </w:rPr>
      </w:pPr>
    </w:p>
    <w:p w14:paraId="035E22D4"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Q17: Do you agree with the standardised publication template set out in Annex I of the Guidelines and the accompanying instructions? Do you have any comments and suggestions to improve the standardised publication format and the accompanying instructions?</w:t>
      </w:r>
    </w:p>
    <w:p w14:paraId="4D6AE29A" w14:textId="1D3883E4"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17</w:t>
      </w:r>
      <w:r w:rsidRPr="00EE7FF4">
        <w:rPr>
          <w:rFonts w:ascii="Arial" w:eastAsia="Calibri" w:hAnsi="Arial" w:cs="Arial"/>
          <w:sz w:val="22"/>
          <w:szCs w:val="22"/>
          <w:lang w:eastAsia="en-US"/>
        </w:rPr>
        <w:t>&gt;</w:t>
      </w:r>
    </w:p>
    <w:p w14:paraId="1B3FC64C" w14:textId="00E6C2E2" w:rsidR="00EE7FF4" w:rsidRPr="00EE7FF4" w:rsidRDefault="008C3719" w:rsidP="00EE7FF4">
      <w:pPr>
        <w:spacing w:after="160" w:line="259" w:lineRule="auto"/>
        <w:rPr>
          <w:rFonts w:ascii="Arial" w:eastAsia="Calibri" w:hAnsi="Arial" w:cs="Arial"/>
          <w:sz w:val="22"/>
          <w:szCs w:val="22"/>
          <w:lang w:eastAsia="en-US"/>
        </w:rPr>
      </w:pPr>
      <w:permStart w:id="2058490476" w:edGrp="everyone"/>
      <w:r w:rsidRPr="008C3719">
        <w:rPr>
          <w:rFonts w:eastAsia="Calibri"/>
        </w:rPr>
        <w:t>We acknowledge that the provisions on market data transparency would be strengthened with a standardised publication format like that set out in Annex I of the Guidelines and the accompanying instructions. Elements included in the template like the price list and market data content information are in our view helpful information</w:t>
      </w:r>
      <w:proofErr w:type="gramStart"/>
      <w:r w:rsidRPr="008C3719">
        <w:rPr>
          <w:rFonts w:eastAsia="Calibri"/>
        </w:rPr>
        <w:t>.</w:t>
      </w:r>
      <w:permEnd w:id="2058490476"/>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17</w:t>
      </w:r>
      <w:r w:rsidR="00EE7FF4" w:rsidRPr="00EE7FF4">
        <w:rPr>
          <w:rFonts w:ascii="Arial" w:eastAsia="Calibri" w:hAnsi="Arial" w:cs="Arial"/>
          <w:sz w:val="22"/>
          <w:szCs w:val="22"/>
          <w:lang w:eastAsia="en-US"/>
        </w:rPr>
        <w:t>&gt;</w:t>
      </w:r>
    </w:p>
    <w:p w14:paraId="78A723A7" w14:textId="77777777" w:rsidR="00EE7FF4" w:rsidRPr="00EE7FF4" w:rsidRDefault="00EE7FF4" w:rsidP="00EE7FF4">
      <w:pPr>
        <w:spacing w:after="160" w:line="259" w:lineRule="auto"/>
        <w:rPr>
          <w:rFonts w:ascii="Arial" w:eastAsia="Calibri" w:hAnsi="Arial" w:cs="Arial"/>
          <w:sz w:val="22"/>
          <w:szCs w:val="22"/>
          <w:lang w:eastAsia="en-US"/>
        </w:rPr>
      </w:pPr>
    </w:p>
    <w:p w14:paraId="3F0FB9E6"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Q18: Do you agree with the proposed definitions in Guideline 11? In particular, do they capture all relevant market uses and market participants? If not, please explain.</w:t>
      </w:r>
    </w:p>
    <w:p w14:paraId="595B8CB0" w14:textId="73D3B57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18</w:t>
      </w:r>
      <w:r w:rsidRPr="00EE7FF4">
        <w:rPr>
          <w:rFonts w:ascii="Arial" w:eastAsia="Calibri" w:hAnsi="Arial" w:cs="Arial"/>
          <w:sz w:val="22"/>
          <w:szCs w:val="22"/>
          <w:lang w:eastAsia="en-US"/>
        </w:rPr>
        <w:t>&gt;</w:t>
      </w:r>
    </w:p>
    <w:p w14:paraId="5C09BCF2" w14:textId="77777777" w:rsidR="008C3719" w:rsidRDefault="008C3719" w:rsidP="002E119A">
      <w:permStart w:id="1847414271" w:edGrp="everyone"/>
      <w:r>
        <w:t>Indeed, we also feel that there is a need for a harmonisation of contractual terminology that the Guidelines cover. We believe that the proposed definitions constitute a good starting point, but could be further aligned with MiFID II/</w:t>
      </w:r>
      <w:proofErr w:type="spellStart"/>
      <w:r>
        <w:t>MiFIR</w:t>
      </w:r>
      <w:proofErr w:type="spellEnd"/>
      <w:r>
        <w:t>. A number of additional contractual terminology definitions connected to the scope and parties of market data agreements would also help reduce complexity and increase the consistency and transparency of market data policies.</w:t>
      </w:r>
    </w:p>
    <w:p w14:paraId="7E5F61FD" w14:textId="7CA27537" w:rsidR="00EE7FF4" w:rsidRPr="00EE7FF4" w:rsidRDefault="008C3719" w:rsidP="00EE7FF4">
      <w:pPr>
        <w:spacing w:after="160" w:line="259" w:lineRule="auto"/>
        <w:rPr>
          <w:rFonts w:ascii="Arial" w:eastAsia="Calibri" w:hAnsi="Arial" w:cs="Arial"/>
          <w:sz w:val="22"/>
          <w:szCs w:val="22"/>
          <w:lang w:eastAsia="en-US"/>
        </w:rPr>
      </w:pPr>
      <w:r>
        <w:t>There should also be a requirement to publish price lists including a history of changes</w:t>
      </w:r>
      <w:r w:rsidRPr="008C3719">
        <w:t xml:space="preserve"> as we already stated in our answer to Q2</w:t>
      </w:r>
      <w:proofErr w:type="gramStart"/>
      <w:r w:rsidRPr="008C3719">
        <w:t>.</w:t>
      </w:r>
      <w:permEnd w:id="1847414271"/>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18</w:t>
      </w:r>
      <w:r w:rsidR="00EE7FF4" w:rsidRPr="00EE7FF4">
        <w:rPr>
          <w:rFonts w:ascii="Arial" w:eastAsia="Calibri" w:hAnsi="Arial" w:cs="Arial"/>
          <w:sz w:val="22"/>
          <w:szCs w:val="22"/>
          <w:lang w:eastAsia="en-US"/>
        </w:rPr>
        <w:t>&gt;</w:t>
      </w:r>
    </w:p>
    <w:p w14:paraId="2C3F149B" w14:textId="77777777" w:rsidR="00EE7FF4" w:rsidRPr="00EE7FF4" w:rsidRDefault="00EE7FF4" w:rsidP="00EE7FF4">
      <w:pPr>
        <w:spacing w:after="160" w:line="259" w:lineRule="auto"/>
        <w:rPr>
          <w:rFonts w:ascii="Arial" w:eastAsia="Calibri" w:hAnsi="Arial" w:cs="Arial"/>
          <w:sz w:val="22"/>
          <w:szCs w:val="22"/>
          <w:lang w:eastAsia="en-US"/>
        </w:rPr>
      </w:pPr>
    </w:p>
    <w:p w14:paraId="0B065527"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Q19: Is there any other terminology used in market data policies that would need to be standardised? If yes, please give examples and suggestions of definitions.</w:t>
      </w:r>
    </w:p>
    <w:p w14:paraId="0CFD80A7" w14:textId="4D7F9FA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19</w:t>
      </w:r>
      <w:r w:rsidRPr="00EE7FF4">
        <w:rPr>
          <w:rFonts w:ascii="Arial" w:eastAsia="Calibri" w:hAnsi="Arial" w:cs="Arial"/>
          <w:sz w:val="22"/>
          <w:szCs w:val="22"/>
          <w:lang w:eastAsia="en-US"/>
        </w:rPr>
        <w:t>&gt;</w:t>
      </w:r>
    </w:p>
    <w:p w14:paraId="1CE55E2A" w14:textId="77777777" w:rsidR="008C3719" w:rsidRPr="008C3719" w:rsidRDefault="008C3719" w:rsidP="002E119A">
      <w:permStart w:id="64761485" w:edGrp="everyone"/>
      <w:r w:rsidRPr="008C3719">
        <w:t xml:space="preserve">The definition of “data” and “usage” could also be further developed, in order to make them easier to match against the policies and price lists of market data providers. </w:t>
      </w:r>
    </w:p>
    <w:p w14:paraId="6D901C3B" w14:textId="265A409C" w:rsidR="00EE7FF4" w:rsidRPr="00EE7FF4" w:rsidRDefault="008C3719" w:rsidP="00EE7FF4">
      <w:pPr>
        <w:spacing w:after="160" w:line="259" w:lineRule="auto"/>
        <w:rPr>
          <w:rFonts w:ascii="Arial" w:eastAsia="Calibri" w:hAnsi="Arial" w:cs="Arial"/>
          <w:sz w:val="22"/>
          <w:szCs w:val="22"/>
          <w:lang w:eastAsia="en-US"/>
        </w:rPr>
      </w:pPr>
      <w:r w:rsidRPr="008C3719">
        <w:t>Further, market data providers should not be allowed to use Derived Data as a license form, as this content is already included in the Non-Display Usage</w:t>
      </w:r>
      <w:proofErr w:type="gramStart"/>
      <w:r w:rsidRPr="008C3719">
        <w:t>.</w:t>
      </w:r>
      <w:permEnd w:id="64761485"/>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19</w:t>
      </w:r>
      <w:r w:rsidR="00EE7FF4" w:rsidRPr="00EE7FF4">
        <w:rPr>
          <w:rFonts w:ascii="Arial" w:eastAsia="Calibri" w:hAnsi="Arial" w:cs="Arial"/>
          <w:sz w:val="22"/>
          <w:szCs w:val="22"/>
          <w:lang w:eastAsia="en-US"/>
        </w:rPr>
        <w:t>&gt;</w:t>
      </w:r>
    </w:p>
    <w:p w14:paraId="4C97E8F6" w14:textId="77777777" w:rsidR="00EE7FF4" w:rsidRPr="00EE7FF4" w:rsidRDefault="00EE7FF4" w:rsidP="00EE7FF4">
      <w:pPr>
        <w:spacing w:after="160" w:line="259" w:lineRule="auto"/>
        <w:rPr>
          <w:rFonts w:ascii="Arial" w:eastAsia="Calibri" w:hAnsi="Arial" w:cs="Arial"/>
          <w:sz w:val="22"/>
          <w:szCs w:val="22"/>
          <w:lang w:eastAsia="en-US"/>
        </w:rPr>
      </w:pPr>
    </w:p>
    <w:p w14:paraId="7AD1040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Q20: Do you agree with Guideline 12? If not, please justify.</w:t>
      </w:r>
    </w:p>
    <w:p w14:paraId="3F935DA6" w14:textId="4BD9FFA1"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0&gt;</w:t>
      </w:r>
    </w:p>
    <w:p w14:paraId="2B6C6C5B" w14:textId="42BC115C" w:rsidR="00EE7FF4" w:rsidRPr="00EE7FF4" w:rsidRDefault="008C3719" w:rsidP="00EE7FF4">
      <w:pPr>
        <w:spacing w:after="160" w:line="259" w:lineRule="auto"/>
        <w:rPr>
          <w:rFonts w:ascii="Arial" w:eastAsia="Calibri" w:hAnsi="Arial" w:cs="Arial"/>
          <w:sz w:val="22"/>
          <w:szCs w:val="22"/>
          <w:lang w:eastAsia="en-US"/>
        </w:rPr>
      </w:pPr>
      <w:permStart w:id="1071861843" w:edGrp="everyone"/>
      <w:r w:rsidRPr="008C3719">
        <w:rPr>
          <w:rFonts w:eastAsia="Calibri"/>
        </w:rPr>
        <w:t xml:space="preserve">The introduction of a standardised publication format is welcome. However, the explanation should be more detailed. Market data providers should furthermore be required to disclose </w:t>
      </w:r>
      <w:r w:rsidRPr="008C3719">
        <w:t>the actual costs for producing or disseminating market data or the actual level of the margin as without such information, data users are not able to negotiate prices, licenses or engage in meaningful audits</w:t>
      </w:r>
      <w:proofErr w:type="gramStart"/>
      <w:r w:rsidRPr="008C3719">
        <w:t>.</w:t>
      </w:r>
      <w:permEnd w:id="1071861843"/>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2</w:t>
      </w:r>
      <w:r w:rsidR="00EE7FF4" w:rsidRPr="00EE7FF4">
        <w:rPr>
          <w:rFonts w:ascii="Arial" w:eastAsia="Calibri" w:hAnsi="Arial" w:cs="Arial"/>
          <w:sz w:val="22"/>
          <w:szCs w:val="22"/>
          <w:lang w:eastAsia="en-US"/>
        </w:rPr>
        <w:t>0&gt;</w:t>
      </w:r>
    </w:p>
    <w:p w14:paraId="7985A75C" w14:textId="77777777" w:rsidR="00EE7FF4" w:rsidRPr="00EE7FF4" w:rsidRDefault="00EE7FF4" w:rsidP="00EE7FF4">
      <w:pPr>
        <w:spacing w:after="160" w:line="259" w:lineRule="auto"/>
        <w:rPr>
          <w:rFonts w:ascii="Arial" w:eastAsia="Calibri" w:hAnsi="Arial" w:cs="Arial"/>
          <w:sz w:val="22"/>
          <w:szCs w:val="22"/>
          <w:lang w:eastAsia="en-US"/>
        </w:rPr>
      </w:pPr>
    </w:p>
    <w:p w14:paraId="17727F7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lastRenderedPageBreak/>
        <w:t>Q21: Do you think there is any other information that market data providers should disclose to improve the transparency on market data costs and how prices for market data are set? If yes, please provide suggestions.</w:t>
      </w:r>
    </w:p>
    <w:p w14:paraId="1E91BD0C" w14:textId="0BFDE6E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21</w:t>
      </w:r>
      <w:r w:rsidRPr="00EE7FF4">
        <w:rPr>
          <w:rFonts w:ascii="Arial" w:eastAsia="Calibri" w:hAnsi="Arial" w:cs="Arial"/>
          <w:sz w:val="22"/>
          <w:szCs w:val="22"/>
          <w:lang w:eastAsia="en-US"/>
        </w:rPr>
        <w:t>&gt;</w:t>
      </w:r>
    </w:p>
    <w:p w14:paraId="580E38A5" w14:textId="77777777" w:rsidR="00EE7FF4" w:rsidRPr="00EE7FF4" w:rsidRDefault="00EE7FF4" w:rsidP="00EE7FF4">
      <w:pPr>
        <w:spacing w:after="160" w:line="259" w:lineRule="auto"/>
        <w:rPr>
          <w:rFonts w:ascii="Arial" w:eastAsia="Calibri" w:hAnsi="Arial" w:cs="Arial"/>
          <w:sz w:val="22"/>
          <w:szCs w:val="22"/>
          <w:lang w:eastAsia="en-US"/>
        </w:rPr>
      </w:pPr>
      <w:permStart w:id="900150029" w:edGrp="everyone"/>
      <w:r w:rsidRPr="00EE7FF4">
        <w:rPr>
          <w:rFonts w:ascii="Arial" w:eastAsia="Calibri" w:hAnsi="Arial" w:cs="Arial"/>
          <w:sz w:val="22"/>
          <w:szCs w:val="22"/>
          <w:lang w:eastAsia="en-US"/>
        </w:rPr>
        <w:t>TYPE YOUR TEXT HERE</w:t>
      </w:r>
    </w:p>
    <w:permEnd w:id="900150029"/>
    <w:p w14:paraId="349FF021" w14:textId="0FB853B0"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21</w:t>
      </w:r>
      <w:r w:rsidRPr="00EE7FF4">
        <w:rPr>
          <w:rFonts w:ascii="Arial" w:eastAsia="Calibri" w:hAnsi="Arial" w:cs="Arial"/>
          <w:sz w:val="22"/>
          <w:szCs w:val="22"/>
          <w:lang w:eastAsia="en-US"/>
        </w:rPr>
        <w:t>&gt;</w:t>
      </w:r>
    </w:p>
    <w:p w14:paraId="76CBE1D3" w14:textId="77777777" w:rsidR="00EE7FF4" w:rsidRPr="00EE7FF4" w:rsidRDefault="00EE7FF4" w:rsidP="00EE7FF4">
      <w:pPr>
        <w:spacing w:after="160" w:line="259" w:lineRule="auto"/>
        <w:rPr>
          <w:rFonts w:ascii="Arial" w:eastAsia="Calibri" w:hAnsi="Arial" w:cs="Arial"/>
          <w:sz w:val="22"/>
          <w:szCs w:val="22"/>
          <w:lang w:eastAsia="en-US"/>
        </w:rPr>
      </w:pPr>
    </w:p>
    <w:p w14:paraId="06A35291"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Q22: Do you agree with Guideline 13? If not, please justify.</w:t>
      </w:r>
    </w:p>
    <w:p w14:paraId="42A34258" w14:textId="7639452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22</w:t>
      </w:r>
      <w:r w:rsidRPr="00EE7FF4">
        <w:rPr>
          <w:rFonts w:ascii="Arial" w:eastAsia="Calibri" w:hAnsi="Arial" w:cs="Arial"/>
          <w:sz w:val="22"/>
          <w:szCs w:val="22"/>
          <w:lang w:eastAsia="en-US"/>
        </w:rPr>
        <w:t>&gt;</w:t>
      </w:r>
    </w:p>
    <w:p w14:paraId="085F0063" w14:textId="2DC4F515" w:rsidR="008C3719" w:rsidRDefault="008C3719" w:rsidP="008C3719">
      <w:pPr>
        <w:rPr>
          <w:rFonts w:eastAsia="Calibri"/>
        </w:rPr>
      </w:pPr>
      <w:permStart w:id="1312847498" w:edGrp="everyone"/>
      <w:r w:rsidRPr="008C3719">
        <w:rPr>
          <w:rFonts w:eastAsia="Calibri"/>
        </w:rPr>
        <w:t>We agree with ESMA's view that market data providers should explicitly refer to the market data fees that can be applied retroactively in the market data agreement, the terms and conditions of the auditing and how customers are expected to demonstrate their compliance with the agreement. Therefore, we welcome Guideline 13.</w:t>
      </w:r>
    </w:p>
    <w:p w14:paraId="77FAFF91" w14:textId="77777777" w:rsidR="00B03002" w:rsidRPr="008C3719" w:rsidRDefault="00B03002" w:rsidP="008C3719">
      <w:pPr>
        <w:rPr>
          <w:rFonts w:eastAsia="Calibri"/>
        </w:rPr>
      </w:pPr>
    </w:p>
    <w:p w14:paraId="65F1AFA0" w14:textId="3F9E7E0D" w:rsidR="00EE7FF4" w:rsidRPr="00EE7FF4" w:rsidRDefault="008C3719" w:rsidP="00EE7FF4">
      <w:pPr>
        <w:spacing w:after="160" w:line="259" w:lineRule="auto"/>
        <w:rPr>
          <w:rFonts w:ascii="Arial" w:eastAsia="Calibri" w:hAnsi="Arial" w:cs="Arial"/>
          <w:sz w:val="22"/>
          <w:szCs w:val="22"/>
          <w:lang w:eastAsia="en-US"/>
        </w:rPr>
      </w:pPr>
      <w:r w:rsidRPr="008C3719">
        <w:rPr>
          <w:rFonts w:eastAsia="Calibri"/>
        </w:rPr>
        <w:t>Audits should be appropriately regulated and audit standards should be developed. In addition, audit rights and obligations need to be reciprocal. We agree that further clarification and specification should be provided on retroactive fees, the terms and conditions of the auditing as well as the evidence users are expected to present to prove their compliance with the market data agreement</w:t>
      </w:r>
      <w:proofErr w:type="gramStart"/>
      <w:r w:rsidRPr="008C3719">
        <w:rPr>
          <w:rFonts w:eastAsia="Calibri"/>
        </w:rPr>
        <w:t>.</w:t>
      </w:r>
      <w:permEnd w:id="1312847498"/>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22</w:t>
      </w:r>
      <w:r w:rsidR="00EE7FF4" w:rsidRPr="00EE7FF4">
        <w:rPr>
          <w:rFonts w:ascii="Arial" w:eastAsia="Calibri" w:hAnsi="Arial" w:cs="Arial"/>
          <w:sz w:val="22"/>
          <w:szCs w:val="22"/>
          <w:lang w:eastAsia="en-US"/>
        </w:rPr>
        <w:t>&gt;</w:t>
      </w:r>
    </w:p>
    <w:p w14:paraId="03EB67F1" w14:textId="77777777" w:rsidR="00EE7FF4" w:rsidRPr="00EE7FF4" w:rsidRDefault="00EE7FF4" w:rsidP="00EE7FF4">
      <w:pPr>
        <w:spacing w:after="160" w:line="259" w:lineRule="auto"/>
        <w:rPr>
          <w:rFonts w:ascii="Arial" w:eastAsia="Calibri" w:hAnsi="Arial" w:cs="Arial"/>
          <w:sz w:val="22"/>
          <w:szCs w:val="22"/>
          <w:lang w:eastAsia="en-US"/>
        </w:rPr>
      </w:pPr>
    </w:p>
    <w:p w14:paraId="78FF41B8"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Q23: Which elements for post- and pre-trade data publication should be required? In particular, are flags a useful element of the publication? Should there be any differences between the different types of trading systems? Is the first best bid and offer sufficient for the purpose of delayed pre-trade data publication?</w:t>
      </w:r>
    </w:p>
    <w:p w14:paraId="73892062" w14:textId="560634E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23</w:t>
      </w:r>
      <w:r w:rsidRPr="00EE7FF4">
        <w:rPr>
          <w:rFonts w:ascii="Arial" w:eastAsia="Calibri" w:hAnsi="Arial" w:cs="Arial"/>
          <w:sz w:val="22"/>
          <w:szCs w:val="22"/>
          <w:lang w:eastAsia="en-US"/>
        </w:rPr>
        <w:t>&gt;</w:t>
      </w:r>
    </w:p>
    <w:p w14:paraId="10C792EE" w14:textId="1B5100BE" w:rsidR="008C3719" w:rsidRDefault="008C3719" w:rsidP="008C3719">
      <w:pPr>
        <w:rPr>
          <w:rFonts w:eastAsia="Calibri"/>
        </w:rPr>
      </w:pPr>
      <w:permStart w:id="1515923000" w:edGrp="everyone"/>
      <w:r w:rsidRPr="008C3719">
        <w:rPr>
          <w:rFonts w:eastAsia="Calibri"/>
        </w:rPr>
        <w:t>We welcome the data access and content in Guideline 14. However, details need to be revisited. For example, it is questionable why users need to register for delayed data if the data are available free of charge after 15 minutes.</w:t>
      </w:r>
    </w:p>
    <w:p w14:paraId="0D963605" w14:textId="77777777" w:rsidR="00B03002" w:rsidRPr="008C3719" w:rsidRDefault="00B03002" w:rsidP="008C3719">
      <w:pPr>
        <w:rPr>
          <w:rFonts w:eastAsia="Calibri"/>
        </w:rPr>
      </w:pPr>
    </w:p>
    <w:p w14:paraId="62816EF6" w14:textId="535C67C9" w:rsidR="00EE7FF4" w:rsidRPr="00EE7FF4" w:rsidRDefault="008C3719" w:rsidP="00EE7FF4">
      <w:pPr>
        <w:spacing w:after="160" w:line="259" w:lineRule="auto"/>
        <w:rPr>
          <w:rFonts w:ascii="Arial" w:eastAsia="Calibri" w:hAnsi="Arial" w:cs="Arial"/>
          <w:sz w:val="22"/>
          <w:szCs w:val="22"/>
          <w:lang w:eastAsia="en-US"/>
        </w:rPr>
      </w:pPr>
      <w:r w:rsidRPr="008C3719">
        <w:rPr>
          <w:rFonts w:eastAsia="Calibri"/>
        </w:rPr>
        <w:t>Regulators should ensure that all trading venues and APAs fully comply with their obligation to provide market data free of charge 15 minutes after publication, in particular regarding market data relating to non-equity markets. Therefore, Guideline 14 should include an explicit reference to APAs</w:t>
      </w:r>
      <w:proofErr w:type="gramStart"/>
      <w:r w:rsidRPr="008C3719">
        <w:rPr>
          <w:rFonts w:eastAsia="Calibri"/>
        </w:rPr>
        <w:t>.</w:t>
      </w:r>
      <w:permEnd w:id="1515923000"/>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23</w:t>
      </w:r>
      <w:r w:rsidR="00EE7FF4" w:rsidRPr="00EE7FF4">
        <w:rPr>
          <w:rFonts w:ascii="Arial" w:eastAsia="Calibri" w:hAnsi="Arial" w:cs="Arial"/>
          <w:sz w:val="22"/>
          <w:szCs w:val="22"/>
          <w:lang w:eastAsia="en-US"/>
        </w:rPr>
        <w:t>&gt;</w:t>
      </w:r>
    </w:p>
    <w:p w14:paraId="1A8AC530" w14:textId="77777777" w:rsidR="00EE7FF4" w:rsidRPr="00EE7FF4" w:rsidRDefault="00EE7FF4" w:rsidP="00EE7FF4">
      <w:pPr>
        <w:spacing w:after="160" w:line="259" w:lineRule="auto"/>
        <w:rPr>
          <w:rFonts w:ascii="Arial" w:eastAsia="Calibri" w:hAnsi="Arial" w:cs="Arial"/>
          <w:sz w:val="22"/>
          <w:szCs w:val="22"/>
          <w:lang w:eastAsia="en-US"/>
        </w:rPr>
      </w:pPr>
    </w:p>
    <w:p w14:paraId="58BB728A"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Q24: Which use cases of post- and pre-trade delayed data are relevant to you as a data user? What format of data provision is necessary for these use cases, and especially for pre-trade delayed data? </w:t>
      </w:r>
    </w:p>
    <w:p w14:paraId="2A260980" w14:textId="309DA0B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24</w:t>
      </w:r>
      <w:r w:rsidRPr="00EE7FF4">
        <w:rPr>
          <w:rFonts w:ascii="Arial" w:eastAsia="Calibri" w:hAnsi="Arial" w:cs="Arial"/>
          <w:sz w:val="22"/>
          <w:szCs w:val="22"/>
          <w:lang w:eastAsia="en-US"/>
        </w:rPr>
        <w:t>&gt;</w:t>
      </w:r>
    </w:p>
    <w:p w14:paraId="638BE40E" w14:textId="599600F6" w:rsidR="008C3719" w:rsidRDefault="008C3719" w:rsidP="008C3719">
      <w:pPr>
        <w:rPr>
          <w:rFonts w:eastAsia="Calibri"/>
        </w:rPr>
      </w:pPr>
      <w:permStart w:id="1350832620" w:edGrp="everyone"/>
      <w:r w:rsidRPr="008C3719">
        <w:rPr>
          <w:rFonts w:eastAsia="Calibri"/>
        </w:rPr>
        <w:t xml:space="preserve">We agree with a prescribed data format and availability of market data. However, we would like to point out that data should be available and usable free of charge after 15 minutes generally and not only "for a sufficient period of time". The law is explicit – data has to be available free of charge after 15 minutes. There is no legal room for end-of-day and historical </w:t>
      </w:r>
      <w:r w:rsidRPr="008C3719">
        <w:rPr>
          <w:rFonts w:eastAsia="Calibri"/>
        </w:rPr>
        <w:lastRenderedPageBreak/>
        <w:t xml:space="preserve">data licensing. Delayed and derived data should be provided free of charge as market data providers do not incur added costs for derived data since raw data have already been paid for. </w:t>
      </w:r>
    </w:p>
    <w:p w14:paraId="6AAFD088" w14:textId="77777777" w:rsidR="00B03002" w:rsidRPr="008C3719" w:rsidRDefault="00B03002" w:rsidP="008C3719">
      <w:pPr>
        <w:rPr>
          <w:rFonts w:eastAsia="Calibri"/>
        </w:rPr>
      </w:pPr>
      <w:bookmarkStart w:id="3" w:name="_GoBack"/>
      <w:bookmarkEnd w:id="3"/>
    </w:p>
    <w:p w14:paraId="1969400C" w14:textId="08B8D4F1" w:rsidR="00EE7FF4" w:rsidRPr="00EE7FF4" w:rsidRDefault="008C3719" w:rsidP="00EE7FF4">
      <w:pPr>
        <w:spacing w:after="160" w:line="259" w:lineRule="auto"/>
        <w:rPr>
          <w:rFonts w:ascii="Arial" w:eastAsia="Calibri" w:hAnsi="Arial" w:cs="Arial"/>
          <w:sz w:val="22"/>
          <w:szCs w:val="22"/>
          <w:lang w:eastAsia="en-US"/>
        </w:rPr>
      </w:pPr>
      <w:r w:rsidRPr="008C3719">
        <w:rPr>
          <w:rFonts w:eastAsia="Calibri"/>
        </w:rPr>
        <w:t>For the pre-trade data publication, the delayed data should not include more than one current best bid and offer, given the high volume of data at the order level and the limited value of added for market data users. For post-trade data, all elements included in the Level 1 and 2 texts, including price, volume, transaction and publication time, instrument identifier and venue of execution, and transaction flags, should be subject to the publication</w:t>
      </w:r>
      <w:proofErr w:type="gramStart"/>
      <w:r w:rsidRPr="008C3719">
        <w:rPr>
          <w:rFonts w:eastAsia="Calibri"/>
        </w:rPr>
        <w:t>.</w:t>
      </w:r>
      <w:permEnd w:id="1350832620"/>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24</w:t>
      </w:r>
      <w:r w:rsidR="00EE7FF4" w:rsidRPr="00EE7FF4">
        <w:rPr>
          <w:rFonts w:ascii="Arial" w:eastAsia="Calibri" w:hAnsi="Arial" w:cs="Arial"/>
          <w:sz w:val="22"/>
          <w:szCs w:val="22"/>
          <w:lang w:eastAsia="en-US"/>
        </w:rPr>
        <w:t>&gt;</w:t>
      </w:r>
    </w:p>
    <w:p w14:paraId="75CADD21" w14:textId="77777777" w:rsidR="00EE7FF4" w:rsidRPr="00EE7FF4" w:rsidRDefault="00EE7FF4" w:rsidP="00EE7FF4">
      <w:pPr>
        <w:spacing w:after="160" w:line="259" w:lineRule="auto"/>
        <w:rPr>
          <w:rFonts w:ascii="Arial" w:eastAsia="Calibri" w:hAnsi="Arial" w:cs="Arial"/>
          <w:sz w:val="22"/>
          <w:szCs w:val="22"/>
          <w:lang w:eastAsia="en-US"/>
        </w:rPr>
      </w:pPr>
    </w:p>
    <w:p w14:paraId="029233DA"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Q25: Do you agree with the definitions of data-distribution and value-added services provided in Guideline 16? Please explain.</w:t>
      </w:r>
    </w:p>
    <w:p w14:paraId="3DDBE539" w14:textId="6C3387B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25</w:t>
      </w:r>
      <w:r w:rsidRPr="00EE7FF4">
        <w:rPr>
          <w:rFonts w:ascii="Arial" w:eastAsia="Calibri" w:hAnsi="Arial" w:cs="Arial"/>
          <w:sz w:val="22"/>
          <w:szCs w:val="22"/>
          <w:lang w:eastAsia="en-US"/>
        </w:rPr>
        <w:t>&gt;</w:t>
      </w:r>
    </w:p>
    <w:p w14:paraId="61B97894" w14:textId="656E197B" w:rsidR="00EE7FF4" w:rsidRPr="00EE7FF4" w:rsidRDefault="008C3719" w:rsidP="00EE7FF4">
      <w:pPr>
        <w:spacing w:after="160" w:line="259" w:lineRule="auto"/>
        <w:rPr>
          <w:rFonts w:ascii="Arial" w:eastAsia="Calibri" w:hAnsi="Arial" w:cs="Arial"/>
          <w:sz w:val="22"/>
          <w:szCs w:val="22"/>
          <w:lang w:eastAsia="en-US"/>
        </w:rPr>
      </w:pPr>
      <w:permStart w:id="1760832403" w:edGrp="everyone"/>
      <w:r w:rsidRPr="008C3719">
        <w:rPr>
          <w:rFonts w:eastAsia="Calibri"/>
        </w:rPr>
        <w:t xml:space="preserve">We see the data-redistribution and introduction of value-added services positive. However, we oppose redistribution fees for delayed data (meaning all data after 15 minutes) as these should be free of charge as stipulated by MiFID II. Therefore, the reuse in form of passing on of such data should also and always be free for the </w:t>
      </w:r>
      <w:proofErr w:type="spellStart"/>
      <w:r w:rsidRPr="008C3719">
        <w:rPr>
          <w:rFonts w:eastAsia="Calibri"/>
        </w:rPr>
        <w:t>downstreamed</w:t>
      </w:r>
      <w:proofErr w:type="spellEnd"/>
      <w:r w:rsidRPr="008C3719">
        <w:rPr>
          <w:rFonts w:eastAsia="Calibri"/>
        </w:rPr>
        <w:t xml:space="preserve"> direct data</w:t>
      </w:r>
      <w:proofErr w:type="gramStart"/>
      <w:r w:rsidRPr="008C3719">
        <w:rPr>
          <w:rFonts w:eastAsia="Calibri"/>
        </w:rPr>
        <w:t>.</w:t>
      </w:r>
      <w:permEnd w:id="1760832403"/>
      <w:r w:rsidR="00EE7FF4" w:rsidRPr="00EE7FF4">
        <w:rPr>
          <w:rFonts w:ascii="Arial" w:eastAsia="Calibri" w:hAnsi="Arial" w:cs="Arial"/>
          <w:sz w:val="22"/>
          <w:szCs w:val="22"/>
          <w:lang w:eastAsia="en-US"/>
        </w:rPr>
        <w:t>&lt;</w:t>
      </w:r>
      <w:proofErr w:type="gramEnd"/>
      <w:r w:rsidR="00EE7FF4" w:rsidRPr="00EE7FF4">
        <w:rPr>
          <w:rFonts w:ascii="Arial" w:eastAsia="Calibri" w:hAnsi="Arial" w:cs="Arial"/>
          <w:sz w:val="22"/>
          <w:szCs w:val="22"/>
          <w:lang w:eastAsia="en-US"/>
        </w:rPr>
        <w:t>ESMA_QUESTION_GOMD_</w:t>
      </w:r>
      <w:r w:rsidR="00EE7FF4">
        <w:rPr>
          <w:rFonts w:ascii="Arial" w:eastAsia="Calibri" w:hAnsi="Arial" w:cs="Arial"/>
          <w:sz w:val="22"/>
          <w:szCs w:val="22"/>
          <w:lang w:eastAsia="en-US"/>
        </w:rPr>
        <w:t>25</w:t>
      </w:r>
      <w:r w:rsidR="00EE7FF4" w:rsidRPr="00EE7FF4">
        <w:rPr>
          <w:rFonts w:ascii="Arial" w:eastAsia="Calibri" w:hAnsi="Arial" w:cs="Arial"/>
          <w:sz w:val="22"/>
          <w:szCs w:val="22"/>
          <w:lang w:eastAsia="en-US"/>
        </w:rPr>
        <w:t>&gt;</w:t>
      </w:r>
    </w:p>
    <w:p w14:paraId="2353AF0B" w14:textId="77777777" w:rsidR="00EE7FF4" w:rsidRPr="00EE7FF4" w:rsidRDefault="00EE7FF4" w:rsidP="00EE7FF4">
      <w:pPr>
        <w:spacing w:after="160" w:line="259" w:lineRule="auto"/>
        <w:rPr>
          <w:rFonts w:ascii="Arial" w:eastAsia="Calibri" w:hAnsi="Arial" w:cs="Arial"/>
          <w:sz w:val="22"/>
          <w:szCs w:val="22"/>
          <w:lang w:eastAsia="en-US"/>
        </w:rPr>
      </w:pPr>
    </w:p>
    <w:p w14:paraId="5C6EF457"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Q26: Do you have any further comment or suggestion on the draft Guidelines? Please explain. </w:t>
      </w:r>
    </w:p>
    <w:p w14:paraId="27A0820D" w14:textId="6973944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26</w:t>
      </w:r>
      <w:r w:rsidRPr="00EE7FF4">
        <w:rPr>
          <w:rFonts w:ascii="Arial" w:eastAsia="Calibri" w:hAnsi="Arial" w:cs="Arial"/>
          <w:sz w:val="22"/>
          <w:szCs w:val="22"/>
          <w:lang w:eastAsia="en-US"/>
        </w:rPr>
        <w:t>&gt;</w:t>
      </w:r>
    </w:p>
    <w:p w14:paraId="53A9FB66" w14:textId="77777777" w:rsidR="00EE7FF4" w:rsidRPr="00EE7FF4" w:rsidRDefault="00EE7FF4" w:rsidP="00EE7FF4">
      <w:pPr>
        <w:spacing w:after="160" w:line="259" w:lineRule="auto"/>
        <w:rPr>
          <w:rFonts w:ascii="Arial" w:eastAsia="Calibri" w:hAnsi="Arial" w:cs="Arial"/>
          <w:sz w:val="22"/>
          <w:szCs w:val="22"/>
          <w:lang w:eastAsia="en-US"/>
        </w:rPr>
      </w:pPr>
      <w:permStart w:id="840840633" w:edGrp="everyone"/>
      <w:r w:rsidRPr="00EE7FF4">
        <w:rPr>
          <w:rFonts w:ascii="Arial" w:eastAsia="Calibri" w:hAnsi="Arial" w:cs="Arial"/>
          <w:sz w:val="22"/>
          <w:szCs w:val="22"/>
          <w:lang w:eastAsia="en-US"/>
        </w:rPr>
        <w:t>TYPE YOUR TEXT HERE</w:t>
      </w:r>
    </w:p>
    <w:permEnd w:id="840840633"/>
    <w:p w14:paraId="3B1E4741" w14:textId="0A443FD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26</w:t>
      </w:r>
      <w:r w:rsidRPr="00EE7FF4">
        <w:rPr>
          <w:rFonts w:ascii="Arial" w:eastAsia="Calibri" w:hAnsi="Arial" w:cs="Arial"/>
          <w:sz w:val="22"/>
          <w:szCs w:val="22"/>
          <w:lang w:eastAsia="en-US"/>
        </w:rPr>
        <w:t>&gt;</w:t>
      </w:r>
    </w:p>
    <w:p w14:paraId="13A0623B" w14:textId="77777777" w:rsidR="00EE7FF4" w:rsidRPr="00EE7FF4" w:rsidRDefault="00EE7FF4" w:rsidP="00EE7FF4">
      <w:pPr>
        <w:spacing w:after="160" w:line="259" w:lineRule="auto"/>
        <w:rPr>
          <w:rFonts w:ascii="Arial" w:eastAsia="Calibri" w:hAnsi="Arial" w:cs="Arial"/>
          <w:sz w:val="22"/>
          <w:szCs w:val="22"/>
          <w:lang w:eastAsia="en-US"/>
        </w:rPr>
      </w:pPr>
    </w:p>
    <w:p w14:paraId="0AE52E34"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Q27: What level of resources (financial and other) would be required to implement and comply with the Guidelines and for which related cost (please distinguish between one off and ongoing costs)? When responding to this question, please provide information on the size, internal set-up and the nature, scale and complexity of the activities of your organisation, where relevant. </w:t>
      </w:r>
    </w:p>
    <w:p w14:paraId="152A4048" w14:textId="5BBA586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27</w:t>
      </w:r>
      <w:r w:rsidRPr="00EE7FF4">
        <w:rPr>
          <w:rFonts w:ascii="Arial" w:eastAsia="Calibri" w:hAnsi="Arial" w:cs="Arial"/>
          <w:sz w:val="22"/>
          <w:szCs w:val="22"/>
          <w:lang w:eastAsia="en-US"/>
        </w:rPr>
        <w:t>&gt;</w:t>
      </w:r>
    </w:p>
    <w:p w14:paraId="10F0D743" w14:textId="77777777" w:rsidR="00EE7FF4" w:rsidRPr="00EE7FF4" w:rsidRDefault="00EE7FF4" w:rsidP="00EE7FF4">
      <w:pPr>
        <w:spacing w:after="160" w:line="259" w:lineRule="auto"/>
        <w:rPr>
          <w:rFonts w:ascii="Arial" w:eastAsia="Calibri" w:hAnsi="Arial" w:cs="Arial"/>
          <w:sz w:val="22"/>
          <w:szCs w:val="22"/>
          <w:lang w:eastAsia="en-US"/>
        </w:rPr>
      </w:pPr>
      <w:permStart w:id="172710544" w:edGrp="everyone"/>
      <w:r w:rsidRPr="00EE7FF4">
        <w:rPr>
          <w:rFonts w:ascii="Arial" w:eastAsia="Calibri" w:hAnsi="Arial" w:cs="Arial"/>
          <w:sz w:val="22"/>
          <w:szCs w:val="22"/>
          <w:lang w:eastAsia="en-US"/>
        </w:rPr>
        <w:t>TYPE YOUR TEXT HERE</w:t>
      </w:r>
    </w:p>
    <w:permEnd w:id="172710544"/>
    <w:p w14:paraId="0FF02D24" w14:textId="67A97B2C" w:rsidR="002156A3"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27</w:t>
      </w:r>
      <w:r w:rsidRPr="00EE7FF4">
        <w:rPr>
          <w:rFonts w:ascii="Arial" w:eastAsia="Calibri" w:hAnsi="Arial" w:cs="Arial"/>
          <w:sz w:val="22"/>
          <w:szCs w:val="22"/>
          <w:lang w:eastAsia="en-US"/>
        </w:rPr>
        <w:t>&gt;</w:t>
      </w:r>
      <w:bookmarkEnd w:id="2"/>
    </w:p>
    <w:sectPr w:rsidR="002156A3" w:rsidRPr="00EE7FF4"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D96F2" w14:textId="77777777" w:rsidR="0021033C" w:rsidRDefault="0021033C" w:rsidP="007E7997">
      <w:r>
        <w:separator/>
      </w:r>
    </w:p>
  </w:endnote>
  <w:endnote w:type="continuationSeparator" w:id="0">
    <w:p w14:paraId="31357988" w14:textId="77777777" w:rsidR="0021033C" w:rsidRDefault="0021033C" w:rsidP="007E7997">
      <w:r>
        <w:continuationSeparator/>
      </w:r>
    </w:p>
  </w:endnote>
  <w:endnote w:type="continuationNotice" w:id="1">
    <w:p w14:paraId="4A21A836" w14:textId="77777777" w:rsidR="0021033C" w:rsidRDefault="00210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25AA9A2E"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E35FC3" w:rsidRPr="005657AE">
      <w:rPr>
        <w:rFonts w:asciiTheme="majorHAnsi" w:hAnsiTheme="majorHAnsi"/>
        <w:color w:val="FFFFFF" w:themeColor="background1"/>
      </w:rPr>
      <w:t xml:space="preserve"> </w:t>
    </w:r>
    <w:r w:rsidR="00BB1D03" w:rsidRPr="005657AE">
      <w:rPr>
        <w:rFonts w:asciiTheme="majorHAnsi" w:hAnsiTheme="majorHAnsi"/>
        <w:color w:val="FFFFFF" w:themeColor="background1"/>
      </w:rPr>
      <w:t>6 November</w:t>
    </w:r>
    <w:r w:rsidR="00C92E09" w:rsidRPr="005657AE">
      <w:rPr>
        <w:rFonts w:asciiTheme="majorHAnsi" w:hAnsiTheme="majorHAnsi"/>
        <w:color w:val="FFFFFF" w:themeColor="background1"/>
      </w:rPr>
      <w:t xml:space="preserve"> </w:t>
    </w:r>
    <w:r w:rsidR="00333811" w:rsidRPr="005657AE">
      <w:rPr>
        <w:rFonts w:asciiTheme="majorHAnsi" w:hAnsiTheme="majorHAnsi"/>
        <w:color w:val="FFFFFF" w:themeColor="background1"/>
      </w:rPr>
      <w:t>2020</w:t>
    </w:r>
    <w:r w:rsidR="00E824DB" w:rsidRPr="005657AE">
      <w:rPr>
        <w:rFonts w:asciiTheme="majorHAnsi" w:hAnsiTheme="majorHAnsi"/>
        <w:color w:val="FFFFFF" w:themeColor="background1"/>
      </w:rPr>
      <w:t xml:space="preserve"> | </w:t>
    </w:r>
    <w:r w:rsidR="00BB1D03" w:rsidRPr="005657AE">
      <w:rPr>
        <w:rFonts w:asciiTheme="majorHAnsi" w:hAnsiTheme="majorHAnsi"/>
        <w:color w:val="FFFFFF" w:themeColor="background1"/>
      </w:rPr>
      <w:t>E</w:t>
    </w:r>
    <w:r w:rsidR="00BB1D03" w:rsidRPr="00BB1D03">
      <w:rPr>
        <w:rFonts w:asciiTheme="majorHAnsi" w:hAnsiTheme="majorHAnsi"/>
        <w:color w:val="FFFFFF" w:themeColor="background1"/>
      </w:rPr>
      <w:t>SMA70-156-3882</w:t>
    </w:r>
    <w:hyperlink r:id="rId1" w:history="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33A3E5F5" w:rsidR="00E36813" w:rsidRDefault="00E36813">
        <w:pPr>
          <w:pStyle w:val="Fuzeile"/>
          <w:jc w:val="center"/>
        </w:pPr>
        <w:r>
          <w:fldChar w:fldCharType="begin"/>
        </w:r>
        <w:r>
          <w:instrText xml:space="preserve"> PAGE   \* MERGEFORMAT </w:instrText>
        </w:r>
        <w:r>
          <w:fldChar w:fldCharType="separate"/>
        </w:r>
        <w:r w:rsidR="00B03002">
          <w:rPr>
            <w:noProof/>
          </w:rPr>
          <w:t>13</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E4ECD" w14:textId="77777777" w:rsidR="0021033C" w:rsidRDefault="0021033C" w:rsidP="007E7997">
      <w:r>
        <w:separator/>
      </w:r>
    </w:p>
  </w:footnote>
  <w:footnote w:type="continuationSeparator" w:id="0">
    <w:p w14:paraId="1E9E3807" w14:textId="77777777" w:rsidR="0021033C" w:rsidRDefault="0021033C" w:rsidP="007E7997">
      <w:r>
        <w:continuationSeparator/>
      </w:r>
    </w:p>
  </w:footnote>
  <w:footnote w:type="continuationNotice" w:id="1">
    <w:p w14:paraId="202BCF4B" w14:textId="77777777" w:rsidR="0021033C" w:rsidRDefault="002103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Kopfzeile"/>
    </w:pPr>
    <w:r>
      <w:rPr>
        <w:noProof/>
        <w:lang w:val="de-DE" w:eastAsia="de-DE"/>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7" name="Picture 7"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Kopfzeile"/>
      <w:jc w:val="right"/>
      <w:rPr>
        <w:b/>
        <w:color w:val="FF0000"/>
      </w:rPr>
    </w:pPr>
    <w:r w:rsidRPr="008D5F86">
      <w:rPr>
        <w:rFonts w:ascii="Arial" w:hAnsi="Arial" w:cs="Arial"/>
        <w:noProof/>
        <w:lang w:val="de-DE" w:eastAsia="de-DE"/>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420AEE"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de-DE" w:eastAsia="de-DE"/>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de-DE" w:vendorID="64" w:dllVersion="131078" w:nlCheck="1" w:checkStyle="0"/>
  <w:proofState w:spelling="clean" w:grammar="clean"/>
  <w:attachedTemplate r:id="rId1"/>
  <w:documentProtection w:edit="readOnly" w:formatting="1" w:enforcement="1" w:cryptProviderType="rsaAES" w:cryptAlgorithmClass="hash" w:cryptAlgorithmType="typeAny" w:cryptAlgorithmSid="14" w:cryptSpinCount="100000" w:hash="3C+bk0tDNbxxOLYyqeY2tE2vADclyy6BJYrFV7hJm1PW7cR+z1Nypmph2bZxqP5Vfw8RVhJl9GUZ+Pi6BiZthQ==" w:salt="MKtbk0V5ym1HFCvs3TC/q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22F8"/>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E5E28"/>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33C"/>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3877"/>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C6BC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389"/>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1972"/>
    <w:rsid w:val="003F20C7"/>
    <w:rsid w:val="003F39B1"/>
    <w:rsid w:val="00400D9C"/>
    <w:rsid w:val="00400FBE"/>
    <w:rsid w:val="004022CF"/>
    <w:rsid w:val="004029B1"/>
    <w:rsid w:val="004038F1"/>
    <w:rsid w:val="00404282"/>
    <w:rsid w:val="0040743A"/>
    <w:rsid w:val="00407623"/>
    <w:rsid w:val="00407A74"/>
    <w:rsid w:val="004114D5"/>
    <w:rsid w:val="00414210"/>
    <w:rsid w:val="004142CF"/>
    <w:rsid w:val="00414BCF"/>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7D8"/>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657AE"/>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565E"/>
    <w:rsid w:val="00636E02"/>
    <w:rsid w:val="00641DB1"/>
    <w:rsid w:val="00642297"/>
    <w:rsid w:val="00644A34"/>
    <w:rsid w:val="00645CBC"/>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3719"/>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AC6"/>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002"/>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1D03"/>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C7B"/>
    <w:rsid w:val="00ED3DCD"/>
    <w:rsid w:val="00ED3DD5"/>
    <w:rsid w:val="00ED56BE"/>
    <w:rsid w:val="00ED74D7"/>
    <w:rsid w:val="00EE40F8"/>
    <w:rsid w:val="00EE6DD6"/>
    <w:rsid w:val="00EE7FF4"/>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E005FE31544309B6450B0F95C92484"/>
        <w:category>
          <w:name w:val="General"/>
          <w:gallery w:val="placeholder"/>
        </w:category>
        <w:types>
          <w:type w:val="bbPlcHdr"/>
        </w:types>
        <w:behaviors>
          <w:behavior w:val="content"/>
        </w:behaviors>
        <w:guid w:val="{8F6685EA-6153-4C31-AA44-59B06D7D1DAB}"/>
      </w:docPartPr>
      <w:docPartBody>
        <w:p w:rsidR="00C71340" w:rsidRDefault="00E64BE8" w:rsidP="00E64BE8">
          <w:pPr>
            <w:pStyle w:val="D9E005FE31544309B6450B0F95C92484"/>
          </w:pPr>
          <w:r w:rsidRPr="00C85C8B">
            <w:rPr>
              <w:rFonts w:ascii="Arial" w:hAnsi="Arial" w:cs="Arial"/>
              <w:color w:val="808080"/>
              <w:sz w:val="20"/>
              <w:lang w:eastAsia="de-DE"/>
            </w:rPr>
            <w:t>Click here to enter text.</w:t>
          </w:r>
        </w:p>
      </w:docPartBody>
    </w:docPart>
    <w:docPart>
      <w:docPartPr>
        <w:name w:val="617DB8E926994CDA83F7807BDFE6B640"/>
        <w:category>
          <w:name w:val="General"/>
          <w:gallery w:val="placeholder"/>
        </w:category>
        <w:types>
          <w:type w:val="bbPlcHdr"/>
        </w:types>
        <w:behaviors>
          <w:behavior w:val="content"/>
        </w:behaviors>
        <w:guid w:val="{147059E7-991B-4E5C-9423-1CCE80299506}"/>
      </w:docPartPr>
      <w:docPartBody>
        <w:p w:rsidR="00C71340" w:rsidRDefault="00E64BE8" w:rsidP="00E64BE8">
          <w:pPr>
            <w:pStyle w:val="617DB8E926994CDA83F7807BDFE6B640"/>
          </w:pPr>
          <w:r w:rsidRPr="00C85C8B">
            <w:rPr>
              <w:rFonts w:ascii="Arial" w:hAnsi="Arial" w:cs="Arial"/>
              <w:color w:val="808080"/>
              <w:sz w:val="20"/>
              <w:lang w:eastAsia="de-D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E8"/>
    <w:rsid w:val="003E753E"/>
    <w:rsid w:val="004C397D"/>
    <w:rsid w:val="00C71340"/>
    <w:rsid w:val="00E6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9E005FE31544309B6450B0F95C92484">
    <w:name w:val="D9E005FE31544309B6450B0F95C92484"/>
    <w:rsid w:val="00E64BE8"/>
    <w:pPr>
      <w:spacing w:after="0" w:line="240" w:lineRule="auto"/>
    </w:pPr>
    <w:rPr>
      <w:rFonts w:ascii="Times New Roman" w:eastAsia="Times New Roman" w:hAnsi="Times New Roman" w:cs="Times New Roman"/>
      <w:sz w:val="24"/>
      <w:szCs w:val="24"/>
    </w:rPr>
  </w:style>
  <w:style w:type="paragraph" w:customStyle="1" w:styleId="617DB8E926994CDA83F7807BDFE6B640">
    <w:name w:val="617DB8E926994CDA83F7807BDFE6B640"/>
    <w:rsid w:val="00E64BE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ESMA70-156-3882</_dlc_DocId>
    <TaxCatchAll xmlns="20fbe147-bbda-4e53-b6b1-7e8bbff3fe19">
      <Value>5</Value>
      <Value>46</Value>
      <Value>381</Value>
      <Value>25</Value>
      <Value>91</Value>
    </TaxCatchAll>
    <_dlc_DocIdUrl xmlns="20fbe147-bbda-4e53-b6b1-7e8bbff3fe19">
      <Url>https://sherpa.esma.europa.eu/sites/MKT/SMK/_layouts/15/DocIdRedir.aspx?ID=ESMA70-156-3882</Url>
      <Description>ESMA70-156-3882</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RCB</TermName>
          <TermId xmlns="http://schemas.microsoft.com/office/infopath/2007/PartnerControls">85d6d9f0-71d7-41d9-9f5a-fdeea5acf943</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D50FA1DD-78D3-4876-81A4-9BC8C4CB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14</Pages>
  <Words>4016</Words>
  <Characters>25301</Characters>
  <Application>Microsoft Office Word</Application>
  <DocSecurity>8</DocSecurity>
  <Lines>210</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Annekatrin Kutzbach</cp:lastModifiedBy>
  <cp:revision>4</cp:revision>
  <cp:lastPrinted>2017-07-24T14:47:00Z</cp:lastPrinted>
  <dcterms:created xsi:type="dcterms:W3CDTF">2021-01-11T13:12:00Z</dcterms:created>
  <dcterms:modified xsi:type="dcterms:W3CDTF">2021-01-11T14:03:00Z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88085dfa-9c9b-4851-87f3-324b12a535b9</vt:lpwstr>
  </property>
  <property fmtid="{D5CDD505-2E9C-101B-9397-08002B2CF9AE}" pid="6" name="DocumentType">
    <vt:lpwstr>91;#Consultation Paper|c6238baf-c3d7-4bb8-8cf2-f28a89601f52</vt:lpwstr>
  </property>
  <property fmtid="{D5CDD505-2E9C-101B-9397-08002B2CF9AE}" pid="7" name="Topic">
    <vt:lpwstr>46;#Transparency|cfa6cb41-a664-4058-b745-b45e1c59694c</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381;#Transparency - RCB|85d6d9f0-71d7-41d9-9f5a-fdeea5acf943</vt:lpwstr>
  </property>
  <property fmtid="{D5CDD505-2E9C-101B-9397-08002B2CF9AE}" pid="18" name="TeamTopic">
    <vt:lpwstr>87;#Other Work|f1a52b52-917d-42ef-9667-945839604bb2</vt:lpwstr>
  </property>
</Properties>
</file>