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1316901865" w:edGrp="everyone" w:displacedByCustomXml="next"/>
    <w:permEnd w:id="1316901865" w:displacedByCustomXml="next"/>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567951BE"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w:t>
                </w:r>
                <w:r w:rsidR="00EE7FF4" w:rsidRPr="00EE7FF4">
                  <w:rPr>
                    <w:rFonts w:cs="Arial"/>
                    <w:sz w:val="40"/>
                    <w:szCs w:val="40"/>
                  </w:rPr>
                  <w:t>Guidelines on the MiFID II/ MiFIR obligations on market data</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34402E"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BB1D03">
            <w:rPr>
              <w:rFonts w:asciiTheme="minorHAnsi" w:eastAsiaTheme="minorEastAsia" w:hAnsiTheme="minorHAnsi" w:cstheme="minorBidi"/>
              <w:b/>
              <w:bCs/>
              <w:sz w:val="22"/>
              <w:szCs w:val="20"/>
              <w:lang w:eastAsia="en-US"/>
            </w:rPr>
            <w:t>11 January 2021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1A58AF2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EE7FF4">
            <w:rPr>
              <w:rFonts w:eastAsiaTheme="minorEastAsia" w:cstheme="minorBidi"/>
              <w:szCs w:val="20"/>
              <w:lang w:eastAsia="en-US"/>
            </w:rPr>
            <w:t>GOMD</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41A288A2"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C92E09">
            <w:rPr>
              <w:rFonts w:eastAsiaTheme="minorEastAsia" w:cstheme="minorBidi"/>
              <w:szCs w:val="20"/>
              <w:lang w:eastAsia="en-US"/>
            </w:rPr>
            <w:t>FOTF</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EE7FF4">
            <w:rPr>
              <w:rFonts w:eastAsiaTheme="minorEastAsia" w:cstheme="minorBidi"/>
              <w:szCs w:val="20"/>
              <w:lang w:eastAsia="en-US"/>
            </w:rPr>
            <w:t>GOMD</w:t>
          </w:r>
          <w:r w:rsidRPr="00C85C8B">
            <w:rPr>
              <w:rFonts w:eastAsiaTheme="minorEastAsia" w:cstheme="minorBidi"/>
              <w:szCs w:val="20"/>
              <w:lang w:eastAsia="en-US"/>
            </w:rPr>
            <w:t>_ABCD_RESPONSEFORM.</w:t>
          </w:r>
        </w:p>
        <w:p w14:paraId="1A9C59D6" w14:textId="70778638"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bookmarkStart w:id="0" w:name="_Hlk55292859"/>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w:t>
          </w:r>
          <w:r w:rsidRPr="005657AE">
            <w:rPr>
              <w:rFonts w:eastAsiaTheme="minorEastAsia" w:cstheme="minorBidi"/>
              <w:szCs w:val="20"/>
              <w:lang w:eastAsia="en-US"/>
            </w:rPr>
            <w:t>on</w:t>
          </w:r>
          <w:r w:rsidR="009F22E7" w:rsidRPr="005657AE">
            <w:rPr>
              <w:rFonts w:eastAsiaTheme="minorEastAsia" w:cstheme="minorBidi"/>
              <w:szCs w:val="20"/>
              <w:lang w:eastAsia="en-US"/>
            </w:rPr>
            <w:t xml:space="preserve"> the </w:t>
          </w:r>
          <w:r w:rsidR="00BB1D03" w:rsidRPr="005657AE">
            <w:rPr>
              <w:rFonts w:eastAsiaTheme="minorEastAsia" w:cstheme="minorBidi"/>
              <w:szCs w:val="20"/>
              <w:lang w:eastAsia="en-US"/>
            </w:rPr>
            <w:t>Guidelines</w:t>
          </w:r>
          <w:r w:rsidR="009F22E7" w:rsidRPr="005657AE">
            <w:rPr>
              <w:rFonts w:eastAsiaTheme="minorEastAsia" w:cstheme="minorBidi"/>
              <w:szCs w:val="20"/>
              <w:lang w:eastAsia="en-US"/>
            </w:rPr>
            <w:t xml:space="preserve"> o</w:t>
          </w:r>
          <w:r w:rsidR="00BB1D03" w:rsidRPr="005657AE">
            <w:rPr>
              <w:rFonts w:eastAsiaTheme="minorEastAsia" w:cstheme="minorBidi"/>
              <w:szCs w:val="20"/>
              <w:lang w:eastAsia="en-US"/>
            </w:rPr>
            <w:t>n</w:t>
          </w:r>
          <w:r w:rsidR="009F22E7" w:rsidRPr="005657AE">
            <w:rPr>
              <w:rFonts w:eastAsiaTheme="minorEastAsia" w:cstheme="minorBidi"/>
              <w:szCs w:val="20"/>
              <w:lang w:eastAsia="en-US"/>
            </w:rPr>
            <w:t xml:space="preserve"> the </w:t>
          </w:r>
          <w:r w:rsidR="00BB1D03" w:rsidRPr="005657AE">
            <w:rPr>
              <w:rFonts w:eastAsiaTheme="minorEastAsia" w:cstheme="minorBidi"/>
              <w:szCs w:val="20"/>
              <w:lang w:eastAsia="en-US"/>
            </w:rPr>
            <w:t>MiFID II/MiFIR obligation</w:t>
          </w:r>
          <w:r w:rsidR="005657AE" w:rsidRPr="005657AE">
            <w:rPr>
              <w:rFonts w:eastAsiaTheme="minorEastAsia" w:cstheme="minorBidi"/>
              <w:szCs w:val="20"/>
              <w:lang w:eastAsia="en-US"/>
            </w:rPr>
            <w:t>s</w:t>
          </w:r>
          <w:r w:rsidR="00BB1D03" w:rsidRPr="005657AE">
            <w:rPr>
              <w:rFonts w:eastAsiaTheme="minorEastAsia" w:cstheme="minorBidi"/>
              <w:szCs w:val="20"/>
              <w:lang w:eastAsia="en-US"/>
            </w:rPr>
            <w:t xml:space="preserve"> on market data</w:t>
          </w:r>
          <w:r w:rsidRPr="005657AE">
            <w:rPr>
              <w:rFonts w:eastAsiaTheme="minorEastAsia" w:cstheme="minorBidi"/>
              <w:szCs w:val="20"/>
              <w:lang w:eastAsia="en-US"/>
            </w:rPr>
            <w:t>”).</w:t>
          </w:r>
        </w:p>
        <w:bookmarkEnd w:id="0"/>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6BFF7401" w:rsidR="00AF2EF7" w:rsidRPr="00B8572C" w:rsidRDefault="00BB1D03" w:rsidP="001F23C9">
          <w:pPr>
            <w:spacing w:after="250" w:line="276" w:lineRule="auto"/>
            <w:jc w:val="both"/>
            <w:rPr>
              <w:rFonts w:asciiTheme="minorHAnsi" w:hAnsiTheme="minorHAnsi" w:cstheme="minorHAnsi"/>
            </w:rPr>
          </w:pPr>
          <w:r w:rsidRPr="00BB1D03">
            <w:rPr>
              <w:rFonts w:ascii="Arial" w:hAnsi="Arial" w:cs="Arial"/>
              <w:sz w:val="22"/>
              <w:szCs w:val="22"/>
              <w:lang w:eastAsia="it-IT"/>
            </w:rPr>
            <w:t>This consultation paper is interesting for you if you are a trading venue, an APA, an SI or a consumer of market data.</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1"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placeholder>
              <w:docPart w:val="D9E005FE31544309B6450B0F95C92484"/>
            </w:placeholder>
            <w:text/>
          </w:sdtPr>
          <w:sdtEndPr/>
          <w:sdtContent>
            <w:tc>
              <w:tcPr>
                <w:tcW w:w="5595" w:type="dxa"/>
                <w:shd w:val="clear" w:color="auto" w:fill="auto"/>
              </w:tcPr>
              <w:p w14:paraId="1B67440D" w14:textId="690D69F7" w:rsidR="00C85C8B" w:rsidRPr="00C85C8B" w:rsidRDefault="002C02AC" w:rsidP="002C02AC">
                <w:pPr>
                  <w:rPr>
                    <w:rFonts w:ascii="Arial" w:hAnsi="Arial" w:cs="Arial"/>
                    <w:color w:val="808080"/>
                    <w:sz w:val="20"/>
                    <w:lang w:eastAsia="de-DE"/>
                  </w:rPr>
                </w:pPr>
                <w:r>
                  <w:t>Bloomberg</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6AC84484" w:rsidR="00C85C8B" w:rsidRPr="00C85C8B" w:rsidRDefault="00A115F8"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2C02AC">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placeholder>
              <w:docPart w:val="617DB8E926994CDA83F7807BDFE6B640"/>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13964165" w:rsidR="00C85C8B" w:rsidRPr="00C85C8B" w:rsidRDefault="002C02AC" w:rsidP="00C85C8B">
                <w:pPr>
                  <w:rPr>
                    <w:rFonts w:ascii="Arial" w:hAnsi="Arial" w:cs="Arial"/>
                    <w:sz w:val="20"/>
                    <w:lang w:eastAsia="de-DE"/>
                  </w:rPr>
                </w:pPr>
                <w:r>
                  <w:rPr>
                    <w:rFonts w:ascii="Arial" w:hAnsi="Arial" w:cs="Arial"/>
                    <w:sz w:val="20"/>
                    <w:lang w:eastAsia="de-DE"/>
                  </w:rPr>
                  <w:t>Europe</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EA9BFB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EE7FF4">
        <w:rPr>
          <w:rFonts w:asciiTheme="minorHAnsi" w:eastAsiaTheme="minorEastAsia" w:hAnsiTheme="minorHAnsi" w:cstheme="minorBidi"/>
          <w:sz w:val="22"/>
          <w:szCs w:val="20"/>
          <w:lang w:eastAsia="en-US"/>
        </w:rPr>
        <w:t>GOMD</w:t>
      </w:r>
      <w:r w:rsidRPr="00C85C8B">
        <w:rPr>
          <w:rFonts w:asciiTheme="minorHAnsi" w:eastAsiaTheme="minorEastAsia" w:hAnsiTheme="minorHAnsi" w:cstheme="minorBidi"/>
          <w:sz w:val="22"/>
          <w:szCs w:val="20"/>
          <w:lang w:eastAsia="en-US"/>
        </w:rPr>
        <w:t>_1&gt;</w:t>
      </w:r>
    </w:p>
    <w:p w14:paraId="0F74E156" w14:textId="5F808531" w:rsidR="002C02AC" w:rsidRPr="002C02AC" w:rsidRDefault="002C02AC" w:rsidP="002C02AC">
      <w:pPr>
        <w:rPr>
          <w:lang w:eastAsia="en-US"/>
        </w:rPr>
      </w:pPr>
      <w:permStart w:id="885457707" w:edGrp="everyone"/>
      <w:r w:rsidRPr="002C02AC">
        <w:rPr>
          <w:lang w:eastAsia="en-US"/>
        </w:rPr>
        <w:t>We thank ESMA for the opportunity to comment on these draft guidelines.</w:t>
      </w:r>
      <w:r w:rsidR="00D96AAB" w:rsidRPr="00D96AAB">
        <w:t xml:space="preserve"> </w:t>
      </w:r>
      <w:r w:rsidR="00D96AAB">
        <w:t>W</w:t>
      </w:r>
      <w:r w:rsidR="00D96AAB" w:rsidRPr="00D96AAB">
        <w:rPr>
          <w:lang w:eastAsia="en-US"/>
        </w:rPr>
        <w:t>e strongly support the objectives that the draft guidelines seek to achieve</w:t>
      </w:r>
    </w:p>
    <w:p w14:paraId="11F56016" w14:textId="77777777" w:rsidR="002C02AC" w:rsidRPr="002C02AC" w:rsidRDefault="002C02AC" w:rsidP="002C02AC">
      <w:pPr>
        <w:rPr>
          <w:lang w:eastAsia="en-US"/>
        </w:rPr>
      </w:pPr>
    </w:p>
    <w:p w14:paraId="0D73D62E" w14:textId="1D9CC95E" w:rsidR="002C02AC" w:rsidRPr="002C02AC" w:rsidRDefault="002C02AC" w:rsidP="002C02AC">
      <w:pPr>
        <w:rPr>
          <w:lang w:eastAsia="en-US"/>
        </w:rPr>
      </w:pPr>
      <w:r w:rsidRPr="002C02AC">
        <w:rPr>
          <w:lang w:eastAsia="en-US"/>
        </w:rPr>
        <w:t>These guidelines have been deemed necessary by ESMA as a result of consistent and continuous complaint by market participants about the high costs from suppliers of market data, along with concerns about its accessibility, timeliness, quality and completeness since MIFID II came into force.  These complaints and the ability to circumvent poses serious questions about the effectiveness of the existing regime.</w:t>
      </w:r>
    </w:p>
    <w:p w14:paraId="2FEC604E" w14:textId="77777777" w:rsidR="002C02AC" w:rsidRPr="002C02AC" w:rsidRDefault="002C02AC" w:rsidP="002C02AC">
      <w:pPr>
        <w:rPr>
          <w:lang w:eastAsia="en-US"/>
        </w:rPr>
      </w:pPr>
    </w:p>
    <w:p w14:paraId="1A374FA7" w14:textId="74A2ABCB" w:rsidR="002C02AC" w:rsidRPr="002C02AC" w:rsidRDefault="002C02AC" w:rsidP="002C02AC">
      <w:pPr>
        <w:rPr>
          <w:lang w:eastAsia="en-US"/>
        </w:rPr>
      </w:pPr>
      <w:r w:rsidRPr="002C02AC">
        <w:rPr>
          <w:lang w:eastAsia="en-US"/>
        </w:rPr>
        <w:t xml:space="preserve">Bloomberg is concerned </w:t>
      </w:r>
      <w:r w:rsidR="00C15BFB">
        <w:t xml:space="preserve">about non-compliance </w:t>
      </w:r>
      <w:r w:rsidR="00857EA4">
        <w:t xml:space="preserve">- by some entities </w:t>
      </w:r>
      <w:r w:rsidR="00C15BFB">
        <w:t>w</w:t>
      </w:r>
      <w:r w:rsidRPr="002C02AC">
        <w:rPr>
          <w:lang w:eastAsia="en-US"/>
        </w:rPr>
        <w:t xml:space="preserve">ith the existing rules and guidance on market data </w:t>
      </w:r>
      <w:r w:rsidR="00857EA4">
        <w:t xml:space="preserve">- </w:t>
      </w:r>
      <w:r w:rsidRPr="002C02AC">
        <w:rPr>
          <w:lang w:eastAsia="en-US"/>
        </w:rPr>
        <w:t xml:space="preserve">without any meaningful consequences. </w:t>
      </w:r>
      <w:r w:rsidR="00857EA4">
        <w:t xml:space="preserve">First and foremost, </w:t>
      </w:r>
      <w:r w:rsidR="00857EA4" w:rsidRPr="00857EA4">
        <w:rPr>
          <w:lang w:eastAsia="en-US"/>
        </w:rPr>
        <w:t>customers of the non-complying firms are denied the benefits of transparency that the regulation intends</w:t>
      </w:r>
    </w:p>
    <w:p w14:paraId="56F77FCD" w14:textId="77777777" w:rsidR="002C02AC" w:rsidRPr="002C02AC" w:rsidRDefault="002C02AC" w:rsidP="002C02AC">
      <w:pPr>
        <w:rPr>
          <w:lang w:eastAsia="en-US"/>
        </w:rPr>
      </w:pPr>
    </w:p>
    <w:p w14:paraId="70BD13BE" w14:textId="44253EE5" w:rsidR="002C02AC" w:rsidRPr="002C02AC" w:rsidRDefault="00857EA4" w:rsidP="002C02AC">
      <w:pPr>
        <w:rPr>
          <w:lang w:eastAsia="en-US"/>
        </w:rPr>
      </w:pPr>
      <w:r>
        <w:t>Furthermore, s</w:t>
      </w:r>
      <w:r w:rsidR="002C02AC" w:rsidRPr="002C02AC">
        <w:rPr>
          <w:lang w:eastAsia="en-US"/>
        </w:rPr>
        <w:t>ome Trading Venues and APAs expend significant time and money to comply with the requirements. They therefore face a competitive disadvantage where other entities are openly disregarding the rules wi</w:t>
      </w:r>
      <w:r w:rsidR="00D96AAB">
        <w:rPr>
          <w:lang w:eastAsia="en-US"/>
        </w:rPr>
        <w:t xml:space="preserve">thout concern for consequences. </w:t>
      </w:r>
      <w:r w:rsidR="002C02AC" w:rsidRPr="002C02AC">
        <w:rPr>
          <w:lang w:eastAsia="en-US"/>
        </w:rPr>
        <w:t xml:space="preserve">The introduction of new, more rigorous guidelines will do nothing so long as parties that currently do not comply with the existing requirements do not believe they will face appropriate enforcement action in connection with new guidelines. </w:t>
      </w:r>
    </w:p>
    <w:p w14:paraId="20AB47BA" w14:textId="77777777" w:rsidR="002C02AC" w:rsidRPr="002C02AC" w:rsidRDefault="002C02AC" w:rsidP="002C02AC">
      <w:pPr>
        <w:rPr>
          <w:lang w:eastAsia="en-US"/>
        </w:rPr>
      </w:pPr>
    </w:p>
    <w:p w14:paraId="13C2AA2B" w14:textId="2F8EF0DC" w:rsidR="002C02AC" w:rsidRPr="002C02AC" w:rsidRDefault="00857EA4" w:rsidP="002C02AC">
      <w:pPr>
        <w:rPr>
          <w:lang w:eastAsia="en-US"/>
        </w:rPr>
      </w:pPr>
      <w:r>
        <w:t>F</w:t>
      </w:r>
      <w:bookmarkStart w:id="2" w:name="_GoBack"/>
      <w:bookmarkEnd w:id="2"/>
      <w:r w:rsidR="002C02AC" w:rsidRPr="002C02AC">
        <w:rPr>
          <w:lang w:eastAsia="en-US"/>
        </w:rPr>
        <w:t xml:space="preserve">ailure to act on enforcement raises questions about the usefulness of adding even more regulatory provisions without actual, robust supervision. </w:t>
      </w:r>
    </w:p>
    <w:p w14:paraId="2E06FA6E" w14:textId="77777777" w:rsidR="002C02AC" w:rsidRPr="002C02AC" w:rsidRDefault="002C02AC" w:rsidP="002C02AC">
      <w:pPr>
        <w:rPr>
          <w:lang w:eastAsia="en-US"/>
        </w:rPr>
      </w:pPr>
    </w:p>
    <w:p w14:paraId="5CC21A63" w14:textId="61B13E67" w:rsidR="002C02AC" w:rsidRPr="002C02AC" w:rsidRDefault="002C02AC" w:rsidP="002C02AC">
      <w:pPr>
        <w:rPr>
          <w:lang w:eastAsia="en-US"/>
        </w:rPr>
      </w:pPr>
      <w:r w:rsidRPr="002C02AC">
        <w:rPr>
          <w:lang w:eastAsia="en-US"/>
        </w:rPr>
        <w:t>We recommend add</w:t>
      </w:r>
      <w:r w:rsidR="00C15BFB">
        <w:t>ing</w:t>
      </w:r>
      <w:r w:rsidR="00C15BFB">
        <w:rPr>
          <w:lang w:eastAsia="en-US"/>
        </w:rPr>
        <w:t xml:space="preserve"> additional guidelines to the</w:t>
      </w:r>
      <w:r w:rsidRPr="002C02AC">
        <w:rPr>
          <w:lang w:eastAsia="en-US"/>
        </w:rPr>
        <w:t xml:space="preserve"> existing proposals which clarify upfront that ESMA/NCAs are required/obligated to take action where appropriate to ensure that the </w:t>
      </w:r>
      <w:r w:rsidRPr="002C02AC">
        <w:rPr>
          <w:lang w:eastAsia="en-US"/>
        </w:rPr>
        <w:lastRenderedPageBreak/>
        <w:t xml:space="preserve">guidelines are complied with in order to maintain a level playing field and incentivize compliance with the requirements.  </w:t>
      </w:r>
    </w:p>
    <w:p w14:paraId="1D7B2C4C" w14:textId="77777777" w:rsidR="002C02AC" w:rsidRPr="002C02AC" w:rsidRDefault="002C02AC" w:rsidP="002C02AC">
      <w:pPr>
        <w:rPr>
          <w:lang w:eastAsia="en-US"/>
        </w:rPr>
      </w:pPr>
    </w:p>
    <w:p w14:paraId="195F1B68" w14:textId="41A74554" w:rsidR="002C02AC" w:rsidRPr="002C02AC" w:rsidRDefault="002C02AC" w:rsidP="002C02AC">
      <w:pPr>
        <w:rPr>
          <w:lang w:eastAsia="en-US"/>
        </w:rPr>
      </w:pPr>
      <w:r w:rsidRPr="002C02AC">
        <w:rPr>
          <w:lang w:eastAsia="en-US"/>
        </w:rPr>
        <w:t xml:space="preserve">We also believe that ESMA/NCAs should review the operation of the guidelines within one year of implementation and regularly thereafter and update stakeholders on whether the enforcement gaps have been remedied. </w:t>
      </w:r>
    </w:p>
    <w:p w14:paraId="70AB164E" w14:textId="77777777" w:rsidR="002C02AC" w:rsidRPr="002C02AC" w:rsidRDefault="002C02AC" w:rsidP="002C02AC">
      <w:pPr>
        <w:rPr>
          <w:lang w:eastAsia="en-US"/>
        </w:rPr>
      </w:pPr>
    </w:p>
    <w:p w14:paraId="02AF2FF9" w14:textId="7AD7F54F" w:rsidR="00C85C8B" w:rsidRPr="00C85C8B" w:rsidRDefault="002C02AC" w:rsidP="002C02AC">
      <w:pPr>
        <w:spacing w:after="250" w:line="276" w:lineRule="auto"/>
        <w:jc w:val="both"/>
        <w:rPr>
          <w:rFonts w:ascii="Arial" w:eastAsiaTheme="minorEastAsia" w:hAnsi="Arial" w:cs="Arial"/>
          <w:sz w:val="22"/>
          <w:szCs w:val="20"/>
          <w:lang w:eastAsia="en-US"/>
        </w:rPr>
      </w:pPr>
      <w:r w:rsidRPr="002C02AC">
        <w:rPr>
          <w:lang w:eastAsia="en-US"/>
        </w:rPr>
        <w:t>We make a number of other detailed comments aimed at clarifying and improving the guidelines. We would be happy to discuss our comments and provide any further detail.</w:t>
      </w:r>
    </w:p>
    <w:permEnd w:id="885457707"/>
    <w:p w14:paraId="15D00E65" w14:textId="0D8623A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EE7FF4">
        <w:rPr>
          <w:rFonts w:asciiTheme="minorHAnsi" w:eastAsiaTheme="minorEastAsia" w:hAnsiTheme="minorHAnsi" w:cs="Arial"/>
          <w:sz w:val="22"/>
          <w:szCs w:val="20"/>
          <w:lang w:eastAsia="en-US"/>
        </w:rPr>
        <w:t>GOMD</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6515C9EB" w:rsidR="00AB6157" w:rsidRDefault="00AB6157" w:rsidP="00C1698A">
      <w:pPr>
        <w:spacing w:line="276" w:lineRule="auto"/>
        <w:rPr>
          <w:rFonts w:asciiTheme="minorHAnsi" w:hAnsiTheme="minorHAnsi" w:cstheme="minorHAnsi"/>
          <w:b/>
          <w:sz w:val="28"/>
          <w:szCs w:val="28"/>
        </w:rPr>
      </w:pPr>
    </w:p>
    <w:p w14:paraId="034B1AB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bookmarkStart w:id="3" w:name="_Hlk54104951"/>
      <w:bookmarkEnd w:id="1"/>
      <w:r w:rsidRPr="00EE7FF4">
        <w:rPr>
          <w:rFonts w:ascii="Arial" w:hAnsi="Arial" w:cs="Arial"/>
          <w:b/>
          <w:sz w:val="22"/>
          <w:szCs w:val="22"/>
          <w:lang w:val="en-US" w:eastAsia="en-US"/>
        </w:rPr>
        <w:t>Q1: What are your views on covering in the Guidelines also market data providers offering market data free of charge for the requirements not explicitly exempted in the Level 2 requirements?</w:t>
      </w:r>
    </w:p>
    <w:p w14:paraId="734B7740" w14:textId="3EEFA3A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&gt;</w:t>
      </w:r>
    </w:p>
    <w:p w14:paraId="6711CFE1" w14:textId="61A2577C" w:rsidR="002C02AC" w:rsidRPr="002C02AC" w:rsidRDefault="002C02AC" w:rsidP="002C02AC">
      <w:pPr>
        <w:rPr>
          <w:lang w:eastAsia="en-US"/>
        </w:rPr>
      </w:pPr>
      <w:permStart w:id="1933377942" w:edGrp="everyone"/>
      <w:r w:rsidRPr="002C02AC">
        <w:rPr>
          <w:lang w:eastAsia="en-US"/>
        </w:rPr>
        <w:t xml:space="preserve">To qualify for the exemption under the legislation, market data providers must offer, at all times, data free of charge to the public on non-discriminatory terms and conditions. The “public” in this context should be understood to include both customers of the market data provider and interested parties, such as market data distributors. This understanding would be aligned with the wording of the legislation which simply refers to the market data being made available to the “public” free of charge, rather than particular types of “customers”. </w:t>
      </w:r>
    </w:p>
    <w:p w14:paraId="3160E3F9" w14:textId="77777777" w:rsidR="002C02AC" w:rsidRPr="002C02AC" w:rsidRDefault="002C02AC" w:rsidP="002C02AC">
      <w:pPr>
        <w:rPr>
          <w:lang w:eastAsia="en-US"/>
        </w:rPr>
      </w:pPr>
    </w:p>
    <w:p w14:paraId="6D169D3F" w14:textId="3E884E88" w:rsidR="002C02AC" w:rsidRPr="002C02AC" w:rsidRDefault="002C02AC" w:rsidP="002C02AC">
      <w:pPr>
        <w:rPr>
          <w:lang w:eastAsia="en-US"/>
        </w:rPr>
      </w:pPr>
      <w:r w:rsidRPr="002C02AC">
        <w:rPr>
          <w:lang w:eastAsia="en-US"/>
        </w:rPr>
        <w:t>ESMA should not impose additional requirements of offering unbundled market data because the end-user is receiving the data free of charge. As long as the data is truly machine accessible without manual intervention and machine readable, any unbundling requirement just increases costs without additional customer benefit.</w:t>
      </w:r>
    </w:p>
    <w:p w14:paraId="179B7945" w14:textId="77777777" w:rsidR="002C02AC" w:rsidRPr="002C02AC" w:rsidRDefault="002C02AC" w:rsidP="002C02AC">
      <w:pPr>
        <w:rPr>
          <w:lang w:eastAsia="en-US"/>
        </w:rPr>
      </w:pPr>
    </w:p>
    <w:p w14:paraId="4287F773" w14:textId="3513628E" w:rsidR="002C02AC" w:rsidRPr="002C02AC" w:rsidRDefault="002C02AC" w:rsidP="002C02AC">
      <w:pPr>
        <w:rPr>
          <w:lang w:eastAsia="en-US"/>
        </w:rPr>
      </w:pPr>
      <w:r w:rsidRPr="002C02AC">
        <w:rPr>
          <w:lang w:eastAsia="en-US"/>
        </w:rPr>
        <w:t>As the exemption applies to key requirements around the provision of market data, ESMA should define and enforce standards on the expectations of the form and delivery of the free data. For example, the data should be in a machine-readable format and not a PDF, and should be readily accessible, either via a website or a direct feed, on the same non-discriminatory terms and conditions to all interested parties.</w:t>
      </w:r>
    </w:p>
    <w:p w14:paraId="752CD722" w14:textId="77777777" w:rsidR="002C02AC" w:rsidRPr="002C02AC" w:rsidRDefault="002C02AC" w:rsidP="002C02AC">
      <w:pPr>
        <w:rPr>
          <w:lang w:eastAsia="en-US"/>
        </w:rPr>
      </w:pPr>
    </w:p>
    <w:p w14:paraId="312ABDA0" w14:textId="6DAD32DE" w:rsidR="00EE7FF4" w:rsidRPr="00EE7FF4" w:rsidRDefault="002C02AC" w:rsidP="002C02AC">
      <w:pPr>
        <w:spacing w:after="160" w:line="259" w:lineRule="auto"/>
        <w:rPr>
          <w:rFonts w:ascii="Arial" w:eastAsia="Calibri" w:hAnsi="Arial" w:cs="Arial"/>
          <w:sz w:val="22"/>
          <w:szCs w:val="22"/>
          <w:lang w:eastAsia="en-US"/>
        </w:rPr>
      </w:pPr>
      <w:r w:rsidRPr="002C02AC">
        <w:rPr>
          <w:lang w:eastAsia="en-US"/>
        </w:rPr>
        <w:t>The term “</w:t>
      </w:r>
      <w:r w:rsidR="00D96AAB">
        <w:rPr>
          <w:lang w:eastAsia="en-US"/>
        </w:rPr>
        <w:t>Free of charge</w:t>
      </w:r>
      <w:r w:rsidRPr="002C02AC">
        <w:rPr>
          <w:lang w:eastAsia="en-US"/>
        </w:rPr>
        <w:t>” should also be better defined. For example, ESMA should determine whether charging administrative fees for connectivity and other technology infrastructure services that support the delivery of free data is allowed and whether the fees are set on a reasonable commercial basis. Market data providers should be allowed to charge for certain forms of direct data feed infrastructure for free market data on a reasonable commercial (cost plus) basis.</w:t>
      </w:r>
    </w:p>
    <w:permEnd w:id="1933377942"/>
    <w:p w14:paraId="4FB978C4" w14:textId="19AC4F1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&gt;</w:t>
      </w:r>
    </w:p>
    <w:p w14:paraId="195AE8A6" w14:textId="77777777" w:rsidR="00EE7FF4" w:rsidRPr="00EE7FF4" w:rsidRDefault="00EE7FF4" w:rsidP="00EE7FF4">
      <w:pPr>
        <w:spacing w:after="160" w:line="259" w:lineRule="auto"/>
        <w:rPr>
          <w:rFonts w:ascii="Arial" w:eastAsia="Calibri" w:hAnsi="Arial" w:cs="Arial"/>
          <w:sz w:val="22"/>
          <w:szCs w:val="22"/>
          <w:lang w:eastAsia="en-US"/>
        </w:rPr>
      </w:pPr>
    </w:p>
    <w:p w14:paraId="4F9BDBE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 Do you agree with Guideline 1? If not, please justify. </w:t>
      </w:r>
    </w:p>
    <w:p w14:paraId="29511912" w14:textId="2DAAF2E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&gt;</w:t>
      </w:r>
    </w:p>
    <w:p w14:paraId="60C4D7BA" w14:textId="13183798" w:rsidR="002C02AC" w:rsidRPr="002C02AC" w:rsidRDefault="002C02AC" w:rsidP="002C02AC">
      <w:pPr>
        <w:rPr>
          <w:lang w:eastAsia="en-US"/>
        </w:rPr>
      </w:pPr>
      <w:permStart w:id="1229730904" w:edGrp="everyone"/>
      <w:r w:rsidRPr="002C02AC">
        <w:rPr>
          <w:lang w:eastAsia="en-US"/>
        </w:rPr>
        <w:t xml:space="preserve"> Overall we agree with the objective of the guideline but we do suggest some improvements as outlined below. </w:t>
      </w:r>
    </w:p>
    <w:p w14:paraId="7A94F7D9" w14:textId="77777777" w:rsidR="002C02AC" w:rsidRPr="002C02AC" w:rsidRDefault="002C02AC" w:rsidP="002C02AC">
      <w:pPr>
        <w:rPr>
          <w:lang w:eastAsia="en-US"/>
        </w:rPr>
      </w:pPr>
    </w:p>
    <w:p w14:paraId="3FF534A5" w14:textId="5D9707CF" w:rsidR="002C02AC" w:rsidRPr="002C02AC" w:rsidRDefault="002C02AC" w:rsidP="002C02AC">
      <w:pPr>
        <w:rPr>
          <w:lang w:eastAsia="en-US"/>
        </w:rPr>
      </w:pPr>
      <w:r w:rsidRPr="002C02AC">
        <w:rPr>
          <w:lang w:eastAsia="en-US"/>
        </w:rPr>
        <w:t>We support the idea of annual reviews in general. However, in Guideline 1 or in Guideline 10, the guidance should stipulate that the pricing for new market data products be accompanied by an explanation of costs when the product is introduced, in addition to when a 90-day notice of future price changes to existing market data products is given.</w:t>
      </w:r>
    </w:p>
    <w:p w14:paraId="3CF17EAD" w14:textId="77777777" w:rsidR="002C02AC" w:rsidRPr="002C02AC" w:rsidRDefault="002C02AC" w:rsidP="002C02AC">
      <w:pPr>
        <w:rPr>
          <w:lang w:eastAsia="en-US"/>
        </w:rPr>
      </w:pPr>
    </w:p>
    <w:p w14:paraId="1795796F" w14:textId="7929253F" w:rsidR="002C02AC" w:rsidRPr="002C02AC" w:rsidRDefault="002C02AC" w:rsidP="002C02AC">
      <w:pPr>
        <w:rPr>
          <w:lang w:eastAsia="en-US"/>
        </w:rPr>
      </w:pPr>
      <w:r w:rsidRPr="002C02AC">
        <w:rPr>
          <w:lang w:eastAsia="en-US"/>
        </w:rPr>
        <w:t xml:space="preserve">It should generally be possible to categorize, assign and track such cost assignment(s) consistent with generally accepted accounting principles. </w:t>
      </w:r>
    </w:p>
    <w:p w14:paraId="5C604ED8" w14:textId="77777777" w:rsidR="002C02AC" w:rsidRPr="002C02AC" w:rsidRDefault="002C02AC" w:rsidP="002C02AC">
      <w:pPr>
        <w:rPr>
          <w:lang w:eastAsia="en-US"/>
        </w:rPr>
      </w:pPr>
    </w:p>
    <w:p w14:paraId="75BDA528" w14:textId="312C5AF0" w:rsidR="002C02AC" w:rsidRPr="002C02AC" w:rsidRDefault="002C02AC" w:rsidP="002C02AC">
      <w:pPr>
        <w:rPr>
          <w:lang w:eastAsia="en-US"/>
        </w:rPr>
      </w:pPr>
      <w:r w:rsidRPr="002C02AC">
        <w:rPr>
          <w:lang w:eastAsia="en-US"/>
        </w:rPr>
        <w:lastRenderedPageBreak/>
        <w:t>When addressing the issues of cost allocation, market data providers, particularly Trading Venues that operate central limit order books, provide transparency to their members as part of the Trading Venue’s trading function. That function necessarily creates the same underlying transaction data that is being required to be provided to the ma</w:t>
      </w:r>
      <w:r w:rsidR="00D96AAB">
        <w:rPr>
          <w:lang w:eastAsia="en-US"/>
        </w:rPr>
        <w:t>rket at large as “market data.”</w:t>
      </w:r>
      <w:r w:rsidRPr="002C02AC">
        <w:rPr>
          <w:lang w:eastAsia="en-US"/>
        </w:rPr>
        <w:t xml:space="preserve"> Those costs are sunk “costs of doing business” and should not be part of allocated costs. </w:t>
      </w:r>
    </w:p>
    <w:p w14:paraId="0775F6EE" w14:textId="77777777" w:rsidR="002C02AC" w:rsidRPr="002C02AC" w:rsidRDefault="002C02AC" w:rsidP="002C02AC">
      <w:pPr>
        <w:rPr>
          <w:lang w:eastAsia="en-US"/>
        </w:rPr>
      </w:pPr>
    </w:p>
    <w:p w14:paraId="273B98B0" w14:textId="1197BBD4" w:rsidR="00EE7FF4" w:rsidRPr="00EE7FF4" w:rsidRDefault="002C02AC" w:rsidP="002C02AC">
      <w:pPr>
        <w:spacing w:after="160" w:line="259" w:lineRule="auto"/>
        <w:rPr>
          <w:rFonts w:ascii="Arial" w:eastAsia="Calibri" w:hAnsi="Arial" w:cs="Arial"/>
          <w:sz w:val="22"/>
          <w:szCs w:val="22"/>
          <w:lang w:eastAsia="en-US"/>
        </w:rPr>
      </w:pPr>
      <w:r w:rsidRPr="002C02AC">
        <w:rPr>
          <w:lang w:eastAsia="en-US"/>
        </w:rPr>
        <w:t>Only the Trading Venue’s incremental, variable costs of organizing and disseminating that pre-existing data, which are additional to the costs of making market data available to the venue’s members, should be allocated to market data fee calculations.</w:t>
      </w:r>
    </w:p>
    <w:permEnd w:id="1229730904"/>
    <w:p w14:paraId="345D66EA" w14:textId="1652C0A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&gt;</w:t>
      </w:r>
    </w:p>
    <w:p w14:paraId="7E41E3B7" w14:textId="77777777" w:rsidR="00EE7FF4" w:rsidRPr="00EE7FF4" w:rsidRDefault="00EE7FF4" w:rsidP="00EE7FF4">
      <w:pPr>
        <w:spacing w:after="160" w:line="259" w:lineRule="auto"/>
        <w:rPr>
          <w:rFonts w:ascii="Arial" w:eastAsia="Calibri" w:hAnsi="Arial" w:cs="Arial"/>
          <w:sz w:val="22"/>
          <w:szCs w:val="22"/>
          <w:lang w:eastAsia="en-US"/>
        </w:rPr>
      </w:pPr>
    </w:p>
    <w:p w14:paraId="40C9D2F9"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Q3: Do you think ESMA should clarify other aspects of the accounting methodologies for setting up the fees of market data? If yes, please explain.</w:t>
      </w:r>
    </w:p>
    <w:p w14:paraId="19AF7F17" w14:textId="0582789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3</w:t>
      </w:r>
      <w:r w:rsidRPr="00EE7FF4">
        <w:rPr>
          <w:rFonts w:ascii="Arial" w:eastAsia="Calibri" w:hAnsi="Arial" w:cs="Arial"/>
          <w:sz w:val="22"/>
          <w:szCs w:val="22"/>
          <w:lang w:eastAsia="en-US"/>
        </w:rPr>
        <w:t>&gt;</w:t>
      </w:r>
    </w:p>
    <w:p w14:paraId="2FAADCB4" w14:textId="097CE7F3" w:rsidR="002C02AC" w:rsidRPr="002C02AC" w:rsidRDefault="002C02AC" w:rsidP="002C02AC">
      <w:pPr>
        <w:rPr>
          <w:lang w:eastAsia="en-US"/>
        </w:rPr>
      </w:pPr>
      <w:permStart w:id="1462970602" w:edGrp="everyone"/>
      <w:r w:rsidRPr="002C02AC">
        <w:rPr>
          <w:lang w:eastAsia="en-US"/>
        </w:rPr>
        <w:t xml:space="preserve">Yes. Further guidance should be provided on administrative and infrastructure costs. </w:t>
      </w:r>
    </w:p>
    <w:p w14:paraId="48E1B4BD" w14:textId="77777777" w:rsidR="002C02AC" w:rsidRPr="002C02AC" w:rsidRDefault="002C02AC" w:rsidP="002C02AC">
      <w:pPr>
        <w:rPr>
          <w:lang w:eastAsia="en-US"/>
        </w:rPr>
      </w:pPr>
    </w:p>
    <w:p w14:paraId="15DF9E37" w14:textId="46A1AB00" w:rsidR="002C02AC" w:rsidRPr="002C02AC" w:rsidRDefault="002C02AC" w:rsidP="002C02AC">
      <w:pPr>
        <w:rPr>
          <w:lang w:eastAsia="en-US"/>
        </w:rPr>
      </w:pPr>
      <w:r w:rsidRPr="002C02AC">
        <w:rPr>
          <w:lang w:eastAsia="en-US"/>
        </w:rPr>
        <w:t xml:space="preserve">Market data providers charge connectivity and administrative fees to market data distributors to connect and receive market data feeds. </w:t>
      </w:r>
    </w:p>
    <w:p w14:paraId="3EC55881" w14:textId="77777777" w:rsidR="002C02AC" w:rsidRPr="002C02AC" w:rsidRDefault="002C02AC" w:rsidP="002C02AC">
      <w:pPr>
        <w:rPr>
          <w:lang w:eastAsia="en-US"/>
        </w:rPr>
      </w:pPr>
    </w:p>
    <w:p w14:paraId="33E1335E" w14:textId="62D703B2" w:rsidR="002C02AC" w:rsidRPr="002C02AC" w:rsidRDefault="002C02AC" w:rsidP="002C02AC">
      <w:pPr>
        <w:rPr>
          <w:lang w:eastAsia="en-US"/>
        </w:rPr>
      </w:pPr>
      <w:r w:rsidRPr="002C02AC">
        <w:rPr>
          <w:lang w:eastAsia="en-US"/>
        </w:rPr>
        <w:t xml:space="preserve">ESMA must determine whether charging such administrative fees for connectivity and other technology infrastructure services that support the delivery of free data is appropriate in the context of all fees being charged and, if so, whether the fees should be set at a reasonable commercial basis. </w:t>
      </w:r>
    </w:p>
    <w:p w14:paraId="617C6334" w14:textId="77777777" w:rsidR="002C02AC" w:rsidRPr="002C02AC" w:rsidRDefault="002C02AC" w:rsidP="002C02AC">
      <w:pPr>
        <w:rPr>
          <w:lang w:eastAsia="en-US"/>
        </w:rPr>
      </w:pPr>
    </w:p>
    <w:p w14:paraId="7BF6BBB8" w14:textId="2E4B499E" w:rsidR="002C02AC" w:rsidRPr="002C02AC" w:rsidRDefault="002C02AC" w:rsidP="002C02AC">
      <w:pPr>
        <w:rPr>
          <w:lang w:eastAsia="en-US"/>
        </w:rPr>
      </w:pPr>
      <w:r w:rsidRPr="002C02AC">
        <w:rPr>
          <w:lang w:eastAsia="en-US"/>
        </w:rPr>
        <w:t xml:space="preserve">It would also be sensible to provide guidance on how supervisory fees should be taken into account and factored into the fees for market data. </w:t>
      </w:r>
    </w:p>
    <w:p w14:paraId="438C8F62" w14:textId="77777777" w:rsidR="002C02AC" w:rsidRPr="002C02AC" w:rsidRDefault="002C02AC" w:rsidP="002C02AC">
      <w:pPr>
        <w:rPr>
          <w:lang w:eastAsia="en-US"/>
        </w:rPr>
      </w:pPr>
    </w:p>
    <w:p w14:paraId="7CAB46A8" w14:textId="56E75194" w:rsidR="00EE7FF4" w:rsidRPr="00EE7FF4" w:rsidRDefault="002C02AC" w:rsidP="002C02AC">
      <w:pPr>
        <w:spacing w:after="160" w:line="259" w:lineRule="auto"/>
        <w:rPr>
          <w:rFonts w:ascii="Arial" w:eastAsia="Calibri" w:hAnsi="Arial" w:cs="Arial"/>
          <w:sz w:val="22"/>
          <w:szCs w:val="22"/>
          <w:lang w:eastAsia="en-US"/>
        </w:rPr>
      </w:pPr>
      <w:r w:rsidRPr="002C02AC">
        <w:rPr>
          <w:lang w:eastAsia="en-US"/>
        </w:rPr>
        <w:t>Market data providers should be allowed to charge incremental fees only for costs arising from incremental direct data feed infrastructure they need to provide to facilitate offering “free” market data on a reasonable commercial (cost plus) basis. However, if market data providers are assigning these fees to market data distributors, then there needs to be a segmentation of those fees from the fees that end-users are charged to prevent inappropriate revenue “double-dipping.”</w:t>
      </w:r>
    </w:p>
    <w:permEnd w:id="1462970602"/>
    <w:p w14:paraId="51C288CD" w14:textId="519B18A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3</w:t>
      </w:r>
      <w:r w:rsidRPr="00EE7FF4">
        <w:rPr>
          <w:rFonts w:ascii="Arial" w:eastAsia="Calibri" w:hAnsi="Arial" w:cs="Arial"/>
          <w:sz w:val="22"/>
          <w:szCs w:val="22"/>
          <w:lang w:eastAsia="en-US"/>
        </w:rPr>
        <w:t>&gt;</w:t>
      </w:r>
    </w:p>
    <w:p w14:paraId="2F06FE5C" w14:textId="77777777" w:rsidR="00EE7FF4" w:rsidRPr="00EE7FF4" w:rsidRDefault="00EE7FF4" w:rsidP="00EE7FF4">
      <w:pPr>
        <w:spacing w:after="160" w:line="259" w:lineRule="auto"/>
        <w:rPr>
          <w:rFonts w:ascii="Arial" w:eastAsia="Calibri" w:hAnsi="Arial" w:cs="Arial"/>
          <w:sz w:val="22"/>
          <w:szCs w:val="22"/>
          <w:lang w:eastAsia="en-US"/>
        </w:rPr>
      </w:pPr>
    </w:p>
    <w:p w14:paraId="3A58D9C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Q4: With regard to Guideline 2, do you think placing the burden of proof, with respect to non-compliance with the terms of the market data agreement, on data providers can address the issue? Please provide any other comments you may have on Guideline 2.</w:t>
      </w:r>
    </w:p>
    <w:p w14:paraId="7DA67BC7" w14:textId="3552B54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4</w:t>
      </w:r>
      <w:r w:rsidRPr="00EE7FF4">
        <w:rPr>
          <w:rFonts w:ascii="Arial" w:eastAsia="Calibri" w:hAnsi="Arial" w:cs="Arial"/>
          <w:sz w:val="22"/>
          <w:szCs w:val="22"/>
          <w:lang w:eastAsia="en-US"/>
        </w:rPr>
        <w:t>&gt;</w:t>
      </w:r>
    </w:p>
    <w:p w14:paraId="476099A2" w14:textId="5C9CDCE7" w:rsidR="002C02AC" w:rsidRPr="002C02AC" w:rsidRDefault="002C02AC" w:rsidP="002C02AC">
      <w:pPr>
        <w:rPr>
          <w:lang w:eastAsia="en-US"/>
        </w:rPr>
      </w:pPr>
      <w:permStart w:id="2097551244" w:edGrp="everyone"/>
      <w:r w:rsidRPr="002C02AC">
        <w:rPr>
          <w:lang w:eastAsia="en-US"/>
        </w:rPr>
        <w:t xml:space="preserve">While we agree with the objectives of draft Guideline 2, as a practical matter the entity in possession of data relevant to compliance should bear the burden of providing that data. For example, market data producers have the burden to show cost data while consumers of the </w:t>
      </w:r>
      <w:r w:rsidRPr="002C02AC">
        <w:rPr>
          <w:lang w:eastAsia="en-US"/>
        </w:rPr>
        <w:lastRenderedPageBreak/>
        <w:t xml:space="preserve">market data have the burden to show their usage. We suggest a number of improvements which ESMA could make to the draft guideline, to improve its effectiveness.  </w:t>
      </w:r>
    </w:p>
    <w:p w14:paraId="5FF2B9E3" w14:textId="77777777" w:rsidR="002C02AC" w:rsidRPr="002C02AC" w:rsidRDefault="002C02AC" w:rsidP="002C02AC">
      <w:pPr>
        <w:rPr>
          <w:lang w:eastAsia="en-US"/>
        </w:rPr>
      </w:pPr>
    </w:p>
    <w:p w14:paraId="7DD211BA" w14:textId="6C5BFFC6" w:rsidR="002C02AC" w:rsidRPr="002C02AC" w:rsidRDefault="002C02AC" w:rsidP="002C02AC">
      <w:pPr>
        <w:rPr>
          <w:lang w:eastAsia="en-US"/>
        </w:rPr>
      </w:pPr>
      <w:r w:rsidRPr="002C02AC">
        <w:rPr>
          <w:lang w:eastAsia="en-US"/>
        </w:rPr>
        <w:t>The definition of “Customer” is too narrow by virtue of it suggesting that all customers have a direct agreement with the market data provider and pay them directly. This omits the services that market data distributors provide to market data providers. As we pointed out in our responses to the MiFID II/</w:t>
      </w:r>
      <w:proofErr w:type="spellStart"/>
      <w:r w:rsidRPr="002C02AC">
        <w:rPr>
          <w:lang w:eastAsia="en-US"/>
        </w:rPr>
        <w:t>MiFIR</w:t>
      </w:r>
      <w:proofErr w:type="spellEnd"/>
      <w:r w:rsidRPr="002C02AC">
        <w:rPr>
          <w:lang w:eastAsia="en-US"/>
        </w:rPr>
        <w:t xml:space="preserve"> consultation on pre- and post-trade data and on the consolidated tape for equity instruments (the “MiFID II/</w:t>
      </w:r>
      <w:proofErr w:type="spellStart"/>
      <w:r w:rsidRPr="002C02AC">
        <w:rPr>
          <w:lang w:eastAsia="en-US"/>
        </w:rPr>
        <w:t>MiFIR</w:t>
      </w:r>
      <w:proofErr w:type="spellEnd"/>
      <w:r w:rsidRPr="002C02AC">
        <w:rPr>
          <w:lang w:eastAsia="en-US"/>
        </w:rPr>
        <w:t xml:space="preserve"> Consultation”), market data distributors will pay market data providers up front for the customer’s liabilities while collecting the fees in arrears.</w:t>
      </w:r>
    </w:p>
    <w:p w14:paraId="7EFF0BB8" w14:textId="77777777" w:rsidR="002C02AC" w:rsidRPr="002C02AC" w:rsidRDefault="002C02AC" w:rsidP="002C02AC">
      <w:pPr>
        <w:rPr>
          <w:lang w:eastAsia="en-US"/>
        </w:rPr>
      </w:pPr>
    </w:p>
    <w:p w14:paraId="19719B7D" w14:textId="2F48DA2D" w:rsidR="002C02AC" w:rsidRPr="002C02AC" w:rsidRDefault="002C02AC" w:rsidP="002C02AC">
      <w:pPr>
        <w:rPr>
          <w:lang w:eastAsia="en-US"/>
        </w:rPr>
      </w:pPr>
      <w:r w:rsidRPr="002C02AC">
        <w:rPr>
          <w:lang w:eastAsia="en-US"/>
        </w:rPr>
        <w:t>Thus, the definition of customer should be amended to: “The natural or legal person who signs the market data agreement or subscriber agreement with a market data provider or market data distributor and is, if applicable invoiced by either party for the market data fees.”</w:t>
      </w:r>
    </w:p>
    <w:p w14:paraId="3666D7D0" w14:textId="77777777" w:rsidR="002C02AC" w:rsidRPr="002C02AC" w:rsidRDefault="002C02AC" w:rsidP="002C02AC">
      <w:pPr>
        <w:rPr>
          <w:lang w:eastAsia="en-US"/>
        </w:rPr>
      </w:pPr>
    </w:p>
    <w:p w14:paraId="22721264" w14:textId="6A8743F0" w:rsidR="002C02AC" w:rsidRPr="002C02AC" w:rsidRDefault="002C02AC" w:rsidP="002C02AC">
      <w:pPr>
        <w:rPr>
          <w:lang w:eastAsia="en-US"/>
        </w:rPr>
      </w:pPr>
      <w:r w:rsidRPr="002C02AC">
        <w:rPr>
          <w:lang w:eastAsia="en-US"/>
        </w:rPr>
        <w:t>A common complaint in the responses to the MiFID II/</w:t>
      </w:r>
      <w:proofErr w:type="spellStart"/>
      <w:r w:rsidRPr="002C02AC">
        <w:rPr>
          <w:lang w:eastAsia="en-US"/>
        </w:rPr>
        <w:t>MiFIR</w:t>
      </w:r>
      <w:proofErr w:type="spellEnd"/>
      <w:r w:rsidRPr="002C02AC">
        <w:rPr>
          <w:lang w:eastAsia="en-US"/>
        </w:rPr>
        <w:t xml:space="preserve"> Consultation was that market data policies were complex, confusing and the retroactive look back was overly long and there was little in the way of an appeals process. </w:t>
      </w:r>
    </w:p>
    <w:p w14:paraId="0D385947" w14:textId="77777777" w:rsidR="002C02AC" w:rsidRPr="002C02AC" w:rsidRDefault="002C02AC" w:rsidP="002C02AC">
      <w:pPr>
        <w:rPr>
          <w:lang w:eastAsia="en-US"/>
        </w:rPr>
      </w:pPr>
    </w:p>
    <w:p w14:paraId="45C5AF31" w14:textId="304651B8" w:rsidR="002C02AC" w:rsidRPr="002C02AC" w:rsidRDefault="002C02AC" w:rsidP="002C02AC">
      <w:pPr>
        <w:rPr>
          <w:lang w:eastAsia="en-US"/>
        </w:rPr>
      </w:pPr>
      <w:r w:rsidRPr="002C02AC">
        <w:rPr>
          <w:lang w:eastAsia="en-US"/>
        </w:rPr>
        <w:t>It would be helpful to have more specific guidance on what constitutes “overly onerous practices” and “extensive retroactivity.” ESMA may want to consider limiting the look-back. Similar to annual reviews on market data pricing, market data providers should only be able to audit with restitution for errors over the prior three years. Moreover, any time-period covered by a previous audit should not be re-audited again by the market data provider.</w:t>
      </w:r>
    </w:p>
    <w:p w14:paraId="4BDEBFB2" w14:textId="77777777" w:rsidR="002C02AC" w:rsidRPr="002C02AC" w:rsidRDefault="002C02AC" w:rsidP="002C02AC">
      <w:pPr>
        <w:rPr>
          <w:lang w:eastAsia="en-US"/>
        </w:rPr>
      </w:pPr>
    </w:p>
    <w:p w14:paraId="3B6CE1C9" w14:textId="0B316C5B" w:rsidR="002C02AC" w:rsidRPr="002C02AC" w:rsidRDefault="002C02AC" w:rsidP="002C02AC">
      <w:pPr>
        <w:rPr>
          <w:lang w:eastAsia="en-US"/>
        </w:rPr>
      </w:pPr>
      <w:r w:rsidRPr="002C02AC">
        <w:rPr>
          <w:lang w:eastAsia="en-US"/>
        </w:rPr>
        <w:t xml:space="preserve">ESMA’s guidance that “Audits should only be aimed at identifying occurred breaches with market data agreements” continues to be overly broad and does not limit the scope to only verifying compliance with the agreement. </w:t>
      </w:r>
    </w:p>
    <w:p w14:paraId="5B1EB8DB" w14:textId="77777777" w:rsidR="002C02AC" w:rsidRPr="002C02AC" w:rsidRDefault="002C02AC" w:rsidP="002C02AC">
      <w:pPr>
        <w:rPr>
          <w:lang w:eastAsia="en-US"/>
        </w:rPr>
      </w:pPr>
    </w:p>
    <w:p w14:paraId="44A6856C" w14:textId="00FA9083" w:rsidR="002C02AC" w:rsidRPr="002C02AC" w:rsidRDefault="002C02AC" w:rsidP="002C02AC">
      <w:pPr>
        <w:rPr>
          <w:lang w:eastAsia="en-US"/>
        </w:rPr>
      </w:pPr>
      <w:r w:rsidRPr="002C02AC">
        <w:rPr>
          <w:lang w:eastAsia="en-US"/>
        </w:rPr>
        <w:t>Some of the responses to the MiFID II/</w:t>
      </w:r>
      <w:proofErr w:type="spellStart"/>
      <w:r w:rsidRPr="002C02AC">
        <w:rPr>
          <w:lang w:eastAsia="en-US"/>
        </w:rPr>
        <w:t>MiFIR</w:t>
      </w:r>
      <w:proofErr w:type="spellEnd"/>
      <w:r w:rsidRPr="002C02AC">
        <w:rPr>
          <w:lang w:eastAsia="en-US"/>
        </w:rPr>
        <w:t xml:space="preserve"> Consultation also noted that notices of changes in terms, conditions and fees are opaque. For example, because some market data providers did not seek acknowledgement of changes, end-users and market data redistributors were considered to be in breach of condition, without their awareness. In Annex I, ESMA appears to require market data providers to provide more transparency around 90-day advance notices of future price changes. </w:t>
      </w:r>
    </w:p>
    <w:p w14:paraId="43594E3C" w14:textId="77777777" w:rsidR="002C02AC" w:rsidRPr="002C02AC" w:rsidRDefault="002C02AC" w:rsidP="002C02AC">
      <w:pPr>
        <w:rPr>
          <w:lang w:eastAsia="en-US"/>
        </w:rPr>
      </w:pPr>
    </w:p>
    <w:p w14:paraId="541B3102" w14:textId="0F525588" w:rsidR="002C02AC" w:rsidRPr="002C02AC" w:rsidRDefault="002C02AC" w:rsidP="002C02AC">
      <w:pPr>
        <w:rPr>
          <w:lang w:eastAsia="en-US"/>
        </w:rPr>
      </w:pPr>
      <w:r w:rsidRPr="002C02AC">
        <w:rPr>
          <w:lang w:eastAsia="en-US"/>
        </w:rPr>
        <w:t xml:space="preserve">As we discuss in our response to Question 17 in more detail, Guideline 2 as well as Guideline 10 should be more specific in relation to the minimum disclosure requirement (the 90-day advance notice requirement only appears in the template and not in the actual guidance), and should require a notice acknowledgement or other appropriate evidence of receipt by the market data provider’s customer, whether directly or via the data distributor. </w:t>
      </w:r>
    </w:p>
    <w:p w14:paraId="3233F211" w14:textId="77777777" w:rsidR="002C02AC" w:rsidRPr="002C02AC" w:rsidRDefault="002C02AC" w:rsidP="002C02AC">
      <w:pPr>
        <w:rPr>
          <w:lang w:eastAsia="en-US"/>
        </w:rPr>
      </w:pPr>
    </w:p>
    <w:p w14:paraId="76E78A1C" w14:textId="6213A056" w:rsidR="00EE7FF4" w:rsidRPr="00EE7FF4" w:rsidRDefault="002C02AC" w:rsidP="002C02AC">
      <w:pPr>
        <w:spacing w:after="160" w:line="259" w:lineRule="auto"/>
        <w:rPr>
          <w:rFonts w:ascii="Arial" w:eastAsia="Calibri" w:hAnsi="Arial" w:cs="Arial"/>
          <w:sz w:val="22"/>
          <w:szCs w:val="22"/>
          <w:lang w:eastAsia="en-US"/>
        </w:rPr>
      </w:pPr>
      <w:r w:rsidRPr="002C02AC">
        <w:rPr>
          <w:lang w:eastAsia="en-US"/>
        </w:rPr>
        <w:t xml:space="preserve">We agree that penalties primarily should be based on the recovery of lost revenues. There should also be a possibility for data providers to recover any administrative costs they incur and also impose a proportionate and reasonable penalty to serve as a disincentive to egregious breaches – as long as the overall principle still holds that audits should not operate as de-facto revenue generation mechanisms.   </w:t>
      </w:r>
    </w:p>
    <w:permEnd w:id="2097551244"/>
    <w:p w14:paraId="2BAA4816" w14:textId="6DDCD8A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4</w:t>
      </w:r>
      <w:r w:rsidRPr="00EE7FF4">
        <w:rPr>
          <w:rFonts w:ascii="Arial" w:eastAsia="Calibri" w:hAnsi="Arial" w:cs="Arial"/>
          <w:sz w:val="22"/>
          <w:szCs w:val="22"/>
          <w:lang w:eastAsia="en-US"/>
        </w:rPr>
        <w:t>&gt;</w:t>
      </w:r>
    </w:p>
    <w:p w14:paraId="3E9C4DD5" w14:textId="77777777" w:rsidR="00EE7FF4" w:rsidRPr="00EE7FF4" w:rsidRDefault="00EE7FF4" w:rsidP="00EE7FF4">
      <w:pPr>
        <w:spacing w:after="160" w:line="259" w:lineRule="auto"/>
        <w:rPr>
          <w:rFonts w:ascii="Arial" w:eastAsia="Calibri" w:hAnsi="Arial" w:cs="Arial"/>
          <w:sz w:val="22"/>
          <w:szCs w:val="22"/>
          <w:lang w:eastAsia="en-US"/>
        </w:rPr>
      </w:pPr>
    </w:p>
    <w:p w14:paraId="0D62B60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Q5: Do you consider that auditing practices may contribute to higher costs of market data? Please explain and provide practical examples of auditing practices that you consider problematic in this context. Such examples can be provided on a confidential basis via a separate submission to ESMA.</w:t>
      </w:r>
    </w:p>
    <w:p w14:paraId="1EEEEA1D" w14:textId="40A1325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5</w:t>
      </w:r>
      <w:r w:rsidRPr="00EE7FF4">
        <w:rPr>
          <w:rFonts w:ascii="Arial" w:eastAsia="Calibri" w:hAnsi="Arial" w:cs="Arial"/>
          <w:sz w:val="22"/>
          <w:szCs w:val="22"/>
          <w:lang w:eastAsia="en-US"/>
        </w:rPr>
        <w:t>&gt;</w:t>
      </w:r>
    </w:p>
    <w:p w14:paraId="4E9828C2" w14:textId="29A7AFBA" w:rsidR="00EE7FF4" w:rsidRPr="00EE7FF4" w:rsidRDefault="002C02AC" w:rsidP="00EE7FF4">
      <w:pPr>
        <w:spacing w:after="160" w:line="259" w:lineRule="auto"/>
        <w:rPr>
          <w:rFonts w:ascii="Arial" w:eastAsia="Calibri" w:hAnsi="Arial" w:cs="Arial"/>
          <w:sz w:val="22"/>
          <w:szCs w:val="22"/>
          <w:lang w:eastAsia="en-US"/>
        </w:rPr>
      </w:pPr>
      <w:permStart w:id="2104177022" w:edGrp="everyone"/>
      <w:r w:rsidRPr="002C02AC">
        <w:rPr>
          <w:lang w:eastAsia="en-US"/>
        </w:rPr>
        <w:t xml:space="preserve">Yes, we agree with this assessment.  </w:t>
      </w:r>
    </w:p>
    <w:permEnd w:id="2104177022"/>
    <w:p w14:paraId="3E608C98" w14:textId="4F997459"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5</w:t>
      </w:r>
      <w:r w:rsidRPr="00EE7FF4">
        <w:rPr>
          <w:rFonts w:ascii="Arial" w:eastAsia="Calibri" w:hAnsi="Arial" w:cs="Arial"/>
          <w:sz w:val="22"/>
          <w:szCs w:val="22"/>
          <w:lang w:eastAsia="en-US"/>
        </w:rPr>
        <w:t>&gt;</w:t>
      </w:r>
    </w:p>
    <w:p w14:paraId="18FE6F33" w14:textId="77777777" w:rsidR="00EE7FF4" w:rsidRPr="00EE7FF4" w:rsidRDefault="00EE7FF4" w:rsidP="00EE7FF4">
      <w:pPr>
        <w:spacing w:after="160" w:line="259" w:lineRule="auto"/>
        <w:rPr>
          <w:rFonts w:ascii="Arial" w:eastAsia="Calibri" w:hAnsi="Arial" w:cs="Arial"/>
          <w:sz w:val="22"/>
          <w:szCs w:val="22"/>
          <w:lang w:eastAsia="en-US"/>
        </w:rPr>
      </w:pPr>
    </w:p>
    <w:p w14:paraId="73FCB20B"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Q6: Do you agree with Guideline 3? If not, please justify, by indicating which parts of the Guideline you do not agree with and the relevant reasons. </w:t>
      </w:r>
    </w:p>
    <w:p w14:paraId="40474AE1" w14:textId="300FFF8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6</w:t>
      </w:r>
      <w:r w:rsidRPr="00EE7FF4">
        <w:rPr>
          <w:rFonts w:ascii="Arial" w:eastAsia="Calibri" w:hAnsi="Arial" w:cs="Arial"/>
          <w:sz w:val="22"/>
          <w:szCs w:val="22"/>
          <w:lang w:eastAsia="en-US"/>
        </w:rPr>
        <w:t>&gt;</w:t>
      </w:r>
    </w:p>
    <w:p w14:paraId="3B9B550C" w14:textId="42A10823" w:rsidR="002C02AC" w:rsidRPr="002C02AC" w:rsidRDefault="002C02AC" w:rsidP="002C02AC">
      <w:pPr>
        <w:rPr>
          <w:lang w:eastAsia="en-US"/>
        </w:rPr>
      </w:pPr>
      <w:permStart w:id="744248132" w:edGrp="everyone"/>
      <w:r w:rsidRPr="002C02AC">
        <w:rPr>
          <w:lang w:eastAsia="en-US"/>
        </w:rPr>
        <w:t>In our comments on Guideline 1, "The Provision of Market Data on the Basis of Cost" (Section 2), we support the view that RCB is rooted in a demonstrable direct cost model plus a reasonable margin. The by-product of this process (calculation) creates a total recovery cost target ("RCB Recoverable Cost Target") from which, for the purposes of Guideline 3, proportional-based revenues are to be allocated. Market data providers should be able to provide to their NCA, a confidential explanation how revenues are (proportionally) allocated to that target.</w:t>
      </w:r>
    </w:p>
    <w:p w14:paraId="511A852D" w14:textId="77777777" w:rsidR="002C02AC" w:rsidRPr="002C02AC" w:rsidRDefault="002C02AC" w:rsidP="002C02AC">
      <w:pPr>
        <w:rPr>
          <w:lang w:eastAsia="en-US"/>
        </w:rPr>
      </w:pPr>
    </w:p>
    <w:p w14:paraId="0173E4B2" w14:textId="27647ABF" w:rsidR="002C02AC" w:rsidRPr="002C02AC" w:rsidRDefault="002C02AC" w:rsidP="002C02AC">
      <w:pPr>
        <w:rPr>
          <w:lang w:eastAsia="en-US"/>
        </w:rPr>
      </w:pPr>
      <w:r w:rsidRPr="002C02AC">
        <w:rPr>
          <w:lang w:eastAsia="en-US"/>
        </w:rPr>
        <w:t>We agree with Guideline 3, but we have reservations about the practical implementation of the requirement “sufficiently general to pertain to more than one customer.”</w:t>
      </w:r>
    </w:p>
    <w:p w14:paraId="56192FDE" w14:textId="77777777" w:rsidR="002C02AC" w:rsidRPr="002C02AC" w:rsidRDefault="002C02AC" w:rsidP="002C02AC">
      <w:pPr>
        <w:rPr>
          <w:lang w:eastAsia="en-US"/>
        </w:rPr>
      </w:pPr>
    </w:p>
    <w:p w14:paraId="1F4E4220" w14:textId="1EFED96A" w:rsidR="002C02AC" w:rsidRPr="002C02AC" w:rsidRDefault="002C02AC" w:rsidP="002C02AC">
      <w:pPr>
        <w:rPr>
          <w:lang w:eastAsia="en-US"/>
        </w:rPr>
      </w:pPr>
      <w:r w:rsidRPr="002C02AC">
        <w:rPr>
          <w:lang w:eastAsia="en-US"/>
        </w:rPr>
        <w:t xml:space="preserve">ESMA should consider requiring disclosure of the percentage of customers attributed to each category in order to confirm that categories are indeed sufficiently general that they pertain to more than one customer. If a category covered less than e.g. 5% of customers then the data providers should have to explain why such niche categories are being created. </w:t>
      </w:r>
    </w:p>
    <w:p w14:paraId="184B88D7" w14:textId="77777777" w:rsidR="002C02AC" w:rsidRPr="002C02AC" w:rsidRDefault="002C02AC" w:rsidP="002C02AC">
      <w:pPr>
        <w:rPr>
          <w:lang w:eastAsia="en-US"/>
        </w:rPr>
      </w:pPr>
    </w:p>
    <w:p w14:paraId="24CD50F6" w14:textId="13D453BC" w:rsidR="002C02AC" w:rsidRPr="002C02AC" w:rsidRDefault="002C02AC" w:rsidP="002C02AC">
      <w:pPr>
        <w:rPr>
          <w:lang w:eastAsia="en-US"/>
        </w:rPr>
      </w:pPr>
      <w:r w:rsidRPr="002C02AC">
        <w:rPr>
          <w:lang w:eastAsia="en-US"/>
        </w:rPr>
        <w:t xml:space="preserve">This disclosure would also prove useful in evaluating the success of the “disaggregated” data (feed) requirement. Disaggregated data (feed) offerings that have few subscribers drive up costs without any corresponding customer benefits. These costs are spread across all data consumers. This disclosure would inform ESMA’s considerations for future guidance on the conditions where a disaggregated (feed) offering(s) can be discontinued. </w:t>
      </w:r>
    </w:p>
    <w:p w14:paraId="0A106F63" w14:textId="3747A304" w:rsidR="00EE7FF4" w:rsidRPr="00EE7FF4" w:rsidRDefault="00EE7FF4" w:rsidP="00EE7FF4">
      <w:pPr>
        <w:spacing w:after="160" w:line="259" w:lineRule="auto"/>
        <w:rPr>
          <w:rFonts w:ascii="Arial" w:eastAsia="Calibri" w:hAnsi="Arial" w:cs="Arial"/>
          <w:sz w:val="22"/>
          <w:szCs w:val="22"/>
          <w:lang w:eastAsia="en-US"/>
        </w:rPr>
      </w:pPr>
    </w:p>
    <w:permEnd w:id="744248132"/>
    <w:p w14:paraId="338DCDAE" w14:textId="42892716"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6</w:t>
      </w:r>
      <w:r w:rsidRPr="00EE7FF4">
        <w:rPr>
          <w:rFonts w:ascii="Arial" w:eastAsia="Calibri" w:hAnsi="Arial" w:cs="Arial"/>
          <w:sz w:val="22"/>
          <w:szCs w:val="22"/>
          <w:lang w:eastAsia="en-US"/>
        </w:rPr>
        <w:t>&gt;</w:t>
      </w:r>
    </w:p>
    <w:p w14:paraId="62186633" w14:textId="77777777" w:rsidR="00EE7FF4" w:rsidRPr="00EE7FF4" w:rsidRDefault="00EE7FF4" w:rsidP="00EE7FF4">
      <w:pPr>
        <w:spacing w:after="160" w:line="259" w:lineRule="auto"/>
        <w:rPr>
          <w:rFonts w:ascii="Arial" w:eastAsia="Calibri" w:hAnsi="Arial" w:cs="Arial"/>
          <w:sz w:val="22"/>
          <w:szCs w:val="22"/>
          <w:lang w:eastAsia="en-US"/>
        </w:rPr>
      </w:pPr>
    </w:p>
    <w:p w14:paraId="5D159222"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Q7: Do you agree with the approach taken in Guideline 4? If not, please justify, also by providing arguments for the adoption of a different approach.</w:t>
      </w:r>
    </w:p>
    <w:p w14:paraId="1F9419DD" w14:textId="6FAC39E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7</w:t>
      </w:r>
      <w:r w:rsidRPr="00EE7FF4">
        <w:rPr>
          <w:rFonts w:ascii="Arial" w:eastAsia="Calibri" w:hAnsi="Arial" w:cs="Arial"/>
          <w:sz w:val="22"/>
          <w:szCs w:val="22"/>
          <w:lang w:eastAsia="en-US"/>
        </w:rPr>
        <w:t>&gt;</w:t>
      </w:r>
    </w:p>
    <w:p w14:paraId="0FB10243" w14:textId="4640DDA3" w:rsidR="00EE7FF4" w:rsidRPr="00EE7FF4" w:rsidRDefault="002C02AC" w:rsidP="00EE7FF4">
      <w:pPr>
        <w:spacing w:after="160" w:line="259" w:lineRule="auto"/>
        <w:rPr>
          <w:rFonts w:ascii="Arial" w:eastAsia="Calibri" w:hAnsi="Arial" w:cs="Arial"/>
          <w:sz w:val="22"/>
          <w:szCs w:val="22"/>
          <w:lang w:eastAsia="en-US"/>
        </w:rPr>
      </w:pPr>
      <w:permStart w:id="1946551265" w:edGrp="everyone"/>
      <w:r w:rsidRPr="002C02AC">
        <w:rPr>
          <w:lang w:eastAsia="en-US"/>
        </w:rPr>
        <w:t>We agree.</w:t>
      </w:r>
    </w:p>
    <w:permEnd w:id="1946551265"/>
    <w:p w14:paraId="14B0890D" w14:textId="6E6395D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7</w:t>
      </w:r>
      <w:r w:rsidRPr="00EE7FF4">
        <w:rPr>
          <w:rFonts w:ascii="Arial" w:eastAsia="Calibri" w:hAnsi="Arial" w:cs="Arial"/>
          <w:sz w:val="22"/>
          <w:szCs w:val="22"/>
          <w:lang w:eastAsia="en-US"/>
        </w:rPr>
        <w:t>&gt;</w:t>
      </w:r>
    </w:p>
    <w:p w14:paraId="538680DA" w14:textId="77777777" w:rsidR="00EE7FF4" w:rsidRPr="00EE7FF4" w:rsidRDefault="00EE7FF4" w:rsidP="00EE7FF4">
      <w:pPr>
        <w:spacing w:after="160" w:line="259" w:lineRule="auto"/>
        <w:rPr>
          <w:rFonts w:ascii="Arial" w:eastAsia="Calibri" w:hAnsi="Arial" w:cs="Arial"/>
          <w:sz w:val="22"/>
          <w:szCs w:val="22"/>
          <w:lang w:eastAsia="en-US"/>
        </w:rPr>
      </w:pPr>
    </w:p>
    <w:p w14:paraId="6A0A0FD2"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lastRenderedPageBreak/>
        <w:t>Q8: Do you agree with Guideline 5? If not, please justify.</w:t>
      </w:r>
    </w:p>
    <w:p w14:paraId="1F0DE952" w14:textId="0E574E3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8</w:t>
      </w:r>
      <w:r w:rsidRPr="00EE7FF4">
        <w:rPr>
          <w:rFonts w:ascii="Arial" w:eastAsia="Calibri" w:hAnsi="Arial" w:cs="Arial"/>
          <w:sz w:val="22"/>
          <w:szCs w:val="22"/>
          <w:lang w:eastAsia="en-US"/>
        </w:rPr>
        <w:t>&gt;</w:t>
      </w:r>
    </w:p>
    <w:p w14:paraId="2D679B3A" w14:textId="7B5C1582" w:rsidR="000B3835" w:rsidRPr="000B3835" w:rsidRDefault="000B3835" w:rsidP="000B3835">
      <w:pPr>
        <w:rPr>
          <w:lang w:eastAsia="en-US"/>
        </w:rPr>
      </w:pPr>
      <w:permStart w:id="1321233513" w:edGrp="everyone"/>
      <w:r w:rsidRPr="000B3835">
        <w:rPr>
          <w:lang w:eastAsia="en-US"/>
        </w:rPr>
        <w:t>We agree, but ESMA should consider expanding guidance from “customers” to also include market data di</w:t>
      </w:r>
      <w:r w:rsidR="00060DCB">
        <w:rPr>
          <w:lang w:eastAsia="en-US"/>
        </w:rPr>
        <w:t xml:space="preserve">stributors, which we note in response to </w:t>
      </w:r>
      <w:r w:rsidR="00060DCB">
        <w:t>Q4</w:t>
      </w:r>
      <w:r w:rsidRPr="000B3835">
        <w:rPr>
          <w:lang w:eastAsia="en-US"/>
        </w:rPr>
        <w:t xml:space="preserve"> above. </w:t>
      </w:r>
    </w:p>
    <w:p w14:paraId="7ABAD868" w14:textId="77777777" w:rsidR="000B3835" w:rsidRPr="000B3835" w:rsidRDefault="000B3835" w:rsidP="000B3835">
      <w:pPr>
        <w:rPr>
          <w:lang w:eastAsia="en-US"/>
        </w:rPr>
      </w:pPr>
    </w:p>
    <w:p w14:paraId="6D0D13E7" w14:textId="3AE73D22" w:rsidR="000B3835" w:rsidRPr="000B3835" w:rsidRDefault="000B3835" w:rsidP="000B3835">
      <w:pPr>
        <w:rPr>
          <w:lang w:eastAsia="en-US"/>
        </w:rPr>
      </w:pPr>
      <w:r w:rsidRPr="000B3835">
        <w:rPr>
          <w:lang w:eastAsia="en-US"/>
        </w:rPr>
        <w:t xml:space="preserve">Market data providers should offer the same technical arrangements including latency and connectivity to all customers who fall within the same category. </w:t>
      </w:r>
    </w:p>
    <w:p w14:paraId="29C16427" w14:textId="77777777" w:rsidR="000B3835" w:rsidRPr="000B3835" w:rsidRDefault="000B3835" w:rsidP="000B3835">
      <w:pPr>
        <w:rPr>
          <w:lang w:eastAsia="en-US"/>
        </w:rPr>
      </w:pPr>
    </w:p>
    <w:p w14:paraId="73BCB631" w14:textId="3ED6EE40" w:rsidR="00EE7FF4" w:rsidRPr="00EE7FF4" w:rsidRDefault="000B3835" w:rsidP="000B3835">
      <w:pPr>
        <w:spacing w:after="160" w:line="259" w:lineRule="auto"/>
        <w:rPr>
          <w:rFonts w:ascii="Arial" w:eastAsia="Calibri" w:hAnsi="Arial" w:cs="Arial"/>
          <w:sz w:val="22"/>
          <w:szCs w:val="22"/>
          <w:lang w:eastAsia="en-US"/>
        </w:rPr>
      </w:pPr>
      <w:r w:rsidRPr="000B3835">
        <w:rPr>
          <w:lang w:eastAsia="en-US"/>
        </w:rPr>
        <w:t>Market data providers should not be able to discriminate within a category of customer by market data distributor or financial technology solution destination. For example, latency can be used to discriminate/preference one market data distributor or financial technology company over another. Thus, ESMA should consider expanding the guideline to stipulate that market data providers should offer the same technical arrangements on a reasonable commercial basis to market data distributors and financial technology companies.</w:t>
      </w:r>
    </w:p>
    <w:permEnd w:id="1321233513"/>
    <w:p w14:paraId="29A679FA" w14:textId="214D39B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8</w:t>
      </w:r>
      <w:r w:rsidRPr="00EE7FF4">
        <w:rPr>
          <w:rFonts w:ascii="Arial" w:eastAsia="Calibri" w:hAnsi="Arial" w:cs="Arial"/>
          <w:sz w:val="22"/>
          <w:szCs w:val="22"/>
          <w:lang w:eastAsia="en-US"/>
        </w:rPr>
        <w:t>&gt;</w:t>
      </w:r>
    </w:p>
    <w:p w14:paraId="72A22F2E" w14:textId="77777777" w:rsidR="00EE7FF4" w:rsidRPr="00EE7FF4" w:rsidRDefault="00EE7FF4" w:rsidP="00EE7FF4">
      <w:pPr>
        <w:spacing w:after="160" w:line="259" w:lineRule="auto"/>
        <w:rPr>
          <w:rFonts w:ascii="Arial" w:eastAsia="Calibri" w:hAnsi="Arial" w:cs="Arial"/>
          <w:sz w:val="22"/>
          <w:szCs w:val="22"/>
          <w:lang w:eastAsia="en-US"/>
        </w:rPr>
      </w:pPr>
    </w:p>
    <w:p w14:paraId="52F8DCDD"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Q9: Do you think that ESMA should clarify other elements of the obligation to provide market data on a non-discriminatory basis? If yes, please explain.</w:t>
      </w:r>
    </w:p>
    <w:p w14:paraId="303DEC84" w14:textId="2D6F2CC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9</w:t>
      </w:r>
      <w:r w:rsidRPr="00EE7FF4">
        <w:rPr>
          <w:rFonts w:ascii="Arial" w:eastAsia="Calibri" w:hAnsi="Arial" w:cs="Arial"/>
          <w:sz w:val="22"/>
          <w:szCs w:val="22"/>
          <w:lang w:eastAsia="en-US"/>
        </w:rPr>
        <w:t>&gt;</w:t>
      </w:r>
    </w:p>
    <w:p w14:paraId="52A762D0" w14:textId="1E67485C" w:rsidR="00EE7FF4" w:rsidRPr="00EE7FF4" w:rsidRDefault="000B3835" w:rsidP="00EE7FF4">
      <w:pPr>
        <w:spacing w:after="160" w:line="259" w:lineRule="auto"/>
        <w:rPr>
          <w:rFonts w:ascii="Arial" w:eastAsia="Calibri" w:hAnsi="Arial" w:cs="Arial"/>
          <w:sz w:val="22"/>
          <w:szCs w:val="22"/>
          <w:lang w:eastAsia="en-US"/>
        </w:rPr>
      </w:pPr>
      <w:permStart w:id="443503228" w:edGrp="everyone"/>
      <w:r w:rsidRPr="000B3835">
        <w:rPr>
          <w:lang w:eastAsia="en-US"/>
        </w:rPr>
        <w:t>As noted in Questions 6 and 8, we believe it would be useful for ESMA to be more specific about the criteria that would enable supervisory authorities to determine whether categories are sufficiently broad, such that they are not deliberately constructed to only apply to a select few customers, with the objective of applying discriminatory treatment to customers who are similarly situated and who would otherwise be in the same category.</w:t>
      </w:r>
    </w:p>
    <w:permEnd w:id="443503228"/>
    <w:p w14:paraId="7A869DC0" w14:textId="7E11F8C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9</w:t>
      </w:r>
      <w:r w:rsidRPr="00EE7FF4">
        <w:rPr>
          <w:rFonts w:ascii="Arial" w:eastAsia="Calibri" w:hAnsi="Arial" w:cs="Arial"/>
          <w:sz w:val="22"/>
          <w:szCs w:val="22"/>
          <w:lang w:eastAsia="en-US"/>
        </w:rPr>
        <w:t>&gt;</w:t>
      </w:r>
    </w:p>
    <w:p w14:paraId="195EC6F0" w14:textId="77777777" w:rsidR="00EE7FF4" w:rsidRPr="00EE7FF4" w:rsidRDefault="00EE7FF4" w:rsidP="00EE7FF4">
      <w:pPr>
        <w:spacing w:after="160" w:line="259" w:lineRule="auto"/>
        <w:rPr>
          <w:rFonts w:ascii="Arial" w:eastAsia="Calibri" w:hAnsi="Arial" w:cs="Arial"/>
          <w:sz w:val="22"/>
          <w:szCs w:val="22"/>
          <w:lang w:eastAsia="en-US"/>
        </w:rPr>
      </w:pPr>
    </w:p>
    <w:p w14:paraId="6402A626"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Q10: Do you agree on the interpretation of the per user model provided by Guideline 6? If not, please justify and include in your answer any different interpretation you may have of the per user model and supporting grounds. </w:t>
      </w:r>
    </w:p>
    <w:p w14:paraId="54ACEC26" w14:textId="10A0B809"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10</w:t>
      </w:r>
      <w:r w:rsidRPr="00EE7FF4">
        <w:rPr>
          <w:rFonts w:ascii="Arial" w:eastAsia="Calibri" w:hAnsi="Arial" w:cs="Arial"/>
          <w:sz w:val="22"/>
          <w:szCs w:val="22"/>
          <w:lang w:eastAsia="en-US"/>
        </w:rPr>
        <w:t>&gt;</w:t>
      </w:r>
    </w:p>
    <w:p w14:paraId="044509BF" w14:textId="6251A17D" w:rsidR="000B3835" w:rsidRPr="000B3835" w:rsidRDefault="000B3835" w:rsidP="000B3835">
      <w:pPr>
        <w:rPr>
          <w:lang w:eastAsia="en-US"/>
        </w:rPr>
      </w:pPr>
      <w:permStart w:id="1614824364" w:edGrp="everyone"/>
      <w:r w:rsidRPr="000B3835">
        <w:rPr>
          <w:lang w:eastAsia="en-US"/>
        </w:rPr>
        <w:t xml:space="preserve">Since the beginning of MiFID II, there have been calls for “netting” where customers are able to pay for market data only once, across (different) market data distributors and (display and non-display) devices.  An illustrative example is a customer who could have data displayed on an order routing or execution management system and enlist two market data distributors – a primary and a back-up – for business continuity or latency purposes, to deliver the data. In this example, customers should not be required to pay multiple times for the same data. </w:t>
      </w:r>
    </w:p>
    <w:p w14:paraId="67939DB4" w14:textId="77777777" w:rsidR="000B3835" w:rsidRPr="000B3835" w:rsidRDefault="000B3835" w:rsidP="000B3835">
      <w:pPr>
        <w:rPr>
          <w:lang w:eastAsia="en-US"/>
        </w:rPr>
      </w:pPr>
    </w:p>
    <w:p w14:paraId="251600DF" w14:textId="77777777" w:rsidR="000B3835" w:rsidRPr="000B3835" w:rsidRDefault="000B3835" w:rsidP="000B3835">
      <w:pPr>
        <w:rPr>
          <w:lang w:eastAsia="en-US"/>
        </w:rPr>
      </w:pPr>
    </w:p>
    <w:p w14:paraId="582C35DD" w14:textId="3D93BCBF" w:rsidR="000B3835" w:rsidRPr="000B3835" w:rsidRDefault="00060DCB" w:rsidP="000B3835">
      <w:pPr>
        <w:rPr>
          <w:lang w:eastAsia="en-US"/>
        </w:rPr>
      </w:pPr>
      <w:r>
        <w:t xml:space="preserve">We welcome ESMA examining the issue. </w:t>
      </w:r>
      <w:r w:rsidR="000B3835" w:rsidRPr="000B3835">
        <w:rPr>
          <w:lang w:eastAsia="en-US"/>
        </w:rPr>
        <w:t xml:space="preserve">However, the implementation of Guidelines 6 and 7 is more complicated than the guidelines suggest and it does not adequately consider practical considerations. For example, in addition to the proposed "Active User-ID", the Guidelines should also stipulate that market data customers should also be offered the option to count </w:t>
      </w:r>
      <w:r w:rsidR="000B3835" w:rsidRPr="000B3835">
        <w:rPr>
          <w:lang w:eastAsia="en-US"/>
        </w:rPr>
        <w:lastRenderedPageBreak/>
        <w:t xml:space="preserve">"Active Device-ID" when access to market data is controlled by IDs assigned to physical devices. </w:t>
      </w:r>
    </w:p>
    <w:p w14:paraId="331B4ABC" w14:textId="77777777" w:rsidR="000B3835" w:rsidRPr="000B3835" w:rsidRDefault="000B3835" w:rsidP="000B3835">
      <w:pPr>
        <w:rPr>
          <w:lang w:eastAsia="en-US"/>
        </w:rPr>
      </w:pPr>
    </w:p>
    <w:p w14:paraId="390ED3E8" w14:textId="06255F18" w:rsidR="000B3835" w:rsidRPr="000B3835" w:rsidRDefault="000B3835" w:rsidP="000B3835">
      <w:pPr>
        <w:rPr>
          <w:lang w:eastAsia="en-US"/>
        </w:rPr>
      </w:pPr>
      <w:r w:rsidRPr="000B3835">
        <w:rPr>
          <w:lang w:eastAsia="en-US"/>
        </w:rPr>
        <w:t>We suggest that ESMA considers a roundtable with experts to examine the issue further and then launching a consultation to determine next steps and possible solutions, because the current proposed solution may create more problems than it solve</w:t>
      </w:r>
      <w:r w:rsidR="00060DCB">
        <w:t>s</w:t>
      </w:r>
      <w:r w:rsidRPr="000B3835">
        <w:rPr>
          <w:lang w:eastAsia="en-US"/>
        </w:rPr>
        <w:t>.</w:t>
      </w:r>
    </w:p>
    <w:p w14:paraId="08E43B4F" w14:textId="77777777" w:rsidR="000B3835" w:rsidRPr="000B3835" w:rsidRDefault="000B3835" w:rsidP="000B3835">
      <w:pPr>
        <w:rPr>
          <w:lang w:eastAsia="en-US"/>
        </w:rPr>
      </w:pPr>
    </w:p>
    <w:p w14:paraId="08EC60AC" w14:textId="51D8B529" w:rsidR="00EE7FF4" w:rsidRPr="00EE7FF4" w:rsidRDefault="000B3835" w:rsidP="000B3835">
      <w:pPr>
        <w:spacing w:after="160" w:line="259" w:lineRule="auto"/>
        <w:rPr>
          <w:rFonts w:ascii="Arial" w:eastAsia="Calibri" w:hAnsi="Arial" w:cs="Arial"/>
          <w:sz w:val="22"/>
          <w:szCs w:val="22"/>
          <w:lang w:eastAsia="en-US"/>
        </w:rPr>
      </w:pPr>
      <w:r w:rsidRPr="000B3835">
        <w:rPr>
          <w:lang w:eastAsia="en-US"/>
        </w:rPr>
        <w:t>Also, ESMA states that, as non-display market data will be accessed through a machine by automated means, it considers it appropriate to quantify the level of use by the number of servers or devices. We would note that normally market data providers charge fixed license fees for non-display usage rather than variable fees based on the number of servers/devices accessing market data for non-display usage.</w:t>
      </w:r>
    </w:p>
    <w:permEnd w:id="1614824364"/>
    <w:p w14:paraId="6F456B6A" w14:textId="00C0FDC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w:t>
      </w:r>
      <w:r w:rsidRPr="00EE7FF4">
        <w:rPr>
          <w:rFonts w:ascii="Arial" w:eastAsia="Calibri" w:hAnsi="Arial" w:cs="Arial"/>
          <w:sz w:val="22"/>
          <w:szCs w:val="22"/>
          <w:lang w:eastAsia="en-US"/>
        </w:rPr>
        <w:t>0&gt;</w:t>
      </w:r>
    </w:p>
    <w:p w14:paraId="5536C5E8" w14:textId="77777777" w:rsidR="00EE7FF4" w:rsidRPr="00EE7FF4" w:rsidRDefault="00EE7FF4" w:rsidP="00EE7FF4">
      <w:pPr>
        <w:spacing w:after="160" w:line="259" w:lineRule="auto"/>
        <w:rPr>
          <w:rFonts w:ascii="Arial" w:eastAsia="Calibri" w:hAnsi="Arial" w:cs="Arial"/>
          <w:sz w:val="22"/>
          <w:szCs w:val="22"/>
          <w:lang w:eastAsia="en-US"/>
        </w:rPr>
      </w:pPr>
    </w:p>
    <w:p w14:paraId="31532D9F"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Q11: Do you agree with Guideline 7? If not, please justify. In your opinion, are there any other additional conditions that need to be met by the customer in order to permit the application of the per user model or do you consider the conditions listed in Guideline 7 sufficient to this aim? Please include in your answer the main obstacles you see in the adoption of the per user model, if any, and comments or suggestions you may have to encourage its application. </w:t>
      </w:r>
    </w:p>
    <w:p w14:paraId="5F0A0C85" w14:textId="57A49A8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11</w:t>
      </w:r>
      <w:r w:rsidRPr="00EE7FF4">
        <w:rPr>
          <w:rFonts w:ascii="Arial" w:eastAsia="Calibri" w:hAnsi="Arial" w:cs="Arial"/>
          <w:sz w:val="22"/>
          <w:szCs w:val="22"/>
          <w:lang w:eastAsia="en-US"/>
        </w:rPr>
        <w:t>&gt;</w:t>
      </w:r>
    </w:p>
    <w:p w14:paraId="1F8F2967" w14:textId="1287AAAA" w:rsidR="00EE7FF4" w:rsidRPr="00EE7FF4" w:rsidRDefault="000B3835" w:rsidP="00EE7FF4">
      <w:pPr>
        <w:spacing w:after="160" w:line="259" w:lineRule="auto"/>
        <w:rPr>
          <w:rFonts w:ascii="Arial" w:eastAsia="Calibri" w:hAnsi="Arial" w:cs="Arial"/>
          <w:sz w:val="22"/>
          <w:szCs w:val="22"/>
          <w:lang w:eastAsia="en-US"/>
        </w:rPr>
      </w:pPr>
      <w:permStart w:id="1660039463" w:edGrp="everyone"/>
      <w:r>
        <w:rPr>
          <w:rFonts w:eastAsia="Calibri"/>
        </w:rPr>
        <w:t>Please see comments in response to Q10</w:t>
      </w:r>
    </w:p>
    <w:permEnd w:id="1660039463"/>
    <w:p w14:paraId="52341B26" w14:textId="5315C98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11</w:t>
      </w:r>
      <w:r w:rsidRPr="00EE7FF4">
        <w:rPr>
          <w:rFonts w:ascii="Arial" w:eastAsia="Calibri" w:hAnsi="Arial" w:cs="Arial"/>
          <w:sz w:val="22"/>
          <w:szCs w:val="22"/>
          <w:lang w:eastAsia="en-US"/>
        </w:rPr>
        <w:t>&gt;</w:t>
      </w:r>
    </w:p>
    <w:p w14:paraId="34026CA1" w14:textId="77777777" w:rsidR="00EE7FF4" w:rsidRPr="00EE7FF4" w:rsidRDefault="00EE7FF4" w:rsidP="00EE7FF4">
      <w:pPr>
        <w:spacing w:after="160" w:line="259" w:lineRule="auto"/>
        <w:rPr>
          <w:rFonts w:ascii="Arial" w:eastAsia="Calibri" w:hAnsi="Arial" w:cs="Arial"/>
          <w:sz w:val="22"/>
          <w:szCs w:val="22"/>
          <w:lang w:eastAsia="en-US"/>
        </w:rPr>
      </w:pPr>
    </w:p>
    <w:p w14:paraId="5C0E1E93"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Q12: Do you agree with Guideline 8? If not, please justify also by indicating what are the elements making the adoption of the per user model disproportionate and the reasons hampering their disclosure.   </w:t>
      </w:r>
    </w:p>
    <w:p w14:paraId="24B7CF30" w14:textId="179AD81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12</w:t>
      </w:r>
      <w:r w:rsidRPr="00EE7FF4">
        <w:rPr>
          <w:rFonts w:ascii="Arial" w:eastAsia="Calibri" w:hAnsi="Arial" w:cs="Arial"/>
          <w:sz w:val="22"/>
          <w:szCs w:val="22"/>
          <w:lang w:eastAsia="en-US"/>
        </w:rPr>
        <w:t>&gt;</w:t>
      </w:r>
    </w:p>
    <w:p w14:paraId="3A94197D" w14:textId="2CD9DB34" w:rsidR="00EE7FF4" w:rsidRPr="00EE7FF4" w:rsidRDefault="000B3835" w:rsidP="00EE7FF4">
      <w:pPr>
        <w:spacing w:after="160" w:line="259" w:lineRule="auto"/>
        <w:rPr>
          <w:rFonts w:ascii="Arial" w:eastAsia="Calibri" w:hAnsi="Arial" w:cs="Arial"/>
          <w:sz w:val="22"/>
          <w:szCs w:val="22"/>
          <w:lang w:eastAsia="en-US"/>
        </w:rPr>
      </w:pPr>
      <w:permStart w:id="2083202219" w:edGrp="everyone"/>
      <w:r w:rsidRPr="000B3835">
        <w:rPr>
          <w:lang w:eastAsia="en-US"/>
        </w:rPr>
        <w:t>We agree with the draft Guideline 8. It is key that providers are not forced to adopt a model which entails disproportionate costs as long as they reasonably justify their rationale.</w:t>
      </w:r>
    </w:p>
    <w:permEnd w:id="2083202219"/>
    <w:p w14:paraId="5EA29AF6" w14:textId="6CCEB6B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12</w:t>
      </w:r>
      <w:r w:rsidRPr="00EE7FF4">
        <w:rPr>
          <w:rFonts w:ascii="Arial" w:eastAsia="Calibri" w:hAnsi="Arial" w:cs="Arial"/>
          <w:sz w:val="22"/>
          <w:szCs w:val="22"/>
          <w:lang w:eastAsia="en-US"/>
        </w:rPr>
        <w:t>&gt;</w:t>
      </w:r>
    </w:p>
    <w:p w14:paraId="1F1FC54F" w14:textId="77777777" w:rsidR="00EE7FF4" w:rsidRPr="00EE7FF4" w:rsidRDefault="00EE7FF4" w:rsidP="00EE7FF4">
      <w:pPr>
        <w:spacing w:after="160" w:line="259" w:lineRule="auto"/>
        <w:rPr>
          <w:rFonts w:ascii="Arial" w:eastAsia="Calibri" w:hAnsi="Arial" w:cs="Arial"/>
          <w:sz w:val="22"/>
          <w:szCs w:val="22"/>
          <w:lang w:eastAsia="en-US"/>
        </w:rPr>
      </w:pPr>
    </w:p>
    <w:p w14:paraId="20E1176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Q13: Do you think ESMA should clarify other elements of the obligation to provide market data on a per user fees basis? If yes, please explain.</w:t>
      </w:r>
    </w:p>
    <w:p w14:paraId="764CA57C" w14:textId="7569DC6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13</w:t>
      </w:r>
      <w:r w:rsidRPr="00EE7FF4">
        <w:rPr>
          <w:rFonts w:ascii="Arial" w:eastAsia="Calibri" w:hAnsi="Arial" w:cs="Arial"/>
          <w:sz w:val="22"/>
          <w:szCs w:val="22"/>
          <w:lang w:eastAsia="en-US"/>
        </w:rPr>
        <w:t>&gt;</w:t>
      </w:r>
    </w:p>
    <w:p w14:paraId="75756DAB" w14:textId="057AF14F" w:rsidR="00EE7FF4" w:rsidRPr="000B3835" w:rsidRDefault="000B3835" w:rsidP="000B3835">
      <w:pPr>
        <w:rPr>
          <w:rFonts w:eastAsia="Calibri"/>
        </w:rPr>
      </w:pPr>
      <w:permStart w:id="705716648" w:edGrp="everyone"/>
      <w:r w:rsidRPr="000B3835">
        <w:rPr>
          <w:rFonts w:eastAsia="Calibri"/>
        </w:rPr>
        <w:t>Please see comments in response to Q10</w:t>
      </w:r>
    </w:p>
    <w:permEnd w:id="705716648"/>
    <w:p w14:paraId="34FD416B" w14:textId="0A9987F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13</w:t>
      </w:r>
      <w:r w:rsidRPr="00EE7FF4">
        <w:rPr>
          <w:rFonts w:ascii="Arial" w:eastAsia="Calibri" w:hAnsi="Arial" w:cs="Arial"/>
          <w:sz w:val="22"/>
          <w:szCs w:val="22"/>
          <w:lang w:eastAsia="en-US"/>
        </w:rPr>
        <w:t>&gt;</w:t>
      </w:r>
    </w:p>
    <w:p w14:paraId="72C368EE" w14:textId="77777777" w:rsidR="00EE7FF4" w:rsidRPr="00EE7FF4" w:rsidRDefault="00EE7FF4" w:rsidP="00EE7FF4">
      <w:pPr>
        <w:spacing w:after="160" w:line="259" w:lineRule="auto"/>
        <w:rPr>
          <w:rFonts w:ascii="Arial" w:eastAsia="Calibri" w:hAnsi="Arial" w:cs="Arial"/>
          <w:sz w:val="22"/>
          <w:szCs w:val="22"/>
          <w:lang w:eastAsia="en-US"/>
        </w:rPr>
      </w:pPr>
    </w:p>
    <w:p w14:paraId="4D9D621B"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Q14: Do you agree with Guideline 9? If not, please justify. </w:t>
      </w:r>
    </w:p>
    <w:p w14:paraId="29C9722A" w14:textId="40538AA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14</w:t>
      </w:r>
      <w:r w:rsidRPr="00EE7FF4">
        <w:rPr>
          <w:rFonts w:ascii="Arial" w:eastAsia="Calibri" w:hAnsi="Arial" w:cs="Arial"/>
          <w:sz w:val="22"/>
          <w:szCs w:val="22"/>
          <w:lang w:eastAsia="en-US"/>
        </w:rPr>
        <w:t>&gt;</w:t>
      </w:r>
    </w:p>
    <w:p w14:paraId="302D6C42" w14:textId="63B8208D" w:rsidR="00EE7FF4" w:rsidRPr="00EE7FF4" w:rsidRDefault="000B3835" w:rsidP="00EE7FF4">
      <w:pPr>
        <w:spacing w:after="160" w:line="259" w:lineRule="auto"/>
        <w:rPr>
          <w:rFonts w:ascii="Arial" w:eastAsia="Calibri" w:hAnsi="Arial" w:cs="Arial"/>
          <w:sz w:val="22"/>
          <w:szCs w:val="22"/>
          <w:lang w:eastAsia="en-US"/>
        </w:rPr>
      </w:pPr>
      <w:permStart w:id="1735354217" w:edGrp="everyone"/>
      <w:r w:rsidRPr="000B3835">
        <w:rPr>
          <w:lang w:eastAsia="en-US"/>
        </w:rPr>
        <w:lastRenderedPageBreak/>
        <w:t>We agree.</w:t>
      </w:r>
    </w:p>
    <w:permEnd w:id="1735354217"/>
    <w:p w14:paraId="599EDFE4" w14:textId="21053925"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14</w:t>
      </w:r>
      <w:r w:rsidRPr="00EE7FF4">
        <w:rPr>
          <w:rFonts w:ascii="Arial" w:eastAsia="Calibri" w:hAnsi="Arial" w:cs="Arial"/>
          <w:sz w:val="22"/>
          <w:szCs w:val="22"/>
          <w:lang w:eastAsia="en-US"/>
        </w:rPr>
        <w:t>&gt;</w:t>
      </w:r>
    </w:p>
    <w:p w14:paraId="3F000558" w14:textId="77777777" w:rsidR="00EE7FF4" w:rsidRPr="00EE7FF4" w:rsidRDefault="00EE7FF4" w:rsidP="00EE7FF4">
      <w:pPr>
        <w:spacing w:after="160" w:line="259" w:lineRule="auto"/>
        <w:rPr>
          <w:rFonts w:ascii="Arial" w:eastAsia="Calibri" w:hAnsi="Arial" w:cs="Arial"/>
          <w:sz w:val="22"/>
          <w:szCs w:val="22"/>
          <w:lang w:eastAsia="en-US"/>
        </w:rPr>
      </w:pPr>
    </w:p>
    <w:p w14:paraId="7ED9E0CC"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Q15: Do you think ESMA should clarify other elements in relation to the obligation to keep data unbundled? If yes, please explain.</w:t>
      </w:r>
    </w:p>
    <w:p w14:paraId="0791FE87" w14:textId="7749F7F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15</w:t>
      </w:r>
      <w:r w:rsidRPr="00EE7FF4">
        <w:rPr>
          <w:rFonts w:ascii="Arial" w:eastAsia="Calibri" w:hAnsi="Arial" w:cs="Arial"/>
          <w:sz w:val="22"/>
          <w:szCs w:val="22"/>
          <w:lang w:eastAsia="en-US"/>
        </w:rPr>
        <w:t>&gt;</w:t>
      </w:r>
    </w:p>
    <w:p w14:paraId="06DE43CF" w14:textId="409AC9D5" w:rsidR="00EE7FF4" w:rsidRPr="00EE7FF4" w:rsidRDefault="000B3835" w:rsidP="00EE7FF4">
      <w:pPr>
        <w:spacing w:after="160" w:line="259" w:lineRule="auto"/>
        <w:rPr>
          <w:rFonts w:ascii="Arial" w:eastAsia="Calibri" w:hAnsi="Arial" w:cs="Arial"/>
          <w:sz w:val="22"/>
          <w:szCs w:val="22"/>
          <w:lang w:eastAsia="en-US"/>
        </w:rPr>
      </w:pPr>
      <w:permStart w:id="956322942" w:edGrp="everyone"/>
      <w:r w:rsidRPr="000B3835">
        <w:rPr>
          <w:lang w:eastAsia="en-US"/>
        </w:rPr>
        <w:t>As we noted in our response to Question 6, disclosure of the number or the percentage of customers subscribing to certain data feeds would prove useful to evaluate the success of the “disaggregated” data (feed) regulation. Disaggregated data (feed) offerings that have no subscribers drive up costs without offsetting benefits. These costs are spread across all data consumers. This disclosure would inform ESMA’s considerations on future guidance regarding the conditions where a disaggregated (feed) offering(s) can be discontinued.</w:t>
      </w:r>
    </w:p>
    <w:permEnd w:id="956322942"/>
    <w:p w14:paraId="17DC099C" w14:textId="1305DCF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15</w:t>
      </w:r>
      <w:r w:rsidRPr="00EE7FF4">
        <w:rPr>
          <w:rFonts w:ascii="Arial" w:eastAsia="Calibri" w:hAnsi="Arial" w:cs="Arial"/>
          <w:sz w:val="22"/>
          <w:szCs w:val="22"/>
          <w:lang w:eastAsia="en-US"/>
        </w:rPr>
        <w:t>&gt;</w:t>
      </w:r>
    </w:p>
    <w:p w14:paraId="6F695BFE" w14:textId="77777777" w:rsidR="00EE7FF4" w:rsidRPr="00EE7FF4" w:rsidRDefault="00EE7FF4" w:rsidP="00EE7FF4">
      <w:pPr>
        <w:spacing w:after="160" w:line="259" w:lineRule="auto"/>
        <w:rPr>
          <w:rFonts w:ascii="Arial" w:eastAsia="Calibri" w:hAnsi="Arial" w:cs="Arial"/>
          <w:sz w:val="22"/>
          <w:szCs w:val="22"/>
          <w:lang w:eastAsia="en-US"/>
        </w:rPr>
      </w:pPr>
    </w:p>
    <w:p w14:paraId="37FB139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Q16: Do you agree with Guideline 10 that market data providers should use a standardised publication format to publish the RCB information? If not, please justify. </w:t>
      </w:r>
    </w:p>
    <w:p w14:paraId="362A518E" w14:textId="5F973FE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16</w:t>
      </w:r>
      <w:r w:rsidRPr="00EE7FF4">
        <w:rPr>
          <w:rFonts w:ascii="Arial" w:eastAsia="Calibri" w:hAnsi="Arial" w:cs="Arial"/>
          <w:sz w:val="22"/>
          <w:szCs w:val="22"/>
          <w:lang w:eastAsia="en-US"/>
        </w:rPr>
        <w:t>&gt;</w:t>
      </w:r>
    </w:p>
    <w:p w14:paraId="1087910D" w14:textId="2450F294" w:rsidR="00EE7FF4" w:rsidRPr="00EE7FF4" w:rsidRDefault="000B3835" w:rsidP="00EE7FF4">
      <w:pPr>
        <w:spacing w:after="160" w:line="259" w:lineRule="auto"/>
        <w:rPr>
          <w:rFonts w:ascii="Arial" w:eastAsia="Calibri" w:hAnsi="Arial" w:cs="Arial"/>
          <w:sz w:val="22"/>
          <w:szCs w:val="22"/>
          <w:lang w:eastAsia="en-US"/>
        </w:rPr>
      </w:pPr>
      <w:permStart w:id="942635280" w:edGrp="everyone"/>
      <w:r w:rsidRPr="000B3835">
        <w:t>We agree.</w:t>
      </w:r>
    </w:p>
    <w:permEnd w:id="942635280"/>
    <w:p w14:paraId="3BD458BE" w14:textId="5D0B7FF3"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16</w:t>
      </w:r>
      <w:r w:rsidRPr="00EE7FF4">
        <w:rPr>
          <w:rFonts w:ascii="Arial" w:eastAsia="Calibri" w:hAnsi="Arial" w:cs="Arial"/>
          <w:sz w:val="22"/>
          <w:szCs w:val="22"/>
          <w:lang w:eastAsia="en-US"/>
        </w:rPr>
        <w:t>&gt;</w:t>
      </w:r>
    </w:p>
    <w:p w14:paraId="5C5D53A1" w14:textId="77777777" w:rsidR="00EE7FF4" w:rsidRPr="00EE7FF4" w:rsidRDefault="00EE7FF4" w:rsidP="00EE7FF4">
      <w:pPr>
        <w:spacing w:after="160" w:line="259" w:lineRule="auto"/>
        <w:rPr>
          <w:rFonts w:ascii="Arial" w:eastAsia="Calibri" w:hAnsi="Arial" w:cs="Arial"/>
          <w:sz w:val="22"/>
          <w:szCs w:val="22"/>
          <w:lang w:eastAsia="en-US"/>
        </w:rPr>
      </w:pPr>
    </w:p>
    <w:p w14:paraId="035E22D4"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Q17: Do you agree with the standardised publication template set out in Annex I of the Guidelines and the accompanying instructions? Do you have any comments and suggestions to improve the standardised publication format and the accompanying instructions?</w:t>
      </w:r>
    </w:p>
    <w:p w14:paraId="4D6AE29A" w14:textId="1D3883E4"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17</w:t>
      </w:r>
      <w:r w:rsidRPr="00EE7FF4">
        <w:rPr>
          <w:rFonts w:ascii="Arial" w:eastAsia="Calibri" w:hAnsi="Arial" w:cs="Arial"/>
          <w:sz w:val="22"/>
          <w:szCs w:val="22"/>
          <w:lang w:eastAsia="en-US"/>
        </w:rPr>
        <w:t>&gt;</w:t>
      </w:r>
    </w:p>
    <w:p w14:paraId="3D78714E" w14:textId="506EA95A" w:rsidR="000B3835" w:rsidRPr="000B3835" w:rsidRDefault="000B3835" w:rsidP="000B3835">
      <w:pPr>
        <w:rPr>
          <w:lang w:eastAsia="en-US"/>
        </w:rPr>
      </w:pPr>
      <w:permStart w:id="2058490476" w:edGrp="everyone"/>
      <w:r w:rsidRPr="000B3835">
        <w:rPr>
          <w:lang w:eastAsia="en-US"/>
        </w:rPr>
        <w:t>While the template creates a centralized place for all hyperlinks to a market data provider’s “price list” and RCB information, ESMA should consider centralizing the location of the disclosures to make the disclosures easily accessible and comparable.</w:t>
      </w:r>
    </w:p>
    <w:p w14:paraId="509F959A" w14:textId="77777777" w:rsidR="000B3835" w:rsidRPr="000B3835" w:rsidRDefault="000B3835" w:rsidP="000B3835">
      <w:pPr>
        <w:rPr>
          <w:lang w:eastAsia="en-US"/>
        </w:rPr>
      </w:pPr>
    </w:p>
    <w:p w14:paraId="153B0DBD" w14:textId="2B0DF66D" w:rsidR="000B3835" w:rsidRPr="000B3835" w:rsidRDefault="000B3835" w:rsidP="000B3835">
      <w:pPr>
        <w:rPr>
          <w:lang w:eastAsia="en-US"/>
        </w:rPr>
      </w:pPr>
      <w:r w:rsidRPr="000B3835">
        <w:rPr>
          <w:lang w:eastAsia="en-US"/>
        </w:rPr>
        <w:t xml:space="preserve">The template was developed from the perspective of liquid (equities, equity-like and, derivatives instrument) market data.  Annex 1 is not compatible with less liquid market data such as fixed income cash markets. For example, column (3) “pre-trade/post-trade market data ratio” for the market data of less liquid instruments </w:t>
      </w:r>
      <w:r w:rsidR="00060DCB">
        <w:t>requires clarification</w:t>
      </w:r>
      <w:r w:rsidRPr="000B3835">
        <w:rPr>
          <w:lang w:eastAsia="en-US"/>
        </w:rPr>
        <w:t>.</w:t>
      </w:r>
    </w:p>
    <w:p w14:paraId="158AC881" w14:textId="77777777" w:rsidR="000B3835" w:rsidRPr="000B3835" w:rsidRDefault="000B3835" w:rsidP="000B3835">
      <w:pPr>
        <w:rPr>
          <w:lang w:eastAsia="en-US"/>
        </w:rPr>
      </w:pPr>
    </w:p>
    <w:p w14:paraId="083AC33A" w14:textId="24B49F3F" w:rsidR="000B3835" w:rsidRPr="000B3835" w:rsidRDefault="000B3835" w:rsidP="000B3835">
      <w:pPr>
        <w:rPr>
          <w:lang w:eastAsia="en-US"/>
        </w:rPr>
      </w:pPr>
      <w:r w:rsidRPr="000B3835">
        <w:rPr>
          <w:lang w:eastAsia="en-US"/>
        </w:rPr>
        <w:t xml:space="preserve">If the goal of the “market data content information” is to provide disclosure of the content which the market data provider offers, then the template for equity instruments, bonds, etc. should be disaggregated to list the sub-asset classes covered rather than simply the “number” of instruments covered in the asset class.  </w:t>
      </w:r>
    </w:p>
    <w:p w14:paraId="51602AB0" w14:textId="77777777" w:rsidR="000B3835" w:rsidRPr="000B3835" w:rsidRDefault="000B3835" w:rsidP="000B3835">
      <w:pPr>
        <w:rPr>
          <w:lang w:eastAsia="en-US"/>
        </w:rPr>
      </w:pPr>
    </w:p>
    <w:p w14:paraId="715278A0" w14:textId="3F60F951" w:rsidR="000B3835" w:rsidRPr="000B3835" w:rsidRDefault="000B3835" w:rsidP="000B3835">
      <w:pPr>
        <w:rPr>
          <w:lang w:eastAsia="en-US"/>
        </w:rPr>
      </w:pPr>
      <w:r w:rsidRPr="000B3835">
        <w:rPr>
          <w:lang w:eastAsia="en-US"/>
        </w:rPr>
        <w:lastRenderedPageBreak/>
        <w:t xml:space="preserve">With respect to cost accounting methodology, ESMA should consider adding guidance that categorizes allowable RCB costs. The U.S. Investors Exchange (IEX) in 2019 developed a set of considerations that the template should consider integrating. Market data providers operate a primary and a redundant disaster recovery data </w:t>
      </w:r>
      <w:proofErr w:type="spellStart"/>
      <w:r w:rsidRPr="000B3835">
        <w:rPr>
          <w:lang w:eastAsia="en-US"/>
        </w:rPr>
        <w:t>center</w:t>
      </w:r>
      <w:proofErr w:type="spellEnd"/>
      <w:r w:rsidRPr="000B3835">
        <w:rPr>
          <w:lang w:eastAsia="en-US"/>
        </w:rPr>
        <w:t>. The cost of providing market data as per the IEX template consists of seven considerations:</w:t>
      </w:r>
    </w:p>
    <w:p w14:paraId="03EA9867" w14:textId="77777777" w:rsidR="000B3835" w:rsidRPr="000B3835" w:rsidRDefault="000B3835" w:rsidP="000B3835">
      <w:pPr>
        <w:rPr>
          <w:lang w:eastAsia="en-US"/>
        </w:rPr>
      </w:pPr>
    </w:p>
    <w:p w14:paraId="59E547B6" w14:textId="77777777" w:rsidR="000B3835" w:rsidRPr="000B3835" w:rsidRDefault="000B3835" w:rsidP="000B3835">
      <w:pPr>
        <w:rPr>
          <w:lang w:eastAsia="en-US"/>
        </w:rPr>
      </w:pPr>
      <w:r w:rsidRPr="000B3835">
        <w:rPr>
          <w:lang w:eastAsia="en-US"/>
        </w:rPr>
        <w:t>(</w:t>
      </w:r>
      <w:proofErr w:type="spellStart"/>
      <w:r w:rsidRPr="000B3835">
        <w:rPr>
          <w:lang w:eastAsia="en-US"/>
        </w:rPr>
        <w:t>i</w:t>
      </w:r>
      <w:proofErr w:type="spellEnd"/>
      <w:r w:rsidRPr="000B3835">
        <w:rPr>
          <w:lang w:eastAsia="en-US"/>
        </w:rPr>
        <w:t xml:space="preserve">) Market Data Servers: the server running a market data process that either publishes data or responds to retransmission requests; </w:t>
      </w:r>
    </w:p>
    <w:p w14:paraId="4BFCF5F8" w14:textId="77777777" w:rsidR="000B3835" w:rsidRPr="000B3835" w:rsidRDefault="000B3835" w:rsidP="000B3835">
      <w:pPr>
        <w:rPr>
          <w:lang w:eastAsia="en-US"/>
        </w:rPr>
      </w:pPr>
      <w:r w:rsidRPr="000B3835">
        <w:rPr>
          <w:lang w:eastAsia="en-US"/>
        </w:rPr>
        <w:t xml:space="preserve">(ii) Market Data Feeds Switches: data formatted by a market data process is distributed to participants via an initial array of top of rack access layer switches; </w:t>
      </w:r>
    </w:p>
    <w:p w14:paraId="427517AA" w14:textId="77777777" w:rsidR="000B3835" w:rsidRPr="000B3835" w:rsidRDefault="000B3835" w:rsidP="000B3835">
      <w:pPr>
        <w:rPr>
          <w:lang w:eastAsia="en-US"/>
        </w:rPr>
      </w:pPr>
      <w:r w:rsidRPr="000B3835">
        <w:rPr>
          <w:lang w:eastAsia="en-US"/>
        </w:rPr>
        <w:t xml:space="preserve">(iii) ITF Infrastructure: hardware and software to facilitate market data testing; </w:t>
      </w:r>
    </w:p>
    <w:p w14:paraId="2119B62B" w14:textId="77777777" w:rsidR="000B3835" w:rsidRPr="000B3835" w:rsidRDefault="000B3835" w:rsidP="000B3835">
      <w:pPr>
        <w:rPr>
          <w:lang w:eastAsia="en-US"/>
        </w:rPr>
      </w:pPr>
      <w:proofErr w:type="gramStart"/>
      <w:r w:rsidRPr="000B3835">
        <w:rPr>
          <w:lang w:eastAsia="en-US"/>
        </w:rPr>
        <w:t>(iv) Space</w:t>
      </w:r>
      <w:proofErr w:type="gramEnd"/>
      <w:r w:rsidRPr="000B3835">
        <w:rPr>
          <w:lang w:eastAsia="en-US"/>
        </w:rPr>
        <w:t xml:space="preserve">, Power, and Security: physical space, electrical power, and security at the data </w:t>
      </w:r>
      <w:proofErr w:type="spellStart"/>
      <w:r w:rsidRPr="000B3835">
        <w:rPr>
          <w:lang w:eastAsia="en-US"/>
        </w:rPr>
        <w:t>centers</w:t>
      </w:r>
      <w:proofErr w:type="spellEnd"/>
      <w:r w:rsidRPr="000B3835">
        <w:rPr>
          <w:lang w:eastAsia="en-US"/>
        </w:rPr>
        <w:t xml:space="preserve"> considered for the physical assets in scope; </w:t>
      </w:r>
    </w:p>
    <w:p w14:paraId="726E4830" w14:textId="77777777" w:rsidR="000B3835" w:rsidRPr="000B3835" w:rsidRDefault="000B3835" w:rsidP="000B3835">
      <w:pPr>
        <w:rPr>
          <w:lang w:eastAsia="en-US"/>
        </w:rPr>
      </w:pPr>
      <w:r w:rsidRPr="000B3835">
        <w:rPr>
          <w:lang w:eastAsia="en-US"/>
        </w:rPr>
        <w:t xml:space="preserve">(v) Administrative Access: command and control infrastructure for operations teams to administer the exchange services; </w:t>
      </w:r>
    </w:p>
    <w:p w14:paraId="0BD45EF7" w14:textId="77777777" w:rsidR="000B3835" w:rsidRPr="000B3835" w:rsidRDefault="000B3835" w:rsidP="000B3835">
      <w:pPr>
        <w:rPr>
          <w:lang w:eastAsia="en-US"/>
        </w:rPr>
      </w:pPr>
      <w:proofErr w:type="gramStart"/>
      <w:r w:rsidRPr="000B3835">
        <w:rPr>
          <w:lang w:eastAsia="en-US"/>
        </w:rPr>
        <w:t>(vi) Monitoring</w:t>
      </w:r>
      <w:proofErr w:type="gramEnd"/>
      <w:r w:rsidRPr="000B3835">
        <w:rPr>
          <w:lang w:eastAsia="en-US"/>
        </w:rPr>
        <w:t>: servers, switches, and software licenses to monitor the physical assets in scope as well as the resiliency of the market data product provided by such assets;</w:t>
      </w:r>
    </w:p>
    <w:p w14:paraId="6D4BD137" w14:textId="77777777" w:rsidR="000B3835" w:rsidRPr="000B3835" w:rsidRDefault="000B3835" w:rsidP="000B3835">
      <w:pPr>
        <w:rPr>
          <w:lang w:eastAsia="en-US"/>
        </w:rPr>
      </w:pPr>
      <w:r w:rsidRPr="000B3835">
        <w:rPr>
          <w:lang w:eastAsia="en-US"/>
        </w:rPr>
        <w:t xml:space="preserve">(vii) Associated Personnel, including: Product Management: resources responsible for managing the Exchange offering, specific Legal and Regulatory resources, Information Security, Development and Quality Assurance, Operations, and Infrastructure.  </w:t>
      </w:r>
    </w:p>
    <w:p w14:paraId="10A6209F" w14:textId="77777777" w:rsidR="000B3835" w:rsidRPr="000B3835" w:rsidRDefault="000B3835" w:rsidP="000B3835">
      <w:pPr>
        <w:rPr>
          <w:lang w:eastAsia="en-US"/>
        </w:rPr>
      </w:pPr>
    </w:p>
    <w:p w14:paraId="503E2E21" w14:textId="77777777" w:rsidR="000B3835" w:rsidRPr="000B3835" w:rsidRDefault="000B3835" w:rsidP="000B3835">
      <w:pPr>
        <w:rPr>
          <w:lang w:eastAsia="en-US"/>
        </w:rPr>
      </w:pPr>
      <w:r w:rsidRPr="000B3835">
        <w:rPr>
          <w:lang w:eastAsia="en-US"/>
        </w:rPr>
        <w:t xml:space="preserve">Accounting methodologies could be constructed from these considerations, and it would provide more robustness and ability for supervisory authorities to compare allocation fees across providers. </w:t>
      </w:r>
    </w:p>
    <w:p w14:paraId="7C7C94EE" w14:textId="77777777" w:rsidR="000B3835" w:rsidRPr="000B3835" w:rsidRDefault="000B3835" w:rsidP="000B3835">
      <w:pPr>
        <w:rPr>
          <w:lang w:eastAsia="en-US"/>
        </w:rPr>
      </w:pPr>
    </w:p>
    <w:p w14:paraId="188401A5" w14:textId="526A72B5" w:rsidR="00EE7FF4" w:rsidRPr="00EE7FF4" w:rsidRDefault="000B3835" w:rsidP="000B3835">
      <w:pPr>
        <w:spacing w:after="160" w:line="259" w:lineRule="auto"/>
        <w:rPr>
          <w:rFonts w:ascii="Arial" w:eastAsia="Calibri" w:hAnsi="Arial" w:cs="Arial"/>
          <w:sz w:val="22"/>
          <w:szCs w:val="22"/>
          <w:lang w:eastAsia="en-US"/>
        </w:rPr>
      </w:pPr>
      <w:r w:rsidRPr="000B3835">
        <w:rPr>
          <w:lang w:eastAsia="en-US"/>
        </w:rPr>
        <w:t>See https://iextrading.com/docs/The%20Cost%20of%20Exchange%20Services.pdf, p. 15-16</w:t>
      </w:r>
    </w:p>
    <w:permEnd w:id="2058490476"/>
    <w:p w14:paraId="1B3FC64C" w14:textId="5108FD0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17</w:t>
      </w:r>
      <w:r w:rsidRPr="00EE7FF4">
        <w:rPr>
          <w:rFonts w:ascii="Arial" w:eastAsia="Calibri" w:hAnsi="Arial" w:cs="Arial"/>
          <w:sz w:val="22"/>
          <w:szCs w:val="22"/>
          <w:lang w:eastAsia="en-US"/>
        </w:rPr>
        <w:t>&gt;</w:t>
      </w:r>
    </w:p>
    <w:p w14:paraId="78A723A7" w14:textId="77777777" w:rsidR="00EE7FF4" w:rsidRPr="00EE7FF4" w:rsidRDefault="00EE7FF4" w:rsidP="00EE7FF4">
      <w:pPr>
        <w:spacing w:after="160" w:line="259" w:lineRule="auto"/>
        <w:rPr>
          <w:rFonts w:ascii="Arial" w:eastAsia="Calibri" w:hAnsi="Arial" w:cs="Arial"/>
          <w:sz w:val="22"/>
          <w:szCs w:val="22"/>
          <w:lang w:eastAsia="en-US"/>
        </w:rPr>
      </w:pPr>
    </w:p>
    <w:p w14:paraId="3F0FB9E6"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Q18: Do you agree with the proposed definitions in Guideline 11? In particular, do they capture all relevant market uses and market participants? If not, please explain.</w:t>
      </w:r>
    </w:p>
    <w:p w14:paraId="595B8CB0" w14:textId="73D3B57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18</w:t>
      </w:r>
      <w:r w:rsidRPr="00EE7FF4">
        <w:rPr>
          <w:rFonts w:ascii="Arial" w:eastAsia="Calibri" w:hAnsi="Arial" w:cs="Arial"/>
          <w:sz w:val="22"/>
          <w:szCs w:val="22"/>
          <w:lang w:eastAsia="en-US"/>
        </w:rPr>
        <w:t>&gt;</w:t>
      </w:r>
    </w:p>
    <w:p w14:paraId="45543537" w14:textId="280F34C8" w:rsidR="00BD42D6" w:rsidRPr="00BD42D6" w:rsidRDefault="00BD42D6" w:rsidP="00BD42D6">
      <w:pPr>
        <w:rPr>
          <w:lang w:eastAsia="en-US"/>
        </w:rPr>
      </w:pPr>
      <w:permStart w:id="1847414271" w:edGrp="everyone"/>
      <w:r w:rsidRPr="00BD42D6">
        <w:rPr>
          <w:lang w:eastAsia="en-US"/>
        </w:rPr>
        <w:t xml:space="preserve">As we noted in response to Question 4, the definition of “Customer” should be improved in order to reflect the valuable role of market data distributors. The definition assumes that all customers have direct agreements with market data providers and pay them directly. Many customers contract with market data distributors for market data.  The market data distributors then pay the market data provider up front for the data and collect the fees from the customer in arrears. </w:t>
      </w:r>
    </w:p>
    <w:p w14:paraId="4A8A6568" w14:textId="77777777" w:rsidR="00BD42D6" w:rsidRPr="00BD42D6" w:rsidRDefault="00BD42D6" w:rsidP="00BD42D6">
      <w:pPr>
        <w:rPr>
          <w:lang w:eastAsia="en-US"/>
        </w:rPr>
      </w:pPr>
    </w:p>
    <w:p w14:paraId="3A612C3C" w14:textId="63BC7474" w:rsidR="00BD42D6" w:rsidRPr="00BD42D6" w:rsidRDefault="00BD42D6" w:rsidP="00BD42D6">
      <w:pPr>
        <w:rPr>
          <w:lang w:eastAsia="en-US"/>
        </w:rPr>
      </w:pPr>
      <w:r w:rsidRPr="00BD42D6">
        <w:rPr>
          <w:lang w:eastAsia="en-US"/>
        </w:rPr>
        <w:t>We would propose that the definition of Customer be clarified as: “The Customer should be the natural or legal person who signs the market data agreement or subscriber agreement with a market data provider or market data distributor and is, if applicable, invoiced by either party for the market data fees.”</w:t>
      </w:r>
    </w:p>
    <w:p w14:paraId="3CEAD163" w14:textId="77777777" w:rsidR="00BD42D6" w:rsidRPr="00BD42D6" w:rsidRDefault="00BD42D6" w:rsidP="00BD42D6">
      <w:pPr>
        <w:rPr>
          <w:lang w:eastAsia="en-US"/>
        </w:rPr>
      </w:pPr>
    </w:p>
    <w:p w14:paraId="176FA9C5" w14:textId="06C8649D" w:rsidR="00BD42D6" w:rsidRPr="00BD42D6" w:rsidRDefault="00BD42D6" w:rsidP="00BD42D6">
      <w:pPr>
        <w:rPr>
          <w:lang w:eastAsia="en-US"/>
        </w:rPr>
      </w:pPr>
      <w:r w:rsidRPr="00BD42D6">
        <w:rPr>
          <w:lang w:eastAsia="en-US"/>
        </w:rPr>
        <w:t xml:space="preserve">We would propose that the definition of “Display Data” be clarified as: “Display data should mean the use of raw market data originally generated by market data providers that results in the display, in human readable form, on a desktop or any other device, such as a monitor or </w:t>
      </w:r>
      <w:r w:rsidRPr="00BD42D6">
        <w:rPr>
          <w:lang w:eastAsia="en-US"/>
        </w:rPr>
        <w:lastRenderedPageBreak/>
        <w:t>screen, of such raw market data and/or any output created from the use of such raw mark</w:t>
      </w:r>
      <w:r>
        <w:rPr>
          <w:lang w:eastAsia="en-US"/>
        </w:rPr>
        <w:t>et data (e.g., Derived Data)</w:t>
      </w:r>
      <w:proofErr w:type="gramStart"/>
      <w:r>
        <w:rPr>
          <w:lang w:eastAsia="en-US"/>
        </w:rPr>
        <w:t>. ”</w:t>
      </w:r>
      <w:proofErr w:type="gramEnd"/>
    </w:p>
    <w:p w14:paraId="31D0A623" w14:textId="77777777" w:rsidR="00BD42D6" w:rsidRPr="00BD42D6" w:rsidRDefault="00BD42D6" w:rsidP="00BD42D6">
      <w:pPr>
        <w:rPr>
          <w:lang w:eastAsia="en-US"/>
        </w:rPr>
      </w:pPr>
    </w:p>
    <w:p w14:paraId="2C824FB4" w14:textId="77777777" w:rsidR="00BD42D6" w:rsidRPr="00BD42D6" w:rsidRDefault="00BD42D6" w:rsidP="00BD42D6">
      <w:pPr>
        <w:rPr>
          <w:lang w:eastAsia="en-US"/>
        </w:rPr>
      </w:pPr>
    </w:p>
    <w:p w14:paraId="1E386EB4" w14:textId="4BE55798" w:rsidR="00BD42D6" w:rsidRPr="00BD42D6" w:rsidRDefault="00BD42D6" w:rsidP="00BD42D6">
      <w:pPr>
        <w:rPr>
          <w:lang w:eastAsia="en-US"/>
        </w:rPr>
      </w:pPr>
      <w:r w:rsidRPr="00BD42D6">
        <w:rPr>
          <w:lang w:eastAsia="en-US"/>
        </w:rPr>
        <w:t>We propose that the definition of “Non-Display Data” be clarified as: "Non-Display data should mean any use of raw Real-time Data originally generated by market data providers that is not Display Use.”</w:t>
      </w:r>
    </w:p>
    <w:p w14:paraId="75FBBFB6" w14:textId="77777777" w:rsidR="00BD42D6" w:rsidRPr="00BD42D6" w:rsidRDefault="00BD42D6" w:rsidP="00BD42D6">
      <w:pPr>
        <w:rPr>
          <w:lang w:eastAsia="en-US"/>
        </w:rPr>
      </w:pPr>
    </w:p>
    <w:p w14:paraId="55F69E87" w14:textId="7A7E560E" w:rsidR="00BD42D6" w:rsidRPr="00BD42D6" w:rsidRDefault="00BD42D6" w:rsidP="00BD42D6">
      <w:pPr>
        <w:rPr>
          <w:lang w:eastAsia="en-US"/>
        </w:rPr>
      </w:pPr>
      <w:r w:rsidRPr="00BD42D6">
        <w:rPr>
          <w:lang w:eastAsia="en-US"/>
        </w:rPr>
        <w:t>We propose that the definition of “Derived Data” be clarified as: “Derived Data should be the output created as a result of exposing market data provider raw data by itself or combined with other data elements to computation, aggregation, transformation, algorithm or other logic or mathematical technique, which cannot be easily or readily reverse engineered back to the market data provider raw data</w:t>
      </w:r>
      <w:proofErr w:type="gramStart"/>
      <w:r w:rsidRPr="00BD42D6">
        <w:rPr>
          <w:lang w:eastAsia="en-US"/>
        </w:rPr>
        <w:t>. ”</w:t>
      </w:r>
      <w:proofErr w:type="gramEnd"/>
      <w:r w:rsidRPr="00BD42D6">
        <w:rPr>
          <w:lang w:eastAsia="en-US"/>
        </w:rPr>
        <w:t>.</w:t>
      </w:r>
    </w:p>
    <w:p w14:paraId="712C9328" w14:textId="77777777" w:rsidR="00BD42D6" w:rsidRPr="00BD42D6" w:rsidRDefault="00BD42D6" w:rsidP="00BD42D6">
      <w:pPr>
        <w:rPr>
          <w:lang w:eastAsia="en-US"/>
        </w:rPr>
      </w:pPr>
    </w:p>
    <w:p w14:paraId="561657DF" w14:textId="79708512" w:rsidR="00BD42D6" w:rsidRPr="00BD42D6" w:rsidRDefault="00BD42D6" w:rsidP="00BD42D6">
      <w:pPr>
        <w:rPr>
          <w:lang w:eastAsia="en-US"/>
        </w:rPr>
      </w:pPr>
      <w:r w:rsidRPr="00BD42D6">
        <w:rPr>
          <w:lang w:eastAsia="en-US"/>
        </w:rPr>
        <w:t>We would propose that the definition of “Delayed Data” be clarified as: “Delayed Data should mean market data delivered or used 15 or more minutes (or other embargo period imposed by the market data provider) after its creation. Delayed Data shall in</w:t>
      </w:r>
      <w:r>
        <w:rPr>
          <w:lang w:eastAsia="en-US"/>
        </w:rPr>
        <w:t>clude Historical Data. ”</w:t>
      </w:r>
    </w:p>
    <w:p w14:paraId="3235E70C" w14:textId="77777777" w:rsidR="00BD42D6" w:rsidRPr="00BD42D6" w:rsidRDefault="00BD42D6" w:rsidP="00BD42D6">
      <w:pPr>
        <w:rPr>
          <w:lang w:eastAsia="en-US"/>
        </w:rPr>
      </w:pPr>
    </w:p>
    <w:p w14:paraId="58ED7373" w14:textId="77777777" w:rsidR="00BD42D6" w:rsidRPr="00BD42D6" w:rsidRDefault="00BD42D6" w:rsidP="00BD42D6">
      <w:pPr>
        <w:rPr>
          <w:lang w:eastAsia="en-US"/>
        </w:rPr>
      </w:pPr>
    </w:p>
    <w:p w14:paraId="2872F68B" w14:textId="10830BD9" w:rsidR="00BD42D6" w:rsidRPr="00BD42D6" w:rsidRDefault="00BD42D6" w:rsidP="00BD42D6">
      <w:pPr>
        <w:rPr>
          <w:lang w:eastAsia="en-US"/>
        </w:rPr>
      </w:pPr>
      <w:r w:rsidRPr="00BD42D6">
        <w:rPr>
          <w:lang w:eastAsia="en-US"/>
        </w:rPr>
        <w:t>We would propose that the definition of “Real-Time Data” be clarified as: “Real-time Data should mean market data delivered or used less than 15 minutes (or other embargo period imposed by the market data provider) after its creation.”</w:t>
      </w:r>
    </w:p>
    <w:p w14:paraId="5D68FE52" w14:textId="77777777" w:rsidR="00BD42D6" w:rsidRPr="00BD42D6" w:rsidRDefault="00BD42D6" w:rsidP="00BD42D6">
      <w:pPr>
        <w:rPr>
          <w:lang w:eastAsia="en-US"/>
        </w:rPr>
      </w:pPr>
    </w:p>
    <w:p w14:paraId="1FF1891A" w14:textId="77777777" w:rsidR="00BD42D6" w:rsidRPr="00BD42D6" w:rsidRDefault="00BD42D6" w:rsidP="00BD42D6">
      <w:pPr>
        <w:rPr>
          <w:lang w:eastAsia="en-US"/>
        </w:rPr>
      </w:pPr>
    </w:p>
    <w:p w14:paraId="102560D9" w14:textId="35BCFEC0" w:rsidR="00BD42D6" w:rsidRPr="00BD42D6" w:rsidRDefault="00BD42D6" w:rsidP="00BD42D6">
      <w:pPr>
        <w:rPr>
          <w:lang w:eastAsia="en-US"/>
        </w:rPr>
      </w:pPr>
      <w:r w:rsidRPr="00BD42D6">
        <w:rPr>
          <w:lang w:eastAsia="en-US"/>
        </w:rPr>
        <w:t xml:space="preserve">We would propose that the definition of “Unit of Count” be clarified as: “The Unit of Count should be the unit used to measure the fees payable by customers for the ability to access and display Real-time Data. </w:t>
      </w:r>
    </w:p>
    <w:p w14:paraId="0501135E" w14:textId="77777777" w:rsidR="00BD42D6" w:rsidRPr="00BD42D6" w:rsidRDefault="00BD42D6" w:rsidP="00BD42D6">
      <w:pPr>
        <w:rPr>
          <w:lang w:eastAsia="en-US"/>
        </w:rPr>
      </w:pPr>
    </w:p>
    <w:p w14:paraId="1550A8E9" w14:textId="77777777" w:rsidR="00BD42D6" w:rsidRPr="00BD42D6" w:rsidRDefault="00BD42D6" w:rsidP="00BD42D6">
      <w:pPr>
        <w:rPr>
          <w:lang w:eastAsia="en-US"/>
        </w:rPr>
      </w:pPr>
      <w:r w:rsidRPr="00BD42D6">
        <w:rPr>
          <w:lang w:eastAsia="en-US"/>
        </w:rPr>
        <w:t>The Unit of Count should be the Active User ID when the ability to access and display Real-time Data is controlled by IDs assigned to the individual end user. The Active User ID shall be the ID associated to each human user who can actively access and display the Real-time Data.</w:t>
      </w:r>
    </w:p>
    <w:p w14:paraId="526CA91E" w14:textId="77777777" w:rsidR="00BD42D6" w:rsidRPr="00BD42D6" w:rsidRDefault="00BD42D6" w:rsidP="00BD42D6">
      <w:pPr>
        <w:rPr>
          <w:lang w:eastAsia="en-US"/>
        </w:rPr>
      </w:pPr>
    </w:p>
    <w:p w14:paraId="2DA0BFC3" w14:textId="77777777" w:rsidR="00BD42D6" w:rsidRPr="00BD42D6" w:rsidRDefault="00BD42D6" w:rsidP="00BD42D6">
      <w:pPr>
        <w:rPr>
          <w:lang w:eastAsia="en-US"/>
        </w:rPr>
      </w:pPr>
      <w:r w:rsidRPr="00BD42D6">
        <w:rPr>
          <w:lang w:eastAsia="en-US"/>
        </w:rPr>
        <w:t>The Unit of Count should be the Active Device ID when the ability to access and display Real-time Data is controlled by IDs assigned to the physical device. The Active Device ID shall be the ID associated to each physical device that can actively access and display the Real-time Data.</w:t>
      </w:r>
    </w:p>
    <w:p w14:paraId="0AE969D8" w14:textId="77777777" w:rsidR="00BD42D6" w:rsidRPr="00BD42D6" w:rsidRDefault="00BD42D6" w:rsidP="00BD42D6">
      <w:pPr>
        <w:rPr>
          <w:lang w:eastAsia="en-US"/>
        </w:rPr>
      </w:pPr>
    </w:p>
    <w:p w14:paraId="378E3A51" w14:textId="77777777" w:rsidR="00BD42D6" w:rsidRPr="00BD42D6" w:rsidRDefault="00BD42D6" w:rsidP="00BD42D6">
      <w:pPr>
        <w:rPr>
          <w:lang w:eastAsia="en-US"/>
        </w:rPr>
      </w:pPr>
      <w:r w:rsidRPr="00BD42D6">
        <w:rPr>
          <w:lang w:eastAsia="en-US"/>
        </w:rPr>
        <w:t xml:space="preserve">A Unit of Count typically should not apply to non-display use, as any fee charged for non-display use should be a fixed license fee, rather than a variable fee based on the number of servers/devices accessing and processing Real-time Data for Non-Display Use. </w:t>
      </w:r>
    </w:p>
    <w:p w14:paraId="66600DC4" w14:textId="77777777" w:rsidR="00BD42D6" w:rsidRPr="00BD42D6" w:rsidRDefault="00BD42D6" w:rsidP="00BD42D6">
      <w:pPr>
        <w:rPr>
          <w:lang w:eastAsia="en-US"/>
        </w:rPr>
      </w:pPr>
    </w:p>
    <w:p w14:paraId="28311780" w14:textId="04FBF09B" w:rsidR="00EE7FF4" w:rsidRPr="00BD42D6" w:rsidRDefault="00BD42D6" w:rsidP="00BD42D6">
      <w:pPr>
        <w:rPr>
          <w:lang w:eastAsia="en-US"/>
        </w:rPr>
      </w:pPr>
      <w:r w:rsidRPr="00BD42D6">
        <w:rPr>
          <w:lang w:eastAsia="en-US"/>
        </w:rPr>
        <w:t>Where a variable fee is charged for Non-Display Use, it should be capped (e.g., the top fee covers five or more devices). In this way, the fee can be made, in essence, a fixed fee (by paying the top fee), while also providing a break to small customers that might have only one or two devices using Real-t</w:t>
      </w:r>
      <w:r>
        <w:rPr>
          <w:lang w:eastAsia="en-US"/>
        </w:rPr>
        <w:t xml:space="preserve">ime Data in Non-Display Use.”  </w:t>
      </w:r>
    </w:p>
    <w:permEnd w:id="1847414271"/>
    <w:p w14:paraId="7E5F61FD" w14:textId="2C5F34E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18</w:t>
      </w:r>
      <w:r w:rsidRPr="00EE7FF4">
        <w:rPr>
          <w:rFonts w:ascii="Arial" w:eastAsia="Calibri" w:hAnsi="Arial" w:cs="Arial"/>
          <w:sz w:val="22"/>
          <w:szCs w:val="22"/>
          <w:lang w:eastAsia="en-US"/>
        </w:rPr>
        <w:t>&gt;</w:t>
      </w:r>
    </w:p>
    <w:p w14:paraId="2C3F149B" w14:textId="77777777" w:rsidR="00EE7FF4" w:rsidRPr="00EE7FF4" w:rsidRDefault="00EE7FF4" w:rsidP="00EE7FF4">
      <w:pPr>
        <w:spacing w:after="160" w:line="259" w:lineRule="auto"/>
        <w:rPr>
          <w:rFonts w:ascii="Arial" w:eastAsia="Calibri" w:hAnsi="Arial" w:cs="Arial"/>
          <w:sz w:val="22"/>
          <w:szCs w:val="22"/>
          <w:lang w:eastAsia="en-US"/>
        </w:rPr>
      </w:pPr>
    </w:p>
    <w:p w14:paraId="0B065527"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lastRenderedPageBreak/>
        <w:t>Q19: Is there any other terminology used in market data policies that would need to be standardised? If yes, please give examples and suggestions of definitions.</w:t>
      </w:r>
    </w:p>
    <w:p w14:paraId="0CFD80A7" w14:textId="4D7F9FA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19</w:t>
      </w:r>
      <w:r w:rsidRPr="00EE7FF4">
        <w:rPr>
          <w:rFonts w:ascii="Arial" w:eastAsia="Calibri" w:hAnsi="Arial" w:cs="Arial"/>
          <w:sz w:val="22"/>
          <w:szCs w:val="22"/>
          <w:lang w:eastAsia="en-US"/>
        </w:rPr>
        <w:t>&gt;</w:t>
      </w:r>
    </w:p>
    <w:p w14:paraId="743D4515" w14:textId="77777777" w:rsidR="00EE7FF4" w:rsidRPr="00EE7FF4" w:rsidRDefault="00EE7FF4" w:rsidP="00EE7FF4">
      <w:pPr>
        <w:spacing w:after="160" w:line="259" w:lineRule="auto"/>
        <w:rPr>
          <w:rFonts w:ascii="Arial" w:eastAsia="Calibri" w:hAnsi="Arial" w:cs="Arial"/>
          <w:sz w:val="22"/>
          <w:szCs w:val="22"/>
          <w:lang w:eastAsia="en-US"/>
        </w:rPr>
      </w:pPr>
      <w:permStart w:id="64761485" w:edGrp="everyone"/>
      <w:r w:rsidRPr="00EE7FF4">
        <w:rPr>
          <w:rFonts w:ascii="Arial" w:eastAsia="Calibri" w:hAnsi="Arial" w:cs="Arial"/>
          <w:sz w:val="22"/>
          <w:szCs w:val="22"/>
          <w:lang w:eastAsia="en-US"/>
        </w:rPr>
        <w:t>TYPE YOUR TEXT HERE</w:t>
      </w:r>
    </w:p>
    <w:permEnd w:id="64761485"/>
    <w:p w14:paraId="6D901C3B" w14:textId="2F82E6B8"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19</w:t>
      </w:r>
      <w:r w:rsidRPr="00EE7FF4">
        <w:rPr>
          <w:rFonts w:ascii="Arial" w:eastAsia="Calibri" w:hAnsi="Arial" w:cs="Arial"/>
          <w:sz w:val="22"/>
          <w:szCs w:val="22"/>
          <w:lang w:eastAsia="en-US"/>
        </w:rPr>
        <w:t>&gt;</w:t>
      </w:r>
    </w:p>
    <w:p w14:paraId="4C97E8F6" w14:textId="77777777" w:rsidR="00EE7FF4" w:rsidRPr="00EE7FF4" w:rsidRDefault="00EE7FF4" w:rsidP="00EE7FF4">
      <w:pPr>
        <w:spacing w:after="160" w:line="259" w:lineRule="auto"/>
        <w:rPr>
          <w:rFonts w:ascii="Arial" w:eastAsia="Calibri" w:hAnsi="Arial" w:cs="Arial"/>
          <w:sz w:val="22"/>
          <w:szCs w:val="22"/>
          <w:lang w:eastAsia="en-US"/>
        </w:rPr>
      </w:pPr>
    </w:p>
    <w:p w14:paraId="7AD10400"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Q20: Do you agree with Guideline 12? If not, please justify.</w:t>
      </w:r>
    </w:p>
    <w:p w14:paraId="3F935DA6" w14:textId="4BD9FFA1"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0&gt;</w:t>
      </w:r>
    </w:p>
    <w:p w14:paraId="137C87A4" w14:textId="61B3E6B1" w:rsidR="00EE7FF4" w:rsidRPr="00EE7FF4" w:rsidRDefault="00263BCF" w:rsidP="00EE7FF4">
      <w:pPr>
        <w:spacing w:after="160" w:line="259" w:lineRule="auto"/>
        <w:rPr>
          <w:rFonts w:ascii="Arial" w:eastAsia="Calibri" w:hAnsi="Arial" w:cs="Arial"/>
          <w:sz w:val="22"/>
          <w:szCs w:val="22"/>
          <w:lang w:eastAsia="en-US"/>
        </w:rPr>
      </w:pPr>
      <w:permStart w:id="1071861843" w:edGrp="everyone"/>
      <w:r w:rsidRPr="00263BCF">
        <w:rPr>
          <w:lang w:eastAsia="en-US"/>
        </w:rPr>
        <w:t>We agree.</w:t>
      </w:r>
    </w:p>
    <w:permEnd w:id="1071861843"/>
    <w:p w14:paraId="2B6C6C5B" w14:textId="053094B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w:t>
      </w:r>
      <w:r w:rsidRPr="00EE7FF4">
        <w:rPr>
          <w:rFonts w:ascii="Arial" w:eastAsia="Calibri" w:hAnsi="Arial" w:cs="Arial"/>
          <w:sz w:val="22"/>
          <w:szCs w:val="22"/>
          <w:lang w:eastAsia="en-US"/>
        </w:rPr>
        <w:t>0&gt;</w:t>
      </w:r>
    </w:p>
    <w:p w14:paraId="7985A75C" w14:textId="77777777" w:rsidR="00EE7FF4" w:rsidRPr="00EE7FF4" w:rsidRDefault="00EE7FF4" w:rsidP="00EE7FF4">
      <w:pPr>
        <w:spacing w:after="160" w:line="259" w:lineRule="auto"/>
        <w:rPr>
          <w:rFonts w:ascii="Arial" w:eastAsia="Calibri" w:hAnsi="Arial" w:cs="Arial"/>
          <w:sz w:val="22"/>
          <w:szCs w:val="22"/>
          <w:lang w:eastAsia="en-US"/>
        </w:rPr>
      </w:pPr>
    </w:p>
    <w:p w14:paraId="17727F7E"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Q21: Do you think there is any other information that market data providers should disclose to improve the transparency on market data costs and how prices for market data are set? If yes, please provide suggestions.</w:t>
      </w:r>
    </w:p>
    <w:p w14:paraId="1E91BD0C" w14:textId="0BFDE6ED"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21</w:t>
      </w:r>
      <w:r w:rsidRPr="00EE7FF4">
        <w:rPr>
          <w:rFonts w:ascii="Arial" w:eastAsia="Calibri" w:hAnsi="Arial" w:cs="Arial"/>
          <w:sz w:val="22"/>
          <w:szCs w:val="22"/>
          <w:lang w:eastAsia="en-US"/>
        </w:rPr>
        <w:t>&gt;</w:t>
      </w:r>
    </w:p>
    <w:p w14:paraId="580E38A5" w14:textId="77777777" w:rsidR="00EE7FF4" w:rsidRPr="00EE7FF4" w:rsidRDefault="00EE7FF4" w:rsidP="00EE7FF4">
      <w:pPr>
        <w:spacing w:after="160" w:line="259" w:lineRule="auto"/>
        <w:rPr>
          <w:rFonts w:ascii="Arial" w:eastAsia="Calibri" w:hAnsi="Arial" w:cs="Arial"/>
          <w:sz w:val="22"/>
          <w:szCs w:val="22"/>
          <w:lang w:eastAsia="en-US"/>
        </w:rPr>
      </w:pPr>
      <w:permStart w:id="900150029" w:edGrp="everyone"/>
      <w:r w:rsidRPr="00EE7FF4">
        <w:rPr>
          <w:rFonts w:ascii="Arial" w:eastAsia="Calibri" w:hAnsi="Arial" w:cs="Arial"/>
          <w:sz w:val="22"/>
          <w:szCs w:val="22"/>
          <w:lang w:eastAsia="en-US"/>
        </w:rPr>
        <w:t>TYPE YOUR TEXT HERE</w:t>
      </w:r>
    </w:p>
    <w:permEnd w:id="900150029"/>
    <w:p w14:paraId="349FF021" w14:textId="0FB853B0"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21</w:t>
      </w:r>
      <w:r w:rsidRPr="00EE7FF4">
        <w:rPr>
          <w:rFonts w:ascii="Arial" w:eastAsia="Calibri" w:hAnsi="Arial" w:cs="Arial"/>
          <w:sz w:val="22"/>
          <w:szCs w:val="22"/>
          <w:lang w:eastAsia="en-US"/>
        </w:rPr>
        <w:t>&gt;</w:t>
      </w:r>
    </w:p>
    <w:p w14:paraId="76CBE1D3" w14:textId="77777777" w:rsidR="00EE7FF4" w:rsidRPr="00EE7FF4" w:rsidRDefault="00EE7FF4" w:rsidP="00EE7FF4">
      <w:pPr>
        <w:spacing w:after="160" w:line="259" w:lineRule="auto"/>
        <w:rPr>
          <w:rFonts w:ascii="Arial" w:eastAsia="Calibri" w:hAnsi="Arial" w:cs="Arial"/>
          <w:sz w:val="22"/>
          <w:szCs w:val="22"/>
          <w:lang w:eastAsia="en-US"/>
        </w:rPr>
      </w:pPr>
    </w:p>
    <w:p w14:paraId="06A35291"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Q22: Do you agree with Guideline 13? If not, please justify.</w:t>
      </w:r>
    </w:p>
    <w:p w14:paraId="42A34258" w14:textId="76394527"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22</w:t>
      </w:r>
      <w:r w:rsidRPr="00EE7FF4">
        <w:rPr>
          <w:rFonts w:ascii="Arial" w:eastAsia="Calibri" w:hAnsi="Arial" w:cs="Arial"/>
          <w:sz w:val="22"/>
          <w:szCs w:val="22"/>
          <w:lang w:eastAsia="en-US"/>
        </w:rPr>
        <w:t>&gt;</w:t>
      </w:r>
    </w:p>
    <w:p w14:paraId="5266664A" w14:textId="2C7B749F" w:rsidR="00263BCF" w:rsidRPr="00263BCF" w:rsidRDefault="00263BCF" w:rsidP="00263BCF">
      <w:pPr>
        <w:rPr>
          <w:lang w:eastAsia="en-US"/>
        </w:rPr>
      </w:pPr>
      <w:permStart w:id="1312847498" w:edGrp="everyone"/>
      <w:r w:rsidRPr="00263BCF">
        <w:rPr>
          <w:lang w:eastAsia="en-US"/>
        </w:rPr>
        <w:t xml:space="preserve">We agree that there are explicit and implicit costs for market data. The fees in the price list are explicit costs, but there are high implicit costs of compliance. As many parties have previously pointed out, abusive practices around audits have real costs associated with them. </w:t>
      </w:r>
    </w:p>
    <w:p w14:paraId="3D6F1653" w14:textId="77777777" w:rsidR="00263BCF" w:rsidRPr="00263BCF" w:rsidRDefault="00263BCF" w:rsidP="00263BCF">
      <w:pPr>
        <w:rPr>
          <w:lang w:eastAsia="en-US"/>
        </w:rPr>
      </w:pPr>
    </w:p>
    <w:p w14:paraId="69B84824" w14:textId="202A9B95" w:rsidR="00263BCF" w:rsidRPr="00263BCF" w:rsidRDefault="00263BCF" w:rsidP="00263BCF">
      <w:pPr>
        <w:rPr>
          <w:lang w:eastAsia="en-US"/>
        </w:rPr>
      </w:pPr>
      <w:r w:rsidRPr="00263BCF">
        <w:rPr>
          <w:lang w:eastAsia="en-US"/>
        </w:rPr>
        <w:t xml:space="preserve">We cannot stress enough the importance of clearly articulated expectations and terms and conditions of audits. The current situation, as described by the commenters in response to previous ESMA consultations, is that many audits are fishing expeditions, which is untenable. </w:t>
      </w:r>
    </w:p>
    <w:p w14:paraId="5DB46CAF" w14:textId="77777777" w:rsidR="00263BCF" w:rsidRPr="00263BCF" w:rsidRDefault="00263BCF" w:rsidP="00263BCF">
      <w:pPr>
        <w:rPr>
          <w:lang w:eastAsia="en-US"/>
        </w:rPr>
      </w:pPr>
    </w:p>
    <w:p w14:paraId="6DBA6D15" w14:textId="43F00371" w:rsidR="00263BCF" w:rsidRPr="00263BCF" w:rsidRDefault="00263BCF" w:rsidP="00263BCF">
      <w:pPr>
        <w:rPr>
          <w:lang w:eastAsia="en-US"/>
        </w:rPr>
      </w:pPr>
      <w:r w:rsidRPr="00263BCF">
        <w:rPr>
          <w:lang w:eastAsia="en-US"/>
        </w:rPr>
        <w:t>ESMA’s guidance that “Audits should only be aimed at identifying occurred breaches with market data agreements” continues to be overly broad.</w:t>
      </w:r>
    </w:p>
    <w:p w14:paraId="23F7B3F8" w14:textId="77777777" w:rsidR="00263BCF" w:rsidRPr="00263BCF" w:rsidRDefault="00263BCF" w:rsidP="00263BCF">
      <w:pPr>
        <w:rPr>
          <w:lang w:eastAsia="en-US"/>
        </w:rPr>
      </w:pPr>
    </w:p>
    <w:p w14:paraId="70BFF5F3" w14:textId="707FFF5D" w:rsidR="00263BCF" w:rsidRPr="00263BCF" w:rsidRDefault="00263BCF" w:rsidP="00263BCF">
      <w:pPr>
        <w:rPr>
          <w:lang w:eastAsia="en-US"/>
        </w:rPr>
      </w:pPr>
      <w:r w:rsidRPr="00263BCF">
        <w:rPr>
          <w:lang w:eastAsia="en-US"/>
        </w:rPr>
        <w:t xml:space="preserve">As we noted in response to Question 4, while the guidance recognizes that the problems with retroactive application of terms and conditions exist, ESMA should consider adding greater specificity on what constitutes “overly onerous practices” and “extensive retroactivity.” </w:t>
      </w:r>
    </w:p>
    <w:p w14:paraId="0F4B68B6" w14:textId="77777777" w:rsidR="00263BCF" w:rsidRPr="00263BCF" w:rsidRDefault="00263BCF" w:rsidP="00263BCF">
      <w:pPr>
        <w:rPr>
          <w:lang w:eastAsia="en-US"/>
        </w:rPr>
      </w:pPr>
    </w:p>
    <w:p w14:paraId="5AFCC44A" w14:textId="2DCE6703" w:rsidR="00263BCF" w:rsidRPr="00263BCF" w:rsidRDefault="00263BCF" w:rsidP="00263BCF">
      <w:pPr>
        <w:rPr>
          <w:lang w:eastAsia="en-US"/>
        </w:rPr>
      </w:pPr>
      <w:r w:rsidRPr="00263BCF">
        <w:rPr>
          <w:lang w:eastAsia="en-US"/>
        </w:rPr>
        <w:t>ESMA should also limit audits to one annually and seek to limit the look back, similar to annual reviews on market data pricing, by market data providers to only restitution for errors over the three prior years. Moreover, any time period covered by a previous audit should not be re-audited again by the market data provider.</w:t>
      </w:r>
    </w:p>
    <w:p w14:paraId="2E03313C" w14:textId="77777777" w:rsidR="00263BCF" w:rsidRPr="00263BCF" w:rsidRDefault="00263BCF" w:rsidP="00263BCF">
      <w:pPr>
        <w:rPr>
          <w:lang w:eastAsia="en-US"/>
        </w:rPr>
      </w:pPr>
    </w:p>
    <w:p w14:paraId="0C34F041" w14:textId="5631B50E" w:rsidR="00EE7FF4" w:rsidRPr="00EE7FF4" w:rsidRDefault="00263BCF" w:rsidP="00263BCF">
      <w:pPr>
        <w:spacing w:after="160" w:line="259" w:lineRule="auto"/>
        <w:rPr>
          <w:rFonts w:ascii="Arial" w:eastAsia="Calibri" w:hAnsi="Arial" w:cs="Arial"/>
          <w:sz w:val="22"/>
          <w:szCs w:val="22"/>
          <w:lang w:eastAsia="en-US"/>
        </w:rPr>
      </w:pPr>
      <w:r w:rsidRPr="00263BCF">
        <w:rPr>
          <w:lang w:eastAsia="en-US"/>
        </w:rPr>
        <w:lastRenderedPageBreak/>
        <w:t>ESMA should also expressly state that where a market data provider competes with a licensee, that it will implement informational firewalls to ensure that competitively sensitive information of the licensee is not shared with a competitor.</w:t>
      </w:r>
    </w:p>
    <w:permEnd w:id="1312847498"/>
    <w:p w14:paraId="65F1AFA0" w14:textId="4D2D80E4"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22</w:t>
      </w:r>
      <w:r w:rsidRPr="00EE7FF4">
        <w:rPr>
          <w:rFonts w:ascii="Arial" w:eastAsia="Calibri" w:hAnsi="Arial" w:cs="Arial"/>
          <w:sz w:val="22"/>
          <w:szCs w:val="22"/>
          <w:lang w:eastAsia="en-US"/>
        </w:rPr>
        <w:t>&gt;</w:t>
      </w:r>
    </w:p>
    <w:p w14:paraId="03EB67F1" w14:textId="77777777" w:rsidR="00EE7FF4" w:rsidRPr="00EE7FF4" w:rsidRDefault="00EE7FF4" w:rsidP="00EE7FF4">
      <w:pPr>
        <w:spacing w:after="160" w:line="259" w:lineRule="auto"/>
        <w:rPr>
          <w:rFonts w:ascii="Arial" w:eastAsia="Calibri" w:hAnsi="Arial" w:cs="Arial"/>
          <w:sz w:val="22"/>
          <w:szCs w:val="22"/>
          <w:lang w:eastAsia="en-US"/>
        </w:rPr>
      </w:pPr>
    </w:p>
    <w:p w14:paraId="78FF41B8"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Q23: Which elements for post- and pre-trade data publication should be required? In particular, are flags a useful element of the publication? Should there be any differences between the different types of trading systems? Is the first best bid and offer sufficient for the purpose of delayed pre-trade data publication?</w:t>
      </w:r>
    </w:p>
    <w:p w14:paraId="73892062" w14:textId="560634EC"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23</w:t>
      </w:r>
      <w:r w:rsidRPr="00EE7FF4">
        <w:rPr>
          <w:rFonts w:ascii="Arial" w:eastAsia="Calibri" w:hAnsi="Arial" w:cs="Arial"/>
          <w:sz w:val="22"/>
          <w:szCs w:val="22"/>
          <w:lang w:eastAsia="en-US"/>
        </w:rPr>
        <w:t>&gt;</w:t>
      </w:r>
    </w:p>
    <w:p w14:paraId="3D1CD1E6" w14:textId="18BC12A1" w:rsidR="00263BCF" w:rsidRPr="00263BCF" w:rsidRDefault="00263BCF" w:rsidP="00263BCF">
      <w:pPr>
        <w:rPr>
          <w:lang w:eastAsia="en-US"/>
        </w:rPr>
      </w:pPr>
      <w:permStart w:id="1515923000" w:edGrp="everyone"/>
      <w:r w:rsidRPr="00263BCF">
        <w:rPr>
          <w:lang w:eastAsia="en-US"/>
        </w:rPr>
        <w:t xml:space="preserve">The system of flags in post-trade transparency is not </w:t>
      </w:r>
      <w:r w:rsidR="00060DCB">
        <w:t xml:space="preserve">sufficiently </w:t>
      </w:r>
      <w:r w:rsidRPr="00263BCF">
        <w:rPr>
          <w:lang w:eastAsia="en-US"/>
        </w:rPr>
        <w:t>useful because their inconsistent application and confusing interpretation make them not very well understood by the consumers of market data.</w:t>
      </w:r>
    </w:p>
    <w:p w14:paraId="15AD49A3" w14:textId="77777777" w:rsidR="00263BCF" w:rsidRPr="00263BCF" w:rsidRDefault="00263BCF" w:rsidP="00263BCF">
      <w:pPr>
        <w:rPr>
          <w:lang w:eastAsia="en-US"/>
        </w:rPr>
      </w:pPr>
    </w:p>
    <w:p w14:paraId="6EAC4935" w14:textId="7928865E" w:rsidR="00EE7FF4" w:rsidRPr="00EE7FF4" w:rsidRDefault="00263BCF" w:rsidP="00263BCF">
      <w:pPr>
        <w:spacing w:after="160" w:line="259" w:lineRule="auto"/>
        <w:rPr>
          <w:rFonts w:ascii="Arial" w:eastAsia="Calibri" w:hAnsi="Arial" w:cs="Arial"/>
          <w:sz w:val="22"/>
          <w:szCs w:val="22"/>
          <w:lang w:eastAsia="en-US"/>
        </w:rPr>
      </w:pPr>
      <w:r w:rsidRPr="00263BCF">
        <w:rPr>
          <w:lang w:eastAsia="en-US"/>
        </w:rPr>
        <w:t xml:space="preserve">For example, there are seven supplemental deferral flags that can have different interpretations across NCAs. APAs can apply the deferral flags differently depending upon the interpretation of data elements. This system complicates the usefulness of the data.  </w:t>
      </w:r>
    </w:p>
    <w:permEnd w:id="1515923000"/>
    <w:p w14:paraId="62816EF6" w14:textId="057B0F2B"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23</w:t>
      </w:r>
      <w:r w:rsidRPr="00EE7FF4">
        <w:rPr>
          <w:rFonts w:ascii="Arial" w:eastAsia="Calibri" w:hAnsi="Arial" w:cs="Arial"/>
          <w:sz w:val="22"/>
          <w:szCs w:val="22"/>
          <w:lang w:eastAsia="en-US"/>
        </w:rPr>
        <w:t>&gt;</w:t>
      </w:r>
    </w:p>
    <w:p w14:paraId="1A8AC530" w14:textId="77777777" w:rsidR="00EE7FF4" w:rsidRPr="00EE7FF4" w:rsidRDefault="00EE7FF4" w:rsidP="00EE7FF4">
      <w:pPr>
        <w:spacing w:after="160" w:line="259" w:lineRule="auto"/>
        <w:rPr>
          <w:rFonts w:ascii="Arial" w:eastAsia="Calibri" w:hAnsi="Arial" w:cs="Arial"/>
          <w:sz w:val="22"/>
          <w:szCs w:val="22"/>
          <w:lang w:eastAsia="en-US"/>
        </w:rPr>
      </w:pPr>
    </w:p>
    <w:p w14:paraId="58BB728A"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Q24: Which use cases of post- and pre-trade delayed data are relevant to you as a data user? What format of data provision is necessary for these use cases, and especially for pre-trade delayed data? </w:t>
      </w:r>
    </w:p>
    <w:p w14:paraId="2A260980" w14:textId="309DA0B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24</w:t>
      </w:r>
      <w:r w:rsidRPr="00EE7FF4">
        <w:rPr>
          <w:rFonts w:ascii="Arial" w:eastAsia="Calibri" w:hAnsi="Arial" w:cs="Arial"/>
          <w:sz w:val="22"/>
          <w:szCs w:val="22"/>
          <w:lang w:eastAsia="en-US"/>
        </w:rPr>
        <w:t>&gt;</w:t>
      </w:r>
    </w:p>
    <w:p w14:paraId="2FBC4B35" w14:textId="2A41826C" w:rsidR="00263BCF" w:rsidRPr="00263BCF" w:rsidRDefault="00263BCF" w:rsidP="00263BCF">
      <w:pPr>
        <w:rPr>
          <w:lang w:eastAsia="en-US"/>
        </w:rPr>
      </w:pPr>
      <w:permStart w:id="1350832620" w:edGrp="everyone"/>
      <w:r w:rsidRPr="00263BCF">
        <w:rPr>
          <w:lang w:eastAsia="en-US"/>
        </w:rPr>
        <w:t xml:space="preserve"> As an initial matter, the usefulness of pre-trade data in largely illiquid asset classes, like RTS </w:t>
      </w:r>
      <w:r w:rsidR="00060DCB">
        <w:rPr>
          <w:lang w:eastAsia="en-US"/>
        </w:rPr>
        <w:t>2 (fixed income) is subject to ongoing debate</w:t>
      </w:r>
      <w:r w:rsidRPr="00263BCF">
        <w:rPr>
          <w:lang w:eastAsia="en-US"/>
        </w:rPr>
        <w:t xml:space="preserve">. Thus, our answer will be restricted to RTS 1, equities, ETFs and equity-like instruments. </w:t>
      </w:r>
    </w:p>
    <w:p w14:paraId="659DEC1F" w14:textId="77777777" w:rsidR="00263BCF" w:rsidRPr="00263BCF" w:rsidRDefault="00263BCF" w:rsidP="00263BCF">
      <w:pPr>
        <w:rPr>
          <w:lang w:eastAsia="en-US"/>
        </w:rPr>
      </w:pPr>
    </w:p>
    <w:p w14:paraId="10474686" w14:textId="78824E03" w:rsidR="00EE7FF4" w:rsidRPr="00EE7FF4" w:rsidRDefault="00263BCF" w:rsidP="00263BCF">
      <w:pPr>
        <w:spacing w:after="160" w:line="259" w:lineRule="auto"/>
        <w:rPr>
          <w:rFonts w:ascii="Arial" w:eastAsia="Calibri" w:hAnsi="Arial" w:cs="Arial"/>
          <w:sz w:val="22"/>
          <w:szCs w:val="22"/>
          <w:lang w:eastAsia="en-US"/>
        </w:rPr>
      </w:pPr>
      <w:r w:rsidRPr="00263BCF">
        <w:rPr>
          <w:lang w:eastAsia="en-US"/>
        </w:rPr>
        <w:t>With RTS1 assets, delayed market depth is important for best execution analysis. For example, such depth enables best execution analysis to not only determine the potential opportunity cost in liquidity aggregation but also to determine that the execution decision maker has relationships with the more important venues for that asset.  Depth is also needed, especially in shares trading, to conduct routing analysis to determine venue impact and ensure that the order routing strategy is optimal and that there are truly “smarts” behind the smart order router.</w:t>
      </w:r>
    </w:p>
    <w:permEnd w:id="1350832620"/>
    <w:p w14:paraId="1969400C" w14:textId="1738209E"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24</w:t>
      </w:r>
      <w:r w:rsidRPr="00EE7FF4">
        <w:rPr>
          <w:rFonts w:ascii="Arial" w:eastAsia="Calibri" w:hAnsi="Arial" w:cs="Arial"/>
          <w:sz w:val="22"/>
          <w:szCs w:val="22"/>
          <w:lang w:eastAsia="en-US"/>
        </w:rPr>
        <w:t>&gt;</w:t>
      </w:r>
    </w:p>
    <w:p w14:paraId="75CADD21" w14:textId="77777777" w:rsidR="00EE7FF4" w:rsidRPr="00EE7FF4" w:rsidRDefault="00EE7FF4" w:rsidP="00EE7FF4">
      <w:pPr>
        <w:spacing w:after="160" w:line="259" w:lineRule="auto"/>
        <w:rPr>
          <w:rFonts w:ascii="Arial" w:eastAsia="Calibri" w:hAnsi="Arial" w:cs="Arial"/>
          <w:sz w:val="22"/>
          <w:szCs w:val="22"/>
          <w:lang w:eastAsia="en-US"/>
        </w:rPr>
      </w:pPr>
    </w:p>
    <w:p w14:paraId="029233DA"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Q25: Do you agree with the definitions of data-distribution and value-added services provided in Guideline 16? Please explain.</w:t>
      </w:r>
    </w:p>
    <w:p w14:paraId="3DDBE539" w14:textId="6C3387B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25</w:t>
      </w:r>
      <w:r w:rsidRPr="00EE7FF4">
        <w:rPr>
          <w:rFonts w:ascii="Arial" w:eastAsia="Calibri" w:hAnsi="Arial" w:cs="Arial"/>
          <w:sz w:val="22"/>
          <w:szCs w:val="22"/>
          <w:lang w:eastAsia="en-US"/>
        </w:rPr>
        <w:t>&gt;</w:t>
      </w:r>
    </w:p>
    <w:p w14:paraId="0726543C" w14:textId="78D72FE6" w:rsidR="00BD42D6" w:rsidRPr="00BD42D6" w:rsidRDefault="00BD42D6" w:rsidP="00BD42D6">
      <w:pPr>
        <w:rPr>
          <w:lang w:eastAsia="en-US"/>
        </w:rPr>
      </w:pPr>
      <w:permStart w:id="1760832403" w:edGrp="everyone"/>
      <w:r w:rsidRPr="00BD42D6">
        <w:rPr>
          <w:lang w:eastAsia="en-US"/>
        </w:rPr>
        <w:t>We have several important observations and recommendations to make, which aim to improve Guideline 16 and better achieve the policy objective.</w:t>
      </w:r>
    </w:p>
    <w:p w14:paraId="647A296F" w14:textId="77777777" w:rsidR="00BD42D6" w:rsidRPr="00BD42D6" w:rsidRDefault="00BD42D6" w:rsidP="00BD42D6">
      <w:pPr>
        <w:rPr>
          <w:lang w:eastAsia="en-US"/>
        </w:rPr>
      </w:pPr>
    </w:p>
    <w:p w14:paraId="3D946489" w14:textId="10BEAB9E" w:rsidR="00BD42D6" w:rsidRPr="00BD42D6" w:rsidRDefault="00BD42D6" w:rsidP="00BD42D6">
      <w:pPr>
        <w:rPr>
          <w:lang w:eastAsia="en-US"/>
        </w:rPr>
      </w:pPr>
      <w:r w:rsidRPr="00BD42D6">
        <w:rPr>
          <w:lang w:eastAsia="en-US"/>
        </w:rPr>
        <w:t xml:space="preserve">The existing Q&amp;A guidance and the currently proposed Guideline 16 are at odds with the objective and spirit of MIFID II/MIFIR, which sought to make delayed data free generally because of the universally recognized importance of market data. </w:t>
      </w:r>
    </w:p>
    <w:p w14:paraId="00E1B41D" w14:textId="77777777" w:rsidR="00BD42D6" w:rsidRPr="00BD42D6" w:rsidRDefault="00BD42D6" w:rsidP="00BD42D6">
      <w:pPr>
        <w:rPr>
          <w:lang w:eastAsia="en-US"/>
        </w:rPr>
      </w:pPr>
    </w:p>
    <w:p w14:paraId="6DC775EE" w14:textId="60176D22" w:rsidR="00BD42D6" w:rsidRPr="00BD42D6" w:rsidRDefault="00BD42D6" w:rsidP="00BD42D6">
      <w:pPr>
        <w:rPr>
          <w:lang w:eastAsia="en-US"/>
        </w:rPr>
      </w:pPr>
      <w:r w:rsidRPr="00BD42D6">
        <w:rPr>
          <w:lang w:eastAsia="en-US"/>
        </w:rPr>
        <w:t>However, the Q&amp;A states that data providers may charge for delayed data – when there is a redistribution of the data by the customer for a fee, or where the customer creates a new product using the raw delayed data and other information (“value-added service”). This introduces an apparent conflict between RCB and modification</w:t>
      </w:r>
      <w:r>
        <w:rPr>
          <w:lang w:eastAsia="en-US"/>
        </w:rPr>
        <w:t xml:space="preserve">s based on uses from the Q&amp;As. </w:t>
      </w:r>
      <w:r w:rsidRPr="00BD42D6">
        <w:rPr>
          <w:lang w:eastAsia="en-US"/>
        </w:rPr>
        <w:t xml:space="preserve"> ESMA should clarify that the role of assigning different values to different use cases is only in connection with allocating the RCB Cost Recoverable Target.  Whether there are two valuable use cases or ten, the total RCB Cost Recoverable Target should not change, only the allocation amounts should differ. </w:t>
      </w:r>
    </w:p>
    <w:p w14:paraId="18040A8D" w14:textId="77777777" w:rsidR="00BD42D6" w:rsidRPr="00BD42D6" w:rsidRDefault="00BD42D6" w:rsidP="00BD42D6">
      <w:pPr>
        <w:rPr>
          <w:lang w:eastAsia="en-US"/>
        </w:rPr>
      </w:pPr>
    </w:p>
    <w:p w14:paraId="6E156F34" w14:textId="06E5D079" w:rsidR="00BD42D6" w:rsidRPr="00BD42D6" w:rsidRDefault="00BD42D6" w:rsidP="00BD42D6">
      <w:pPr>
        <w:rPr>
          <w:lang w:eastAsia="en-US"/>
        </w:rPr>
      </w:pPr>
      <w:r w:rsidRPr="00BD42D6">
        <w:rPr>
          <w:lang w:eastAsia="en-US"/>
        </w:rPr>
        <w:t>While we agree that data redistribution should be understood as a business model of selling the data in unchanged form to third parties, it is inappropriate for an ESMA guideline to dictate that the data must be sold “via a general access fee” model. As long as there is access to the raw data, then competitive forces should be allowed to determine the business models</w:t>
      </w:r>
    </w:p>
    <w:p w14:paraId="47580FA2" w14:textId="77777777" w:rsidR="00BD42D6" w:rsidRPr="00BD42D6" w:rsidRDefault="00BD42D6" w:rsidP="00BD42D6">
      <w:pPr>
        <w:rPr>
          <w:lang w:eastAsia="en-US"/>
        </w:rPr>
      </w:pPr>
    </w:p>
    <w:p w14:paraId="185C8981" w14:textId="4406C4D9" w:rsidR="00BD42D6" w:rsidRPr="00BD42D6" w:rsidRDefault="00BD42D6" w:rsidP="00BD42D6">
      <w:pPr>
        <w:rPr>
          <w:lang w:eastAsia="en-US"/>
        </w:rPr>
      </w:pPr>
      <w:r w:rsidRPr="00BD42D6">
        <w:rPr>
          <w:lang w:eastAsia="en-US"/>
        </w:rPr>
        <w:t xml:space="preserve">Furthermore, Guideline 16 proposes to provide exceptions and carve-outs, for “internal purposes” but this is too vague and could introduce even more questions. For example, data remains free “where the delayed data is used for the internal purposes of the delayed data user, e.g. portfolio valuation.” Does “internal purposes” mean that investment firms must have created their own proprietary systems or does it also include investment firms that leverage third party software systems that use delayed raw data for portfolio valuation and create derived works off the raw data to provide risk metrics on their portfolio? At worst, the carve out provides a competitive advantage for investment firms large enough to fund such large (portfolio valuation) internal IT projects over smaller investment managers and at best, proposed Guideline 16 is sufficiently vague that it is not clear that smaller investment firms’ outsourced IT providers have free access to the data. </w:t>
      </w:r>
    </w:p>
    <w:p w14:paraId="3113D090" w14:textId="77777777" w:rsidR="00BD42D6" w:rsidRPr="00BD42D6" w:rsidRDefault="00BD42D6" w:rsidP="00BD42D6">
      <w:pPr>
        <w:rPr>
          <w:lang w:eastAsia="en-US"/>
        </w:rPr>
      </w:pPr>
    </w:p>
    <w:p w14:paraId="6034EEB7" w14:textId="61F5141B" w:rsidR="00BD42D6" w:rsidRPr="00BD42D6" w:rsidRDefault="00BD42D6" w:rsidP="00BD42D6">
      <w:pPr>
        <w:rPr>
          <w:lang w:eastAsia="en-US"/>
        </w:rPr>
      </w:pPr>
      <w:r w:rsidRPr="00BD42D6">
        <w:rPr>
          <w:lang w:eastAsia="en-US"/>
        </w:rPr>
        <w:t>In summary, Level 1 requires real-time data fees to be set on a reasonable commercial basis and for 15-minute delayed data to be free of charge; yet the Transparency Q&amp;A and now proposed Guideline 16 allow fees for the use of 15-minute delayed data to be priced with respect to value with no guidance on how value is determined and, apparently, without restrictions on the fees which can be charged, and in conflict with RCB and RCB Cost Recoverable Target concept. Rather, the remedy should be a proportionally based fee structure based on RCB Cost Recoverable Target.</w:t>
      </w:r>
    </w:p>
    <w:p w14:paraId="69B6CA7B" w14:textId="77777777" w:rsidR="00BD42D6" w:rsidRPr="00BD42D6" w:rsidRDefault="00BD42D6" w:rsidP="00BD42D6">
      <w:pPr>
        <w:rPr>
          <w:lang w:eastAsia="en-US"/>
        </w:rPr>
      </w:pPr>
    </w:p>
    <w:p w14:paraId="37F589EF" w14:textId="46851436" w:rsidR="00EE7FF4" w:rsidRPr="00EE7FF4" w:rsidRDefault="00BD42D6" w:rsidP="00BD42D6">
      <w:pPr>
        <w:spacing w:after="160" w:line="259" w:lineRule="auto"/>
        <w:rPr>
          <w:rFonts w:ascii="Arial" w:eastAsia="Calibri" w:hAnsi="Arial" w:cs="Arial"/>
          <w:sz w:val="22"/>
          <w:szCs w:val="22"/>
          <w:lang w:eastAsia="en-US"/>
        </w:rPr>
      </w:pPr>
      <w:r w:rsidRPr="00BD42D6">
        <w:rPr>
          <w:lang w:eastAsia="en-US"/>
        </w:rPr>
        <w:t>We strongly urge ESMA to amend proposed Guideline 16 and reflect the Level 1 intention that delayed data should be free generally, as opposed to pricing based on total value.</w:t>
      </w:r>
    </w:p>
    <w:permEnd w:id="1760832403"/>
    <w:p w14:paraId="61B97894" w14:textId="158E8286"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25</w:t>
      </w:r>
      <w:r w:rsidRPr="00EE7FF4">
        <w:rPr>
          <w:rFonts w:ascii="Arial" w:eastAsia="Calibri" w:hAnsi="Arial" w:cs="Arial"/>
          <w:sz w:val="22"/>
          <w:szCs w:val="22"/>
          <w:lang w:eastAsia="en-US"/>
        </w:rPr>
        <w:t>&gt;</w:t>
      </w:r>
    </w:p>
    <w:p w14:paraId="2353AF0B" w14:textId="77777777" w:rsidR="00EE7FF4" w:rsidRPr="00EE7FF4" w:rsidRDefault="00EE7FF4" w:rsidP="00EE7FF4">
      <w:pPr>
        <w:spacing w:after="160" w:line="259" w:lineRule="auto"/>
        <w:rPr>
          <w:rFonts w:ascii="Arial" w:eastAsia="Calibri" w:hAnsi="Arial" w:cs="Arial"/>
          <w:sz w:val="22"/>
          <w:szCs w:val="22"/>
          <w:lang w:eastAsia="en-US"/>
        </w:rPr>
      </w:pPr>
    </w:p>
    <w:p w14:paraId="5C6EF457"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Q26: Do you have any further comment or suggestion on the draft Guidelines? Please explain. </w:t>
      </w:r>
    </w:p>
    <w:p w14:paraId="27A0820D" w14:textId="69739442"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26</w:t>
      </w:r>
      <w:r w:rsidRPr="00EE7FF4">
        <w:rPr>
          <w:rFonts w:ascii="Arial" w:eastAsia="Calibri" w:hAnsi="Arial" w:cs="Arial"/>
          <w:sz w:val="22"/>
          <w:szCs w:val="22"/>
          <w:lang w:eastAsia="en-US"/>
        </w:rPr>
        <w:t>&gt;</w:t>
      </w:r>
    </w:p>
    <w:p w14:paraId="53A9FB66" w14:textId="62F9D475" w:rsidR="00EE7FF4" w:rsidRPr="00EE7FF4" w:rsidRDefault="00BD42D6" w:rsidP="00EE7FF4">
      <w:pPr>
        <w:spacing w:after="160" w:line="259" w:lineRule="auto"/>
        <w:rPr>
          <w:rFonts w:ascii="Arial" w:eastAsia="Calibri" w:hAnsi="Arial" w:cs="Arial"/>
          <w:sz w:val="22"/>
          <w:szCs w:val="22"/>
          <w:lang w:eastAsia="en-US"/>
        </w:rPr>
      </w:pPr>
      <w:permStart w:id="840840633" w:edGrp="everyone"/>
      <w:r w:rsidRPr="00BD42D6">
        <w:rPr>
          <w:lang w:eastAsia="en-US"/>
        </w:rPr>
        <w:lastRenderedPageBreak/>
        <w:t>We refer back to our introductory comments. For these guidelines to be effective, there must be adequate enforcement against parties who are not complying with the rules on market data. Some Trading Venues and APAs which expend significant time and money to comply with the rules on market data are disadvantaged if other parties are able to openly disregard the rules without fear of meaningful consequence and there is harm to the market because customers of the non-complying firms are denied the benefits of transparency that the regulation intends.</w:t>
      </w:r>
    </w:p>
    <w:permEnd w:id="840840633"/>
    <w:p w14:paraId="3B1E4741" w14:textId="0A443FDF"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26</w:t>
      </w:r>
      <w:r w:rsidRPr="00EE7FF4">
        <w:rPr>
          <w:rFonts w:ascii="Arial" w:eastAsia="Calibri" w:hAnsi="Arial" w:cs="Arial"/>
          <w:sz w:val="22"/>
          <w:szCs w:val="22"/>
          <w:lang w:eastAsia="en-US"/>
        </w:rPr>
        <w:t>&gt;</w:t>
      </w:r>
    </w:p>
    <w:p w14:paraId="13A0623B" w14:textId="77777777" w:rsidR="00EE7FF4" w:rsidRPr="00EE7FF4" w:rsidRDefault="00EE7FF4" w:rsidP="00EE7FF4">
      <w:pPr>
        <w:spacing w:after="160" w:line="259" w:lineRule="auto"/>
        <w:rPr>
          <w:rFonts w:ascii="Arial" w:eastAsia="Calibri" w:hAnsi="Arial" w:cs="Arial"/>
          <w:sz w:val="22"/>
          <w:szCs w:val="22"/>
          <w:lang w:eastAsia="en-US"/>
        </w:rPr>
      </w:pPr>
    </w:p>
    <w:p w14:paraId="0AE52E34" w14:textId="77777777" w:rsidR="00EE7FF4" w:rsidRPr="00EE7FF4" w:rsidRDefault="00EE7FF4" w:rsidP="00EE7FF4">
      <w:pPr>
        <w:spacing w:after="250" w:line="276" w:lineRule="auto"/>
        <w:ind w:left="720" w:hanging="360"/>
        <w:contextualSpacing/>
        <w:jc w:val="both"/>
        <w:rPr>
          <w:rFonts w:ascii="Arial" w:hAnsi="Arial" w:cs="Arial"/>
          <w:b/>
          <w:sz w:val="22"/>
          <w:szCs w:val="22"/>
          <w:lang w:val="en-US" w:eastAsia="en-US"/>
        </w:rPr>
      </w:pPr>
      <w:r w:rsidRPr="00EE7FF4">
        <w:rPr>
          <w:rFonts w:ascii="Arial" w:hAnsi="Arial" w:cs="Arial"/>
          <w:b/>
          <w:sz w:val="22"/>
          <w:szCs w:val="22"/>
          <w:lang w:val="en-US" w:eastAsia="en-US"/>
        </w:rPr>
        <w:t xml:space="preserve">Q27: What level of resources (financial and other) would be required to implement and comply with the Guidelines and for which related cost (please distinguish between one off and ongoing costs)? When responding to this question, please provide information on the size, internal set-up and the nature, scale and complexity of the activities of your organisation, where relevant. </w:t>
      </w:r>
    </w:p>
    <w:p w14:paraId="152A4048" w14:textId="5BBA586A" w:rsidR="00EE7FF4"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27</w:t>
      </w:r>
      <w:r w:rsidRPr="00EE7FF4">
        <w:rPr>
          <w:rFonts w:ascii="Arial" w:eastAsia="Calibri" w:hAnsi="Arial" w:cs="Arial"/>
          <w:sz w:val="22"/>
          <w:szCs w:val="22"/>
          <w:lang w:eastAsia="en-US"/>
        </w:rPr>
        <w:t>&gt;</w:t>
      </w:r>
    </w:p>
    <w:p w14:paraId="5CD28A36" w14:textId="1E187520" w:rsidR="00BD42D6" w:rsidRPr="00BD42D6" w:rsidRDefault="00BD42D6" w:rsidP="00BD42D6">
      <w:pPr>
        <w:rPr>
          <w:lang w:eastAsia="en-US"/>
        </w:rPr>
      </w:pPr>
      <w:permStart w:id="172710544" w:edGrp="everyone"/>
      <w:r w:rsidRPr="00BD42D6">
        <w:rPr>
          <w:lang w:eastAsia="en-US"/>
        </w:rPr>
        <w:t xml:space="preserve">Per our response to Question 11, we have some concerns about the practicality of implementing the per user model as proposed by ESMA.  </w:t>
      </w:r>
    </w:p>
    <w:p w14:paraId="140D237E" w14:textId="77777777" w:rsidR="00BD42D6" w:rsidRPr="00BD42D6" w:rsidRDefault="00BD42D6" w:rsidP="00BD42D6">
      <w:pPr>
        <w:rPr>
          <w:lang w:eastAsia="en-US"/>
        </w:rPr>
      </w:pPr>
    </w:p>
    <w:p w14:paraId="10F0D743" w14:textId="1F3DFE3F" w:rsidR="00EE7FF4" w:rsidRPr="00EE7FF4" w:rsidRDefault="00BD42D6" w:rsidP="00BD42D6">
      <w:pPr>
        <w:spacing w:after="160" w:line="259" w:lineRule="auto"/>
        <w:rPr>
          <w:rFonts w:ascii="Arial" w:eastAsia="Calibri" w:hAnsi="Arial" w:cs="Arial"/>
          <w:sz w:val="22"/>
          <w:szCs w:val="22"/>
          <w:lang w:eastAsia="en-US"/>
        </w:rPr>
      </w:pPr>
      <w:r w:rsidRPr="00BD42D6">
        <w:rPr>
          <w:lang w:eastAsia="en-US"/>
        </w:rPr>
        <w:t>We would suggest that there be sufficient time to implement the requirements.</w:t>
      </w:r>
    </w:p>
    <w:permEnd w:id="172710544"/>
    <w:p w14:paraId="0FF02D24" w14:textId="67A97B2C" w:rsidR="002156A3" w:rsidRPr="00EE7FF4" w:rsidRDefault="00EE7FF4" w:rsidP="00EE7FF4">
      <w:pPr>
        <w:spacing w:after="160" w:line="259" w:lineRule="auto"/>
        <w:rPr>
          <w:rFonts w:ascii="Arial" w:eastAsia="Calibri" w:hAnsi="Arial" w:cs="Arial"/>
          <w:sz w:val="22"/>
          <w:szCs w:val="22"/>
          <w:lang w:eastAsia="en-US"/>
        </w:rPr>
      </w:pPr>
      <w:r w:rsidRPr="00EE7FF4">
        <w:rPr>
          <w:rFonts w:ascii="Arial" w:eastAsia="Calibri" w:hAnsi="Arial" w:cs="Arial"/>
          <w:sz w:val="22"/>
          <w:szCs w:val="22"/>
          <w:lang w:eastAsia="en-US"/>
        </w:rPr>
        <w:t>&lt;ESMA_QUESTION_GOMD_</w:t>
      </w:r>
      <w:r>
        <w:rPr>
          <w:rFonts w:ascii="Arial" w:eastAsia="Calibri" w:hAnsi="Arial" w:cs="Arial"/>
          <w:sz w:val="22"/>
          <w:szCs w:val="22"/>
          <w:lang w:eastAsia="en-US"/>
        </w:rPr>
        <w:t>27</w:t>
      </w:r>
      <w:r w:rsidRPr="00EE7FF4">
        <w:rPr>
          <w:rFonts w:ascii="Arial" w:eastAsia="Calibri" w:hAnsi="Arial" w:cs="Arial"/>
          <w:sz w:val="22"/>
          <w:szCs w:val="22"/>
          <w:lang w:eastAsia="en-US"/>
        </w:rPr>
        <w:t>&gt;</w:t>
      </w:r>
      <w:bookmarkEnd w:id="3"/>
    </w:p>
    <w:sectPr w:rsidR="002156A3" w:rsidRPr="00EE7FF4"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0242E" w14:textId="77777777" w:rsidR="00A115F8" w:rsidRDefault="00A115F8" w:rsidP="007E7997">
      <w:r>
        <w:separator/>
      </w:r>
    </w:p>
  </w:endnote>
  <w:endnote w:type="continuationSeparator" w:id="0">
    <w:p w14:paraId="5509A995" w14:textId="77777777" w:rsidR="00A115F8" w:rsidRDefault="00A115F8" w:rsidP="007E7997">
      <w:r>
        <w:continuationSeparator/>
      </w:r>
    </w:p>
  </w:endnote>
  <w:endnote w:type="continuationNotice" w:id="1">
    <w:p w14:paraId="30F8B81D" w14:textId="77777777" w:rsidR="00A115F8" w:rsidRDefault="00A11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3915" w14:textId="25AA9A2E"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E35FC3" w:rsidRPr="005657AE">
      <w:rPr>
        <w:rFonts w:asciiTheme="majorHAnsi" w:hAnsiTheme="majorHAnsi"/>
        <w:color w:val="FFFFFF" w:themeColor="background1"/>
      </w:rPr>
      <w:t xml:space="preserve"> </w:t>
    </w:r>
    <w:r w:rsidR="00BB1D03" w:rsidRPr="005657AE">
      <w:rPr>
        <w:rFonts w:asciiTheme="majorHAnsi" w:hAnsiTheme="majorHAnsi"/>
        <w:color w:val="FFFFFF" w:themeColor="background1"/>
      </w:rPr>
      <w:t>6 November</w:t>
    </w:r>
    <w:r w:rsidR="00C92E09" w:rsidRPr="005657AE">
      <w:rPr>
        <w:rFonts w:asciiTheme="majorHAnsi" w:hAnsiTheme="majorHAnsi"/>
        <w:color w:val="FFFFFF" w:themeColor="background1"/>
      </w:rPr>
      <w:t xml:space="preserve"> </w:t>
    </w:r>
    <w:r w:rsidR="00333811" w:rsidRPr="005657AE">
      <w:rPr>
        <w:rFonts w:asciiTheme="majorHAnsi" w:hAnsiTheme="majorHAnsi"/>
        <w:color w:val="FFFFFF" w:themeColor="background1"/>
      </w:rPr>
      <w:t>2020</w:t>
    </w:r>
    <w:r w:rsidR="00E824DB" w:rsidRPr="005657AE">
      <w:rPr>
        <w:rFonts w:asciiTheme="majorHAnsi" w:hAnsiTheme="majorHAnsi"/>
        <w:color w:val="FFFFFF" w:themeColor="background1"/>
      </w:rPr>
      <w:t xml:space="preserve"> | </w:t>
    </w:r>
    <w:r w:rsidR="00BB1D03" w:rsidRPr="005657AE">
      <w:rPr>
        <w:rFonts w:asciiTheme="majorHAnsi" w:hAnsiTheme="majorHAnsi"/>
        <w:color w:val="FFFFFF" w:themeColor="background1"/>
      </w:rPr>
      <w:t>E</w:t>
    </w:r>
    <w:r w:rsidR="00BB1D03" w:rsidRPr="00BB1D03">
      <w:rPr>
        <w:rFonts w:asciiTheme="majorHAnsi" w:hAnsiTheme="majorHAnsi"/>
        <w:color w:val="FFFFFF" w:themeColor="background1"/>
      </w:rPr>
      <w:t>SMA70-156-3882</w:t>
    </w:r>
    <w:hyperlink r:id="rId1" w:history="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752247"/>
      <w:docPartObj>
        <w:docPartGallery w:val="Page Numbers (Bottom of Page)"/>
        <w:docPartUnique/>
      </w:docPartObj>
    </w:sdtPr>
    <w:sdtEndPr>
      <w:rPr>
        <w:noProof/>
      </w:rPr>
    </w:sdtEndPr>
    <w:sdtContent>
      <w:p w14:paraId="4C9B3DBF" w14:textId="1763EC67" w:rsidR="00E36813" w:rsidRDefault="00E36813">
        <w:pPr>
          <w:pStyle w:val="Footer"/>
          <w:jc w:val="center"/>
        </w:pPr>
        <w:r>
          <w:fldChar w:fldCharType="begin"/>
        </w:r>
        <w:r>
          <w:instrText xml:space="preserve"> PAGE   \* MERGEFORMAT </w:instrText>
        </w:r>
        <w:r>
          <w:fldChar w:fldCharType="separate"/>
        </w:r>
        <w:r w:rsidR="00857EA4">
          <w:rPr>
            <w:noProof/>
          </w:rPr>
          <w:t>4</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6C882" w14:textId="77777777" w:rsidR="00A115F8" w:rsidRDefault="00A115F8" w:rsidP="007E7997">
      <w:r>
        <w:separator/>
      </w:r>
    </w:p>
  </w:footnote>
  <w:footnote w:type="continuationSeparator" w:id="0">
    <w:p w14:paraId="1E9222D8" w14:textId="77777777" w:rsidR="00A115F8" w:rsidRDefault="00A115F8" w:rsidP="007E7997">
      <w:r>
        <w:continuationSeparator/>
      </w:r>
    </w:p>
  </w:footnote>
  <w:footnote w:type="continuationNotice" w:id="1">
    <w:p w14:paraId="712E6392" w14:textId="77777777" w:rsidR="00A115F8" w:rsidRDefault="00A115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35" w14:textId="77777777" w:rsidR="00E36813" w:rsidRDefault="00E36813">
    <w:pPr>
      <w:pStyle w:val="Header"/>
    </w:pPr>
    <w:r>
      <w:rPr>
        <w:noProof/>
        <w:lang w:eastAsia="zh-CN"/>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7" name="Picture 7"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B6EC4" w14:textId="5E62980F" w:rsidR="00E36813" w:rsidRDefault="00E36813" w:rsidP="00B50534">
    <w:pPr>
      <w:pStyle w:val="Header"/>
      <w:jc w:val="right"/>
      <w:rPr>
        <w:b/>
        <w:color w:val="FF0000"/>
      </w:rPr>
    </w:pPr>
    <w:r w:rsidRPr="008D5F86">
      <w:rPr>
        <w:rFonts w:ascii="Arial" w:hAnsi="Arial" w:cs="Arial"/>
        <w:noProof/>
        <w:lang w:eastAsia="zh-CN"/>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420AEE"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eastAsia="zh-CN"/>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131078" w:nlCheck="1" w:checkStyle="1"/>
  <w:proofState w:spelling="clean" w:grammar="clean"/>
  <w:attachedTemplate r:id="rId1"/>
  <w:documentProtection w:edit="readOnly" w:formatting="1" w:enforcement="1" w:cryptProviderType="rsaAES" w:cryptAlgorithmClass="hash" w:cryptAlgorithmType="typeAny" w:cryptAlgorithmSid="14" w:cryptSpinCount="100000" w:hash="3C+bk0tDNbxxOLYyqeY2tE2vADclyy6BJYrFV7hJm1PW7cR+z1Nypmph2bZxqP5Vfw8RVhJl9GUZ+Pi6BiZthQ==" w:salt="MKtbk0V5ym1HFCvs3TC/q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42"/>
    <w:rsid w:val="000022F8"/>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78B"/>
    <w:rsid w:val="00054E00"/>
    <w:rsid w:val="00060DCB"/>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3835"/>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3BCF"/>
    <w:rsid w:val="002645A8"/>
    <w:rsid w:val="0026493B"/>
    <w:rsid w:val="00265566"/>
    <w:rsid w:val="00265F44"/>
    <w:rsid w:val="002665E3"/>
    <w:rsid w:val="0027199C"/>
    <w:rsid w:val="00272C4E"/>
    <w:rsid w:val="00273877"/>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2AC"/>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1972"/>
    <w:rsid w:val="003F20C7"/>
    <w:rsid w:val="003F39B1"/>
    <w:rsid w:val="00400D9C"/>
    <w:rsid w:val="00400FBE"/>
    <w:rsid w:val="004022CF"/>
    <w:rsid w:val="004029B1"/>
    <w:rsid w:val="004038F1"/>
    <w:rsid w:val="00404282"/>
    <w:rsid w:val="0040743A"/>
    <w:rsid w:val="00407623"/>
    <w:rsid w:val="00407A74"/>
    <w:rsid w:val="004114D5"/>
    <w:rsid w:val="00414210"/>
    <w:rsid w:val="004142CF"/>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7D8"/>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4607"/>
    <w:rsid w:val="00565193"/>
    <w:rsid w:val="005657AE"/>
    <w:rsid w:val="005725BD"/>
    <w:rsid w:val="005730B0"/>
    <w:rsid w:val="00575DCC"/>
    <w:rsid w:val="005821B0"/>
    <w:rsid w:val="0058799B"/>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13BF6"/>
    <w:rsid w:val="00616D27"/>
    <w:rsid w:val="006234FE"/>
    <w:rsid w:val="00623840"/>
    <w:rsid w:val="006255EC"/>
    <w:rsid w:val="00625A25"/>
    <w:rsid w:val="0062736A"/>
    <w:rsid w:val="0063565E"/>
    <w:rsid w:val="00636E02"/>
    <w:rsid w:val="00641DB1"/>
    <w:rsid w:val="00642297"/>
    <w:rsid w:val="00644A34"/>
    <w:rsid w:val="0064714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57EA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5F8"/>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1D03"/>
    <w:rsid w:val="00BB449C"/>
    <w:rsid w:val="00BB44D7"/>
    <w:rsid w:val="00BC2561"/>
    <w:rsid w:val="00BC3E3E"/>
    <w:rsid w:val="00BC422A"/>
    <w:rsid w:val="00BC5128"/>
    <w:rsid w:val="00BC5608"/>
    <w:rsid w:val="00BD04C9"/>
    <w:rsid w:val="00BD3536"/>
    <w:rsid w:val="00BD37FD"/>
    <w:rsid w:val="00BD42D6"/>
    <w:rsid w:val="00BE0B46"/>
    <w:rsid w:val="00BE225E"/>
    <w:rsid w:val="00BE237E"/>
    <w:rsid w:val="00BE3703"/>
    <w:rsid w:val="00BE567F"/>
    <w:rsid w:val="00BF0A29"/>
    <w:rsid w:val="00BF25CD"/>
    <w:rsid w:val="00BF5553"/>
    <w:rsid w:val="00BF75CD"/>
    <w:rsid w:val="00C00F1C"/>
    <w:rsid w:val="00C01CF3"/>
    <w:rsid w:val="00C0346D"/>
    <w:rsid w:val="00C0358F"/>
    <w:rsid w:val="00C03BB0"/>
    <w:rsid w:val="00C041CF"/>
    <w:rsid w:val="00C0651F"/>
    <w:rsid w:val="00C0696A"/>
    <w:rsid w:val="00C12034"/>
    <w:rsid w:val="00C1396B"/>
    <w:rsid w:val="00C15BF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665BE"/>
    <w:rsid w:val="00D73338"/>
    <w:rsid w:val="00D775F3"/>
    <w:rsid w:val="00D77868"/>
    <w:rsid w:val="00D77F25"/>
    <w:rsid w:val="00D84599"/>
    <w:rsid w:val="00D84C2A"/>
    <w:rsid w:val="00D9064B"/>
    <w:rsid w:val="00D96AA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603DF"/>
    <w:rsid w:val="00E63745"/>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C7B"/>
    <w:rsid w:val="00ED3DCD"/>
    <w:rsid w:val="00ED3DD5"/>
    <w:rsid w:val="00ED56BE"/>
    <w:rsid w:val="00ED74D7"/>
    <w:rsid w:val="00EE40F8"/>
    <w:rsid w:val="00EE6DD6"/>
    <w:rsid w:val="00EE7FF4"/>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E005FE31544309B6450B0F95C92484"/>
        <w:category>
          <w:name w:val="General"/>
          <w:gallery w:val="placeholder"/>
        </w:category>
        <w:types>
          <w:type w:val="bbPlcHdr"/>
        </w:types>
        <w:behaviors>
          <w:behavior w:val="content"/>
        </w:behaviors>
        <w:guid w:val="{8F6685EA-6153-4C31-AA44-59B06D7D1DAB}"/>
      </w:docPartPr>
      <w:docPartBody>
        <w:p w:rsidR="00C71340" w:rsidRDefault="00E64BE8" w:rsidP="00E64BE8">
          <w:pPr>
            <w:pStyle w:val="D9E005FE31544309B6450B0F95C92484"/>
          </w:pPr>
          <w:r w:rsidRPr="00C85C8B">
            <w:rPr>
              <w:rFonts w:ascii="Arial" w:hAnsi="Arial" w:cs="Arial"/>
              <w:color w:val="808080"/>
              <w:sz w:val="20"/>
              <w:lang w:eastAsia="de-DE"/>
            </w:rPr>
            <w:t>Click here to enter text.</w:t>
          </w:r>
        </w:p>
      </w:docPartBody>
    </w:docPart>
    <w:docPart>
      <w:docPartPr>
        <w:name w:val="617DB8E926994CDA83F7807BDFE6B640"/>
        <w:category>
          <w:name w:val="General"/>
          <w:gallery w:val="placeholder"/>
        </w:category>
        <w:types>
          <w:type w:val="bbPlcHdr"/>
        </w:types>
        <w:behaviors>
          <w:behavior w:val="content"/>
        </w:behaviors>
        <w:guid w:val="{147059E7-991B-4E5C-9423-1CCE80299506}"/>
      </w:docPartPr>
      <w:docPartBody>
        <w:p w:rsidR="00C71340" w:rsidRDefault="00E64BE8" w:rsidP="00E64BE8">
          <w:pPr>
            <w:pStyle w:val="617DB8E926994CDA83F7807BDFE6B640"/>
          </w:pPr>
          <w:r w:rsidRPr="00C85C8B">
            <w:rPr>
              <w:rFonts w:ascii="Arial" w:hAnsi="Arial" w:cs="Arial"/>
              <w:color w:val="808080"/>
              <w:sz w:val="20"/>
              <w:lang w:eastAsia="de-D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BE8"/>
    <w:rsid w:val="00BB594D"/>
    <w:rsid w:val="00C71340"/>
    <w:rsid w:val="00E64B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E005FE31544309B6450B0F95C92484">
    <w:name w:val="D9E005FE31544309B6450B0F95C92484"/>
    <w:rsid w:val="00E64BE8"/>
    <w:pPr>
      <w:spacing w:after="0" w:line="240" w:lineRule="auto"/>
    </w:pPr>
    <w:rPr>
      <w:rFonts w:ascii="Times New Roman" w:eastAsia="Times New Roman" w:hAnsi="Times New Roman" w:cs="Times New Roman"/>
      <w:sz w:val="24"/>
      <w:szCs w:val="24"/>
    </w:rPr>
  </w:style>
  <w:style w:type="paragraph" w:customStyle="1" w:styleId="617DB8E926994CDA83F7807BDFE6B640">
    <w:name w:val="617DB8E926994CDA83F7807BDFE6B640"/>
    <w:rsid w:val="00E64BE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ESMA70-156-3882</_dlc_DocId>
    <TaxCatchAll xmlns="20fbe147-bbda-4e53-b6b1-7e8bbff3fe19">
      <Value>5</Value>
      <Value>46</Value>
      <Value>381</Value>
      <Value>25</Value>
      <Value>91</Value>
    </TaxCatchAll>
    <_dlc_DocIdUrl xmlns="20fbe147-bbda-4e53-b6b1-7e8bbff3fe19">
      <Url>https://sherpa.esma.europa.eu/sites/MKT/SMK/_layouts/15/DocIdRedir.aspx?ID=ESMA70-156-3882</Url>
      <Description>ESMA70-156-3882</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RCB</TermName>
          <TermId xmlns="http://schemas.microsoft.com/office/infopath/2007/PartnerControls">85d6d9f0-71d7-41d9-9f5a-fdeea5acf943</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063DBE5A-C116-4093-9F81-DA43F5C8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30</TotalTime>
  <Pages>18</Pages>
  <Words>5642</Words>
  <Characters>32162</Characters>
  <Application>Microsoft Office Word</Application>
  <DocSecurity>8</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jmchale21</cp:lastModifiedBy>
  <cp:revision>3</cp:revision>
  <cp:lastPrinted>2017-07-24T14:47:00Z</cp:lastPrinted>
  <dcterms:created xsi:type="dcterms:W3CDTF">2021-01-11T17:54:00Z</dcterms:created>
  <dcterms:modified xsi:type="dcterms:W3CDTF">2021-01-11T18:26:00Z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88085dfa-9c9b-4851-87f3-324b12a535b9</vt:lpwstr>
  </property>
  <property fmtid="{D5CDD505-2E9C-101B-9397-08002B2CF9AE}" pid="6" name="DocumentType">
    <vt:lpwstr>91;#Consultation Paper|c6238baf-c3d7-4bb8-8cf2-f28a89601f52</vt:lpwstr>
  </property>
  <property fmtid="{D5CDD505-2E9C-101B-9397-08002B2CF9AE}" pid="7" name="Topic">
    <vt:lpwstr>46;#Transparency|cfa6cb41-a664-4058-b745-b45e1c59694c</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381;#Transparency - RCB|85d6d9f0-71d7-41d9-9f5a-fdeea5acf943</vt:lpwstr>
  </property>
  <property fmtid="{D5CDD505-2E9C-101B-9397-08002B2CF9AE}" pid="18" name="TeamTopic">
    <vt:lpwstr>87;#Other Work|f1a52b52-917d-42ef-9667-945839604bb2</vt:lpwstr>
  </property>
</Properties>
</file>