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7"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8"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0"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08548285" w:rsidR="00B327E9" w:rsidRPr="00AB6D88" w:rsidRDefault="00FE26A7" w:rsidP="00F136AD">
                <w:pPr>
                  <w:rPr>
                    <w:rStyle w:val="PlaceholderText"/>
                    <w:rFonts w:cs="Arial"/>
                  </w:rPr>
                </w:pPr>
                <w:r>
                  <w:rPr>
                    <w:rStyle w:val="PlaceholderText"/>
                    <w:rFonts w:cs="Arial"/>
                  </w:rPr>
                  <w:t>i</w:t>
                </w:r>
                <w:r w:rsidR="00815125">
                  <w:rPr>
                    <w:rStyle w:val="PlaceholderText"/>
                    <w:rFonts w:cs="Arial"/>
                  </w:rPr>
                  <w:t>mpak Finance</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09FCE223" w:rsidR="00B327E9" w:rsidRPr="00AB6D88" w:rsidRDefault="0087300D"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815125">
                  <w:rPr>
                    <w:rFonts w:cs="Arial"/>
                  </w:rPr>
                  <w:t>Data/ Ratings Provider</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273E48D8" w:rsidR="00B327E9" w:rsidRPr="00AB6D88" w:rsidRDefault="00815125"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3107895A" w:rsidR="00B327E9" w:rsidRPr="00AB6D88" w:rsidRDefault="00815125" w:rsidP="00F136AD">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3EC00E6D" w14:textId="7E317BC5" w:rsidR="00B327E9" w:rsidRPr="002D079C" w:rsidRDefault="002D079C" w:rsidP="002D079C">
      <w:pPr>
        <w:spacing w:line="360" w:lineRule="auto"/>
        <w:rPr>
          <w:rFonts w:ascii="Times New Roman" w:hAnsi="Times New Roman"/>
          <w:sz w:val="24"/>
          <w:lang w:val="en-US" w:eastAsia="en-US"/>
        </w:rPr>
      </w:pPr>
      <w:permStart w:id="44765448" w:edGrp="everyone"/>
      <w:r w:rsidRPr="002D079C">
        <w:rPr>
          <w:rFonts w:cs="Arial"/>
          <w:color w:val="000000"/>
          <w:sz w:val="24"/>
          <w:lang w:val="en-US" w:eastAsia="en-US"/>
        </w:rPr>
        <w:t>impak is an independent impact rating agency dedicated to redirecting capital towards the impact economy. As an extra-financial rating agency, impak cannot overlook the EU Taxonomy, coming into effect in 2021, since we share a common objective: to eradicate greenwashing by measuring the true contribution of companies towards different environmental objectives. As such, we found this consultation a good opportunity to share our view on</w:t>
      </w:r>
      <w:r w:rsidR="007336EC">
        <w:rPr>
          <w:rFonts w:cs="Arial"/>
          <w:color w:val="000000"/>
          <w:sz w:val="24"/>
          <w:lang w:val="en-US" w:eastAsia="en-US"/>
        </w:rPr>
        <w:t xml:space="preserve"> some elements of </w:t>
      </w:r>
      <w:r w:rsidRPr="002D079C">
        <w:rPr>
          <w:rFonts w:cs="Arial"/>
          <w:color w:val="000000"/>
          <w:sz w:val="24"/>
          <w:lang w:val="en-US" w:eastAsia="en-US"/>
        </w:rPr>
        <w:t xml:space="preserve">the up-coming Taxonomy Regulation from an impact perspective. </w:t>
      </w:r>
    </w:p>
    <w:permEnd w:id="44765448"/>
    <w:p w14:paraId="68F63540" w14:textId="7560FACC"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5FF2E071" w:rsidR="00492B3A" w:rsidRDefault="00FE26A7" w:rsidP="00492B3A">
      <w:permStart w:id="1576605906" w:edGrp="everyone"/>
      <w:r>
        <w:t>Yes</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45694F8F" w14:textId="77777777" w:rsidR="00492B3A" w:rsidRDefault="00492B3A" w:rsidP="00492B3A">
      <w:permStart w:id="1123047147" w:edGrp="everyone"/>
      <w:r>
        <w:t>TYPE YOUR TEXT HERE</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6FD778B3" w14:textId="77777777" w:rsidR="00492B3A" w:rsidRDefault="00492B3A" w:rsidP="00492B3A">
      <w:permStart w:id="1823616926" w:edGrp="everyone"/>
      <w:r>
        <w:t>TYPE YOUR TEXT HERE</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4975BC77" w14:textId="77777777" w:rsidR="00492B3A" w:rsidRDefault="00492B3A" w:rsidP="00492B3A">
      <w:permStart w:id="910372547" w:edGrp="everyone"/>
      <w:r>
        <w:t>TYPE YOUR TEXT HERE</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709F0B8A" w14:textId="77777777" w:rsidR="00492B3A" w:rsidRDefault="00492B3A" w:rsidP="00492B3A">
      <w:permStart w:id="1454397300" w:edGrp="everyone"/>
      <w:r>
        <w:t>TYPE YOUR TEXT HERE</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77777777" w:rsidR="00492B3A" w:rsidRDefault="00492B3A" w:rsidP="00492B3A">
      <w:permStart w:id="164587406" w:edGrp="everyone"/>
      <w:r>
        <w:t>TYPE YOUR TEXT HERE</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F6B4017" w14:textId="77777777" w:rsidR="00492B3A" w:rsidRDefault="00492B3A" w:rsidP="00492B3A">
      <w:permStart w:id="1191210126" w:edGrp="everyone"/>
      <w:r>
        <w:lastRenderedPageBreak/>
        <w:t>TYPE YOUR TEXT HERE</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6B8BC859" w14:textId="3FF15642" w:rsidR="00492B3A" w:rsidRDefault="00FE26A7" w:rsidP="00492B3A">
      <w:permStart w:id="21103909" w:edGrp="everyone"/>
      <w:r>
        <w:t>Yes</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293286B0" w14:textId="0251C674" w:rsidR="00492B3A" w:rsidRDefault="00FE26A7" w:rsidP="00492B3A">
      <w:permStart w:id="70807355" w:edGrp="everyone"/>
      <w:r>
        <w:t>Yes</w:t>
      </w:r>
      <w:permEnd w:id="70807355"/>
      <w:r w:rsidR="00492B3A">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395B5336" w:rsidR="00492B3A" w:rsidRDefault="00FE26A7" w:rsidP="00492B3A">
      <w:permStart w:id="1969951227" w:edGrp="everyone"/>
      <w:r>
        <w:t>Yes</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77777777" w:rsidR="00492B3A" w:rsidRDefault="00492B3A" w:rsidP="00492B3A">
      <w:permStart w:id="947678092" w:edGrp="everyone"/>
      <w:r>
        <w:t>TYPE YOUR TEXT HERE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1DF80E2B" w:rsidR="00492B3A" w:rsidRPr="00896EF3" w:rsidRDefault="00896EF3" w:rsidP="00896EF3">
      <w:pPr>
        <w:jc w:val="both"/>
        <w:rPr>
          <w:rFonts w:ascii="Times New Roman" w:hAnsi="Times New Roman"/>
          <w:sz w:val="24"/>
          <w:lang w:val="en-US" w:eastAsia="en-US"/>
        </w:rPr>
      </w:pPr>
      <w:permStart w:id="575285207" w:edGrp="everyone"/>
      <w:r w:rsidRPr="00896EF3">
        <w:rPr>
          <w:rFonts w:cs="Arial"/>
          <w:b/>
          <w:bCs/>
          <w:color w:val="0E101A"/>
          <w:sz w:val="21"/>
          <w:szCs w:val="21"/>
          <w:shd w:val="clear" w:color="auto" w:fill="FFFFFF"/>
          <w:lang w:val="en-US" w:eastAsia="en-US"/>
        </w:rPr>
        <w:t xml:space="preserve">More guidance for criterion C. </w:t>
      </w:r>
      <w:r w:rsidRPr="00896EF3">
        <w:rPr>
          <w:rFonts w:cs="Arial"/>
          <w:color w:val="0E101A"/>
          <w:sz w:val="21"/>
          <w:szCs w:val="21"/>
          <w:shd w:val="clear" w:color="auto" w:fill="FFFFFF"/>
          <w:lang w:val="en-US" w:eastAsia="en-US"/>
        </w:rPr>
        <w:t>While the ESMA mentions that further specifying when criterion c (Minimum Safeguard) can be considered met falls out of the scope of its mandate, we would still like to emphasize the importance to provide more guidance and details for this criterion. Indeed, first attempts of Taxonomy assessments have shown that the market is currently using some proxies to assess compliance with Minimum Safeguard. We are concerned that the lack of details would render MS the blind spot of the Taxonomy.</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lastRenderedPageBreak/>
        <w:t>&lt;ESMA_QUESTION_TRART8_13&gt;</w:t>
      </w:r>
    </w:p>
    <w:p w14:paraId="7A9A50C5" w14:textId="77777777" w:rsidR="00492B3A" w:rsidRDefault="00492B3A" w:rsidP="00492B3A">
      <w:permStart w:id="384379543" w:edGrp="everyone"/>
      <w:r>
        <w:t>TYPE YOUR TEXT HERE</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5AE7182" w14:textId="1F422406" w:rsidR="00492B3A" w:rsidRDefault="00FE26A7" w:rsidP="00492B3A">
      <w:permStart w:id="1844913490" w:edGrp="everyone"/>
      <w:r>
        <w:t>Yes</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762174AB" w14:textId="77777777" w:rsidR="00FE26A7" w:rsidRPr="00896EF3" w:rsidRDefault="00FE26A7" w:rsidP="00FE26A7">
      <w:pPr>
        <w:rPr>
          <w:rFonts w:ascii="Times New Roman" w:hAnsi="Times New Roman"/>
          <w:sz w:val="24"/>
          <w:lang w:val="en-US" w:eastAsia="en-US"/>
        </w:rPr>
      </w:pPr>
      <w:permStart w:id="1403017900" w:edGrp="everyone"/>
      <w:r w:rsidRPr="00896EF3">
        <w:rPr>
          <w:rFonts w:cs="Arial"/>
          <w:b/>
          <w:bCs/>
          <w:color w:val="0E101A"/>
          <w:sz w:val="21"/>
          <w:szCs w:val="21"/>
          <w:shd w:val="clear" w:color="auto" w:fill="FFFFFF"/>
          <w:lang w:val="en-US" w:eastAsia="en-US"/>
        </w:rPr>
        <w:t xml:space="preserve">Challenging the need to choose between Taxonomy objectives. </w:t>
      </w:r>
      <w:r w:rsidRPr="00896EF3">
        <w:rPr>
          <w:rFonts w:cs="Arial"/>
          <w:color w:val="0E101A"/>
          <w:sz w:val="21"/>
          <w:szCs w:val="21"/>
          <w:shd w:val="clear" w:color="auto" w:fill="FFFFFF"/>
          <w:lang w:val="en-US" w:eastAsia="en-US"/>
        </w:rPr>
        <w:t xml:space="preserve">In their draft advice, the </w:t>
      </w:r>
      <w:r w:rsidRPr="00896EF3">
        <w:rPr>
          <w:rFonts w:cs="Arial"/>
          <w:b/>
          <w:bCs/>
          <w:color w:val="0E101A"/>
          <w:sz w:val="21"/>
          <w:szCs w:val="21"/>
          <w:shd w:val="clear" w:color="auto" w:fill="FFFFFF"/>
          <w:lang w:val="en-US" w:eastAsia="en-US"/>
        </w:rPr>
        <w:t>ESMA recommends that organizations assign an economic activity to one sustainability objective, even if it contributes to more than on</w:t>
      </w:r>
      <w:r w:rsidRPr="00896EF3">
        <w:rPr>
          <w:rFonts w:cs="Arial"/>
          <w:color w:val="0E101A"/>
          <w:sz w:val="21"/>
          <w:szCs w:val="21"/>
          <w:shd w:val="clear" w:color="auto" w:fill="FFFFFF"/>
          <w:lang w:val="en-US" w:eastAsia="en-US"/>
        </w:rPr>
        <w:t xml:space="preserve">e. While we agree that only one aggregated Taxonomy-alignment percentage should be disclosed at both the activity-level and the company-level, as well as for investment funds, we believe that it would be more relevant to disclose the level of the direct contribution of these activities to all environmental objectives separately. This would mean that the cumulative contribution to all environmental objectives would be higher than the overall percentage of Taxonomy-alignment. To avoid double-counting, information relative to the contribution to the different objectives could be presented separately to the percentage of Taxonomy-alignment, following the same logic behind the disclosure of information related to Capex and </w:t>
      </w:r>
      <w:proofErr w:type="spellStart"/>
      <w:r w:rsidRPr="00896EF3">
        <w:rPr>
          <w:rFonts w:cs="Arial"/>
          <w:color w:val="0E101A"/>
          <w:sz w:val="21"/>
          <w:szCs w:val="21"/>
          <w:shd w:val="clear" w:color="auto" w:fill="FFFFFF"/>
          <w:lang w:val="en-US" w:eastAsia="en-US"/>
        </w:rPr>
        <w:t>Opex</w:t>
      </w:r>
      <w:proofErr w:type="spellEnd"/>
      <w:r w:rsidRPr="00896EF3">
        <w:rPr>
          <w:rFonts w:cs="Arial"/>
          <w:color w:val="0E101A"/>
          <w:sz w:val="21"/>
          <w:szCs w:val="21"/>
          <w:shd w:val="clear" w:color="auto" w:fill="FFFFFF"/>
          <w:lang w:val="en-US" w:eastAsia="en-US"/>
        </w:rPr>
        <w:t>. This could allow investors to strategically invest in organizations with activities that are directly contributing to more than one environmental objective if they wish to.</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730000C0" w14:textId="77777777" w:rsidR="00896EF3" w:rsidRPr="00896EF3" w:rsidRDefault="00896EF3" w:rsidP="00896EF3">
      <w:pPr>
        <w:rPr>
          <w:rFonts w:ascii="Times New Roman" w:hAnsi="Times New Roman"/>
          <w:sz w:val="24"/>
          <w:lang w:val="en-US" w:eastAsia="en-US"/>
        </w:rPr>
      </w:pPr>
      <w:permStart w:id="1046510351" w:edGrp="everyone"/>
      <w:r w:rsidRPr="00896EF3">
        <w:rPr>
          <w:rFonts w:cs="Arial"/>
          <w:b/>
          <w:bCs/>
          <w:color w:val="0E101A"/>
          <w:sz w:val="21"/>
          <w:szCs w:val="21"/>
          <w:shd w:val="clear" w:color="auto" w:fill="FFFFFF"/>
          <w:lang w:val="en-US" w:eastAsia="en-US"/>
        </w:rPr>
        <w:t xml:space="preserve">Non-financial undertakings should provide information regarding if an activity is considered to be enabling, transitional, or both. </w:t>
      </w:r>
      <w:r w:rsidRPr="00896EF3">
        <w:rPr>
          <w:rFonts w:cs="Arial"/>
          <w:color w:val="0E101A"/>
          <w:sz w:val="21"/>
          <w:szCs w:val="21"/>
          <w:shd w:val="clear" w:color="auto" w:fill="FFFFFF"/>
          <w:lang w:val="en-US" w:eastAsia="en-US"/>
        </w:rPr>
        <w:t xml:space="preserve">While we believe this information to be relevant, we also recognize that some challenges could arise from defining under which category an activity </w:t>
      </w:r>
      <w:proofErr w:type="gramStart"/>
      <w:r w:rsidRPr="00896EF3">
        <w:rPr>
          <w:rFonts w:cs="Arial"/>
          <w:color w:val="0E101A"/>
          <w:sz w:val="21"/>
          <w:szCs w:val="21"/>
          <w:shd w:val="clear" w:color="auto" w:fill="FFFFFF"/>
          <w:lang w:val="en-US" w:eastAsia="en-US"/>
        </w:rPr>
        <w:t>falls</w:t>
      </w:r>
      <w:proofErr w:type="gramEnd"/>
      <w:r w:rsidRPr="00896EF3">
        <w:rPr>
          <w:rFonts w:cs="Arial"/>
          <w:color w:val="0E101A"/>
          <w:sz w:val="21"/>
          <w:szCs w:val="21"/>
          <w:shd w:val="clear" w:color="auto" w:fill="FFFFFF"/>
          <w:lang w:val="en-US" w:eastAsia="en-US"/>
        </w:rPr>
        <w:t>. For example, a utility company generating revenue from renewable energy that is Taxonomy-aligned can be considered as both enabling for its clients that wish to be powered by low-carbon energy and transitional as it relates to its own performance in terms of reducing overall specific emissions per kWh produced. In that case, the organization should be able to disclose that the activity can be considered both transitional and enabling, or else provide information on the rationale behind choosing one type of activity over the other.</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 xml:space="preserve">Do you agree that the three KPIs should be provided per environmental objective as well as a total at undertaking or group level across all objectives? If not, please provide your reasons </w:t>
      </w:r>
      <w:r>
        <w:lastRenderedPageBreak/>
        <w:t>and address the impact of your proposal to financial market participants along the investment chain.</w:t>
      </w:r>
    </w:p>
    <w:p w14:paraId="0A7FFEE1" w14:textId="77777777" w:rsidR="00492B3A" w:rsidRDefault="00492B3A" w:rsidP="00492B3A">
      <w:r>
        <w:t>&lt;ESMA_QUESTION_TRART8_17&gt;</w:t>
      </w:r>
    </w:p>
    <w:p w14:paraId="1DC30B46" w14:textId="2CBB56FB" w:rsidR="00FE26A7" w:rsidRDefault="00FE26A7" w:rsidP="00492B3A">
      <w:permStart w:id="1692017174" w:edGrp="everyone"/>
      <w:r>
        <w:t>Refer to the answer to question 15.</w:t>
      </w:r>
    </w:p>
    <w:permEnd w:id="1692017174"/>
    <w:p w14:paraId="20733EA7" w14:textId="1DFA134C"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1298BA03" w14:textId="0C60E076" w:rsidR="00492B3A" w:rsidRDefault="00FE26A7" w:rsidP="00492B3A">
      <w:permStart w:id="2067675786" w:edGrp="everyone"/>
      <w:r>
        <w:t>Yes</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088D274" w14:textId="77777777" w:rsidR="00492B3A" w:rsidRDefault="00492B3A" w:rsidP="00492B3A">
      <w:permStart w:id="1373325572" w:edGrp="everyone"/>
      <w:r>
        <w:t>TYPE YOUR TEXT HERE</w:t>
      </w:r>
    </w:p>
    <w:permEnd w:id="1373325572"/>
    <w:p w14:paraId="0BFE7D97" w14:textId="77777777"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77777777" w:rsidR="00492B3A" w:rsidRDefault="00492B3A" w:rsidP="00492B3A">
      <w:permStart w:id="1139373962" w:edGrp="everyone"/>
      <w:r>
        <w:t>TYPE YOUR TEXT HERE</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77777777" w:rsidR="00492B3A" w:rsidRDefault="00492B3A" w:rsidP="00492B3A">
      <w:permStart w:id="449525443" w:edGrp="everyone"/>
      <w:r>
        <w:t>TYPE YOUR TEXT HERE</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lastRenderedPageBreak/>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236221ED" w14:textId="77777777" w:rsidR="00896EF3" w:rsidRDefault="00896EF3" w:rsidP="00896EF3">
      <w:pPr>
        <w:rPr>
          <w:rFonts w:ascii="Times New Roman" w:hAnsi="Times New Roman"/>
          <w:lang w:eastAsia="en-US"/>
        </w:rPr>
      </w:pPr>
      <w:permStart w:id="1857751903" w:edGrp="everyone"/>
      <w:r>
        <w:rPr>
          <w:rFonts w:cs="Arial"/>
          <w:b/>
          <w:bCs/>
          <w:color w:val="0E101A"/>
          <w:sz w:val="21"/>
          <w:szCs w:val="21"/>
          <w:shd w:val="clear" w:color="auto" w:fill="FFFFFF"/>
        </w:rPr>
        <w:t>The need for geographical disclosure</w:t>
      </w:r>
      <w:r>
        <w:rPr>
          <w:rFonts w:cs="Arial"/>
          <w:color w:val="0E101A"/>
          <w:sz w:val="21"/>
          <w:szCs w:val="21"/>
          <w:shd w:val="clear" w:color="auto" w:fill="FFFFFF"/>
        </w:rPr>
        <w:t xml:space="preserve">. We side with the IMP’s recommendation that geographical disclosure is extremely relevant. The IMP has raised the utmost importance of such disclosure when impacts are more localized, as is the case for, for example, water and biodiversity issues. We agree with the above statement and would also like to emphasize the importance of such disclosure for the objective of climate change adaptation. Indeed, it is well known that the effects of climate change won’t be felt to the same extent across the globe and thus some geographical locations will have a higher need for climate change adaptation investments. Many reports including the </w:t>
      </w:r>
      <w:hyperlink r:id="rId21" w:history="1">
        <w:r>
          <w:rPr>
            <w:rStyle w:val="Hyperlink"/>
            <w:rFonts w:cs="Arial"/>
            <w:color w:val="4A6EE0"/>
            <w:sz w:val="21"/>
            <w:szCs w:val="21"/>
            <w:shd w:val="clear" w:color="auto" w:fill="FFFFFF"/>
          </w:rPr>
          <w:t>World Risk Report 2020</w:t>
        </w:r>
      </w:hyperlink>
      <w:r>
        <w:rPr>
          <w:rFonts w:cs="Arial"/>
          <w:color w:val="0E101A"/>
          <w:sz w:val="21"/>
          <w:szCs w:val="21"/>
          <w:shd w:val="clear" w:color="auto" w:fill="FFFFFF"/>
        </w:rPr>
        <w:t xml:space="preserve"> highlight these disparities regarding the need for climate change adaptation between countries.</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6523259" w14:textId="1438C176" w:rsidR="00492B3A" w:rsidRDefault="00FE26A7" w:rsidP="00492B3A">
      <w:permStart w:id="2059688895" w:edGrp="everyone"/>
      <w:r>
        <w:t>Yes</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62318C5E" w14:textId="77777777" w:rsidR="00896EF3" w:rsidRPr="00896EF3" w:rsidRDefault="00896EF3" w:rsidP="00896EF3">
      <w:pPr>
        <w:rPr>
          <w:rFonts w:ascii="Times New Roman" w:hAnsi="Times New Roman"/>
          <w:sz w:val="24"/>
          <w:lang w:val="en-US" w:eastAsia="en-US"/>
        </w:rPr>
      </w:pPr>
      <w:permStart w:id="1618612787" w:edGrp="everyone"/>
      <w:r w:rsidRPr="00896EF3">
        <w:rPr>
          <w:rFonts w:cs="Arial"/>
          <w:b/>
          <w:bCs/>
          <w:color w:val="0E101A"/>
          <w:sz w:val="21"/>
          <w:szCs w:val="21"/>
          <w:shd w:val="clear" w:color="auto" w:fill="FFFFFF"/>
          <w:lang w:val="en-US" w:eastAsia="en-US"/>
        </w:rPr>
        <w:t xml:space="preserve">Disclosure should be made with a sufficient level of granularity. </w:t>
      </w:r>
      <w:r w:rsidRPr="00896EF3">
        <w:rPr>
          <w:rFonts w:cs="Arial"/>
          <w:color w:val="0E101A"/>
          <w:sz w:val="21"/>
          <w:szCs w:val="21"/>
          <w:shd w:val="clear" w:color="auto" w:fill="FFFFFF"/>
          <w:lang w:val="en-US" w:eastAsia="en-US"/>
        </w:rPr>
        <w:t xml:space="preserve">We agree with the ESMA conclusion (127) to favor Approach 2 and require an important level of granularity. As stated in the consultation paper, requiring non-financial undertakings to provide KPIs for both activities that are covered by the Taxonomy and thus “eligible” but do not meet the four criteria (a-d), as well as for activities that are both eligible and meet the criteria and thus are Taxonomy-aligned, would offer valuable information for financial market participants. We believe that the proposed table presented in annex 3 provides sufficient granularity. However, we suggest that the title of the fifth column should be changed to “Meet TSC” with the option of a Y/N answer to avoid any confusion (for example, concerning the status quo: does a Yes answer refer to the statement in the title, or the affirmation that the SC are met?). </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2023564B" w:rsidR="00492B3A" w:rsidRDefault="00FE26A7" w:rsidP="00492B3A">
      <w:permStart w:id="300711497" w:edGrp="everyone"/>
      <w:r>
        <w:t>Yes</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3D427C90" w:rsidR="00492B3A" w:rsidRDefault="00FE26A7" w:rsidP="00492B3A">
      <w:permStart w:id="1382092212" w:edGrp="everyone"/>
      <w:r>
        <w:t>Yes</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77777777" w:rsidR="00492B3A" w:rsidRDefault="00492B3A" w:rsidP="00492B3A">
      <w:permStart w:id="1069877549" w:edGrp="everyone"/>
      <w:r>
        <w:t>TYPE YOUR TEXT HERE</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0B25670B" w14:textId="3B0DD7F7" w:rsidR="00492B3A" w:rsidRDefault="00FE26A7" w:rsidP="00492B3A">
      <w:permStart w:id="1684879065" w:edGrp="everyone"/>
      <w:r>
        <w:t>Yes</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70584610" w:rsidR="00492B3A" w:rsidRDefault="00FE26A7" w:rsidP="00492B3A">
      <w:permStart w:id="830504005" w:edGrp="everyone"/>
      <w:r>
        <w:t>Yes</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77777777" w:rsidR="00492B3A" w:rsidRDefault="00492B3A" w:rsidP="00492B3A">
      <w:permStart w:id="199520874" w:edGrp="everyone"/>
      <w:r>
        <w:t>TYPE YOUR TEXT HERE</w:t>
      </w:r>
    </w:p>
    <w:permEnd w:id="199520874"/>
    <w:p w14:paraId="632B1704" w14:textId="77777777" w:rsidR="00492B3A" w:rsidRDefault="00492B3A" w:rsidP="00492B3A">
      <w:r>
        <w:lastRenderedPageBreak/>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42B824DB" w14:textId="77777777" w:rsidR="00492B3A" w:rsidRDefault="00492B3A" w:rsidP="00492B3A">
      <w:permStart w:id="2027381222" w:edGrp="everyone"/>
      <w:r>
        <w:t>TYPE YOUR TEXT HERE</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52FE5DB7" w14:textId="77777777" w:rsidR="00492B3A" w:rsidRDefault="00492B3A" w:rsidP="00492B3A">
      <w:permStart w:id="916395240" w:edGrp="everyone"/>
      <w:r>
        <w:t>TYPE YOUR TEXT HERE</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7777777" w:rsidR="00492B3A" w:rsidRDefault="00492B3A" w:rsidP="00492B3A">
      <w:permStart w:id="362230654" w:edGrp="everyone"/>
      <w:r>
        <w:t>TYPE YOUR TEXT HERE</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2C5CA31" w14:textId="77777777" w:rsidR="00492B3A" w:rsidRDefault="00492B3A" w:rsidP="00492B3A">
      <w:permStart w:id="419981059" w:edGrp="everyone"/>
      <w:r>
        <w:t>TYPE YOUR TEXT HERE</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07D4D26F" w14:textId="77777777" w:rsidR="00492B3A" w:rsidRDefault="00492B3A" w:rsidP="00492B3A">
      <w:permStart w:id="1610223408" w:edGrp="everyone"/>
      <w:r>
        <w:t>TYPE YOUR TEXT HERE</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lastRenderedPageBreak/>
        <w:t>&lt;ESMA_QUESTION_TRART8_39&gt;</w:t>
      </w:r>
    </w:p>
    <w:p w14:paraId="504F74FB" w14:textId="77777777" w:rsidR="00492B3A" w:rsidRDefault="00492B3A" w:rsidP="00492B3A">
      <w:permStart w:id="341070213" w:edGrp="everyone"/>
      <w:r>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77777777" w:rsidR="00492B3A" w:rsidRDefault="00492B3A"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77777777" w:rsidR="00492B3A" w:rsidRDefault="00492B3A" w:rsidP="00492B3A">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55CE67A0" w14:textId="77777777" w:rsidR="00492B3A" w:rsidRDefault="00492B3A" w:rsidP="00492B3A">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lastRenderedPageBreak/>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967AC" w14:textId="77777777" w:rsidR="0087300D" w:rsidRDefault="0087300D">
      <w:r>
        <w:separator/>
      </w:r>
    </w:p>
    <w:p w14:paraId="63FAFF8F" w14:textId="77777777" w:rsidR="0087300D" w:rsidRDefault="0087300D"/>
  </w:endnote>
  <w:endnote w:type="continuationSeparator" w:id="0">
    <w:p w14:paraId="1E0AC736" w14:textId="77777777" w:rsidR="0087300D" w:rsidRDefault="0087300D">
      <w:r>
        <w:continuationSeparator/>
      </w:r>
    </w:p>
    <w:p w14:paraId="1E891C64" w14:textId="77777777" w:rsidR="0087300D" w:rsidRDefault="0087300D"/>
  </w:endnote>
  <w:endnote w:type="continuationNotice" w:id="1">
    <w:p w14:paraId="27C95C89" w14:textId="77777777" w:rsidR="0087300D" w:rsidRDefault="00873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
    <w:panose1 w:val="020B0600040502020204"/>
    <w:charset w:val="80"/>
    <w:family w:val="swiss"/>
    <w:pitch w:val="default"/>
  </w:font>
  <w:font w:name="EUAlbertina">
    <w:altName w:val="EU Albertina"/>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BF13A" w14:textId="77777777" w:rsidR="0087300D" w:rsidRDefault="0087300D">
      <w:r>
        <w:separator/>
      </w:r>
    </w:p>
    <w:p w14:paraId="6371FA76" w14:textId="77777777" w:rsidR="0087300D" w:rsidRDefault="0087300D"/>
  </w:footnote>
  <w:footnote w:type="continuationSeparator" w:id="0">
    <w:p w14:paraId="3FCEC8C9" w14:textId="77777777" w:rsidR="0087300D" w:rsidRDefault="0087300D">
      <w:r>
        <w:continuationSeparator/>
      </w:r>
    </w:p>
    <w:p w14:paraId="7AF99B76" w14:textId="77777777" w:rsidR="0087300D" w:rsidRDefault="0087300D"/>
  </w:footnote>
  <w:footnote w:type="continuationNotice" w:id="1">
    <w:p w14:paraId="7BEC7DA1" w14:textId="77777777" w:rsidR="0087300D" w:rsidRDefault="00873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1AF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3CF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6"/>
  </w:num>
  <w:num w:numId="23">
    <w:abstractNumId w:val="7"/>
  </w:num>
  <w:num w:numId="24">
    <w:abstractNumId w:val="31"/>
  </w:num>
  <w:num w:numId="25">
    <w:abstractNumId w:val="30"/>
  </w:num>
  <w:num w:numId="26">
    <w:abstractNumId w:val="20"/>
  </w:num>
  <w:num w:numId="27">
    <w:abstractNumId w:val="35"/>
  </w:num>
  <w:num w:numId="28">
    <w:abstractNumId w:val="42"/>
  </w:num>
  <w:num w:numId="29">
    <w:abstractNumId w:val="5"/>
  </w:num>
  <w:num w:numId="30">
    <w:abstractNumId w:val="2"/>
  </w:num>
  <w:num w:numId="31">
    <w:abstractNumId w:val="22"/>
  </w:num>
  <w:num w:numId="32">
    <w:abstractNumId w:val="21"/>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num>
  <w:num w:numId="42">
    <w:abstractNumId w:val="41"/>
  </w:num>
  <w:num w:numId="43">
    <w:abstractNumId w:val="36"/>
  </w:num>
  <w:num w:numId="44">
    <w:abstractNumId w:val="13"/>
    <w:lvlOverride w:ilvl="0">
      <w:startOverride w:val="1"/>
    </w:lvlOverride>
  </w:num>
  <w:num w:numId="45">
    <w:abstractNumId w:val="13"/>
    <w:lvlOverride w:ilvl="0">
      <w:startOverride w:val="1"/>
    </w:lvlOverride>
  </w:num>
  <w:num w:numId="46">
    <w:abstractNumId w:val="13"/>
  </w:num>
  <w:num w:numId="47">
    <w:abstractNumId w:val="33"/>
  </w:num>
  <w:num w:numId="48">
    <w:abstractNumId w:val="13"/>
    <w:lvlOverride w:ilvl="0">
      <w:startOverride w:val="1"/>
    </w:lvlOverride>
  </w:num>
  <w:num w:numId="49">
    <w:abstractNumId w:val="1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079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6EC"/>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2FFD"/>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5125"/>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300D"/>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96EF3"/>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6A7"/>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37964559">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05787485">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33586501">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6727580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090739058">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70601160">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38238790">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eliefweb.int/sites/reliefweb.int/files/resources/WorldRiskReport-2020.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ESMA30-379-337</_dlc_DocId>
    <_dlc_DocIdUrl xmlns="9e038d8b-eef4-4a8e-96f8-403daa5a894a">
      <Url>https://sherpa.esma.europa.eu/sites/INI/_layouts/15/DocIdRedir.aspx?ID=ESMA30-379-337</Url>
      <Description>ESMA30-379-337</Description>
    </_dlc_DocIdUrl>
    <TaxCatchAll xmlns="9e038d8b-eef4-4a8e-96f8-403daa5a894a">
      <Value>180</Value>
      <Value>136</Value>
      <Value>177</Value>
      <Value>211</Value>
      <Value>70</Value>
    </TaxCatchAll>
    <MeetingDate xmlns="9e038d8b-eef4-4a8e-96f8-403daa5a894a">2020-11-04T23:00:00+00:00</MeetingDate>
    <Year xmlns="9e038d8b-eef4-4a8e-96f8-403daa5a894a">2020</Year>
    <nfe595ebf4f64c1a822a9d342b7a0235 xmlns="9e038d8b-eef4-4a8e-96f8-403daa5a894a">
      <Terms xmlns="http://schemas.microsoft.com/office/infopath/2007/PartnerControls"/>
    </nfe595ebf4f64c1a822a9d342b7a0235>
    <f45995dbc5e34702a4907d9c19e24ff1 xmlns="9e038d8b-eef4-4a8e-96f8-403daa5a894a">
      <Terms xmlns="http://schemas.microsoft.com/office/infopath/2007/PartnerControls"/>
    </f45995dbc5e34702a4907d9c19e24ff1>
    <m24acd4774c94f0eb085e90918c19a7d xmlns="9e038d8b-eef4-4a8e-96f8-403daa5a894a">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f1a00f3c2bf7480bac6c55a336d088f1>
    <k24506574ead4431a8e2f3258e83a0fd xmlns="9e038d8b-eef4-4a8e-96f8-403daa5a894a">
      <Terms xmlns="http://schemas.microsoft.com/office/infopath/2007/PartnerControls"/>
    </k24506574ead4431a8e2f3258e83a0fd>
    <j1c2ab7cf6ed4bf9abdb70bc5711bad2 xmlns="9e038d8b-eef4-4a8e-96f8-403daa5a894a">
      <Terms xmlns="http://schemas.microsoft.com/office/infopath/2007/PartnerControls"/>
    </j1c2ab7cf6ed4bf9abdb70bc5711bad2>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e098e4de435d4a6084770929094063cb>
    <o40bb6b0fc4c43308119e5e44558f97d xmlns="9e038d8b-eef4-4a8e-96f8-403daa5a894a">
      <Terms xmlns="http://schemas.microsoft.com/office/infopath/2007/PartnerControls">
        <TermInfo xmlns="http://schemas.microsoft.com/office/infopath/2007/PartnerControls">
          <TermName xmlns="http://schemas.microsoft.com/office/infopath/2007/PartnerControls">ESAs</TermName>
          <TermId xmlns="http://schemas.microsoft.com/office/infopath/2007/PartnerControls">fa72426c-f4c1-4de0-83a0-2806812bd296</TermId>
        </TermInfo>
      </Terms>
    </o40bb6b0fc4c43308119e5e44558f97d>
    <g9c428d748e64a40afddd0217f2fd433 xmlns="9e038d8b-eef4-4a8e-96f8-403daa5a894a">
      <Terms xmlns="http://schemas.microsoft.com/office/infopath/2007/PartnerControls">
        <TermInfo xmlns="http://schemas.microsoft.com/office/infopath/2007/PartnerControls">
          <TermName xmlns="http://schemas.microsoft.com/office/infopath/2007/PartnerControls">Cooperations</TermName>
          <TermId xmlns="http://schemas.microsoft.com/office/infopath/2007/PartnerControls">1f032687-c036-4dea-8dd1-b89a6de9f112</TermId>
        </TermInfo>
      </Terms>
    </g9c428d748e64a40afddd0217f2fd43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ustainable Finance Coordination Document" ma:contentTypeID="0x0101008326B20E91D8724BBD209C9C2DA77BE3020100751FD0C8B37D344B92D0EFC36999C743" ma:contentTypeVersion="14" ma:contentTypeDescription="" ma:contentTypeScope="" ma:versionID="6d49beb5c8dd869e6db531c0d4a70b70">
  <xsd:schema xmlns:xsd="http://www.w3.org/2001/XMLSchema" xmlns:xs="http://www.w3.org/2001/XMLSchema" xmlns:p="http://schemas.microsoft.com/office/2006/metadata/properties" xmlns:ns2="9e038d8b-eef4-4a8e-96f8-403daa5a894a" targetNamespace="http://schemas.microsoft.com/office/2006/metadata/properties" ma:root="true" ma:fieldsID="5693f1fd22a6bea6aac0cbeb048b3b7c"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e098e4de435d4a6084770929094063cb" minOccurs="0"/>
                <xsd:element ref="ns2:f1a00f3c2bf7480bac6c55a336d088f1" minOccurs="0"/>
                <xsd:element ref="ns2:TaxCatchAll" minOccurs="0"/>
                <xsd:element ref="ns2:TaxCatchAllLabel" minOccurs="0"/>
                <xsd:element ref="ns2:_dlc_DocIdPersistId" minOccurs="0"/>
                <xsd:element ref="ns2:g9c428d748e64a40afddd0217f2fd433" minOccurs="0"/>
                <xsd:element ref="ns2:m24acd4774c94f0eb085e90918c19a7d" minOccurs="0"/>
                <xsd:element ref="ns2:j1c2ab7cf6ed4bf9abdb70bc5711bad2" minOccurs="0"/>
                <xsd:element ref="ns2:k24506574ead4431a8e2f3258e83a0fd" minOccurs="0"/>
                <xsd:element ref="ns2:o40bb6b0fc4c43308119e5e44558f97d" minOccurs="0"/>
                <xsd:element ref="ns2:nfe595ebf4f64c1a822a9d342b7a0235" minOccurs="0"/>
                <xsd:element ref="ns2:f45995dbc5e34702a4907d9c19e24f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9" ma:displayName="Year" ma:internalName="Year" ma:readOnly="false">
      <xsd:simpleType>
        <xsd:restriction base="dms:Text">
          <xsd:maxLength value="4"/>
        </xsd:restriction>
      </xsd:simpleType>
    </xsd:element>
    <xsd:element name="MeetingDate" ma:index="11" nillable="true" ma:displayName="Meeting Date" ma:format="DateOnly" ma:internalName="MeetingDate" ma:readOnly="fals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1;#Note|b9e1c92e-303a-4555-86f0-5c711c65937e"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f1a00f3c2bf7480bac6c55a336d088f1" ma:index="16" ma:taxonomy="true" ma:internalName="f1a00f3c2bf7480bac6c55a336d088f1" ma:taxonomyFieldName="ConfidentialityLevel" ma:displayName="Confidentiality Level" ma:readOnly="false" ma:default="-1;#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9c428d748e64a40afddd0217f2fd433" ma:index="21" ma:taxonomy="true" ma:internalName="g9c428d748e64a40afddd0217f2fd433" ma:taxonomyFieldName="TeamName" ma:displayName="Team Name" ma:readOnly="false" ma:default="-1;#Cooperations|1f032687-c036-4dea-8dd1-b89a6de9f112" ma:fieldId="{09c428d7-48e6-4a40-afdd-d0217f2fd43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m24acd4774c94f0eb085e90918c19a7d" ma:index="23" ma:taxonomy="true" ma:internalName="m24acd4774c94f0eb085e90918c19a7d" ma:taxonomyFieldName="Topic" ma:displayName="Topic" ma:readOnly="false" ma:default="177;#Sustainable Finance|2b3d71a9-35a3-4434-9d75-bd09a37940bf" ma:fieldId="{624acd47-74c9-4f0e-b085-e90918c19a7d}" ma:sspId="0ac1876e-32bf-4158-94e7-cdbcd053a335" ma:termSetId="9c4ed9b0-103f-46e9-b59c-fb2fef37ec77" ma:anchorId="00000000-0000-0000-0000-000000000000" ma:open="false" ma:isKeyword="false">
      <xsd:complexType>
        <xsd:sequence>
          <xsd:element ref="pc:Terms" minOccurs="0" maxOccurs="1"/>
        </xsd:sequence>
      </xsd:complexType>
    </xsd:element>
    <xsd:element name="j1c2ab7cf6ed4bf9abdb70bc5711bad2" ma:index="25" nillable="true" ma:taxonomy="true" ma:internalName="j1c2ab7cf6ed4bf9abdb70bc5711bad2" ma:taxonomyFieldName="StatusOfLegislation" ma:displayName="Status of legislation" ma:readOnly="false" ma:fieldId="{31c2ab7c-f6ed-4bf9-abdb-70bc5711bad2}" ma:sspId="0ac1876e-32bf-4158-94e7-cdbcd053a335" ma:termSetId="55a61bda-d82a-4e03-a226-1844979fbfa7" ma:anchorId="00000000-0000-0000-0000-000000000000" ma:open="false" ma:isKeyword="false">
      <xsd:complexType>
        <xsd:sequence>
          <xsd:element ref="pc:Terms" minOccurs="0" maxOccurs="1"/>
        </xsd:sequence>
      </xsd:complexType>
    </xsd:element>
    <xsd:element name="k24506574ead4431a8e2f3258e83a0fd" ma:index="26" nillable="true" ma:taxonomy="true" ma:internalName="k24506574ead4431a8e2f3258e83a0fd" ma:taxonomyFieldName="EsmaAudience" ma:displayName="Audience" ma:readOnly="false"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40bb6b0fc4c43308119e5e44558f97d" ma:index="27" ma:taxonomy="true" ma:internalName="o40bb6b0fc4c43308119e5e44558f97d" ma:taxonomyFieldName="SubTopic" ma:displayName="Sub Topic" ma:readOnly="false" ma:default="" ma:fieldId="{840bb6b0-fc4c-4330-8119-e5e44558f97d}" ma:sspId="0ac1876e-32bf-4158-94e7-cdbcd053a335" ma:termSetId="56663939-ed86-4408-b26f-5b4a9652e0ac" ma:anchorId="00000000-0000-0000-0000-000000000000" ma:open="false" ma:isKeyword="false">
      <xsd:complexType>
        <xsd:sequence>
          <xsd:element ref="pc:Terms" minOccurs="0" maxOccurs="1"/>
        </xsd:sequence>
      </xsd:complexType>
    </xsd:element>
    <xsd:element name="nfe595ebf4f64c1a822a9d342b7a0235" ma:index="29" nillable="true" ma:taxonomy="true" ma:internalName="nfe595ebf4f64c1a822a9d342b7a0235" ma:taxonomyFieldName="InternalStakeholders" ma:displayName="Internal stakeholders" ma:readOnly="false" ma:fieldId="{7fe595eb-f4f6-4c1a-822a-9d342b7a0235}" ma:taxonomyMulti="true" ma:sspId="0ac1876e-32bf-4158-94e7-cdbcd053a335" ma:termSetId="6a0dc695-f023-47a5-a2e3-8f2aa0ae239e" ma:anchorId="00000000-0000-0000-0000-000000000000" ma:open="false" ma:isKeyword="false">
      <xsd:complexType>
        <xsd:sequence>
          <xsd:element ref="pc:Terms" minOccurs="0" maxOccurs="1"/>
        </xsd:sequence>
      </xsd:complexType>
    </xsd:element>
    <xsd:element name="f45995dbc5e34702a4907d9c19e24ff1" ma:index="31" nillable="true" ma:taxonomy="true" ma:internalName="f45995dbc5e34702a4907d9c19e24ff1" ma:taxonomyFieldName="ExternalStakeholders" ma:displayName="External stakeholders" ma:readOnly="false" ma:fieldId="{f45995db-c5e3-4702-a490-7d9c19e24ff1}" ma:taxonomyMulti="true" ma:sspId="0ac1876e-32bf-4158-94e7-cdbcd053a335" ma:termSetId="ed1b14a0-d3be-4f81-be4d-6bdb2bb667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5.xml><?xml version="1.0" encoding="utf-8"?>
<ds:datastoreItem xmlns:ds="http://schemas.openxmlformats.org/officeDocument/2006/customXml" ds:itemID="{99F3CE27-9AB0-4090-8605-5615D655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3180</Words>
  <Characters>18131</Characters>
  <Application>Microsoft Office Word</Application>
  <DocSecurity>8</DocSecurity>
  <Lines>151</Lines>
  <Paragraphs>42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21269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Melissa Paris</cp:lastModifiedBy>
  <cp:revision>2</cp:revision>
  <cp:lastPrinted>2015-02-18T11:01:00Z</cp:lastPrinted>
  <dcterms:created xsi:type="dcterms:W3CDTF">2020-12-04T10:27:00Z</dcterms:created>
  <dcterms:modified xsi:type="dcterms:W3CDTF">2020-12-04T10:27:00Z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0x0101008326B20E91D8724BBD209C9C2DA77BE3020100751FD0C8B37D344B92D0EFC36999C743</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