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9"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20"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21"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2"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4E1666">
        <w:tc>
          <w:tcPr>
            <w:tcW w:w="3929" w:type="dxa"/>
            <w:shd w:val="clear" w:color="auto" w:fill="auto"/>
          </w:tcPr>
          <w:p w14:paraId="2CC52FAD" w14:textId="77777777" w:rsidR="00B327E9" w:rsidRPr="00E40A5C" w:rsidRDefault="00B327E9" w:rsidP="004E1666">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48517D20" w:rsidR="00B327E9" w:rsidRPr="00AB6D88" w:rsidRDefault="002D106E" w:rsidP="004E1666">
                <w:pPr>
                  <w:rPr>
                    <w:rStyle w:val="PlaceholderText"/>
                    <w:rFonts w:cs="Arial"/>
                  </w:rPr>
                </w:pPr>
                <w:r>
                  <w:rPr>
                    <w:rStyle w:val="PlaceholderText"/>
                    <w:rFonts w:cs="Arial"/>
                  </w:rPr>
                  <w:t>The international business of Federated Hermes</w:t>
                </w:r>
              </w:p>
            </w:tc>
            <w:permEnd w:id="1493633476" w:displacedByCustomXml="next"/>
          </w:sdtContent>
        </w:sdt>
      </w:tr>
      <w:tr w:rsidR="00B327E9" w:rsidRPr="00AB6D88" w14:paraId="0D2401D8" w14:textId="77777777" w:rsidTr="004E1666">
        <w:tc>
          <w:tcPr>
            <w:tcW w:w="3929" w:type="dxa"/>
            <w:shd w:val="clear" w:color="auto" w:fill="auto"/>
          </w:tcPr>
          <w:p w14:paraId="6C0EFE39" w14:textId="77777777" w:rsidR="00B327E9" w:rsidRPr="00E40A5C" w:rsidRDefault="00B327E9" w:rsidP="004E1666">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24E7059F" w:rsidR="00B327E9" w:rsidRPr="00AB6D88" w:rsidRDefault="002D7B87" w:rsidP="004E1666">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2D106E">
                  <w:rPr>
                    <w:rFonts w:cs="Arial"/>
                  </w:rPr>
                  <w:t>Investor</w:t>
                </w:r>
              </w:sdtContent>
            </w:sdt>
          </w:p>
        </w:tc>
      </w:tr>
      <w:permEnd w:id="438450997"/>
      <w:tr w:rsidR="00B327E9" w:rsidRPr="00AB6D88" w14:paraId="1A153F17" w14:textId="77777777" w:rsidTr="004E1666">
        <w:tc>
          <w:tcPr>
            <w:tcW w:w="3929" w:type="dxa"/>
            <w:shd w:val="clear" w:color="auto" w:fill="auto"/>
          </w:tcPr>
          <w:p w14:paraId="396772EB" w14:textId="77777777" w:rsidR="00B327E9" w:rsidRPr="00E40A5C" w:rsidRDefault="00B327E9" w:rsidP="004E1666">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4E1666">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4E1666">
        <w:tc>
          <w:tcPr>
            <w:tcW w:w="3929" w:type="dxa"/>
            <w:shd w:val="clear" w:color="auto" w:fill="auto"/>
          </w:tcPr>
          <w:p w14:paraId="3C221113" w14:textId="77777777" w:rsidR="00B327E9" w:rsidRPr="00E40A5C" w:rsidRDefault="00B327E9" w:rsidP="004E1666">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4B903476" w:rsidR="00B327E9" w:rsidRPr="00AB6D88" w:rsidRDefault="002D106E" w:rsidP="004E1666">
                <w:pPr>
                  <w:rPr>
                    <w:rFonts w:cs="Arial"/>
                  </w:rPr>
                </w:pPr>
                <w:r>
                  <w:rPr>
                    <w:rFonts w:cs="Arial"/>
                  </w:rPr>
                  <w:t>UK</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660B3CC3" w14:textId="38248DB1" w:rsidR="00900CF7" w:rsidRDefault="00900CF7" w:rsidP="00900CF7">
      <w:permStart w:id="44765448" w:edGrp="everyone"/>
      <w:r>
        <w:t>The international business of Federated Hermes (‘Federated Hermes’) includes Hermes Investment Management Limited (HIML) and EOS. HIML is authorised and regulated and carries out regulated activities referred to. EOS is a Stewardship services provider and does not carry out regulated activity.</w:t>
      </w:r>
    </w:p>
    <w:p w14:paraId="5827003F" w14:textId="77777777" w:rsidR="00900CF7" w:rsidRDefault="00900CF7" w:rsidP="00900CF7"/>
    <w:p w14:paraId="6B4150F1" w14:textId="77777777" w:rsidR="00900CF7" w:rsidRDefault="00900CF7" w:rsidP="00900CF7">
      <w:r>
        <w:t>We strongly support the aims and objectives of the Regulation on the establishment of a framework to facilitate sustainable investment (Regulation (EU) 2020/852), or ‘Taxonomy Regulation’, and are overall supportive of ESMA’s proposed advice to the European Commission (EC).</w:t>
      </w:r>
    </w:p>
    <w:p w14:paraId="43CB2882" w14:textId="77777777" w:rsidR="00900CF7" w:rsidRDefault="00900CF7" w:rsidP="00900CF7"/>
    <w:p w14:paraId="63DDDFE9" w14:textId="77777777" w:rsidR="00900CF7" w:rsidRDefault="00900CF7" w:rsidP="00900CF7">
      <w:r>
        <w:t xml:space="preserve">Some key messages that inform our response are: </w:t>
      </w:r>
    </w:p>
    <w:p w14:paraId="51E3E1EF" w14:textId="77777777" w:rsidR="00900CF7" w:rsidRDefault="00900CF7" w:rsidP="00900CF7">
      <w:pPr>
        <w:pStyle w:val="ListParagraph"/>
        <w:numPr>
          <w:ilvl w:val="0"/>
          <w:numId w:val="47"/>
        </w:numPr>
      </w:pPr>
      <w:r>
        <w:t>It is important not to overcomplicate the approach. This is a big step-up in reporting for a lot of companies, and simplicity will help get more companies on board. The greater the complexity of the requirements, the more likely they are to be treated as a compliance burden. This also allows the market to innovate and develop best practice in supporting disclosures, which is particularly important when both non-financial undertakings and asset managers will be subject to additional reporting requirements under the Non-Financial Reporting Directive (NFRD) and the Sustainable Finance Disclosure Regulation (SFDR).</w:t>
      </w:r>
    </w:p>
    <w:p w14:paraId="2E5F6411" w14:textId="77777777" w:rsidR="00900CF7" w:rsidRDefault="00900CF7" w:rsidP="00900CF7">
      <w:pPr>
        <w:pStyle w:val="ListParagraph"/>
        <w:numPr>
          <w:ilvl w:val="0"/>
          <w:numId w:val="47"/>
        </w:numPr>
      </w:pPr>
      <w:r>
        <w:t xml:space="preserve">For this </w:t>
      </w:r>
      <w:proofErr w:type="gramStart"/>
      <w:r>
        <w:t>reason</w:t>
      </w:r>
      <w:proofErr w:type="gramEnd"/>
      <w:r>
        <w:t xml:space="preserve"> we recommend a focus on the three key KPIs listed in the Taxonomy Regulation and the environmental objectives they contribute to, without specifying the qualitative supplementary information or sector-specific KPIs to accompany them. </w:t>
      </w:r>
    </w:p>
    <w:p w14:paraId="1C8EBCA4" w14:textId="77777777" w:rsidR="00900CF7" w:rsidRDefault="00900CF7" w:rsidP="00900CF7">
      <w:pPr>
        <w:pStyle w:val="ListParagraph"/>
        <w:numPr>
          <w:ilvl w:val="0"/>
          <w:numId w:val="47"/>
        </w:numPr>
      </w:pPr>
      <w:r>
        <w:t xml:space="preserve">Regarding the three key KPIs, whilst we believe that the decision-usefulness for investors of each varies between sectors, in order to ensure </w:t>
      </w:r>
      <w:proofErr w:type="gramStart"/>
      <w:r>
        <w:t>simplicity</w:t>
      </w:r>
      <w:proofErr w:type="gramEnd"/>
      <w:r>
        <w:t xml:space="preserve"> we advise that the disclosure requirements for all non-financial undertakings are the same. </w:t>
      </w:r>
    </w:p>
    <w:p w14:paraId="2AE7989A" w14:textId="77777777" w:rsidR="00900CF7" w:rsidRDefault="00900CF7" w:rsidP="00900CF7">
      <w:pPr>
        <w:pStyle w:val="ListParagraph"/>
        <w:numPr>
          <w:ilvl w:val="0"/>
          <w:numId w:val="47"/>
        </w:numPr>
      </w:pPr>
      <w:r>
        <w:t xml:space="preserve">The way that the draft advice is framed – particularly the tables in the annexes – implies that enabling and transitional activities are the only two categories of significant contribution to the Taxonomy. There is no specific mention of those activities which contribute directly to the achievement of the objectives through their own performance, which make up a large proportion of the Taxonomy. This is set out in the Final report of the Technical Expert Group on Sustainable Finance (TEG) 2.1.2, which identifies this category of substantial contribution alongside enabling activities. Section 2.2.2 later also mentions transitional activities as a further category for substantial contribution to climate change mitigation. The Delegated Act Appendix specifies the small subset of activities that are enabling activities (for example 3.1-3.5, 4.9-4.12) and transitional activities (for example 3.6.-3.8), with the rest contributing directly through their own performance. It is important that this is reflected in the final advice to avoid misleading users of the disclosures. </w:t>
      </w:r>
    </w:p>
    <w:p w14:paraId="11D60831" w14:textId="77777777" w:rsidR="00900CF7" w:rsidRDefault="00900CF7" w:rsidP="00900CF7">
      <w:pPr>
        <w:pStyle w:val="ListParagraph"/>
        <w:numPr>
          <w:ilvl w:val="0"/>
          <w:numId w:val="47"/>
        </w:numPr>
      </w:pPr>
      <w:r>
        <w:t>We recommend that non-financial undertakings and asset management companies are required to distinguish between those economic activities which are misaligned to the Taxonomy on the basis of its specified thresholds and those for which thresholds have not been set and which may or may not be captured by the Taxonomy when its scope is expanded in future.</w:t>
      </w:r>
    </w:p>
    <w:p w14:paraId="702B12EA" w14:textId="4CD88BDD" w:rsidR="00900CF7" w:rsidRPr="00900CF7" w:rsidRDefault="00900CF7" w:rsidP="00095B4F">
      <w:pPr>
        <w:pStyle w:val="ListParagraph"/>
        <w:numPr>
          <w:ilvl w:val="0"/>
          <w:numId w:val="47"/>
        </w:numPr>
        <w:rPr>
          <w:rFonts w:cs="Arial"/>
          <w:color w:val="000000"/>
          <w:szCs w:val="20"/>
          <w:shd w:val="clear" w:color="auto" w:fill="FFFF00"/>
        </w:rPr>
      </w:pPr>
      <w:r>
        <w:t>W</w:t>
      </w:r>
      <w:r w:rsidR="00095B4F" w:rsidRPr="00082D21">
        <w:t xml:space="preserve">e strongly advise against limiting ‘eligible investments’ to those in Article 8 or Article 9 SFDR financial products, firstly because other funds may make investments in companies with Taxonomy-compliant activities and secondly because it is misleading about the extent of an asset manager’s alignment. Additional disclosures will be made in pre-contractual disclosures and periodic </w:t>
      </w:r>
      <w:r w:rsidR="00095B4F" w:rsidRPr="00082D21">
        <w:lastRenderedPageBreak/>
        <w:t>reports for Article 8 and Article 9 SFDR products, which will satisfy the need for any product-level information</w:t>
      </w:r>
      <w:r>
        <w:t>.</w:t>
      </w:r>
      <w:r w:rsidRPr="00900CF7">
        <w:t xml:space="preserve"> </w:t>
      </w:r>
    </w:p>
    <w:p w14:paraId="6E73681E" w14:textId="33982E0A" w:rsidR="00095B4F" w:rsidRPr="00900CF7" w:rsidRDefault="00900CF7" w:rsidP="00900CF7">
      <w:pPr>
        <w:rPr>
          <w:rFonts w:cs="Arial"/>
          <w:color w:val="000000"/>
          <w:szCs w:val="20"/>
          <w:shd w:val="clear" w:color="auto" w:fill="FFFF00"/>
        </w:rPr>
      </w:pPr>
      <w:r w:rsidRPr="00900CF7">
        <w:t>In our response, we have focused on the questions to which we feel we have material contributions to make.</w:t>
      </w:r>
    </w:p>
    <w:permEnd w:id="44765448"/>
    <w:p w14:paraId="68F63540" w14:textId="4374A9BE"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7A7C230D" w:rsidR="00492B3A" w:rsidRDefault="00492B3A" w:rsidP="00492B3A">
      <w:permStart w:id="1576605906" w:edGrp="everyone"/>
      <w:r>
        <w:t>TYPE YOUR TEXT HERE</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5694F8F" w14:textId="1A15CDDA" w:rsidR="00492B3A" w:rsidRDefault="00D249C0" w:rsidP="00492B3A">
      <w:permStart w:id="1123047147" w:edGrp="everyone"/>
      <w:r>
        <w:t>Yes.</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6FD778B3" w14:textId="77777777" w:rsidR="00492B3A" w:rsidRDefault="00492B3A" w:rsidP="00492B3A">
      <w:permStart w:id="1823616926" w:edGrp="everyone"/>
      <w:r>
        <w:t>TYPE YOUR TEXT HERE</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4975BC77" w14:textId="33A88139" w:rsidR="00492B3A" w:rsidRDefault="00D1164C" w:rsidP="00492B3A">
      <w:permStart w:id="910372547" w:edGrp="everyone"/>
      <w:r>
        <w:t>Yes.</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709F0B8A" w14:textId="77777777" w:rsidR="00492B3A" w:rsidRDefault="00492B3A" w:rsidP="00492B3A">
      <w:permStart w:id="1454397300" w:edGrp="everyone"/>
      <w:r>
        <w:t>TYPE YOUR TEXT HERE</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77777777" w:rsidR="00492B3A" w:rsidRDefault="00492B3A" w:rsidP="00492B3A">
      <w:permStart w:id="164587406" w:edGrp="everyone"/>
      <w:r>
        <w:t>TYPE YOUR TEXT HERE</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145F6FB0" w:rsidR="00492B3A" w:rsidRDefault="00FF616B" w:rsidP="00492B3A">
      <w:permStart w:id="1191210126" w:edGrp="everyone"/>
      <w:r w:rsidRPr="007D3BD0">
        <w:lastRenderedPageBreak/>
        <w:t>U</w:t>
      </w:r>
      <w:r w:rsidR="00D1164C" w:rsidRPr="007D3BD0">
        <w:t xml:space="preserve">ndertakings </w:t>
      </w:r>
      <w:r w:rsidRPr="007D3BD0">
        <w:t>will</w:t>
      </w:r>
      <w:r w:rsidR="00D1164C" w:rsidRPr="007D3BD0">
        <w:t xml:space="preserve"> incur additional costs </w:t>
      </w:r>
      <w:r w:rsidRPr="007D3BD0">
        <w:t xml:space="preserve">in order to calculate </w:t>
      </w:r>
      <w:r w:rsidR="00D1164C" w:rsidRPr="007D3BD0">
        <w:t xml:space="preserve">these KPIs, as </w:t>
      </w:r>
      <w:r w:rsidRPr="007D3BD0">
        <w:t xml:space="preserve">they will need to assess </w:t>
      </w:r>
      <w:r w:rsidR="00D1164C" w:rsidRPr="007D3BD0">
        <w:t xml:space="preserve">their economic activities </w:t>
      </w:r>
      <w:r w:rsidRPr="007D3BD0">
        <w:t xml:space="preserve">against </w:t>
      </w:r>
      <w:r w:rsidR="00D1164C" w:rsidRPr="007D3BD0">
        <w:t xml:space="preserve">the minimum safeguards and the technical screening criteria that identify significant contributions/do not significantly harm. </w:t>
      </w:r>
      <w:r w:rsidRPr="007D3BD0">
        <w:t>W</w:t>
      </w:r>
      <w:r w:rsidR="00842D63" w:rsidRPr="007D3BD0">
        <w:t xml:space="preserve">e would expect that once the initial assessment of existing activities has been made, the ongoing costs will be lower as it </w:t>
      </w:r>
      <w:r w:rsidR="007F0CB1" w:rsidRPr="007D3BD0">
        <w:t xml:space="preserve">will likely be built into </w:t>
      </w:r>
      <w:r w:rsidR="00D1164C" w:rsidRPr="007D3BD0">
        <w:t>planning and monitoring systems.</w:t>
      </w:r>
      <w:r w:rsidRPr="007D3BD0">
        <w:t xml:space="preserve"> The same applies to other questions in this consultation relating to cost.</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7B95F7F0" w14:textId="4B030C6D" w:rsidR="00462D4E" w:rsidRPr="00FF616B" w:rsidRDefault="00462D4E" w:rsidP="00462D4E">
      <w:pPr>
        <w:rPr>
          <w:rFonts w:cs="Arial"/>
          <w:color w:val="000000"/>
          <w:szCs w:val="20"/>
          <w:shd w:val="clear" w:color="auto" w:fill="FFFF00"/>
        </w:rPr>
      </w:pPr>
      <w:permStart w:id="21103909" w:edGrp="everyone"/>
      <w:r w:rsidRPr="007D3BD0">
        <w:rPr>
          <w:szCs w:val="20"/>
        </w:rPr>
        <w:t>Yes</w:t>
      </w:r>
      <w:r w:rsidR="00900CF7">
        <w:rPr>
          <w:szCs w:val="20"/>
        </w:rPr>
        <w:t xml:space="preserve">. </w:t>
      </w:r>
      <w:r w:rsidR="00900CF7" w:rsidRPr="00900CF7">
        <w:rPr>
          <w:szCs w:val="20"/>
        </w:rPr>
        <w:t xml:space="preserve">Whilst the decision-usefulness for investors of these three KPIs, particularly </w:t>
      </w:r>
      <w:proofErr w:type="spellStart"/>
      <w:r w:rsidR="00900CF7" w:rsidRPr="00900CF7">
        <w:rPr>
          <w:szCs w:val="20"/>
        </w:rPr>
        <w:t>CapEx</w:t>
      </w:r>
      <w:proofErr w:type="spellEnd"/>
      <w:r w:rsidR="00900CF7" w:rsidRPr="00900CF7">
        <w:rPr>
          <w:szCs w:val="20"/>
        </w:rPr>
        <w:t xml:space="preserve"> and revenue, varies by sector we strongly agree that the requirements should be the same for all non-financial undertakings within scope in order to simplify the reporting regime. The additional information accompanying the KPIs will allow companies to contextualise the KPIs disclosed. Otherwise it may become a confusing landscape for both companies and investors. For this same reason, we do not feel that additional KPIs to the three already specified should be added as relevant KPIs will vary between sectors and it may create overly burdensome requirements for companies.</w:t>
      </w:r>
    </w:p>
    <w:permEnd w:id="21103909"/>
    <w:p w14:paraId="6C91EF19" w14:textId="4355A5BA"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AB3A7A1" w14:textId="5F80EDA7" w:rsidR="00492B3A" w:rsidRDefault="007F0CB1" w:rsidP="00492B3A">
      <w:permStart w:id="70807355" w:edGrp="everyone"/>
      <w:r>
        <w:t>Yes.</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2E3FEFE9" w:rsidR="00492B3A" w:rsidRDefault="007F0CB1" w:rsidP="00492B3A">
      <w:permStart w:id="1969951227" w:edGrp="everyone"/>
      <w:r>
        <w:t>Yes.</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58B2C144" w:rsidR="00492B3A" w:rsidRDefault="007F0CB1" w:rsidP="00492B3A">
      <w:permStart w:id="947678092" w:edGrp="everyone"/>
      <w:r w:rsidRPr="007D3BD0">
        <w:t>Yes.</w:t>
      </w:r>
      <w:r w:rsidR="00A45413" w:rsidRPr="007D3BD0">
        <w:t xml:space="preserve"> The key is that the KPIs are disclosed at the same time as financial </w:t>
      </w:r>
      <w:r w:rsidR="00FF616B" w:rsidRPr="007D3BD0">
        <w:t>information such as turnover</w:t>
      </w:r>
      <w:r w:rsidR="00A45413" w:rsidRPr="007D3BD0">
        <w:t>, and that the relevant accompanying information is easily located.</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3F56B6E2" w14:textId="133045FD" w:rsidR="007F0CB1" w:rsidRDefault="007F0CB1" w:rsidP="00492B3A">
      <w:permStart w:id="575285207" w:edGrp="everyone"/>
      <w:r w:rsidRPr="007D3BD0">
        <w:t>We believe the current proposed requirements are sufficient.</w:t>
      </w:r>
    </w:p>
    <w:permEnd w:id="575285207"/>
    <w:p w14:paraId="40A9AA66" w14:textId="644828EB" w:rsidR="00492B3A" w:rsidRDefault="00492B3A" w:rsidP="00492B3A">
      <w:r>
        <w:lastRenderedPageBreak/>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FCEE454" w14:textId="7D9FC770" w:rsidR="00CE2144" w:rsidRDefault="00AB7447" w:rsidP="00492B3A">
      <w:permStart w:id="1844913490" w:edGrp="everyone"/>
      <w:r>
        <w:t>Yes.</w:t>
      </w:r>
    </w:p>
    <w:permEnd w:id="1844913490"/>
    <w:p w14:paraId="70457698" w14:textId="2707C2F4"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E34B8AF" w14:textId="0DD48235" w:rsidR="00492B3A" w:rsidRDefault="00CE2144" w:rsidP="00492B3A">
      <w:permStart w:id="1403017900" w:edGrp="everyone"/>
      <w:r w:rsidRPr="007D3BD0">
        <w:t xml:space="preserve">Yes. The alternative would be to allow </w:t>
      </w:r>
      <w:r w:rsidR="00447B7D" w:rsidRPr="007D3BD0">
        <w:t>individual activities to be counted as contributing to more than one economic activity, and then the total KPI could identify the proportion of activities which contribute to at least one environmental objective (to remove any double counting)</w:t>
      </w:r>
      <w:r w:rsidR="003447E5" w:rsidRPr="007D3BD0">
        <w:t>. However, for the sake of clarity, on balance we agree with ESMA’s suggested approach</w:t>
      </w:r>
      <w:r w:rsidR="00447B7D" w:rsidRPr="007D3BD0">
        <w:t>.</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1FF5293E" w14:textId="03F7406C" w:rsidR="00492B3A" w:rsidRDefault="00447B7D" w:rsidP="00492B3A">
      <w:permStart w:id="1046510351" w:edGrp="everyone"/>
      <w:r w:rsidRPr="007D3BD0">
        <w:t>Yes</w:t>
      </w:r>
      <w:r w:rsidR="003447E5" w:rsidRPr="007D3BD0">
        <w:t xml:space="preserve">, as this information is useful for financial market participants’ </w:t>
      </w:r>
      <w:r w:rsidR="007D3BD0" w:rsidRPr="007D3BD0">
        <w:t xml:space="preserve">(FMPs’) </w:t>
      </w:r>
      <w:r w:rsidR="003447E5" w:rsidRPr="007D3BD0">
        <w:t>own disclosures and non-financial undertakings should already hold this information as part of their KPI calculation</w:t>
      </w:r>
      <w:r w:rsidRPr="007D3BD0">
        <w:t>.</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119C637B" w14:textId="32C515D4" w:rsidR="00447B7D" w:rsidRDefault="00447B7D" w:rsidP="00492B3A">
      <w:permStart w:id="1692017174" w:edGrp="everyone"/>
      <w:r w:rsidRPr="007D3BD0">
        <w:t xml:space="preserve">Yes. This is useful information for </w:t>
      </w:r>
      <w:r w:rsidR="003447E5" w:rsidRPr="007D3BD0">
        <w:t xml:space="preserve">FMPs, both in terms of their own disclosures and </w:t>
      </w:r>
      <w:r w:rsidR="007D3BD0" w:rsidRPr="007D3BD0">
        <w:t xml:space="preserve">to inform </w:t>
      </w:r>
      <w:r w:rsidRPr="007D3BD0">
        <w:t>investment and engagement decisions.</w:t>
      </w:r>
    </w:p>
    <w:permEnd w:id="1692017174"/>
    <w:p w14:paraId="20733EA7" w14:textId="7585305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lastRenderedPageBreak/>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2567582A" w14:textId="77777777" w:rsidR="00900CF7" w:rsidRDefault="00900CF7" w:rsidP="00492B3A">
      <w:permStart w:id="2067675786" w:edGrp="everyone"/>
      <w:r w:rsidRPr="00900CF7">
        <w:t xml:space="preserve">Yes, we recommend that non-financial undertakings are required to distinguish between those economic activities which are misaligned to the Taxonomy on the basis of its specified thresholds and those for which thresholds have not been set and which may or may not be captured by the Taxonomy when its scope is expanded in future. The latter may potentially be classed as Taxonomy-aligned once the Taxonomy is expanded and so should not be considered in the same light as those which do not meet existing screening criteria requirements or are in breach of minimum safeguards. This will also help focus investor engagement on those companies whose economic activities are covered by the </w:t>
      </w:r>
      <w:proofErr w:type="gramStart"/>
      <w:r w:rsidRPr="00900CF7">
        <w:t>Taxonomy</w:t>
      </w:r>
      <w:proofErr w:type="gramEnd"/>
      <w:r w:rsidRPr="00900CF7">
        <w:t xml:space="preserve"> but which are not Taxonomy-aligned.</w:t>
      </w:r>
    </w:p>
    <w:permEnd w:id="2067675786"/>
    <w:p w14:paraId="0824C05D" w14:textId="5CF1055B"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78FF52ED" w14:textId="77777777" w:rsidR="00AB7447" w:rsidRDefault="00447B7D" w:rsidP="00492B3A">
      <w:permStart w:id="1373325572" w:edGrp="everyone"/>
      <w:r w:rsidRPr="007D3BD0">
        <w:t xml:space="preserve">Yes. </w:t>
      </w:r>
      <w:r w:rsidR="00AB7447" w:rsidRPr="007D3BD0">
        <w:t>We agree with ESMA’s view that it will be challenging to collect the information needed to comply with retroactive disclosure before the delegated acts for the establishment of the technical screening criteria has been adopted.</w:t>
      </w:r>
    </w:p>
    <w:permEnd w:id="1373325572"/>
    <w:p w14:paraId="0BFE7D97" w14:textId="7931726A"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A0E6240" w14:textId="260F3336" w:rsidR="007D3BD0" w:rsidRDefault="007D3BD0" w:rsidP="00AB7447">
      <w:pPr>
        <w:rPr>
          <w:rFonts w:cs="Arial"/>
          <w:color w:val="000000"/>
          <w:szCs w:val="20"/>
          <w:shd w:val="clear" w:color="auto" w:fill="FFFF00"/>
        </w:rPr>
      </w:pPr>
      <w:permStart w:id="1139373962" w:edGrp="everyone"/>
      <w:r>
        <w:rPr>
          <w:szCs w:val="20"/>
        </w:rPr>
        <w:t>I</w:t>
      </w:r>
      <w:r w:rsidRPr="007D3BD0">
        <w:rPr>
          <w:szCs w:val="20"/>
        </w:rPr>
        <w:t>t is critically important that the</w:t>
      </w:r>
      <w:r w:rsidR="00926E22">
        <w:rPr>
          <w:szCs w:val="20"/>
        </w:rPr>
        <w:t xml:space="preserve"> final </w:t>
      </w:r>
      <w:r w:rsidR="00926E22" w:rsidRPr="00926E22">
        <w:rPr>
          <w:szCs w:val="20"/>
        </w:rPr>
        <w:t>Regulatory Technical Standards (RTS) of the SFDR are underpinned by and so aligned to the Taxonomy, and that in turn the disclosure requirements under the NFRD should include the information required to feed into financial market participants' own disclosures under the RTS, particularly in relation to principal adverse impact disclosures.</w:t>
      </w:r>
    </w:p>
    <w:p w14:paraId="180FA9A0" w14:textId="77777777" w:rsidR="007D3BD0" w:rsidRDefault="007D3BD0" w:rsidP="00AB7447">
      <w:pPr>
        <w:rPr>
          <w:rFonts w:cs="Arial"/>
          <w:color w:val="000000"/>
          <w:szCs w:val="20"/>
          <w:shd w:val="clear" w:color="auto" w:fill="FFFF00"/>
        </w:rPr>
      </w:pPr>
    </w:p>
    <w:p w14:paraId="6F9A0096" w14:textId="63BC61CE" w:rsidR="00AB7447" w:rsidRPr="007D3BD0" w:rsidRDefault="00AB7447" w:rsidP="00492B3A">
      <w:pPr>
        <w:rPr>
          <w:rFonts w:cs="Arial"/>
          <w:color w:val="000000"/>
          <w:szCs w:val="20"/>
          <w:shd w:val="clear" w:color="auto" w:fill="FFFF00"/>
        </w:rPr>
      </w:pPr>
      <w:r w:rsidRPr="007D3BD0">
        <w:rPr>
          <w:szCs w:val="20"/>
        </w:rPr>
        <w:t>We believe that the draft advice for non-financial undertakings is in line with the information needed by financial market participants, though it is of course not exhaustiv</w:t>
      </w:r>
      <w:r w:rsidR="00900CF7">
        <w:rPr>
          <w:szCs w:val="20"/>
        </w:rPr>
        <w:t xml:space="preserve">e. </w:t>
      </w:r>
      <w:r w:rsidR="00900CF7" w:rsidRPr="00900CF7">
        <w:rPr>
          <w:szCs w:val="20"/>
        </w:rPr>
        <w:t>This includes the additional disclosure requirements introduced in the Taxonomy Regulation to amend SFDR for Article 8 and Article 9 SFDR products.</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lastRenderedPageBreak/>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7777777" w:rsidR="00492B3A" w:rsidRDefault="00492B3A" w:rsidP="00492B3A">
      <w:permStart w:id="449525443" w:edGrp="everyone"/>
      <w:r>
        <w:t>TYPE YOUR TEXT HERE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77777777" w:rsidR="00492B3A" w:rsidRDefault="00492B3A" w:rsidP="00492B3A">
      <w:permStart w:id="1857751903" w:edGrp="everyone"/>
      <w:r>
        <w:t>TYPE YOUR TEXT HERE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C9BE1B5" w14:textId="1A670F81" w:rsidR="001A1F61" w:rsidRDefault="001A1F61" w:rsidP="00492B3A">
      <w:permStart w:id="2059688895" w:edGrp="everyone"/>
      <w:r w:rsidRPr="007D3BD0">
        <w:t>Yes. However we strongly advise allowing flexibility regarding the format of disclosure of accompanying information. Standardising the kind of information that is to be disclosed will create sufficient comparability for this qualitative information.</w:t>
      </w:r>
      <w:r w:rsidR="0027624D" w:rsidRPr="007D3BD0">
        <w:t xml:space="preserve"> </w:t>
      </w:r>
      <w:r w:rsidR="007D3BD0">
        <w:t>We therefore recommend against expanding the scope of the table any further.</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74D9FA90" w14:textId="0DA1A996" w:rsidR="0027624D" w:rsidRPr="007D3BD0" w:rsidRDefault="00D04F7E" w:rsidP="00492B3A">
      <w:permStart w:id="1618612787" w:edGrp="everyone"/>
      <w:r w:rsidRPr="007D3BD0">
        <w:t>Broadly yes</w:t>
      </w:r>
      <w:r w:rsidR="001A1F61" w:rsidRPr="007D3BD0">
        <w:t>.</w:t>
      </w:r>
      <w:r w:rsidR="0027624D" w:rsidRPr="007D3BD0">
        <w:t xml:space="preserve"> </w:t>
      </w:r>
    </w:p>
    <w:p w14:paraId="1BD6061C" w14:textId="77777777" w:rsidR="007D3BD0" w:rsidRDefault="007D3BD0" w:rsidP="007D3BD0"/>
    <w:p w14:paraId="694D5A13" w14:textId="0BD9E8CF" w:rsidR="007D3BD0" w:rsidRDefault="0027624D" w:rsidP="007D3BD0">
      <w:r w:rsidRPr="007D3BD0">
        <w:t xml:space="preserve">We would </w:t>
      </w:r>
      <w:r w:rsidR="004E1666" w:rsidRPr="007D3BD0">
        <w:t>strongly advise</w:t>
      </w:r>
      <w:r w:rsidRPr="007D3BD0">
        <w:t xml:space="preserve"> the final column in the table also </w:t>
      </w:r>
      <w:r w:rsidR="00C35521">
        <w:t>includes the option to categorise the activity as one</w:t>
      </w:r>
      <w:r w:rsidRPr="007D3BD0">
        <w:t xml:space="preserve"> that make</w:t>
      </w:r>
      <w:r w:rsidR="00C35521">
        <w:t>s</w:t>
      </w:r>
      <w:r w:rsidRPr="007D3BD0">
        <w:t xml:space="preserve"> a </w:t>
      </w:r>
      <w:r w:rsidR="00D04F7E" w:rsidRPr="007D3BD0">
        <w:t>substantial</w:t>
      </w:r>
      <w:r w:rsidRPr="007D3BD0">
        <w:t xml:space="preserve"> contribution based on their own performance. The Taxonomy covers </w:t>
      </w:r>
      <w:r w:rsidR="00D04F7E" w:rsidRPr="007D3BD0">
        <w:t xml:space="preserve">economic activities that substantially contribute, either based on their own performance or as enabling activities, or </w:t>
      </w:r>
      <w:r w:rsidR="004E1666" w:rsidRPr="007D3BD0">
        <w:t>(</w:t>
      </w:r>
      <w:r w:rsidR="00D04F7E" w:rsidRPr="007D3BD0">
        <w:t>for climate change mitigation</w:t>
      </w:r>
      <w:r w:rsidR="004E1666" w:rsidRPr="007D3BD0">
        <w:t>)</w:t>
      </w:r>
      <w:r w:rsidR="00D04F7E" w:rsidRPr="007D3BD0">
        <w:t xml:space="preserve"> those supporting the transition where there is no feasible low-carbon alternative.</w:t>
      </w:r>
      <w:r w:rsidR="00F8048F">
        <w:t xml:space="preserve"> </w:t>
      </w:r>
      <w:r w:rsidR="00B00161">
        <w:t xml:space="preserve">This </w:t>
      </w:r>
      <w:r w:rsidR="00B040BF">
        <w:t xml:space="preserve">is set </w:t>
      </w:r>
      <w:r w:rsidR="00B040BF" w:rsidRPr="00B040BF">
        <w:t xml:space="preserve">out in the Final report of the Technical Expert Group on Sustainable Finance (TEG) 2.1.2, which describes the two categories of substantial contribution as own performance and enabling activities. Transition activities are also acknowledged under 2.2.2 in relation to climate change mitigation. The Delegated Act Appendix specifies the small subset of activities included in the Taxonomy that are enabling activities (for example 3.1-3.5, 4.9-4.12) and transitional activities (for example 3.6.-3.8). The rest contribute based on their own performance. </w:t>
      </w:r>
      <w:proofErr w:type="gramStart"/>
      <w:r w:rsidR="00646AD1">
        <w:t>F</w:t>
      </w:r>
      <w:r w:rsidR="00AD5E79">
        <w:t>or</w:t>
      </w:r>
      <w:proofErr w:type="gramEnd"/>
      <w:r w:rsidR="00AD5E79">
        <w:t xml:space="preserve"> example, manufacture of </w:t>
      </w:r>
      <w:r w:rsidR="002618CC">
        <w:t xml:space="preserve">equipment for the production of hydrogen </w:t>
      </w:r>
      <w:r w:rsidR="00AD5E79">
        <w:t>is an enabling activity</w:t>
      </w:r>
      <w:r w:rsidR="002618CC">
        <w:t xml:space="preserve"> (3</w:t>
      </w:r>
      <w:r w:rsidR="00A27789">
        <w:t>.</w:t>
      </w:r>
      <w:r w:rsidR="002618CC">
        <w:t xml:space="preserve">2) whereas </w:t>
      </w:r>
      <w:r w:rsidR="007F528B">
        <w:t>manufacture of hydrogen contributes through its own performance (3.</w:t>
      </w:r>
      <w:r w:rsidR="00A27789">
        <w:t>9</w:t>
      </w:r>
      <w:r w:rsidR="007F528B">
        <w:t xml:space="preserve">). </w:t>
      </w:r>
      <w:r w:rsidR="00E53B78">
        <w:t>Meanwhile the manufacture of iron and steel (3.8) is a transition activity where it meets technical screening criteria as there are not yet feasible low-carbon alternatives.</w:t>
      </w:r>
      <w:r w:rsidR="00AD5E79">
        <w:t xml:space="preserve"> </w:t>
      </w:r>
      <w:r w:rsidR="00D04F7E" w:rsidRPr="007D3BD0">
        <w:t>The current framing</w:t>
      </w:r>
      <w:r w:rsidR="000A6154">
        <w:t xml:space="preserve"> in </w:t>
      </w:r>
      <w:r w:rsidR="000A6154">
        <w:lastRenderedPageBreak/>
        <w:t>ESMA’s advice</w:t>
      </w:r>
      <w:r w:rsidR="00D04F7E" w:rsidRPr="007D3BD0">
        <w:t xml:space="preserve"> seems to imply that the distinction is only between enabling and transitional activities</w:t>
      </w:r>
      <w:r w:rsidR="004E1666" w:rsidRPr="007D3BD0">
        <w:t>, which is misleading</w:t>
      </w:r>
      <w:r w:rsidR="00D04F7E" w:rsidRPr="007D3BD0">
        <w:t>.</w:t>
      </w:r>
      <w:r w:rsidR="007D3BD0" w:rsidRPr="007D3BD0">
        <w:t xml:space="preserve"> </w:t>
      </w:r>
      <w:r w:rsidR="00993E56">
        <w:t xml:space="preserve">This column should be altered </w:t>
      </w:r>
      <w:proofErr w:type="gramStart"/>
      <w:r w:rsidR="00993E56">
        <w:t>to:</w:t>
      </w:r>
      <w:proofErr w:type="gramEnd"/>
      <w:r w:rsidR="00993E56">
        <w:t xml:space="preserve"> own performance/</w:t>
      </w:r>
      <w:r w:rsidR="00BC0E9C">
        <w:t>enabling/transitional.</w:t>
      </w:r>
    </w:p>
    <w:p w14:paraId="5D9AC138" w14:textId="77777777" w:rsidR="007D3BD0" w:rsidRDefault="007D3BD0" w:rsidP="007D3BD0"/>
    <w:p w14:paraId="1E98E8C6" w14:textId="77777777" w:rsidR="007D3BD0" w:rsidRDefault="007D3BD0" w:rsidP="00492B3A">
      <w:r w:rsidRPr="007D3BD0">
        <w:t xml:space="preserve">We would suggest reframing of the column heading ‘covered by Taxonomy but do not meet TSC’ </w:t>
      </w:r>
      <w:r>
        <w:t xml:space="preserve">- </w:t>
      </w:r>
      <w:r w:rsidRPr="007D3BD0">
        <w:t xml:space="preserve">it is currently counterintuitive that ‘no’ means </w:t>
      </w:r>
      <w:r>
        <w:t xml:space="preserve">‘this activity </w:t>
      </w:r>
      <w:r w:rsidRPr="007D3BD0">
        <w:t xml:space="preserve">does meet the </w:t>
      </w:r>
      <w:r>
        <w:t>technical screening criteria’ – ‘If covered by the Taxonomy, does this activity</w:t>
      </w:r>
      <w:r w:rsidRPr="007D3BD0">
        <w:t xml:space="preserve"> </w:t>
      </w:r>
      <w:r>
        <w:t xml:space="preserve">meet the TSC’ would make more sense. </w:t>
      </w:r>
    </w:p>
    <w:p w14:paraId="566B7680" w14:textId="506A71B4" w:rsidR="0027624D" w:rsidRDefault="007D3BD0" w:rsidP="00492B3A">
      <w:r w:rsidRPr="007D3BD0">
        <w:t>The KPI relating to the overall proportion of turnover/</w:t>
      </w:r>
      <w:proofErr w:type="spellStart"/>
      <w:r w:rsidRPr="007D3BD0">
        <w:t>CapEx</w:t>
      </w:r>
      <w:proofErr w:type="spellEnd"/>
      <w:r w:rsidRPr="007D3BD0">
        <w:t>/</w:t>
      </w:r>
      <w:proofErr w:type="spellStart"/>
      <w:r w:rsidRPr="007D3BD0">
        <w:t>OpEx</w:t>
      </w:r>
      <w:proofErr w:type="spellEnd"/>
      <w:r w:rsidRPr="007D3BD0">
        <w:t xml:space="preserve"> that contributes to an environmental objective (21% in the Annex II example) could be broken down into contributing based on own performance, enabling and transitional activities, though this is not essential if it complicates the disclosure table.</w:t>
      </w:r>
    </w:p>
    <w:permEnd w:id="1618612787"/>
    <w:p w14:paraId="1DFE63E7" w14:textId="363FCB8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608DF6DD" w:rsidR="00492B3A" w:rsidRDefault="00C63D40" w:rsidP="00492B3A">
      <w:permStart w:id="1382092212" w:edGrp="everyone"/>
      <w:r w:rsidRPr="007D3BD0">
        <w:t>Yes. This is by far the most straightforward approach and provides the most meaningful information.</w:t>
      </w:r>
      <w:r>
        <w:t xml:space="preserve"> </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08ED7C13" w:rsidR="00492B3A" w:rsidRPr="00C63D40" w:rsidRDefault="00C63D40" w:rsidP="00492B3A">
      <w:permStart w:id="1069877549" w:edGrp="everyone"/>
      <w:r w:rsidRPr="007D3BD0">
        <w:t>No. For individual portfolio management, this can be requested by the client if desired. For the others, the KPI would reflect investment advice that may not be acted upon or decisions not made by the relevant asset manager</w:t>
      </w:r>
      <w:r w:rsidR="007D3BD0">
        <w:t>, and so would not provide decision-useful information</w:t>
      </w:r>
      <w:r w:rsidRPr="007D3BD0">
        <w:t>.</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lastRenderedPageBreak/>
        <w:t>&lt;ESMA_QUESTION_TRART8_30&gt;</w:t>
      </w:r>
    </w:p>
    <w:p w14:paraId="0B25670B" w14:textId="661DEB4C" w:rsidR="00492B3A" w:rsidRDefault="00A86422" w:rsidP="00492B3A">
      <w:permStart w:id="1684879065" w:edGrp="everyone"/>
      <w:r>
        <w:t>Yes.</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62019270" w:rsidR="00492B3A" w:rsidRDefault="00A86422" w:rsidP="00492B3A">
      <w:permStart w:id="830504005" w:edGrp="everyone"/>
      <w:r>
        <w:t>Yes.</w:t>
      </w:r>
      <w:r w:rsidR="00526BC5">
        <w:t xml:space="preserve"> Given this information is to be disclosed by non-financial undertakings, it makes sense for it to be aggregated for disclosure by asset managers.</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6387765F" w:rsidR="00492B3A" w:rsidRDefault="00A86422" w:rsidP="00492B3A">
      <w:permStart w:id="199520874" w:edGrp="everyone"/>
      <w:r w:rsidRPr="007D3BD0">
        <w:t xml:space="preserve">We see value in developing a methodology for including sovereign </w:t>
      </w:r>
      <w:r w:rsidR="00724B74" w:rsidRPr="007D3BD0">
        <w:t>bonds</w:t>
      </w:r>
      <w:r w:rsidR="00834BC0">
        <w:t xml:space="preserve"> (aside from those already meeting EU Green Bond Standard)</w:t>
      </w:r>
      <w:r w:rsidR="00724B74" w:rsidRPr="007D3BD0">
        <w:t xml:space="preserve"> in order to </w:t>
      </w:r>
      <w:r w:rsidR="00526BC5">
        <w:t xml:space="preserve">widen the coverage </w:t>
      </w:r>
      <w:r w:rsidR="00724B74" w:rsidRPr="007D3BD0">
        <w:t xml:space="preserve">of </w:t>
      </w:r>
      <w:r w:rsidR="00526BC5">
        <w:t xml:space="preserve">asset manager </w:t>
      </w:r>
      <w:r w:rsidR="00724B74" w:rsidRPr="007D3BD0">
        <w:t>disclosures</w:t>
      </w:r>
      <w:r w:rsidRPr="007D3BD0">
        <w:t>. The TEG Final Report suggests some high-level methodologies</w:t>
      </w:r>
      <w:r w:rsidR="00724B74" w:rsidRPr="007D3BD0">
        <w:t xml:space="preserve">. Whilst a more blunt instrument than the technical thresholds for economic activities, </w:t>
      </w:r>
      <w:r w:rsidRPr="007D3BD0">
        <w:t>alignment of national climate change mitigation targets with net zero by 2050</w:t>
      </w:r>
      <w:r w:rsidR="00724B74" w:rsidRPr="007D3BD0">
        <w:t xml:space="preserve"> </w:t>
      </w:r>
      <w:r w:rsidR="00724B74" w:rsidRPr="007D3BD0">
        <w:rPr>
          <w:i/>
          <w:iCs/>
        </w:rPr>
        <w:t>and</w:t>
      </w:r>
      <w:r w:rsidR="00724B74" w:rsidRPr="007D3BD0">
        <w:t xml:space="preserve"> </w:t>
      </w:r>
      <w:r w:rsidRPr="007D3BD0">
        <w:t>Nationally Defined Contributions (NDCs)</w:t>
      </w:r>
      <w:r w:rsidR="00724B74" w:rsidRPr="007D3BD0">
        <w:t xml:space="preserve"> that align with the Paris Agreement target of well below 2</w:t>
      </w:r>
      <w:r w:rsidR="00724B74" w:rsidRPr="007D3BD0">
        <w:rPr>
          <w:rFonts w:cs="Arial"/>
        </w:rPr>
        <w:t>°</w:t>
      </w:r>
      <w:r w:rsidR="00724B74" w:rsidRPr="007D3BD0">
        <w:t>C could act as a reasonable proxy</w:t>
      </w:r>
      <w:r w:rsidR="00842D63" w:rsidRPr="007D3BD0">
        <w:t xml:space="preserve"> for</w:t>
      </w:r>
      <w:r w:rsidR="00526BC5">
        <w:t xml:space="preserve"> significant contribution to</w:t>
      </w:r>
      <w:r w:rsidR="00842D63" w:rsidRPr="007D3BD0">
        <w:t xml:space="preserve"> climate change mitigation</w:t>
      </w:r>
      <w:r w:rsidR="00724B74" w:rsidRPr="007D3BD0">
        <w:t xml:space="preserve">. The other methodologies proposed – sectoral contribution of Taxonomy-aligned economic activities to national GDP and sectoral contribution of Taxonomy-aligned economic activities in the form of tax receipts – could be </w:t>
      </w:r>
      <w:r w:rsidR="00842D63" w:rsidRPr="007D3BD0">
        <w:t xml:space="preserve">more </w:t>
      </w:r>
      <w:r w:rsidR="00724B74" w:rsidRPr="007D3BD0">
        <w:t>difficult to calculate, particularly for non-EU countries</w:t>
      </w:r>
      <w:r w:rsidR="00842D63" w:rsidRPr="007D3BD0">
        <w:t>, and would likely need to be based on estimates of sectoral contribution where issuer-level disclosures are not available</w:t>
      </w:r>
      <w:r w:rsidR="00724B74" w:rsidRPr="007D3BD0">
        <w:t>.</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53C1C8C4" w14:textId="51D2E319" w:rsidR="00A86422" w:rsidRPr="007D3BD0" w:rsidRDefault="006A0F92" w:rsidP="00492B3A">
      <w:permStart w:id="2027381222" w:edGrp="everyone"/>
      <w:r w:rsidRPr="007D3BD0">
        <w:t>We would suggest the denominator includes all investments except those in asset classes for which it is not possible to estimate significant contribution for Taxonomy purposes. This should be a defined list specified by the Commission on the advice of ESMA, and should not be left to the discretion of individual asset managers as this would result in inconsistencies</w:t>
      </w:r>
      <w:r w:rsidR="00036091">
        <w:t xml:space="preserve"> and make it difficult for clients to make comparisons between providers</w:t>
      </w:r>
      <w:r w:rsidRPr="007D3BD0">
        <w:t>.</w:t>
      </w:r>
      <w:r w:rsidR="00A86422" w:rsidRPr="007D3BD0">
        <w:t xml:space="preserve"> </w:t>
      </w:r>
      <w:r w:rsidRPr="007D3BD0">
        <w:t>If this approach is taken, we advise that the disclosure includes the proportion of investments that have been included in the denominator. So, for example, if 5% of an asset manager’s investments were in an asset class that the Commission has specified should not be included in the calculation, it should be disclosed that the KPI for Taxonomy-alignment covers 95% of investments.</w:t>
      </w:r>
      <w:r w:rsidR="00214FD3" w:rsidRPr="007D3BD0">
        <w:t xml:space="preserve"> </w:t>
      </w:r>
    </w:p>
    <w:p w14:paraId="4B52A187" w14:textId="77777777" w:rsidR="00A86422" w:rsidRPr="007D3BD0" w:rsidRDefault="00A86422" w:rsidP="00492B3A"/>
    <w:p w14:paraId="3B0BDF60" w14:textId="6FA34E4A" w:rsidR="006A0F92" w:rsidRDefault="00214FD3" w:rsidP="00492B3A">
      <w:r w:rsidRPr="007D3BD0">
        <w:t xml:space="preserve">Please refer to our answer to Q34 for our explanation of why strongly </w:t>
      </w:r>
      <w:r w:rsidR="00A1447C" w:rsidRPr="007D3BD0">
        <w:t>believe that the denominator should not be restricted to Article 8 or 9 SFDR funds.</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lastRenderedPageBreak/>
        <w:t>&lt;ESMA_QUESTION_TRART8_34&gt;</w:t>
      </w:r>
    </w:p>
    <w:p w14:paraId="002631BE" w14:textId="3516C430" w:rsidR="00A1447C" w:rsidRDefault="00A1447C" w:rsidP="00A1447C">
      <w:permStart w:id="916395240" w:edGrp="everyone"/>
      <w:r w:rsidRPr="007D3BD0">
        <w:t xml:space="preserve">We strongly advise against limiting </w:t>
      </w:r>
      <w:r w:rsidR="00095B4F">
        <w:t>eligible</w:t>
      </w:r>
      <w:r w:rsidRPr="007D3BD0">
        <w:t xml:space="preserve"> investments </w:t>
      </w:r>
      <w:r w:rsidR="00095B4F">
        <w:t xml:space="preserve">to those </w:t>
      </w:r>
      <w:r w:rsidRPr="007D3BD0">
        <w:t>in Article 8 or Article 9 funds, firstly because other funds may make investments in companies with Taxonomy-compliant activities and secondly because it is misleading about the extent of an asset manager’s alignment. An asset manager with only one Article 8 or Article 9 product could seem to be making a higher proportion of Taxonomy-aligned investments than an asset manager with a wide range of Article 8 or 9 products, which is not an accurate portrayal. These disclosures are intended to show the extent to which an asset manager’s investments are Taxonomy-aligned, and such a limitation would not fulfil this aim.</w:t>
      </w:r>
      <w:r w:rsidR="00526BC5">
        <w:t xml:space="preserve"> The Taxonomy Regulation, amending SFDR, specifies additional disclosure requirements for Article 8 and Article 9 products in pre-contractual disclosures and periodic reports, and so specific disclosures for these financial products will be available in the relevant documentation.</w:t>
      </w:r>
      <w:r>
        <w:t xml:space="preserve"> </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7156B331" w14:textId="77777777" w:rsidR="00842D63" w:rsidRDefault="00842D63" w:rsidP="00842D63">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852BEC3" w:rsidR="00492B3A" w:rsidRDefault="00C63D40" w:rsidP="00492B3A">
      <w:permStart w:id="362230654" w:edGrp="everyone"/>
      <w:r w:rsidRPr="007D3BD0">
        <w:t>Yes. It will create up front and ongoing costs.</w:t>
      </w:r>
      <w:r w:rsidR="00842D63" w:rsidRPr="007D3BD0">
        <w:t xml:space="preserve"> These include obtaining data (including from third party data providers, particularly for those undertakings not within scope of the NFRD), assessing undertakings outside of the scope of NFRD for potential Taxonomy-alignment, adapting systems to collect and aggregate the relevant data and calculating KPIs. It will also require resources, in particular to develop the asset manager’s approach and set up the </w:t>
      </w:r>
      <w:r w:rsidR="00526BC5">
        <w:t>necessary</w:t>
      </w:r>
      <w:r w:rsidR="00842D63" w:rsidRPr="007D3BD0">
        <w:t xml:space="preserve"> systems, in addition to assessment of any undertakings outside the scope of the NFRD.</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5009BD0" w14:textId="1B4CD320" w:rsidR="004E1666" w:rsidRPr="007D3BD0" w:rsidRDefault="00526BC5" w:rsidP="004E1666">
      <w:permStart w:id="419981059" w:edGrp="everyone"/>
      <w:r>
        <w:t xml:space="preserve">The </w:t>
      </w:r>
      <w:r w:rsidR="006C2769">
        <w:t>key benefit</w:t>
      </w:r>
      <w:r>
        <w:t xml:space="preserve"> of limiting Taxonomy-aligned activities </w:t>
      </w:r>
      <w:r w:rsidR="006C2769">
        <w:t>to those reported by NFRD companies is data availability</w:t>
      </w:r>
      <w:r w:rsidR="006A0F92" w:rsidRPr="007D3BD0">
        <w:t>.</w:t>
      </w:r>
      <w:r w:rsidR="006C2769">
        <w:t xml:space="preserve"> Asset managers’ disclosures would then be based entirely on reported data, improving reliability and removing the cost and resources of estimating data gaps. However, this would significantly limit the scope of reporting by excluding all markets other than the EU</w:t>
      </w:r>
      <w:r w:rsidR="00D8701D">
        <w:t>, which for many asset man</w:t>
      </w:r>
      <w:r w:rsidR="00AB2565">
        <w:t>a</w:t>
      </w:r>
      <w:r w:rsidR="00D8701D">
        <w:t>gers would mean excluding a large proportion of overall investments. This reduces the usefulness of the disclosure. If disclosures are required to include issuers outside the scope of the NFRD, this could be a useful incentive to increase disclosure (and potentially encourage similar disclosure regimes in other markets).</w:t>
      </w:r>
      <w:r w:rsidR="00095B4F">
        <w:t xml:space="preserve"> On balance we therefore recommend including investments beyond the scope of the NFRD</w:t>
      </w:r>
      <w:r w:rsidR="00294F10">
        <w:t xml:space="preserve"> and for the Commission to work in parallel to lobby other governments to take up a similar reporting approach to improve data coverage</w:t>
      </w:r>
      <w:r w:rsidR="00095B4F">
        <w:t>.</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lastRenderedPageBreak/>
        <w:t>&lt;ESMA_QUESTION_TRART8_38&gt;</w:t>
      </w:r>
    </w:p>
    <w:p w14:paraId="4445F859" w14:textId="2A242CD0" w:rsidR="00D8701D" w:rsidRDefault="00B70E3A" w:rsidP="00492B3A">
      <w:permStart w:id="1610223408" w:edGrp="everyone"/>
      <w:r w:rsidRPr="007D3BD0">
        <w:t xml:space="preserve">We have some concerns with a sector-level assessment that assigns a level of Taxonomy compliance to a non-reporting issuer based on a sector-level estimate. This approach does not distinguish between the activities of issuers within the same sector, which may be making very different levels of contribution to the environmental objectives. </w:t>
      </w:r>
    </w:p>
    <w:p w14:paraId="48D7E707" w14:textId="77777777" w:rsidR="002D7B87" w:rsidRDefault="002D7B87" w:rsidP="00492B3A">
      <w:bookmarkStart w:id="0" w:name="_GoBack"/>
      <w:bookmarkEnd w:id="0"/>
    </w:p>
    <w:p w14:paraId="07D4D26F" w14:textId="7A356283" w:rsidR="00492B3A" w:rsidRDefault="00B70E3A" w:rsidP="00492B3A">
      <w:r w:rsidRPr="007D3BD0">
        <w:t xml:space="preserve">We would instead advise that issuers must make the relevant disclosures to be </w:t>
      </w:r>
      <w:r w:rsidR="00D8701D">
        <w:t>counted</w:t>
      </w:r>
      <w:r w:rsidRPr="007D3BD0">
        <w:t xml:space="preserve"> for Taxonomy</w:t>
      </w:r>
      <w:r w:rsidR="00D8701D">
        <w:t>-</w:t>
      </w:r>
      <w:r w:rsidRPr="007D3BD0">
        <w:t xml:space="preserve">alignment, </w:t>
      </w:r>
      <w:r w:rsidR="00D8701D">
        <w:t xml:space="preserve">but that </w:t>
      </w:r>
      <w:r w:rsidRPr="007D3BD0">
        <w:t xml:space="preserve">where issuers do not disclose in full asset managers may provide an estimate of potentially Taxonomy-aligned activities based on the available information. </w:t>
      </w:r>
      <w:r w:rsidR="00C9705A" w:rsidRPr="007D3BD0">
        <w:t xml:space="preserve">The </w:t>
      </w:r>
      <w:r w:rsidRPr="007D3BD0">
        <w:t>proportion</w:t>
      </w:r>
      <w:r w:rsidR="00D8701D">
        <w:t xml:space="preserve"> of the overall KPIs (for simplicity we advise this is not required for KPIs at the environmental objective level) </w:t>
      </w:r>
      <w:r w:rsidRPr="007D3BD0">
        <w:t>based on estimates rather than disclosed data should then be disclosed</w:t>
      </w:r>
      <w:r w:rsidR="00C9705A" w:rsidRPr="007D3BD0">
        <w:t xml:space="preserve"> (in the same way that ESMA have proposed disclosure of what share of the calculation is based on coefficient estimates).</w:t>
      </w:r>
      <w:r w:rsidR="00D8701D">
        <w:t xml:space="preserve"> Asset managers may use third party data providers </w:t>
      </w:r>
      <w:r w:rsidR="00E20F0A">
        <w:t>or dialogue with companies themselve</w:t>
      </w:r>
      <w:r w:rsidR="00D8701D">
        <w:t>s to obtain such estimates.</w:t>
      </w:r>
    </w:p>
    <w:p w14:paraId="2100DA32" w14:textId="4BDAD5EA" w:rsidR="00D8701D" w:rsidRDefault="00D8701D" w:rsidP="00492B3A"/>
    <w:p w14:paraId="254D4A5A" w14:textId="338607FD" w:rsidR="00D8701D" w:rsidRDefault="00D8701D" w:rsidP="00492B3A">
      <w:r>
        <w:t xml:space="preserve">If the proposed approach to develop a sector co-efficient is maintained, then as ESMA notes it will be important to have a standardised methodology for calculation of the co-efficient. </w:t>
      </w:r>
      <w:r w:rsidR="008B6400">
        <w:t xml:space="preserve">This should include clear disclaimers on some of the issues with this approach – which we highlight above. </w:t>
      </w:r>
      <w:r>
        <w:t>Ideally, the Commission could provide the relevant figures directly in order to ensure consistency in how asset managers apply this approach.</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79D8A851" w14:textId="77777777" w:rsidR="00213862" w:rsidRDefault="00213862" w:rsidP="00213862">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4381382" w14:textId="77777777" w:rsidR="00213862" w:rsidRDefault="00213862" w:rsidP="00213862">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2D20E7FD" w14:textId="07E237A5" w:rsidR="004E1666" w:rsidRDefault="00213862" w:rsidP="004E1666">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305642ED" w14:textId="708DFFE3" w:rsidR="009A3CF3" w:rsidRPr="007D3BD0" w:rsidRDefault="009A3CF3" w:rsidP="009A3CF3">
      <w:permStart w:id="2130857204" w:edGrp="everyone"/>
      <w:r w:rsidRPr="007D3BD0">
        <w:t>Again, it is very important to clarify that the distinction is not only between enabling and transitional activities. Paragraph 201 of the consultation paper seems to imply that ESMA have viewed Taxonomy-aligned activities as falling into either transitional or enabling activities, which misses out the key category of those which contribute through their own performance. Please see our answer to Q25</w:t>
      </w:r>
      <w:r w:rsidR="00D8701D">
        <w:t xml:space="preserve"> for more detail</w:t>
      </w:r>
      <w:r w:rsidRPr="007D3BD0">
        <w:t>.</w:t>
      </w:r>
      <w:r w:rsidR="00D8701D">
        <w:t xml:space="preserve"> It is important that the category of economic activities that directly contribute to environmental objectives through their own performance are explicitly acknowledged</w:t>
      </w:r>
      <w:r w:rsidR="005C471C">
        <w:t>, as this makes up a large proportion of the Taxonomy</w:t>
      </w:r>
      <w:r w:rsidR="00D8701D">
        <w:t>.</w:t>
      </w:r>
    </w:p>
    <w:p w14:paraId="0841182B" w14:textId="77777777" w:rsidR="009A3CF3" w:rsidRPr="007D3BD0" w:rsidRDefault="009A3CF3" w:rsidP="009A3CF3"/>
    <w:p w14:paraId="401D2737" w14:textId="64CCDDCA" w:rsidR="002A3360" w:rsidRPr="007D3BD0" w:rsidRDefault="00C9705A" w:rsidP="004E1666">
      <w:r w:rsidRPr="007D3BD0">
        <w:lastRenderedPageBreak/>
        <w:t xml:space="preserve">If the KPIs are calculated on a subset of eligible investments rather than all investments, then the description of the KPIs should specify that these are based on eligible investments. </w:t>
      </w:r>
    </w:p>
    <w:p w14:paraId="51FD4ADD" w14:textId="77777777" w:rsidR="00C9705A" w:rsidRPr="007D3BD0" w:rsidRDefault="00C9705A" w:rsidP="004E1666"/>
    <w:p w14:paraId="5E6D1ADC" w14:textId="12292570" w:rsidR="009A3CF3" w:rsidRDefault="00095B4F" w:rsidP="004E1666">
      <w:r>
        <w:t>As for non-financial undertakings, w</w:t>
      </w:r>
      <w:r w:rsidR="009A3CF3" w:rsidRPr="007D3BD0">
        <w:t>e recommend that asset management companies disclose what proportion of the economic activities of their non-aligned investments are misaligned to the Taxonomy on the basis of its specified thresholds and for what proportion thresholds have not been set and which therefore may or may not be captured by the Taxonomy when its scope is expanded in future.</w:t>
      </w:r>
      <w:r>
        <w:t xml:space="preserve"> As for the disclosure of what proportion are based on estimates, </w:t>
      </w:r>
      <w:r w:rsidR="00D8701D">
        <w:t>to ensure simplicity this could be done for just the overall KPI based on turnover, to avoid over-complicating disclosures.</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603FD4B4" w14:textId="6A062ED1" w:rsidR="004E1666" w:rsidRDefault="004E1666" w:rsidP="004E1666">
      <w:permStart w:id="1901090400" w:edGrp="everyone"/>
      <w:r w:rsidRPr="007D3BD0">
        <w:t>We suggest that information should be in the immediate vicinity of the KPI presentation or that compliance by reference should be permitted, in line with the</w:t>
      </w:r>
      <w:r w:rsidR="00D8701D">
        <w:t xml:space="preserve"> recommended</w:t>
      </w:r>
      <w:r w:rsidRPr="007D3BD0">
        <w:t xml:space="preserve"> requirements for non-financial undertakings.</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3C02D9D" w:rsidR="00492B3A" w:rsidRDefault="004E1666" w:rsidP="00492B3A">
      <w:permStart w:id="788030558" w:edGrp="everyone"/>
      <w:r>
        <w:t>Yes.</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1A5F4317" w:rsidR="00492B3A" w:rsidRDefault="004E1666" w:rsidP="00492B3A">
      <w:permStart w:id="658905723" w:edGrp="everyone"/>
      <w:r w:rsidRPr="007D3BD0">
        <w:t>We agree that any formatting criteria adopted for non-financial undertakings should be the same for asset managers.</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B1CE9" w14:textId="77777777" w:rsidR="00823815" w:rsidRDefault="00823815">
      <w:r>
        <w:separator/>
      </w:r>
    </w:p>
    <w:p w14:paraId="33110D42" w14:textId="77777777" w:rsidR="00823815" w:rsidRDefault="00823815"/>
  </w:endnote>
  <w:endnote w:type="continuationSeparator" w:id="0">
    <w:p w14:paraId="31CFC040" w14:textId="77777777" w:rsidR="00823815" w:rsidRDefault="00823815">
      <w:r>
        <w:continuationSeparator/>
      </w:r>
    </w:p>
    <w:p w14:paraId="0A0F1BE3" w14:textId="77777777" w:rsidR="00823815" w:rsidRDefault="00823815"/>
  </w:endnote>
  <w:endnote w:type="continuationNotice" w:id="1">
    <w:p w14:paraId="1E5203E1" w14:textId="77777777" w:rsidR="00823815" w:rsidRDefault="0082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DC8B" w14:textId="77777777" w:rsidR="002D106E" w:rsidRDefault="002D1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E1666" w:rsidRPr="00616B9B" w14:paraId="5517B000" w14:textId="77777777" w:rsidTr="00315E96">
      <w:trPr>
        <w:trHeight w:val="284"/>
      </w:trPr>
      <w:tc>
        <w:tcPr>
          <w:tcW w:w="8460" w:type="dxa"/>
        </w:tcPr>
        <w:p w14:paraId="4C959F65" w14:textId="77777777" w:rsidR="004E1666" w:rsidRPr="00315E96" w:rsidRDefault="004E1666" w:rsidP="00315E96">
          <w:pPr>
            <w:pStyle w:val="00Footer"/>
            <w:rPr>
              <w:lang w:val="fr-FR"/>
            </w:rPr>
          </w:pPr>
        </w:p>
      </w:tc>
      <w:tc>
        <w:tcPr>
          <w:tcW w:w="952" w:type="dxa"/>
        </w:tcPr>
        <w:p w14:paraId="2310C30E" w14:textId="77777777" w:rsidR="004E1666" w:rsidRPr="00616B9B" w:rsidRDefault="004E166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6</w:t>
          </w:r>
          <w:r w:rsidRPr="00616B9B">
            <w:rPr>
              <w:rFonts w:cs="Arial"/>
              <w:noProof/>
              <w:sz w:val="22"/>
              <w:szCs w:val="22"/>
            </w:rPr>
            <w:fldChar w:fldCharType="end"/>
          </w:r>
        </w:p>
      </w:tc>
    </w:tr>
  </w:tbl>
  <w:p w14:paraId="08C7C785" w14:textId="77777777" w:rsidR="004E1666" w:rsidRDefault="004E1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1C0D" w14:textId="77777777" w:rsidR="002D106E" w:rsidRDefault="002D10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4E1666" w:rsidRDefault="004E1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C05D6" w14:textId="77777777" w:rsidR="00823815" w:rsidRDefault="00823815">
      <w:r>
        <w:separator/>
      </w:r>
    </w:p>
    <w:p w14:paraId="75D8B47C" w14:textId="77777777" w:rsidR="00823815" w:rsidRDefault="00823815"/>
  </w:footnote>
  <w:footnote w:type="continuationSeparator" w:id="0">
    <w:p w14:paraId="76B0F2D1" w14:textId="77777777" w:rsidR="00823815" w:rsidRDefault="00823815">
      <w:r>
        <w:continuationSeparator/>
      </w:r>
    </w:p>
    <w:p w14:paraId="7D603C59" w14:textId="77777777" w:rsidR="00823815" w:rsidRDefault="00823815"/>
  </w:footnote>
  <w:footnote w:type="continuationNotice" w:id="1">
    <w:p w14:paraId="1F401D46" w14:textId="77777777" w:rsidR="00823815" w:rsidRDefault="00823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5D35" w14:textId="77777777" w:rsidR="002D106E" w:rsidRDefault="002D1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4E1666" w:rsidRDefault="004E1666">
    <w:pPr>
      <w:pStyle w:val="Header"/>
    </w:pPr>
    <w:r>
      <w:rPr>
        <w:noProof/>
        <w:lang w:eastAsia="en-GB"/>
      </w:rPr>
      <w:drawing>
        <wp:anchor distT="0" distB="0" distL="114300" distR="114300" simplePos="0" relativeHeight="251658243"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1EF81"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4E1666" w:rsidRDefault="004E1666" w:rsidP="00013CCE">
    <w:pPr>
      <w:pStyle w:val="Header"/>
      <w:jc w:val="right"/>
    </w:pPr>
    <w:r>
      <w:rPr>
        <w:noProof/>
        <w:lang w:eastAsia="en-GB"/>
      </w:rPr>
      <w:drawing>
        <wp:anchor distT="0" distB="0" distL="114300" distR="114300" simplePos="0" relativeHeight="251658242"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4E1666" w:rsidRDefault="004E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E1666" w:rsidRPr="002F4496" w14:paraId="5849CEB8" w14:textId="77777777" w:rsidTr="000C06C9">
      <w:trPr>
        <w:trHeight w:val="284"/>
      </w:trPr>
      <w:tc>
        <w:tcPr>
          <w:tcW w:w="8460" w:type="dxa"/>
        </w:tcPr>
        <w:p w14:paraId="2B1CC9DC" w14:textId="77777777" w:rsidR="004E1666" w:rsidRPr="000C3B6D" w:rsidRDefault="004E1666" w:rsidP="000C06C9">
          <w:pPr>
            <w:pStyle w:val="00Footer"/>
            <w:rPr>
              <w:lang w:val="fr-FR"/>
            </w:rPr>
          </w:pPr>
        </w:p>
      </w:tc>
      <w:tc>
        <w:tcPr>
          <w:tcW w:w="952" w:type="dxa"/>
        </w:tcPr>
        <w:p w14:paraId="0A78D32B" w14:textId="77777777" w:rsidR="004E1666" w:rsidRPr="00146B34" w:rsidRDefault="004E1666" w:rsidP="000C06C9">
          <w:pPr>
            <w:pStyle w:val="00aPagenumber"/>
            <w:rPr>
              <w:lang w:val="fr-FR"/>
            </w:rPr>
          </w:pPr>
        </w:p>
      </w:tc>
    </w:tr>
  </w:tbl>
  <w:p w14:paraId="228C483B" w14:textId="77777777" w:rsidR="004E1666" w:rsidRPr="00DB46C3" w:rsidRDefault="004E1666">
    <w:pPr>
      <w:rPr>
        <w:lang w:val="fr-FR"/>
      </w:rPr>
    </w:pPr>
  </w:p>
  <w:p w14:paraId="7ABBBBAC" w14:textId="77777777" w:rsidR="004E1666" w:rsidRPr="002F4496" w:rsidRDefault="004E1666">
    <w:pPr>
      <w:pStyle w:val="Header"/>
      <w:rPr>
        <w:lang w:val="fr-FR"/>
      </w:rPr>
    </w:pPr>
  </w:p>
  <w:p w14:paraId="0F1BB730" w14:textId="77777777" w:rsidR="004E1666" w:rsidRPr="002F4496" w:rsidRDefault="004E1666" w:rsidP="000C06C9">
    <w:pPr>
      <w:pStyle w:val="Header"/>
      <w:tabs>
        <w:tab w:val="clear" w:pos="4536"/>
        <w:tab w:val="clear" w:pos="9072"/>
        <w:tab w:val="left" w:pos="8227"/>
      </w:tabs>
      <w:rPr>
        <w:lang w:val="fr-FR"/>
      </w:rPr>
    </w:pPr>
  </w:p>
  <w:p w14:paraId="354F7019" w14:textId="77777777" w:rsidR="004E1666" w:rsidRPr="002F4496" w:rsidRDefault="004E1666" w:rsidP="000C06C9">
    <w:pPr>
      <w:pStyle w:val="Header"/>
      <w:tabs>
        <w:tab w:val="clear" w:pos="4536"/>
        <w:tab w:val="clear" w:pos="9072"/>
        <w:tab w:val="left" w:pos="8227"/>
      </w:tabs>
      <w:rPr>
        <w:lang w:val="fr-FR"/>
      </w:rPr>
    </w:pPr>
  </w:p>
  <w:p w14:paraId="438C49BF" w14:textId="77777777" w:rsidR="004E1666" w:rsidRPr="002F4496" w:rsidRDefault="004E1666">
    <w:pPr>
      <w:pStyle w:val="Header"/>
      <w:rPr>
        <w:lang w:val="fr-FR"/>
      </w:rPr>
    </w:pPr>
  </w:p>
  <w:p w14:paraId="77F5F5FB" w14:textId="77777777" w:rsidR="004E1666" w:rsidRPr="002F4496" w:rsidRDefault="004E1666">
    <w:pPr>
      <w:pStyle w:val="Header"/>
      <w:rPr>
        <w:lang w:val="fr-FR"/>
      </w:rPr>
    </w:pPr>
  </w:p>
  <w:p w14:paraId="31EA96F8" w14:textId="77777777" w:rsidR="004E1666" w:rsidRPr="002F4496" w:rsidRDefault="004E1666">
    <w:pPr>
      <w:pStyle w:val="Header"/>
      <w:rPr>
        <w:lang w:val="fr-FR"/>
      </w:rPr>
    </w:pPr>
  </w:p>
  <w:p w14:paraId="0FAE7A71" w14:textId="77777777" w:rsidR="004E1666" w:rsidRPr="002F4496" w:rsidRDefault="004E1666">
    <w:pPr>
      <w:pStyle w:val="Header"/>
      <w:rPr>
        <w:lang w:val="fr-FR"/>
      </w:rPr>
    </w:pPr>
  </w:p>
  <w:p w14:paraId="339C0C6E" w14:textId="77777777" w:rsidR="004E1666" w:rsidRPr="002F4496" w:rsidRDefault="004E1666">
    <w:pPr>
      <w:pStyle w:val="Header"/>
      <w:rPr>
        <w:highlight w:val="yellow"/>
        <w:lang w:val="fr-FR"/>
      </w:rPr>
    </w:pPr>
  </w:p>
  <w:p w14:paraId="0495A777" w14:textId="77777777" w:rsidR="004E1666" w:rsidRDefault="004E1666">
    <w:pPr>
      <w:pStyle w:val="Header"/>
    </w:pPr>
    <w:r>
      <w:rPr>
        <w:noProof/>
        <w:lang w:eastAsia="en-GB"/>
      </w:rPr>
      <mc:AlternateContent>
        <mc:Choice Requires="wps">
          <w:drawing>
            <wp:anchor distT="0" distB="0" distL="114299" distR="114299" simplePos="0" relativeHeight="251658245"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20A5"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7"/>
  </w:num>
  <w:num w:numId="24">
    <w:abstractNumId w:val="31"/>
  </w:num>
  <w:num w:numId="25">
    <w:abstractNumId w:val="30"/>
  </w:num>
  <w:num w:numId="26">
    <w:abstractNumId w:val="20"/>
  </w:num>
  <w:num w:numId="27">
    <w:abstractNumId w:val="35"/>
  </w:num>
  <w:num w:numId="28">
    <w:abstractNumId w:val="42"/>
  </w:num>
  <w:num w:numId="29">
    <w:abstractNumId w:val="5"/>
  </w:num>
  <w:num w:numId="30">
    <w:abstractNumId w:val="2"/>
  </w:num>
  <w:num w:numId="31">
    <w:abstractNumId w:val="22"/>
  </w:num>
  <w:num w:numId="32">
    <w:abstractNumId w:val="21"/>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1"/>
  </w:num>
  <w:num w:numId="43">
    <w:abstractNumId w:val="36"/>
  </w:num>
  <w:num w:numId="44">
    <w:abstractNumId w:val="13"/>
    <w:lvlOverride w:ilvl="0">
      <w:startOverride w:val="1"/>
    </w:lvlOverride>
  </w:num>
  <w:num w:numId="45">
    <w:abstractNumId w:val="13"/>
    <w:lvlOverride w:ilvl="0">
      <w:startOverride w:val="1"/>
    </w:lvlOverride>
  </w:num>
  <w:num w:numId="46">
    <w:abstractNumId w:val="13"/>
  </w:num>
  <w:num w:numId="47">
    <w:abstractNumId w:val="33"/>
  </w:num>
  <w:num w:numId="48">
    <w:abstractNumId w:val="13"/>
    <w:lvlOverride w:ilvl="0">
      <w:startOverride w:val="1"/>
    </w:lvlOverride>
  </w:num>
  <w:num w:numId="49">
    <w:abstractNumId w:val="1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6A1B"/>
    <w:rsid w:val="00027154"/>
    <w:rsid w:val="00027ECF"/>
    <w:rsid w:val="000303BE"/>
    <w:rsid w:val="000321C9"/>
    <w:rsid w:val="000344D6"/>
    <w:rsid w:val="00034960"/>
    <w:rsid w:val="00036091"/>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21"/>
    <w:rsid w:val="00082D8E"/>
    <w:rsid w:val="00082E31"/>
    <w:rsid w:val="00083AA3"/>
    <w:rsid w:val="000844F2"/>
    <w:rsid w:val="00085947"/>
    <w:rsid w:val="000868FE"/>
    <w:rsid w:val="000878D1"/>
    <w:rsid w:val="000921AE"/>
    <w:rsid w:val="000921D7"/>
    <w:rsid w:val="000925FF"/>
    <w:rsid w:val="000932E0"/>
    <w:rsid w:val="00094C4C"/>
    <w:rsid w:val="00095B4F"/>
    <w:rsid w:val="00096762"/>
    <w:rsid w:val="000969C8"/>
    <w:rsid w:val="0009752D"/>
    <w:rsid w:val="00097AEE"/>
    <w:rsid w:val="000A014A"/>
    <w:rsid w:val="000A04B6"/>
    <w:rsid w:val="000A0E36"/>
    <w:rsid w:val="000A1BD2"/>
    <w:rsid w:val="000A2127"/>
    <w:rsid w:val="000A358F"/>
    <w:rsid w:val="000A43CC"/>
    <w:rsid w:val="000A58BE"/>
    <w:rsid w:val="000A6154"/>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0A8F"/>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492"/>
    <w:rsid w:val="00195BFF"/>
    <w:rsid w:val="001960D8"/>
    <w:rsid w:val="001A1642"/>
    <w:rsid w:val="001A17B2"/>
    <w:rsid w:val="001A1F61"/>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D7473"/>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3862"/>
    <w:rsid w:val="00214FB4"/>
    <w:rsid w:val="00214FD3"/>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4D77"/>
    <w:rsid w:val="002551A4"/>
    <w:rsid w:val="002559F3"/>
    <w:rsid w:val="00256DFE"/>
    <w:rsid w:val="002618CC"/>
    <w:rsid w:val="00261D56"/>
    <w:rsid w:val="00261FD3"/>
    <w:rsid w:val="00264077"/>
    <w:rsid w:val="00266B9A"/>
    <w:rsid w:val="00270E54"/>
    <w:rsid w:val="00273681"/>
    <w:rsid w:val="002754B5"/>
    <w:rsid w:val="0027624D"/>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4F10"/>
    <w:rsid w:val="00296005"/>
    <w:rsid w:val="00296738"/>
    <w:rsid w:val="002A0925"/>
    <w:rsid w:val="002A0C82"/>
    <w:rsid w:val="002A0CD8"/>
    <w:rsid w:val="002A13EB"/>
    <w:rsid w:val="002A3360"/>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06E"/>
    <w:rsid w:val="002D14F3"/>
    <w:rsid w:val="002D16E4"/>
    <w:rsid w:val="002D2FEF"/>
    <w:rsid w:val="002D36C2"/>
    <w:rsid w:val="002D3FCB"/>
    <w:rsid w:val="002D4FEF"/>
    <w:rsid w:val="002D502D"/>
    <w:rsid w:val="002D63F5"/>
    <w:rsid w:val="002D6E1A"/>
    <w:rsid w:val="002D7B87"/>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0127"/>
    <w:rsid w:val="0033194F"/>
    <w:rsid w:val="00332304"/>
    <w:rsid w:val="00332406"/>
    <w:rsid w:val="00332D8D"/>
    <w:rsid w:val="003331A2"/>
    <w:rsid w:val="00336B56"/>
    <w:rsid w:val="00341B25"/>
    <w:rsid w:val="00341EC0"/>
    <w:rsid w:val="0034240C"/>
    <w:rsid w:val="00344496"/>
    <w:rsid w:val="003447E5"/>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C14"/>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2684"/>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B7D"/>
    <w:rsid w:val="00447FBE"/>
    <w:rsid w:val="0045035E"/>
    <w:rsid w:val="0045175A"/>
    <w:rsid w:val="00451ED9"/>
    <w:rsid w:val="00452180"/>
    <w:rsid w:val="00453072"/>
    <w:rsid w:val="004539F8"/>
    <w:rsid w:val="00453F26"/>
    <w:rsid w:val="0045503F"/>
    <w:rsid w:val="00455273"/>
    <w:rsid w:val="00460905"/>
    <w:rsid w:val="00461E35"/>
    <w:rsid w:val="004621DB"/>
    <w:rsid w:val="00462D4E"/>
    <w:rsid w:val="004634A7"/>
    <w:rsid w:val="00463787"/>
    <w:rsid w:val="00466926"/>
    <w:rsid w:val="00466FDA"/>
    <w:rsid w:val="004671D0"/>
    <w:rsid w:val="004674D1"/>
    <w:rsid w:val="00470773"/>
    <w:rsid w:val="00471FF9"/>
    <w:rsid w:val="00473E74"/>
    <w:rsid w:val="00473FEF"/>
    <w:rsid w:val="00475B8E"/>
    <w:rsid w:val="0048016A"/>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666"/>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26BC5"/>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44F7"/>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71C"/>
    <w:rsid w:val="005C48C8"/>
    <w:rsid w:val="005C4E0E"/>
    <w:rsid w:val="005C6345"/>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4F1A"/>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AD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0F92"/>
    <w:rsid w:val="006A20A5"/>
    <w:rsid w:val="006A24D5"/>
    <w:rsid w:val="006A2CA2"/>
    <w:rsid w:val="006B2D40"/>
    <w:rsid w:val="006B34DF"/>
    <w:rsid w:val="006B39B2"/>
    <w:rsid w:val="006B39DD"/>
    <w:rsid w:val="006B3AF9"/>
    <w:rsid w:val="006B45A0"/>
    <w:rsid w:val="006B5668"/>
    <w:rsid w:val="006B5F71"/>
    <w:rsid w:val="006B6E44"/>
    <w:rsid w:val="006B7059"/>
    <w:rsid w:val="006B7287"/>
    <w:rsid w:val="006B7F2E"/>
    <w:rsid w:val="006C0BF8"/>
    <w:rsid w:val="006C2253"/>
    <w:rsid w:val="006C2769"/>
    <w:rsid w:val="006C2CCB"/>
    <w:rsid w:val="006C4334"/>
    <w:rsid w:val="006C4B0F"/>
    <w:rsid w:val="006C5E96"/>
    <w:rsid w:val="006D399F"/>
    <w:rsid w:val="006D4F0C"/>
    <w:rsid w:val="006D5645"/>
    <w:rsid w:val="006E0A4F"/>
    <w:rsid w:val="006E0C8A"/>
    <w:rsid w:val="006E2A23"/>
    <w:rsid w:val="006E2F2D"/>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B74"/>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1988"/>
    <w:rsid w:val="007D21D5"/>
    <w:rsid w:val="007D3BD0"/>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CB1"/>
    <w:rsid w:val="007F0DDA"/>
    <w:rsid w:val="007F1939"/>
    <w:rsid w:val="007F365C"/>
    <w:rsid w:val="007F4A2A"/>
    <w:rsid w:val="007F5066"/>
    <w:rsid w:val="007F528B"/>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3815"/>
    <w:rsid w:val="00824EAF"/>
    <w:rsid w:val="008253A6"/>
    <w:rsid w:val="00825A6B"/>
    <w:rsid w:val="00825C50"/>
    <w:rsid w:val="00826577"/>
    <w:rsid w:val="00827439"/>
    <w:rsid w:val="00827C79"/>
    <w:rsid w:val="0083003F"/>
    <w:rsid w:val="00831077"/>
    <w:rsid w:val="00831A4A"/>
    <w:rsid w:val="00832134"/>
    <w:rsid w:val="00832195"/>
    <w:rsid w:val="0083219E"/>
    <w:rsid w:val="0083497C"/>
    <w:rsid w:val="00834BC0"/>
    <w:rsid w:val="008352A6"/>
    <w:rsid w:val="00835B01"/>
    <w:rsid w:val="00835B5B"/>
    <w:rsid w:val="008367AE"/>
    <w:rsid w:val="00836E50"/>
    <w:rsid w:val="00840477"/>
    <w:rsid w:val="0084121D"/>
    <w:rsid w:val="008419C1"/>
    <w:rsid w:val="00842D63"/>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5B99"/>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747"/>
    <w:rsid w:val="008B0DC6"/>
    <w:rsid w:val="008B2B9E"/>
    <w:rsid w:val="008B31F5"/>
    <w:rsid w:val="008B4C79"/>
    <w:rsid w:val="008B5D2D"/>
    <w:rsid w:val="008B6022"/>
    <w:rsid w:val="008B6361"/>
    <w:rsid w:val="008B6400"/>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CF7"/>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6E22"/>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7B"/>
    <w:rsid w:val="009560B3"/>
    <w:rsid w:val="0095745E"/>
    <w:rsid w:val="00957CE0"/>
    <w:rsid w:val="0096002E"/>
    <w:rsid w:val="0096039E"/>
    <w:rsid w:val="00962CEF"/>
    <w:rsid w:val="00963766"/>
    <w:rsid w:val="00963D60"/>
    <w:rsid w:val="00963FDF"/>
    <w:rsid w:val="00964780"/>
    <w:rsid w:val="00964C32"/>
    <w:rsid w:val="0096528F"/>
    <w:rsid w:val="009653F2"/>
    <w:rsid w:val="00965BDF"/>
    <w:rsid w:val="009661B8"/>
    <w:rsid w:val="009661DF"/>
    <w:rsid w:val="009667BD"/>
    <w:rsid w:val="00967674"/>
    <w:rsid w:val="00967CE2"/>
    <w:rsid w:val="00971231"/>
    <w:rsid w:val="00971975"/>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3E56"/>
    <w:rsid w:val="00994621"/>
    <w:rsid w:val="009947FF"/>
    <w:rsid w:val="0099544B"/>
    <w:rsid w:val="00996770"/>
    <w:rsid w:val="009A053D"/>
    <w:rsid w:val="009A07A6"/>
    <w:rsid w:val="009A0D56"/>
    <w:rsid w:val="009A3017"/>
    <w:rsid w:val="009A31B9"/>
    <w:rsid w:val="009A3CF3"/>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447C"/>
    <w:rsid w:val="00A150F7"/>
    <w:rsid w:val="00A15F45"/>
    <w:rsid w:val="00A160D3"/>
    <w:rsid w:val="00A16DC9"/>
    <w:rsid w:val="00A20225"/>
    <w:rsid w:val="00A24269"/>
    <w:rsid w:val="00A243E4"/>
    <w:rsid w:val="00A25ED4"/>
    <w:rsid w:val="00A263DA"/>
    <w:rsid w:val="00A26C5C"/>
    <w:rsid w:val="00A27789"/>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413"/>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8DE"/>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6422"/>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565"/>
    <w:rsid w:val="00AB2AEC"/>
    <w:rsid w:val="00AB2DC1"/>
    <w:rsid w:val="00AB3102"/>
    <w:rsid w:val="00AB3D9A"/>
    <w:rsid w:val="00AB4B1D"/>
    <w:rsid w:val="00AB6B5E"/>
    <w:rsid w:val="00AB7447"/>
    <w:rsid w:val="00AC047F"/>
    <w:rsid w:val="00AC3934"/>
    <w:rsid w:val="00AC50C8"/>
    <w:rsid w:val="00AC5581"/>
    <w:rsid w:val="00AC56AD"/>
    <w:rsid w:val="00AC61BD"/>
    <w:rsid w:val="00AC61BE"/>
    <w:rsid w:val="00AC7CAF"/>
    <w:rsid w:val="00AD0CB4"/>
    <w:rsid w:val="00AD11E9"/>
    <w:rsid w:val="00AD1FF2"/>
    <w:rsid w:val="00AD2A21"/>
    <w:rsid w:val="00AD3B43"/>
    <w:rsid w:val="00AD4FF2"/>
    <w:rsid w:val="00AD506C"/>
    <w:rsid w:val="00AD5E79"/>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0161"/>
    <w:rsid w:val="00B03CE2"/>
    <w:rsid w:val="00B040BF"/>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4A57"/>
    <w:rsid w:val="00B6517B"/>
    <w:rsid w:val="00B65E71"/>
    <w:rsid w:val="00B66C26"/>
    <w:rsid w:val="00B705C4"/>
    <w:rsid w:val="00B70E3A"/>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0E9C"/>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3C0"/>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5521"/>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3D40"/>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9705A"/>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14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4F7E"/>
    <w:rsid w:val="00D05082"/>
    <w:rsid w:val="00D06163"/>
    <w:rsid w:val="00D07AFD"/>
    <w:rsid w:val="00D1164C"/>
    <w:rsid w:val="00D11749"/>
    <w:rsid w:val="00D12A7D"/>
    <w:rsid w:val="00D13AB0"/>
    <w:rsid w:val="00D1519E"/>
    <w:rsid w:val="00D152B7"/>
    <w:rsid w:val="00D16EDC"/>
    <w:rsid w:val="00D17FDE"/>
    <w:rsid w:val="00D201CB"/>
    <w:rsid w:val="00D22786"/>
    <w:rsid w:val="00D228B4"/>
    <w:rsid w:val="00D249C0"/>
    <w:rsid w:val="00D24B10"/>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59FB"/>
    <w:rsid w:val="00D511C6"/>
    <w:rsid w:val="00D5121D"/>
    <w:rsid w:val="00D516AC"/>
    <w:rsid w:val="00D521BB"/>
    <w:rsid w:val="00D52875"/>
    <w:rsid w:val="00D54050"/>
    <w:rsid w:val="00D56AC0"/>
    <w:rsid w:val="00D57663"/>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77DBD"/>
    <w:rsid w:val="00D83D4B"/>
    <w:rsid w:val="00D8701D"/>
    <w:rsid w:val="00D871C6"/>
    <w:rsid w:val="00D91010"/>
    <w:rsid w:val="00DA0FA7"/>
    <w:rsid w:val="00DA12B0"/>
    <w:rsid w:val="00DA2BA0"/>
    <w:rsid w:val="00DA39AD"/>
    <w:rsid w:val="00DA4780"/>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0F0A"/>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B78"/>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183"/>
    <w:rsid w:val="00EA08CA"/>
    <w:rsid w:val="00EA0C0C"/>
    <w:rsid w:val="00EA2AEA"/>
    <w:rsid w:val="00EA332B"/>
    <w:rsid w:val="00EA3D36"/>
    <w:rsid w:val="00EA40AA"/>
    <w:rsid w:val="00EA57E2"/>
    <w:rsid w:val="00EA7186"/>
    <w:rsid w:val="00EA725E"/>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18F7"/>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A05"/>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8D4"/>
    <w:rsid w:val="00F53E59"/>
    <w:rsid w:val="00F5475B"/>
    <w:rsid w:val="00F5506F"/>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48F"/>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2FF"/>
    <w:rsid w:val="00F9580B"/>
    <w:rsid w:val="00F95F15"/>
    <w:rsid w:val="00F968C6"/>
    <w:rsid w:val="00F975CA"/>
    <w:rsid w:val="00F97CB6"/>
    <w:rsid w:val="00FA0B60"/>
    <w:rsid w:val="00FA2528"/>
    <w:rsid w:val="00FA5535"/>
    <w:rsid w:val="00FA7206"/>
    <w:rsid w:val="00FA7E01"/>
    <w:rsid w:val="00FA7EFB"/>
    <w:rsid w:val="00FB0816"/>
    <w:rsid w:val="00FB08C2"/>
    <w:rsid w:val="00FB3DD1"/>
    <w:rsid w:val="00FB51FD"/>
    <w:rsid w:val="00FB5667"/>
    <w:rsid w:val="00FB62F2"/>
    <w:rsid w:val="00FB7A97"/>
    <w:rsid w:val="00FC1B9B"/>
    <w:rsid w:val="00FC318D"/>
    <w:rsid w:val="00FC34A4"/>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16B"/>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4:docId w14:val="1B88CD27"/>
  <w15:docId w15:val="{67E7DBCC-E8C6-4B89-A2F3-39A0C8C4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43630291">
      <w:bodyDiv w:val="1"/>
      <w:marLeft w:val="0"/>
      <w:marRight w:val="0"/>
      <w:marTop w:val="0"/>
      <w:marBottom w:val="0"/>
      <w:divBdr>
        <w:top w:val="none" w:sz="0" w:space="0" w:color="auto"/>
        <w:left w:val="none" w:sz="0" w:space="0" w:color="auto"/>
        <w:bottom w:val="none" w:sz="0" w:space="0" w:color="auto"/>
        <w:right w:val="none" w:sz="0" w:space="0" w:color="auto"/>
      </w:divBdr>
      <w:divsChild>
        <w:div w:id="1030107068">
          <w:marLeft w:val="0"/>
          <w:marRight w:val="0"/>
          <w:marTop w:val="0"/>
          <w:marBottom w:val="0"/>
          <w:divBdr>
            <w:top w:val="none" w:sz="0" w:space="0" w:color="auto"/>
            <w:left w:val="none" w:sz="0" w:space="0" w:color="auto"/>
            <w:bottom w:val="none" w:sz="0" w:space="0" w:color="auto"/>
            <w:right w:val="none" w:sz="0" w:space="0" w:color="auto"/>
          </w:divBdr>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f88eb6a-624e-44e8-aa6c-6178a4e88b28">
      <UserInfo>
        <DisplayName>Ingrid Holmes</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4FD96E1BE3B5498779533918E131ED" ma:contentTypeVersion="12" ma:contentTypeDescription="Create a new document." ma:contentTypeScope="" ma:versionID="70209fa8dd76c3ab49a9964c4e50bf9c">
  <xsd:schema xmlns:xsd="http://www.w3.org/2001/XMLSchema" xmlns:xs="http://www.w3.org/2001/XMLSchema" xmlns:p="http://schemas.microsoft.com/office/2006/metadata/properties" xmlns:ns2="5499d5a3-50c8-4728-9b2d-a2ba2d46106c" xmlns:ns3="7f88eb6a-624e-44e8-aa6c-6178a4e88b28" targetNamespace="http://schemas.microsoft.com/office/2006/metadata/properties" ma:root="true" ma:fieldsID="158816d7188f063eb8579f99db813a0e" ns2:_="" ns3:_="">
    <xsd:import namespace="5499d5a3-50c8-4728-9b2d-a2ba2d46106c"/>
    <xsd:import namespace="7f88eb6a-624e-44e8-aa6c-6178a4e88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9d5a3-50c8-4728-9b2d-a2ba2d461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8eb6a-624e-44e8-aa6c-6178a4e88b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5499d5a3-50c8-4728-9b2d-a2ba2d46106c"/>
    <ds:schemaRef ds:uri="http://schemas.microsoft.com/office/2006/documentManagement/types"/>
    <ds:schemaRef ds:uri="http://schemas.microsoft.com/office/2006/metadata/properties"/>
    <ds:schemaRef ds:uri="http://purl.org/dc/elements/1.1/"/>
    <ds:schemaRef ds:uri="7f88eb6a-624e-44e8-aa6c-6178a4e88b28"/>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EE80F08-5364-4D6D-BEAB-72E73067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9d5a3-50c8-4728-9b2d-a2ba2d46106c"/>
    <ds:schemaRef ds:uri="7f88eb6a-624e-44e8-aa6c-6178a4e88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660-3711-4450-BBB0-20F019324B82}">
  <ds:schemaRefs>
    <ds:schemaRef ds:uri="http://schemas.openxmlformats.org/officeDocument/2006/bibliography"/>
  </ds:schemaRefs>
</ds:datastoreItem>
</file>

<file path=customXml/itemProps5.xml><?xml version="1.0" encoding="utf-8"?>
<ds:datastoreItem xmlns:ds="http://schemas.openxmlformats.org/officeDocument/2006/customXml" ds:itemID="{06E10A33-7574-46DF-851D-FE978DD7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5006</Words>
  <Characters>29517</Characters>
  <Application>Microsoft Office Word</Application>
  <DocSecurity>8</DocSecurity>
  <Lines>245</Lines>
  <Paragraphs>68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34455</CharactersWithSpaces>
  <SharedDoc>false</SharedDoc>
  <HLinks>
    <vt:vector size="30" baseType="variant">
      <vt:variant>
        <vt:i4>5898318</vt:i4>
      </vt:variant>
      <vt:variant>
        <vt:i4>12</vt:i4>
      </vt:variant>
      <vt:variant>
        <vt:i4>0</vt:i4>
      </vt:variant>
      <vt:variant>
        <vt:i4>5</vt:i4>
      </vt:variant>
      <vt:variant>
        <vt:lpwstr>https://www.esma.europa.eu/about-esma/data-protection</vt:lpwstr>
      </vt:variant>
      <vt:variant>
        <vt:lpwstr/>
      </vt:variant>
      <vt:variant>
        <vt:i4>3932286</vt:i4>
      </vt:variant>
      <vt:variant>
        <vt:i4>9</vt:i4>
      </vt:variant>
      <vt:variant>
        <vt:i4>0</vt:i4>
      </vt:variant>
      <vt:variant>
        <vt:i4>5</vt:i4>
      </vt:variant>
      <vt:variant>
        <vt:lpwstr>http://www.esma.europa.eu/</vt:lpwstr>
      </vt:variant>
      <vt:variant>
        <vt:lpwstr/>
      </vt: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subject/>
  <dc:creator>ESMA</dc:creator>
  <cp:keywords/>
  <cp:lastModifiedBy>Kate Fowler</cp:lastModifiedBy>
  <cp:revision>8</cp:revision>
  <cp:lastPrinted>2015-02-18T11:01:00Z</cp:lastPrinted>
  <dcterms:created xsi:type="dcterms:W3CDTF">2020-12-02T17:45:00Z</dcterms:created>
  <dcterms:modified xsi:type="dcterms:W3CDTF">2020-12-04T17:08:00Z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0x010100BB4FD96E1BE3B5498779533918E131ED</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