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60A88EE1"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5"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3D7E366A"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6"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2DFA50D5"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7"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3491A9A4"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berschrift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7B0167">
        <w:tc>
          <w:tcPr>
            <w:tcW w:w="3929" w:type="dxa"/>
            <w:shd w:val="clear" w:color="auto" w:fill="auto"/>
          </w:tcPr>
          <w:p w14:paraId="2CC52FAD" w14:textId="77777777" w:rsidR="00B327E9" w:rsidRPr="00E40A5C" w:rsidRDefault="00B327E9" w:rsidP="007B0167">
            <w:pPr>
              <w:rPr>
                <w:rFonts w:cs="Arial"/>
                <w:sz w:val="22"/>
              </w:rPr>
            </w:pPr>
            <w:r w:rsidRPr="00E40A5C">
              <w:rPr>
                <w:rFonts w:cs="Arial"/>
                <w:sz w:val="22"/>
              </w:rPr>
              <w:t>Name of the company / organisation</w:t>
            </w:r>
          </w:p>
        </w:tc>
        <w:sdt>
          <w:sdtPr>
            <w:rPr>
              <w:rStyle w:val="Platzhaltertext"/>
              <w:rFonts w:cs="Arial"/>
            </w:rPr>
            <w:id w:val="-1905066999"/>
            <w:text/>
          </w:sdtPr>
          <w:sdtEndPr>
            <w:rPr>
              <w:rStyle w:val="Platzhaltertext"/>
            </w:rPr>
          </w:sdtEndPr>
          <w:sdtContent>
            <w:permStart w:id="1493633476" w:edGrp="everyone" w:displacedByCustomXml="prev"/>
            <w:tc>
              <w:tcPr>
                <w:tcW w:w="5595" w:type="dxa"/>
                <w:shd w:val="clear" w:color="auto" w:fill="auto"/>
              </w:tcPr>
              <w:p w14:paraId="23C2C921" w14:textId="2C67F0E5" w:rsidR="00B327E9" w:rsidRPr="00AB6D88" w:rsidRDefault="00A20ACB" w:rsidP="007B0167">
                <w:pPr>
                  <w:rPr>
                    <w:rStyle w:val="Platzhaltertext"/>
                    <w:rFonts w:cs="Arial"/>
                  </w:rPr>
                </w:pPr>
                <w:r>
                  <w:rPr>
                    <w:rStyle w:val="Platzhaltertext"/>
                    <w:rFonts w:cs="Arial"/>
                  </w:rPr>
                  <w:t>Evonik Industries AG</w:t>
                </w:r>
              </w:p>
            </w:tc>
            <w:permEnd w:id="1493633476" w:displacedByCustomXml="next"/>
          </w:sdtContent>
        </w:sdt>
      </w:tr>
      <w:tr w:rsidR="00B327E9" w:rsidRPr="00AB6D88" w14:paraId="0D2401D8" w14:textId="77777777" w:rsidTr="007B0167">
        <w:tc>
          <w:tcPr>
            <w:tcW w:w="3929" w:type="dxa"/>
            <w:shd w:val="clear" w:color="auto" w:fill="auto"/>
          </w:tcPr>
          <w:p w14:paraId="6C0EFE39" w14:textId="77777777" w:rsidR="00B327E9" w:rsidRPr="00E40A5C" w:rsidRDefault="00B327E9" w:rsidP="007B0167">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5355DF6C" w:rsidR="00B327E9" w:rsidRPr="00AB6D88" w:rsidRDefault="00C225A5" w:rsidP="007B0167">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A20ACB">
                  <w:rPr>
                    <w:rFonts w:cs="Arial"/>
                  </w:rPr>
                  <w:t>Issuer/ Non-Financial Undertaking</w:t>
                </w:r>
              </w:sdtContent>
            </w:sdt>
          </w:p>
        </w:tc>
      </w:tr>
      <w:permEnd w:id="438450997"/>
      <w:tr w:rsidR="00B327E9" w:rsidRPr="00AB6D88" w14:paraId="1A153F17" w14:textId="77777777" w:rsidTr="007B0167">
        <w:tc>
          <w:tcPr>
            <w:tcW w:w="3929" w:type="dxa"/>
            <w:shd w:val="clear" w:color="auto" w:fill="auto"/>
          </w:tcPr>
          <w:p w14:paraId="396772EB" w14:textId="77777777" w:rsidR="00B327E9" w:rsidRPr="00E40A5C" w:rsidRDefault="00B327E9" w:rsidP="007B0167">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5CD18040" w:rsidR="00B327E9" w:rsidRPr="00AB6D88" w:rsidRDefault="00A20ACB" w:rsidP="007B0167">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7B0167">
        <w:tc>
          <w:tcPr>
            <w:tcW w:w="3929" w:type="dxa"/>
            <w:shd w:val="clear" w:color="auto" w:fill="auto"/>
          </w:tcPr>
          <w:p w14:paraId="3C221113" w14:textId="77777777" w:rsidR="00B327E9" w:rsidRPr="00E40A5C" w:rsidRDefault="00B327E9" w:rsidP="007B0167">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55CF3070" w:rsidR="00B327E9" w:rsidRPr="00AB6D88" w:rsidRDefault="00A20ACB" w:rsidP="007B0167">
                <w:pPr>
                  <w:rPr>
                    <w:rFonts w:cs="Arial"/>
                  </w:rPr>
                </w:pPr>
                <w:r>
                  <w:rPr>
                    <w:rFonts w:cs="Arial"/>
                  </w:rPr>
                  <w:t>Germany</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berschrift1"/>
        <w:numPr>
          <w:ilvl w:val="0"/>
          <w:numId w:val="0"/>
        </w:numPr>
        <w:ind w:left="431" w:hanging="431"/>
      </w:pPr>
      <w:r>
        <w:t>Introduction</w:t>
      </w:r>
    </w:p>
    <w:p w14:paraId="3C83C634" w14:textId="77777777" w:rsidR="00B327E9" w:rsidRPr="00E40A5C" w:rsidRDefault="00B327E9" w:rsidP="00FE6577">
      <w:pPr>
        <w:rPr>
          <w:rStyle w:val="IntensiveHervorhebung"/>
          <w:sz w:val="22"/>
        </w:rPr>
      </w:pPr>
      <w:r w:rsidRPr="00E40A5C">
        <w:rPr>
          <w:rStyle w:val="IntensiveHervorhebung"/>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0FC0CCAB" w14:textId="77777777" w:rsidR="004C4F01" w:rsidRPr="007B6A55" w:rsidRDefault="004C4F01" w:rsidP="004C4F01">
      <w:permStart w:id="44765448" w:edGrp="everyone"/>
      <w:r w:rsidRPr="00D02F39">
        <w:rPr>
          <w:color w:val="FF0000"/>
        </w:rPr>
        <w:t xml:space="preserve"> </w:t>
      </w:r>
      <w:r w:rsidRPr="007B6A55">
        <w:t>As a sustainability-oriented company affected by the EU taxonomy, we would like to thank you for the opportunity to comment on the draft consultation paper.</w:t>
      </w:r>
    </w:p>
    <w:p w14:paraId="5D5C1984" w14:textId="77777777" w:rsidR="00D07223" w:rsidRPr="007B6A55" w:rsidRDefault="00D07223" w:rsidP="004C4F01"/>
    <w:p w14:paraId="03BC6273" w14:textId="62903CBD" w:rsidR="00D07223" w:rsidRPr="007B6A55" w:rsidRDefault="00C32AB7" w:rsidP="00D07223">
      <w:r w:rsidRPr="007B6A55">
        <w:t>We acknowledge that t</w:t>
      </w:r>
      <w:r w:rsidR="00D07223" w:rsidRPr="007B6A55">
        <w:t>he overriding objective of the EU taxonomy is to show the contribution made by companies to the goal of achieving “climate neutrality by 2050”</w:t>
      </w:r>
      <w:r w:rsidR="005904D6">
        <w:t>.</w:t>
      </w:r>
      <w:bookmarkStart w:id="0" w:name="_GoBack"/>
      <w:bookmarkEnd w:id="0"/>
      <w:r w:rsidR="00D07223" w:rsidRPr="007B6A55">
        <w:t xml:space="preserve"> In view of this, we would like to </w:t>
      </w:r>
      <w:r w:rsidR="005456AE" w:rsidRPr="007B6A55">
        <w:t>point out our major concerns regarding ESMA’s proposals</w:t>
      </w:r>
      <w:r w:rsidR="00D07223" w:rsidRPr="007B6A55">
        <w:t>:</w:t>
      </w:r>
    </w:p>
    <w:p w14:paraId="08292EFD" w14:textId="77777777" w:rsidR="00D07223" w:rsidRPr="007B6A55" w:rsidRDefault="00D07223" w:rsidP="00D07223"/>
    <w:p w14:paraId="3DE18D23" w14:textId="18701B78" w:rsidR="007B6A55" w:rsidRPr="007B6A55" w:rsidRDefault="005456AE" w:rsidP="00D07223">
      <w:r w:rsidRPr="007B6A55">
        <w:t xml:space="preserve">We are </w:t>
      </w:r>
      <w:r w:rsidRPr="007B6A55">
        <w:rPr>
          <w:b/>
          <w:bCs/>
        </w:rPr>
        <w:t>very critical regarding the proposed idea of reporting KPIs per economic activity</w:t>
      </w:r>
      <w:r w:rsidRPr="007B6A55">
        <w:t xml:space="preserve">. </w:t>
      </w:r>
      <w:r w:rsidR="002E485A" w:rsidRPr="007B6A55">
        <w:t>This level of transparency would urge European companies to disclose business details, which would allow their competitors to take undue advantage of sensitive information. This would ultimately counteract the overarching goal of the EU’s Green Deal to transform the EU into a “</w:t>
      </w:r>
      <w:r w:rsidR="002E485A" w:rsidRPr="007B6A55">
        <w:rPr>
          <w:i/>
          <w:iCs/>
        </w:rPr>
        <w:t>fair and prosperous society, with a modern, resource-efficient and competitive economy</w:t>
      </w:r>
      <w:r w:rsidR="002E485A" w:rsidRPr="007B6A55">
        <w:t>”. Furthermore, we think that stakeholders in the company will not benefit from an information overload, but rather appreciate information that is focussed on the company’s contribution to achieving</w:t>
      </w:r>
      <w:r w:rsidR="003E248D" w:rsidRPr="007B6A55">
        <w:t xml:space="preserve"> climate neutrality by 2050. Thus, it should</w:t>
      </w:r>
      <w:r w:rsidRPr="007B6A55">
        <w:t xml:space="preserve"> be </w:t>
      </w:r>
      <w:proofErr w:type="gramStart"/>
      <w:r w:rsidR="00D07223" w:rsidRPr="007B6A55">
        <w:t>sufficient</w:t>
      </w:r>
      <w:proofErr w:type="gramEnd"/>
      <w:r w:rsidR="00D07223" w:rsidRPr="007B6A55">
        <w:t xml:space="preserve"> to provide the three KPIs at </w:t>
      </w:r>
      <w:r w:rsidRPr="007B6A55">
        <w:t xml:space="preserve">a </w:t>
      </w:r>
      <w:r w:rsidR="00D07223" w:rsidRPr="007B6A55">
        <w:t>company level</w:t>
      </w:r>
      <w:r w:rsidR="003E248D" w:rsidRPr="007B6A55">
        <w:t xml:space="preserve"> only</w:t>
      </w:r>
      <w:r w:rsidR="00D07223" w:rsidRPr="007B6A55">
        <w:t xml:space="preserve">. At </w:t>
      </w:r>
      <w:r w:rsidRPr="007B6A55">
        <w:t>a maximum</w:t>
      </w:r>
      <w:r w:rsidR="00D07223" w:rsidRPr="007B6A55">
        <w:t xml:space="preserve">, we </w:t>
      </w:r>
      <w:r w:rsidR="00C32AB7" w:rsidRPr="007B6A55">
        <w:t xml:space="preserve">deem </w:t>
      </w:r>
      <w:r w:rsidR="00D07223" w:rsidRPr="007B6A55">
        <w:t xml:space="preserve">voluntary disaggregation at the level of the </w:t>
      </w:r>
      <w:r w:rsidRPr="007B6A55">
        <w:t xml:space="preserve">IFRS 8 </w:t>
      </w:r>
      <w:r w:rsidR="00D07223" w:rsidRPr="007B6A55">
        <w:t xml:space="preserve">reporting segments </w:t>
      </w:r>
      <w:r w:rsidR="00C32AB7" w:rsidRPr="007B6A55">
        <w:t>to be</w:t>
      </w:r>
      <w:r w:rsidR="00D07223" w:rsidRPr="007B6A55">
        <w:t xml:space="preserve"> reasonable.</w:t>
      </w:r>
      <w:r w:rsidR="00406E79" w:rsidRPr="007B6A55">
        <w:t xml:space="preserve"> </w:t>
      </w:r>
      <w:r w:rsidR="007B6A55" w:rsidRPr="007B6A55">
        <w:t>In our view, the ESMA’s proposals would not only pose disproportionate burden on preparers</w:t>
      </w:r>
      <w:r w:rsidR="007B6A55" w:rsidRPr="007B6A55">
        <w:rPr>
          <w:b/>
          <w:bCs/>
        </w:rPr>
        <w:t xml:space="preserve"> </w:t>
      </w:r>
      <w:r w:rsidR="007B6A55" w:rsidRPr="007B6A55">
        <w:t>of reports, but also overstrain users of company reports.</w:t>
      </w:r>
    </w:p>
    <w:p w14:paraId="6C5EDE4F" w14:textId="77777777" w:rsidR="007B6A55" w:rsidRPr="007B6A55" w:rsidRDefault="007B6A55" w:rsidP="00D07223"/>
    <w:p w14:paraId="383AE57E" w14:textId="093570DB" w:rsidR="00D07223" w:rsidRPr="007B6A55" w:rsidRDefault="00406E79" w:rsidP="00D07223">
      <w:r w:rsidRPr="007B6A55">
        <w:t>From the viewpoint of CSR reporting, the very extensive reporting requirements for taxonomy-related environmental topics as proposed by ESMA seem to be much too detailed relative to the scope of the other non-financial reporting topics. Further, this detail</w:t>
      </w:r>
      <w:r w:rsidR="002E077B" w:rsidRPr="007B6A55">
        <w:t>ed</w:t>
      </w:r>
      <w:r w:rsidRPr="007B6A55">
        <w:t xml:space="preserve"> non-financial information would be highly disproportionate compared to the financial report.</w:t>
      </w:r>
      <w:r w:rsidR="007B6A55" w:rsidRPr="007B6A55">
        <w:t xml:space="preserve"> </w:t>
      </w:r>
    </w:p>
    <w:p w14:paraId="0827A8B6" w14:textId="77777777" w:rsidR="003E248D" w:rsidRPr="007B6A55" w:rsidRDefault="003E248D" w:rsidP="00D07223"/>
    <w:p w14:paraId="13ED74C5" w14:textId="472F701E" w:rsidR="004C4F01" w:rsidRPr="007B6A55" w:rsidRDefault="003E248D" w:rsidP="004C4F01">
      <w:r w:rsidRPr="007B6A55">
        <w:t xml:space="preserve">We further think that </w:t>
      </w:r>
      <w:r w:rsidR="00072DF5" w:rsidRPr="007B6A55">
        <w:rPr>
          <w:b/>
          <w:bCs/>
        </w:rPr>
        <w:t>ESMA’s</w:t>
      </w:r>
      <w:r w:rsidRPr="007B6A55">
        <w:rPr>
          <w:b/>
          <w:bCs/>
        </w:rPr>
        <w:t xml:space="preserve"> proposals underestimate the complexity of the implementation issue</w:t>
      </w:r>
      <w:r w:rsidR="00B2596F" w:rsidRPr="007B6A55">
        <w:t>. Therefore, we</w:t>
      </w:r>
      <w:r w:rsidRPr="007B6A55">
        <w:t xml:space="preserve"> </w:t>
      </w:r>
      <w:r w:rsidR="00072DF5" w:rsidRPr="007B6A55">
        <w:t xml:space="preserve">feel a lack of guidance on how to align </w:t>
      </w:r>
      <w:r w:rsidR="00B2596F" w:rsidRPr="007B6A55">
        <w:t xml:space="preserve">the financial impacts (revenues, capital expenditures and operating expenditures) of </w:t>
      </w:r>
      <w:r w:rsidR="00C32AB7" w:rsidRPr="007B6A55">
        <w:t xml:space="preserve">our </w:t>
      </w:r>
      <w:r w:rsidR="00072DF5" w:rsidRPr="007B6A55">
        <w:t xml:space="preserve">existing business activities </w:t>
      </w:r>
      <w:r w:rsidR="00B2596F" w:rsidRPr="007B6A55">
        <w:t xml:space="preserve">in given management structures </w:t>
      </w:r>
      <w:r w:rsidR="00072DF5" w:rsidRPr="007B6A55">
        <w:t xml:space="preserve">and </w:t>
      </w:r>
      <w:r w:rsidR="00B2596F" w:rsidRPr="007B6A55">
        <w:t xml:space="preserve">IT systems </w:t>
      </w:r>
      <w:r w:rsidR="00072DF5" w:rsidRPr="007B6A55">
        <w:t xml:space="preserve">with the EU taxonomy framework. </w:t>
      </w:r>
      <w:r w:rsidR="00B2596F" w:rsidRPr="007B6A55">
        <w:t xml:space="preserve">For example, </w:t>
      </w:r>
      <w:r w:rsidR="004C4F01" w:rsidRPr="007B6A55">
        <w:t>Evonik</w:t>
      </w:r>
      <w:r w:rsidR="00B2596F" w:rsidRPr="007B6A55">
        <w:t>,</w:t>
      </w:r>
      <w:r w:rsidR="004C4F01" w:rsidRPr="007B6A55">
        <w:t xml:space="preserve"> as a specialty chemicals company</w:t>
      </w:r>
      <w:r w:rsidR="00B2596F" w:rsidRPr="007B6A55">
        <w:t xml:space="preserve">, provides products and services that offer </w:t>
      </w:r>
      <w:r w:rsidR="004C4F01" w:rsidRPr="007B6A55">
        <w:t>customers resource-saving and energy-efficient solutions for a wide range of applications</w:t>
      </w:r>
      <w:r w:rsidR="00134380" w:rsidRPr="007B6A55">
        <w:t xml:space="preserve">, thus playing </w:t>
      </w:r>
      <w:r w:rsidR="004C4F01" w:rsidRPr="007B6A55">
        <w:t>a</w:t>
      </w:r>
      <w:r w:rsidR="00134380" w:rsidRPr="007B6A55">
        <w:t>n important</w:t>
      </w:r>
      <w:r w:rsidR="004C4F01" w:rsidRPr="007B6A55">
        <w:t xml:space="preserve"> part in meeting the rising sustainability requirements of the markets. </w:t>
      </w:r>
      <w:r w:rsidR="00134380" w:rsidRPr="007B6A55">
        <w:t xml:space="preserve">We have been working on a sustainability analysis of our business for years and have developed a sustainability evaluation approach that is based on the WBCSD Portfolio Sustainability Assessment (PSA) methodology. The resulting framework for our sustainability analysis comprises five process steps for the identification and assessment of our business activities, leading to a sustainability classification for product-application-region-combinations, so-called PARCs. </w:t>
      </w:r>
      <w:r w:rsidR="008C0FFB" w:rsidRPr="007B6A55">
        <w:t>Determination of taxonomy-eligibility and c</w:t>
      </w:r>
      <w:r w:rsidR="004C4F01" w:rsidRPr="007B6A55">
        <w:t xml:space="preserve">ompliance with the technical screening criteria </w:t>
      </w:r>
      <w:r w:rsidR="008C0FFB" w:rsidRPr="007B6A55">
        <w:t>have</w:t>
      </w:r>
      <w:r w:rsidR="004C4F01" w:rsidRPr="007B6A55">
        <w:t xml:space="preserve"> therefore to be assessed at PARC</w:t>
      </w:r>
      <w:r w:rsidR="00134380" w:rsidRPr="007B6A55">
        <w:t>-l</w:t>
      </w:r>
      <w:r w:rsidR="004C4F01" w:rsidRPr="007B6A55">
        <w:t>evel, whereas the reporting procedures and ERP</w:t>
      </w:r>
      <w:r w:rsidR="00134380" w:rsidRPr="007B6A55">
        <w:t>-systems</w:t>
      </w:r>
      <w:r w:rsidR="004C4F01" w:rsidRPr="007B6A55">
        <w:t xml:space="preserve"> are organized by business lines/segments and legal entities. It </w:t>
      </w:r>
      <w:r w:rsidR="00134380" w:rsidRPr="007B6A55">
        <w:t>is</w:t>
      </w:r>
      <w:r w:rsidR="004C4F01" w:rsidRPr="007B6A55">
        <w:t xml:space="preserve"> therefore very difficult for us to determine the contribution made by each PARC </w:t>
      </w:r>
      <w:r w:rsidR="00134380" w:rsidRPr="007B6A55">
        <w:t xml:space="preserve">to the Taxonomy-KPIs in </w:t>
      </w:r>
      <w:r w:rsidR="004C4F01" w:rsidRPr="007B6A55">
        <w:t xml:space="preserve">a short timeframe, as we </w:t>
      </w:r>
      <w:r w:rsidR="00134380" w:rsidRPr="007B6A55">
        <w:t>need</w:t>
      </w:r>
      <w:r w:rsidR="004C4F01" w:rsidRPr="007B6A55">
        <w:t xml:space="preserve"> to establish and implement new </w:t>
      </w:r>
      <w:r w:rsidR="00134380" w:rsidRPr="007B6A55">
        <w:t xml:space="preserve">reporting </w:t>
      </w:r>
      <w:r w:rsidR="004C4F01" w:rsidRPr="007B6A55">
        <w:t xml:space="preserve">procedures and potentially modify </w:t>
      </w:r>
      <w:r w:rsidR="00134380" w:rsidRPr="007B6A55">
        <w:t xml:space="preserve">our </w:t>
      </w:r>
      <w:r w:rsidR="004C4F01" w:rsidRPr="007B6A55">
        <w:t>IT systems.</w:t>
      </w:r>
      <w:r w:rsidR="00134380" w:rsidRPr="007B6A55">
        <w:t xml:space="preserve"> Therefore, a decisive factor for the success and the acceptance of</w:t>
      </w:r>
      <w:r w:rsidR="00C32AB7" w:rsidRPr="007B6A55">
        <w:t xml:space="preserve"> taxonomy reporting is: Keep it </w:t>
      </w:r>
      <w:proofErr w:type="gramStart"/>
      <w:r w:rsidR="00C32AB7" w:rsidRPr="007B6A55">
        <w:t>simple!</w:t>
      </w:r>
      <w:r w:rsidR="00C10ED1" w:rsidRPr="007B6A55">
        <w:t>.</w:t>
      </w:r>
      <w:proofErr w:type="gramEnd"/>
    </w:p>
    <w:p w14:paraId="40CF1F90" w14:textId="45E706F7" w:rsidR="004C4F01" w:rsidRPr="007B6A55" w:rsidRDefault="004C4F01" w:rsidP="004C4F01"/>
    <w:p w14:paraId="32C6A74A" w14:textId="794E1F35" w:rsidR="00C10ED1" w:rsidRPr="007B6A55" w:rsidRDefault="00062CE8" w:rsidP="00FE6577">
      <w:r w:rsidRPr="007B6A55">
        <w:lastRenderedPageBreak/>
        <w:t xml:space="preserve">We believe that financial and non-financial reporting should be closely aligned. </w:t>
      </w:r>
      <w:bookmarkStart w:id="1" w:name="_Hlk57976911"/>
      <w:r w:rsidRPr="007B6A55">
        <w:t>This means that the definition of the taxonomy-KPIs should be the same as the definitions used in financial reporting</w:t>
      </w:r>
      <w:bookmarkEnd w:id="1"/>
      <w:r w:rsidRPr="007B6A55">
        <w:t xml:space="preserve">. In our opinion the alignment between financial and non-financial KPIs should take precedence over inter-company comparability. This is necessary to ensure the credible implementation of sustainability into </w:t>
      </w:r>
      <w:r w:rsidR="00406E79" w:rsidRPr="007B6A55">
        <w:t>the</w:t>
      </w:r>
      <w:r w:rsidRPr="007B6A55">
        <w:t xml:space="preserve"> company’s strategy and management </w:t>
      </w:r>
      <w:r w:rsidR="00406E79" w:rsidRPr="007B6A55">
        <w:t xml:space="preserve">processes and </w:t>
      </w:r>
      <w:r w:rsidRPr="007B6A55">
        <w:t>systems</w:t>
      </w:r>
      <w:r w:rsidR="00406E79" w:rsidRPr="007B6A55">
        <w:t>.</w:t>
      </w:r>
      <w:r w:rsidR="007B6A55" w:rsidRPr="007B6A55">
        <w:t xml:space="preserve"> We also think that focusing on the most material non-financial information would ensure a consistent and coherent disclosure approach at EU level.</w:t>
      </w:r>
    </w:p>
    <w:permEnd w:id="44765448"/>
    <w:p w14:paraId="68F63540" w14:textId="32075520"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berschrift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14D85E28" w:rsidR="00492B3A" w:rsidRDefault="00FD048D" w:rsidP="00492B3A">
      <w:permStart w:id="1576605906" w:edGrp="everyone"/>
      <w:r w:rsidRPr="00EF2ADE">
        <w:t xml:space="preserve">We agree that </w:t>
      </w:r>
      <w:r w:rsidR="00EA630D" w:rsidRPr="00EF2ADE">
        <w:t xml:space="preserve">establishing a separate notion of turnover from the one that can be derived from the revenue figure would NOT serve the needs of users and preparers of non-financial information. </w:t>
      </w:r>
      <w:r w:rsidR="00A2706E" w:rsidRPr="00EF2ADE">
        <w:t>Thus, a</w:t>
      </w:r>
      <w:r w:rsidR="00EA630D" w:rsidRPr="00EF2ADE">
        <w:t>ll components included in a company’s revenue figure should be included in the turnover-definition</w:t>
      </w:r>
      <w:r w:rsidR="00C41CD5" w:rsidRPr="00EF2ADE">
        <w:t xml:space="preserve"> of that company</w:t>
      </w:r>
      <w:r w:rsidR="00474A8F" w:rsidRPr="00EF2ADE">
        <w:t>,</w:t>
      </w:r>
      <w:r w:rsidR="00C41CD5" w:rsidRPr="00EF2ADE">
        <w:t xml:space="preserve"> </w:t>
      </w:r>
      <w:r w:rsidR="00A2706E" w:rsidRPr="00EF2ADE">
        <w:t>tolerating</w:t>
      </w:r>
      <w:r w:rsidR="00C41CD5" w:rsidRPr="00EF2ADE">
        <w:t xml:space="preserve"> that deviations between GAAP regimes will also lead to deviations in the turnover-definition. </w:t>
      </w:r>
      <w:r w:rsidR="000A130D" w:rsidRPr="00EF2ADE">
        <w:t>Being a non-financial undertaking applying IFRS</w:t>
      </w:r>
      <w:r w:rsidR="00A2706E" w:rsidRPr="00EF2ADE">
        <w:t>,</w:t>
      </w:r>
      <w:r w:rsidR="000A130D" w:rsidRPr="00EF2ADE">
        <w:t xml:space="preserve"> all components included in our IFRS sales revenue line (</w:t>
      </w:r>
      <w:r w:rsidR="00A2706E" w:rsidRPr="00EF2ADE">
        <w:t xml:space="preserve">i.e. the </w:t>
      </w:r>
      <w:r w:rsidR="000A130D" w:rsidRPr="00EF2ADE">
        <w:t>top line of our P/L) should be included in the turnover calculation</w:t>
      </w:r>
      <w:r w:rsidR="000A130D">
        <w:rPr>
          <w:color w:val="FF0000"/>
        </w:rPr>
        <w:t>.</w:t>
      </w:r>
      <w:r w:rsidR="000A130D">
        <w:t xml:space="preserve"> </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205891A6" w14:textId="77777777" w:rsidR="00893083" w:rsidRPr="00893083" w:rsidRDefault="006C5A93" w:rsidP="00492B3A">
      <w:permStart w:id="1123047147" w:edGrp="everyone"/>
      <w:r w:rsidRPr="00893083">
        <w:t>We agree t</w:t>
      </w:r>
      <w:r w:rsidR="00E64517" w:rsidRPr="00893083">
        <w:t>o ESMA’s proposals</w:t>
      </w:r>
      <w:r w:rsidR="00893083" w:rsidRPr="00893083">
        <w:t xml:space="preserve"> </w:t>
      </w:r>
      <w:r w:rsidR="00E64517" w:rsidRPr="00893083">
        <w:t>that</w:t>
      </w:r>
      <w:r w:rsidRPr="00893083">
        <w:t xml:space="preserve"> </w:t>
      </w:r>
      <w:r w:rsidR="00336E04" w:rsidRPr="00893083">
        <w:t xml:space="preserve">the </w:t>
      </w:r>
      <w:r w:rsidR="00167DBC" w:rsidRPr="00893083">
        <w:t xml:space="preserve">logic developed by </w:t>
      </w:r>
      <w:r w:rsidR="00205461" w:rsidRPr="00893083">
        <w:t>TEG</w:t>
      </w:r>
      <w:r w:rsidR="00167DBC" w:rsidRPr="00893083">
        <w:t xml:space="preserve"> that all turnover from an economic activity related to </w:t>
      </w:r>
      <w:r w:rsidR="00205461" w:rsidRPr="00893083">
        <w:t xml:space="preserve">climate change mitigation </w:t>
      </w:r>
      <w:r w:rsidR="00167DBC" w:rsidRPr="00893083">
        <w:t xml:space="preserve">can be counted </w:t>
      </w:r>
      <w:r w:rsidR="00205461" w:rsidRPr="00893083">
        <w:t xml:space="preserve">should </w:t>
      </w:r>
      <w:r w:rsidR="00336E04" w:rsidRPr="00893083">
        <w:t xml:space="preserve">also </w:t>
      </w:r>
      <w:r w:rsidR="00205461" w:rsidRPr="00893083">
        <w:t>apply to the other four environmental objectives</w:t>
      </w:r>
      <w:r w:rsidR="00893083" w:rsidRPr="00893083">
        <w:t>.</w:t>
      </w:r>
    </w:p>
    <w:p w14:paraId="377CE9E3" w14:textId="2FF62004" w:rsidR="000A130D" w:rsidRPr="00893083" w:rsidRDefault="00893083" w:rsidP="00492B3A">
      <w:r w:rsidRPr="00893083">
        <w:t xml:space="preserve">However, we do not understand the necessity of a distinction between </w:t>
      </w:r>
      <w:r w:rsidR="00336E04" w:rsidRPr="00893083">
        <w:t xml:space="preserve">turnover from economic activities </w:t>
      </w:r>
      <w:r w:rsidR="00A2706E" w:rsidRPr="00893083">
        <w:t>that</w:t>
      </w:r>
      <w:r w:rsidR="00336E04" w:rsidRPr="00893083">
        <w:t xml:space="preserve"> </w:t>
      </w:r>
      <w:r w:rsidR="00312B3F" w:rsidRPr="00893083">
        <w:t>enable</w:t>
      </w:r>
      <w:r w:rsidR="00336E04" w:rsidRPr="00893083">
        <w:t xml:space="preserve"> </w:t>
      </w:r>
      <w:r w:rsidRPr="00893083">
        <w:t xml:space="preserve">climate change adaption and </w:t>
      </w:r>
      <w:r w:rsidR="00336E04" w:rsidRPr="00893083">
        <w:t>turnover from already adapted activities</w:t>
      </w:r>
      <w:r w:rsidR="00345EC5" w:rsidRPr="00893083">
        <w:t>.</w:t>
      </w:r>
      <w:r w:rsidR="00C72212" w:rsidRPr="00893083">
        <w:t xml:space="preserve"> </w:t>
      </w:r>
      <w:r w:rsidRPr="00893083">
        <w:t xml:space="preserve">This holds especially true, because this distinction </w:t>
      </w:r>
      <w:r w:rsidR="006C10F4" w:rsidRPr="00893083">
        <w:t xml:space="preserve">is only made for the turnover KPI </w:t>
      </w:r>
      <w:r w:rsidRPr="00893083">
        <w:t>but</w:t>
      </w:r>
      <w:r w:rsidR="006C10F4" w:rsidRPr="00893083">
        <w:t xml:space="preserve"> not for the CapEx KPI.</w:t>
      </w:r>
    </w:p>
    <w:permEnd w:id="1123047147"/>
    <w:p w14:paraId="741E001B" w14:textId="5A6D8B11"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00046D81" w14:textId="0D01F49E" w:rsidR="00440F51" w:rsidRPr="00893083" w:rsidRDefault="00FD048D" w:rsidP="00492B3A">
      <w:permStart w:id="1823616926" w:edGrp="everyone"/>
      <w:r w:rsidRPr="00893083">
        <w:t xml:space="preserve"> </w:t>
      </w:r>
      <w:r w:rsidR="00C039ED" w:rsidRPr="00893083">
        <w:t xml:space="preserve">We do not agree with the </w:t>
      </w:r>
      <w:r w:rsidR="007B31DA" w:rsidRPr="00893083">
        <w:t xml:space="preserve">proposed </w:t>
      </w:r>
      <w:r w:rsidR="00C039ED" w:rsidRPr="00893083">
        <w:t>definition of CapEx</w:t>
      </w:r>
      <w:r w:rsidR="00F762AB" w:rsidRPr="00893083">
        <w:t>,</w:t>
      </w:r>
      <w:r w:rsidR="00C039ED" w:rsidRPr="00893083">
        <w:t xml:space="preserve"> </w:t>
      </w:r>
      <w:r w:rsidR="00864328" w:rsidRPr="00893083">
        <w:t xml:space="preserve">as </w:t>
      </w:r>
      <w:r w:rsidR="00F9481C" w:rsidRPr="00893083">
        <w:t xml:space="preserve">we see problems regarding the </w:t>
      </w:r>
      <w:r w:rsidR="003C46B0" w:rsidRPr="00893083">
        <w:t xml:space="preserve">suggested </w:t>
      </w:r>
      <w:r w:rsidR="00F9481C" w:rsidRPr="00893083">
        <w:t>net approach for the calculation</w:t>
      </w:r>
      <w:r w:rsidR="007B0167" w:rsidRPr="00893083">
        <w:t>:</w:t>
      </w:r>
      <w:r w:rsidR="00F9481C" w:rsidRPr="00893083">
        <w:t xml:space="preserve"> </w:t>
      </w:r>
      <w:r w:rsidR="007B0167" w:rsidRPr="00893083">
        <w:t>This approach</w:t>
      </w:r>
      <w:r w:rsidR="00F9481C" w:rsidRPr="00893083">
        <w:t xml:space="preserve"> would also include exchange rate effects, impairments and changes in the scope of consolidation (</w:t>
      </w:r>
      <w:r w:rsidR="00345EC5" w:rsidRPr="00893083">
        <w:t>including</w:t>
      </w:r>
      <w:r w:rsidR="00F9481C" w:rsidRPr="00893083">
        <w:t xml:space="preserve"> the sale of certain activities or assets) which we believe should not </w:t>
      </w:r>
      <w:r w:rsidR="00345EC5" w:rsidRPr="00893083">
        <w:t>enter the</w:t>
      </w:r>
      <w:r w:rsidR="00F9481C" w:rsidRPr="00893083">
        <w:t xml:space="preserve"> CapEx</w:t>
      </w:r>
      <w:r w:rsidR="00345EC5" w:rsidRPr="00893083">
        <w:t xml:space="preserve"> calculation</w:t>
      </w:r>
      <w:r w:rsidR="00F9481C" w:rsidRPr="00893083">
        <w:t>.</w:t>
      </w:r>
      <w:r w:rsidR="00F96258" w:rsidRPr="00893083">
        <w:t xml:space="preserve">  </w:t>
      </w:r>
    </w:p>
    <w:p w14:paraId="710B1E95" w14:textId="77777777" w:rsidR="00893083" w:rsidRPr="00893083" w:rsidRDefault="00440F51" w:rsidP="00492B3A">
      <w:r w:rsidRPr="00893083">
        <w:t>Further, i</w:t>
      </w:r>
      <w:r w:rsidR="00F96258" w:rsidRPr="00893083">
        <w:t>n our opinion CapEx disclosures in the non-financial reporting should be based on the same CapEx definition that is used for financial / management reporting</w:t>
      </w:r>
      <w:r w:rsidRPr="00893083">
        <w:t>.</w:t>
      </w:r>
      <w:r w:rsidR="00C72212" w:rsidRPr="00893083">
        <w:t xml:space="preserve"> We do not think that a non-financial-CapEx definition</w:t>
      </w:r>
      <w:r w:rsidR="00F762AB" w:rsidRPr="00893083">
        <w:t>, which is standardized for the sake of inter-company comparability</w:t>
      </w:r>
      <w:r w:rsidR="00B55182" w:rsidRPr="00893083">
        <w:t>,</w:t>
      </w:r>
      <w:r w:rsidR="00204588" w:rsidRPr="00893083">
        <w:t xml:space="preserve"> but not in line with </w:t>
      </w:r>
      <w:r w:rsidR="00B55182" w:rsidRPr="00893083">
        <w:t>the</w:t>
      </w:r>
      <w:r w:rsidR="00204588" w:rsidRPr="00893083">
        <w:t xml:space="preserve"> company’s </w:t>
      </w:r>
      <w:r w:rsidR="003B1164" w:rsidRPr="00893083">
        <w:t>CapEx</w:t>
      </w:r>
      <w:r w:rsidR="00B55182" w:rsidRPr="00893083">
        <w:t>-</w:t>
      </w:r>
      <w:r w:rsidR="003B1164" w:rsidRPr="00893083">
        <w:t xml:space="preserve">APM used for </w:t>
      </w:r>
      <w:r w:rsidR="00204588" w:rsidRPr="00893083">
        <w:t xml:space="preserve">management </w:t>
      </w:r>
      <w:r w:rsidR="003B1164" w:rsidRPr="00893083">
        <w:t>reporting</w:t>
      </w:r>
      <w:r w:rsidR="00204588" w:rsidRPr="00893083">
        <w:t xml:space="preserve">, will </w:t>
      </w:r>
      <w:r w:rsidR="003C46B0" w:rsidRPr="00893083">
        <w:t xml:space="preserve">be beneficial for the overall goal of climate-related </w:t>
      </w:r>
      <w:r w:rsidRPr="00893083">
        <w:t>reporting</w:t>
      </w:r>
      <w:r w:rsidR="00204588" w:rsidRPr="00893083">
        <w:t>, even if a (costly!) reconciliation to the CapEx definition used for the company’s financial and management reporting needs to be published.</w:t>
      </w:r>
      <w:r w:rsidR="00B55182" w:rsidRPr="00893083">
        <w:t xml:space="preserve"> </w:t>
      </w:r>
    </w:p>
    <w:permEnd w:id="1823616926"/>
    <w:p w14:paraId="383E5893" w14:textId="2ACF62B9"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79C87D64" w14:textId="78443FD1" w:rsidR="00A7332E" w:rsidRDefault="00D43FF5" w:rsidP="00492B3A">
      <w:pPr>
        <w:rPr>
          <w:color w:val="FF0000"/>
        </w:rPr>
      </w:pPr>
      <w:permStart w:id="910372547" w:edGrp="everyone"/>
      <w:r>
        <w:rPr>
          <w:color w:val="000000" w:themeColor="text1"/>
        </w:rPr>
        <w:t xml:space="preserve"> </w:t>
      </w:r>
      <w:r w:rsidRPr="00F32017">
        <w:t xml:space="preserve">We </w:t>
      </w:r>
      <w:r w:rsidR="00A7332E" w:rsidRPr="00F32017">
        <w:t xml:space="preserve">do not think that the “part of a plan” concept, as described in bullet b </w:t>
      </w:r>
      <w:r w:rsidR="0039275C" w:rsidRPr="00F32017">
        <w:t>is appropriate to be implemented in practice</w:t>
      </w:r>
      <w:r w:rsidR="00794A9B" w:rsidRPr="00F32017">
        <w:t xml:space="preserve"> - especially with respect to the 5 year-time-horizon and the publication requirement</w:t>
      </w:r>
      <w:r w:rsidR="0039275C" w:rsidRPr="00F32017">
        <w:t xml:space="preserve">. In our opinion </w:t>
      </w:r>
      <w:r w:rsidR="00B55182" w:rsidRPr="00F32017">
        <w:t>this</w:t>
      </w:r>
      <w:r w:rsidR="0039275C" w:rsidRPr="00F32017">
        <w:t xml:space="preserve"> would require a very simplistic set of business activities that is not typical for many industries. Even further, we do not understand the need for the proposed </w:t>
      </w:r>
      <w:r w:rsidR="00B55182" w:rsidRPr="00F32017">
        <w:t>‘</w:t>
      </w:r>
      <w:r w:rsidR="0039275C" w:rsidRPr="00F32017">
        <w:t>plan</w:t>
      </w:r>
      <w:r w:rsidR="00B55182" w:rsidRPr="00F32017">
        <w:t>’</w:t>
      </w:r>
      <w:r w:rsidR="0039275C" w:rsidRPr="00F32017">
        <w:t xml:space="preserve"> element, if business activities are identified and screened in a proper way</w:t>
      </w:r>
      <w:r w:rsidR="00B55182" w:rsidRPr="00F32017">
        <w:t>,</w:t>
      </w:r>
      <w:r w:rsidR="00F762AB" w:rsidRPr="00F32017">
        <w:t xml:space="preserve"> and revenues, capital expenditures and operating expenses can be allocated to these activities.</w:t>
      </w:r>
      <w:r w:rsidR="0039275C" w:rsidRPr="00F32017">
        <w:t xml:space="preserve"> In our opinion companies should have the freedom to set up </w:t>
      </w:r>
      <w:r w:rsidR="00F762AB" w:rsidRPr="00F32017">
        <w:t xml:space="preserve">a </w:t>
      </w:r>
      <w:r w:rsidR="00D6539A" w:rsidRPr="00F32017">
        <w:t>transparent</w:t>
      </w:r>
      <w:r w:rsidR="0039275C" w:rsidRPr="00F32017">
        <w:t xml:space="preserve"> </w:t>
      </w:r>
      <w:r w:rsidR="00F762AB" w:rsidRPr="00F32017">
        <w:t xml:space="preserve">industry- or business-specific </w:t>
      </w:r>
      <w:r w:rsidR="0039275C" w:rsidRPr="00F32017">
        <w:t>methodology</w:t>
      </w:r>
      <w:r w:rsidR="00794A9B" w:rsidRPr="00F32017">
        <w:t xml:space="preserve"> </w:t>
      </w:r>
      <w:r w:rsidR="00D6539A" w:rsidRPr="00F32017">
        <w:t xml:space="preserve">on </w:t>
      </w:r>
      <w:r w:rsidR="00794A9B" w:rsidRPr="00F32017">
        <w:t xml:space="preserve">how to establish a link between </w:t>
      </w:r>
      <w:r w:rsidR="00B55182" w:rsidRPr="00F32017">
        <w:t xml:space="preserve">their </w:t>
      </w:r>
      <w:r w:rsidR="00794A9B" w:rsidRPr="00F32017">
        <w:t>economic activities and taxonomy-alignment</w:t>
      </w:r>
      <w:r w:rsidR="00F762AB" w:rsidRPr="00F32017">
        <w:t xml:space="preserve"> rather than to have a diffuse </w:t>
      </w:r>
      <w:r w:rsidR="00B55182" w:rsidRPr="00F32017">
        <w:t>‘</w:t>
      </w:r>
      <w:r w:rsidR="00F762AB" w:rsidRPr="00F32017">
        <w:t>plan</w:t>
      </w:r>
      <w:r w:rsidR="00B55182" w:rsidRPr="00F32017">
        <w:t xml:space="preserve">’ </w:t>
      </w:r>
      <w:r w:rsidR="00F762AB" w:rsidRPr="00F32017">
        <w:t>obligation</w:t>
      </w:r>
      <w:r w:rsidR="00F762AB">
        <w:rPr>
          <w:color w:val="FF0000"/>
        </w:rPr>
        <w:t>.</w:t>
      </w:r>
    </w:p>
    <w:p w14:paraId="505BE1C7" w14:textId="77777777" w:rsidR="00794A9B" w:rsidRDefault="00794A9B" w:rsidP="00492B3A">
      <w:pPr>
        <w:rPr>
          <w:color w:val="FF0000"/>
        </w:rPr>
      </w:pPr>
    </w:p>
    <w:p w14:paraId="4975BC77" w14:textId="7992F014" w:rsidR="00492B3A" w:rsidRPr="00F32017" w:rsidRDefault="00794A9B" w:rsidP="00BC4159">
      <w:r w:rsidRPr="00F32017">
        <w:lastRenderedPageBreak/>
        <w:t>We,</w:t>
      </w:r>
      <w:r w:rsidR="009F06A0" w:rsidRPr="00F32017">
        <w:t xml:space="preserve"> as a special chemicals company</w:t>
      </w:r>
      <w:r w:rsidRPr="00F32017">
        <w:t>,</w:t>
      </w:r>
      <w:r w:rsidR="009F06A0" w:rsidRPr="00F32017">
        <w:t xml:space="preserve"> </w:t>
      </w:r>
      <w:r w:rsidRPr="00F32017">
        <w:t>have</w:t>
      </w:r>
      <w:r w:rsidR="009F06A0" w:rsidRPr="00F32017">
        <w:t xml:space="preserve"> been working on a sustainability analysis of our business </w:t>
      </w:r>
      <w:r w:rsidR="00700B99" w:rsidRPr="00F32017">
        <w:t xml:space="preserve">for years and </w:t>
      </w:r>
      <w:r w:rsidR="00FD09AD" w:rsidRPr="00F32017">
        <w:t xml:space="preserve">have </w:t>
      </w:r>
      <w:r w:rsidR="00700B99" w:rsidRPr="00F32017">
        <w:t xml:space="preserve">developed a sustainability evaluation approach that is based on </w:t>
      </w:r>
      <w:r w:rsidR="00BC4159" w:rsidRPr="00F32017">
        <w:t xml:space="preserve">the WBCSD Portfolio Sustainability Assessment (PSA) methodology. </w:t>
      </w:r>
      <w:r w:rsidR="009F06A0" w:rsidRPr="00F32017">
        <w:t xml:space="preserve">The resulting framework for our sustainability analysis comprises five process steps for the </w:t>
      </w:r>
      <w:r w:rsidRPr="00F32017">
        <w:t>identification</w:t>
      </w:r>
      <w:r w:rsidR="009F06A0" w:rsidRPr="00F32017">
        <w:t xml:space="preserve"> </w:t>
      </w:r>
      <w:r w:rsidRPr="00F32017">
        <w:t xml:space="preserve">and assessment </w:t>
      </w:r>
      <w:r w:rsidR="009F06A0" w:rsidRPr="00F32017">
        <w:t>of our business activities</w:t>
      </w:r>
      <w:r w:rsidR="00BC4159" w:rsidRPr="00F32017">
        <w:t>, leading to a</w:t>
      </w:r>
      <w:r w:rsidR="00FD09AD" w:rsidRPr="00F32017">
        <w:t xml:space="preserve"> sustainability</w:t>
      </w:r>
      <w:r w:rsidR="00BC4159" w:rsidRPr="00F32017">
        <w:t xml:space="preserve"> </w:t>
      </w:r>
      <w:r w:rsidRPr="00F32017">
        <w:t>classification</w:t>
      </w:r>
      <w:r w:rsidR="00BC4159" w:rsidRPr="00F32017">
        <w:t xml:space="preserve"> at PARC (Product-Application-Region-Combination) level. It is unclear to us, how this well</w:t>
      </w:r>
      <w:r w:rsidRPr="00F32017">
        <w:t>-</w:t>
      </w:r>
      <w:r w:rsidR="00BC4159" w:rsidRPr="00F32017">
        <w:t xml:space="preserve">established methodology </w:t>
      </w:r>
      <w:r w:rsidR="00D6539A" w:rsidRPr="00F32017">
        <w:t xml:space="preserve">(that has also been reviewed by an external auditor) </w:t>
      </w:r>
      <w:r w:rsidR="00FD09AD" w:rsidRPr="00F32017">
        <w:t>can be combined</w:t>
      </w:r>
      <w:r w:rsidRPr="00F32017">
        <w:t xml:space="preserve"> with</w:t>
      </w:r>
      <w:r w:rsidR="00FD09AD" w:rsidRPr="00F32017">
        <w:t xml:space="preserve"> </w:t>
      </w:r>
      <w:r w:rsidRPr="00F32017">
        <w:t>or</w:t>
      </w:r>
      <w:r w:rsidR="00FD09AD" w:rsidRPr="00F32017">
        <w:t xml:space="preserve"> transferred </w:t>
      </w:r>
      <w:r w:rsidRPr="00F32017">
        <w:t>to</w:t>
      </w:r>
      <w:r w:rsidR="00BC4159" w:rsidRPr="00F32017">
        <w:t xml:space="preserve"> the proposed </w:t>
      </w:r>
      <w:r w:rsidR="00D6539A" w:rsidRPr="00F32017">
        <w:t>‘</w:t>
      </w:r>
      <w:r w:rsidR="00BC4159" w:rsidRPr="00F32017">
        <w:t>plan</w:t>
      </w:r>
      <w:r w:rsidR="00D6539A" w:rsidRPr="00F32017">
        <w:t>’</w:t>
      </w:r>
      <w:r w:rsidR="00BC4159" w:rsidRPr="00F32017">
        <w:t xml:space="preserve"> requirement</w:t>
      </w:r>
      <w:r w:rsidR="000D4D88" w:rsidRPr="00F32017">
        <w:t>, especially as it is unclear what level of detail is required i</w:t>
      </w:r>
      <w:r w:rsidR="00F2754B" w:rsidRPr="00F32017">
        <w:t xml:space="preserve">n making the </w:t>
      </w:r>
      <w:r w:rsidRPr="00F32017">
        <w:t>‘</w:t>
      </w:r>
      <w:r w:rsidR="00F2754B" w:rsidRPr="00F32017">
        <w:t>plan</w:t>
      </w:r>
      <w:r w:rsidRPr="00F32017">
        <w:t>’</w:t>
      </w:r>
      <w:r w:rsidR="00F2754B" w:rsidRPr="00F32017">
        <w:t xml:space="preserve"> available to the public</w:t>
      </w:r>
      <w:r w:rsidR="00BC4159" w:rsidRPr="00F32017">
        <w:t>.</w:t>
      </w:r>
      <w:r w:rsidR="00F2754B" w:rsidRPr="00F32017">
        <w:t xml:space="preserve"> In case of sensitive information relevant from a competitor’s perspective, a company should be allowed to withhold this information from public disclosure.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CD0C721" w:rsidR="00492B3A" w:rsidRPr="00F32017" w:rsidRDefault="006B70A4" w:rsidP="00492B3A">
      <w:permStart w:id="1454397300" w:edGrp="everyone"/>
      <w:r w:rsidRPr="00F32017">
        <w:t>As currently there is no single commonly shared definition of operating result</w:t>
      </w:r>
      <w:r w:rsidR="00552427" w:rsidRPr="00F32017">
        <w:t>,</w:t>
      </w:r>
      <w:r w:rsidRPr="00F32017">
        <w:t xml:space="preserve"> companies should be allowed to </w:t>
      </w:r>
      <w:proofErr w:type="gramStart"/>
      <w:r w:rsidRPr="00F32017">
        <w:t>make reference</w:t>
      </w:r>
      <w:proofErr w:type="gramEnd"/>
      <w:r w:rsidRPr="00F32017">
        <w:t xml:space="preserve"> to a subtotal used in the P/L or </w:t>
      </w:r>
      <w:r w:rsidR="00552427" w:rsidRPr="00F32017">
        <w:t>an APM used in the published management report when determining the expense items to comprise OpEx.</w:t>
      </w:r>
      <w:r w:rsidRPr="00F32017">
        <w:t xml:space="preserve"> </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5C51EC97" w:rsidR="00492B3A" w:rsidRDefault="00C3009A" w:rsidP="00492B3A">
      <w:permStart w:id="164587406" w:edGrp="everyone"/>
      <w:r>
        <w:t xml:space="preserve"> We do not understand ‘plan’ in this context. OpEx should include all expenses of the ‘green’ activities.</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224EB58E" w:rsidR="00492B3A" w:rsidRDefault="00C3009A" w:rsidP="00492B3A">
      <w:permStart w:id="1191210126" w:edGrp="everyone"/>
      <w:r>
        <w:t xml:space="preserve"> </w:t>
      </w:r>
      <w:r w:rsidRPr="0012011B">
        <w:t xml:space="preserve">The </w:t>
      </w:r>
      <w:r w:rsidR="00525DDD">
        <w:t>reporting of taxonomy-compliant</w:t>
      </w:r>
      <w:r w:rsidRPr="0012011B">
        <w:t xml:space="preserve"> KPIs will definitely result in additional costs </w:t>
      </w:r>
      <w:r w:rsidR="00552427" w:rsidRPr="0012011B">
        <w:t>for</w:t>
      </w:r>
      <w:r w:rsidRPr="0012011B">
        <w:t xml:space="preserve"> </w:t>
      </w:r>
      <w:r w:rsidR="00552427" w:rsidRPr="0012011B">
        <w:t xml:space="preserve">the </w:t>
      </w:r>
      <w:r w:rsidR="00DD31F4" w:rsidRPr="0012011B">
        <w:t>conceptualization and implementation</w:t>
      </w:r>
      <w:r w:rsidR="00552427" w:rsidRPr="0012011B">
        <w:t xml:space="preserve"> of </w:t>
      </w:r>
      <w:r w:rsidR="00DD31F4" w:rsidRPr="0012011B">
        <w:t xml:space="preserve">the </w:t>
      </w:r>
      <w:r w:rsidR="00552427" w:rsidRPr="0012011B">
        <w:t>new allocation methodology</w:t>
      </w:r>
      <w:r w:rsidR="00DD31F4" w:rsidRPr="0012011B">
        <w:t>, changes in IT systems,</w:t>
      </w:r>
      <w:r w:rsidR="00552427" w:rsidRPr="0012011B">
        <w:t xml:space="preserve"> </w:t>
      </w:r>
      <w:r w:rsidRPr="0012011B">
        <w:t>collecting</w:t>
      </w:r>
      <w:r w:rsidR="00DD31F4" w:rsidRPr="0012011B">
        <w:t xml:space="preserve">, </w:t>
      </w:r>
      <w:r w:rsidRPr="0012011B">
        <w:t xml:space="preserve">compiling </w:t>
      </w:r>
      <w:r w:rsidR="00DD31F4" w:rsidRPr="0012011B">
        <w:t xml:space="preserve">and verifying </w:t>
      </w:r>
      <w:r w:rsidRPr="0012011B">
        <w:t xml:space="preserve">new </w:t>
      </w:r>
      <w:proofErr w:type="gramStart"/>
      <w:r w:rsidRPr="0012011B">
        <w:t>data</w:t>
      </w:r>
      <w:r w:rsidR="00DD31F4" w:rsidRPr="0012011B">
        <w:t xml:space="preserve">, </w:t>
      </w:r>
      <w:r w:rsidRPr="0012011B">
        <w:t xml:space="preserve"> and</w:t>
      </w:r>
      <w:proofErr w:type="gramEnd"/>
      <w:r w:rsidRPr="0012011B">
        <w:t xml:space="preserve"> the training of the staff. </w:t>
      </w:r>
      <w:r w:rsidR="00F32017" w:rsidRPr="0012011B">
        <w:t xml:space="preserve">We </w:t>
      </w:r>
      <w:r w:rsidR="0012011B" w:rsidRPr="0012011B">
        <w:t>think</w:t>
      </w:r>
      <w:r w:rsidR="00F32017" w:rsidRPr="0012011B">
        <w:t xml:space="preserve"> that building up such knowledge and the required IT structures will </w:t>
      </w:r>
      <w:r w:rsidR="0012011B" w:rsidRPr="0012011B">
        <w:t xml:space="preserve">not </w:t>
      </w:r>
      <w:r w:rsidR="00F32017" w:rsidRPr="0012011B">
        <w:t>be feasible in the very short timeframe that is left between now and first public disclosure in early 2022</w:t>
      </w:r>
      <w:r w:rsidR="0012011B" w:rsidRPr="0012011B">
        <w:t xml:space="preserve">. </w:t>
      </w:r>
      <w:r w:rsidR="00F32017" w:rsidRPr="0012011B">
        <w:t xml:space="preserve">It is </w:t>
      </w:r>
      <w:r w:rsidR="00F32017" w:rsidRPr="0012011B">
        <w:rPr>
          <w:highlight w:val="yellow"/>
        </w:rPr>
        <w:t xml:space="preserve">very difficult to make a quantitative estimate of the </w:t>
      </w:r>
      <w:r w:rsidR="00F32017" w:rsidRPr="0012011B">
        <w:t xml:space="preserve">implementation effort, </w:t>
      </w:r>
      <w:r w:rsidR="00F32017" w:rsidRPr="0012011B">
        <w:rPr>
          <w:highlight w:val="yellow"/>
        </w:rPr>
        <w:t xml:space="preserve">but we could easily imagine that such cost </w:t>
      </w:r>
      <w:r w:rsidR="0012011B" w:rsidRPr="0012011B">
        <w:rPr>
          <w:highlight w:val="yellow"/>
        </w:rPr>
        <w:t>will</w:t>
      </w:r>
      <w:r w:rsidR="00F32017" w:rsidRPr="0012011B">
        <w:rPr>
          <w:highlight w:val="yellow"/>
        </w:rPr>
        <w:t xml:space="preserve"> amount to a sizeable double digit million EUR</w:t>
      </w:r>
      <w:r w:rsidR="00F32017" w:rsidRPr="0012011B">
        <w:t xml:space="preserve"> amount for large companies. </w:t>
      </w:r>
      <w:r w:rsidR="0012011B" w:rsidRPr="0012011B">
        <w:t xml:space="preserve">We understand that in the context of the NFRD review, verification of non-financial information by external parties may become a requirement for all companies. </w:t>
      </w:r>
      <w:r w:rsidR="0012011B">
        <w:t>Further</w:t>
      </w:r>
      <w:r w:rsidR="00552427" w:rsidRPr="0012011B">
        <w:t>, technical screening criteria and environmental objectives may change and evolve over time forcing companies to adapt and modify their methodology and organisation. This will generate maintenance and/or updating costs.</w:t>
      </w:r>
      <w:r w:rsidRPr="0012011B">
        <w:t xml:space="preserve"> </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068C600D" w:rsidR="00492B3A" w:rsidRDefault="004760BD" w:rsidP="00492B3A">
      <w:permStart w:id="21103909" w:edGrp="everyone"/>
      <w:r>
        <w:t xml:space="preserve"> </w:t>
      </w:r>
      <w:r w:rsidR="0057307B">
        <w:t>We agree.</w:t>
      </w:r>
    </w:p>
    <w:permEnd w:id="21103909"/>
    <w:p w14:paraId="6C91EF19" w14:textId="77777777" w:rsidR="00492B3A" w:rsidRDefault="00492B3A" w:rsidP="00492B3A">
      <w:r>
        <w:lastRenderedPageBreak/>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3BD7B69A" w14:textId="75CEF584" w:rsidR="00EF2ADE" w:rsidRPr="00052098" w:rsidRDefault="004760BD" w:rsidP="00492B3A">
      <w:permStart w:id="70807355" w:edGrp="everyone"/>
      <w:r w:rsidRPr="00391BB9">
        <w:rPr>
          <w:color w:val="FF0000"/>
        </w:rPr>
        <w:t xml:space="preserve"> </w:t>
      </w:r>
      <w:r w:rsidR="00EF2ADE" w:rsidRPr="00052098">
        <w:t xml:space="preserve">We think that additional disclosures regarding methodology </w:t>
      </w:r>
      <w:r w:rsidR="00052098">
        <w:t xml:space="preserve">according to </w:t>
      </w:r>
      <w:r w:rsidR="00EF2ADE" w:rsidRPr="00052098">
        <w:t xml:space="preserve">bullet a.1 are not necessary, as we promote that the definition of the taxonomy-KPIs should be the same as the definitions used in </w:t>
      </w:r>
      <w:r w:rsidR="00397E56" w:rsidRPr="00052098">
        <w:t xml:space="preserve">the </w:t>
      </w:r>
      <w:r w:rsidR="00EF2ADE" w:rsidRPr="00052098">
        <w:t>financial reporting</w:t>
      </w:r>
      <w:r w:rsidR="00397E56" w:rsidRPr="00052098">
        <w:t>, and the latter definitions are disclosed in the financial report if necessary.</w:t>
      </w:r>
    </w:p>
    <w:p w14:paraId="0E5DA643" w14:textId="02409A28" w:rsidR="00397E56" w:rsidRPr="00052098" w:rsidRDefault="00397E56" w:rsidP="00492B3A"/>
    <w:p w14:paraId="6F491B73" w14:textId="23E9E4CA" w:rsidR="004370D1" w:rsidRPr="00052098" w:rsidRDefault="00397E56" w:rsidP="00492B3A">
      <w:r w:rsidRPr="00052098">
        <w:t xml:space="preserve">With respect to the additional disclosure proposals under bullet a.2, we do not </w:t>
      </w:r>
      <w:r w:rsidR="00D7584A" w:rsidRPr="00052098">
        <w:t xml:space="preserve">understand why </w:t>
      </w:r>
      <w:r w:rsidR="004370D1" w:rsidRPr="00052098">
        <w:t>the assessment of Taxonomy-alignment needs to be explained</w:t>
      </w:r>
      <w:r w:rsidR="00D7584A" w:rsidRPr="00052098">
        <w:t xml:space="preserve"> FOR EACH KPI. Rather we think that this assessment should be made </w:t>
      </w:r>
      <w:r w:rsidRPr="00052098">
        <w:t xml:space="preserve">internally </w:t>
      </w:r>
      <w:r w:rsidR="00D7584A" w:rsidRPr="00052098">
        <w:t>on economic-activity-level and then appl</w:t>
      </w:r>
      <w:r w:rsidR="0057307B" w:rsidRPr="00052098">
        <w:t>ied</w:t>
      </w:r>
      <w:r w:rsidR="00D7584A" w:rsidRPr="00052098">
        <w:t xml:space="preserve"> to all 3 KPIs </w:t>
      </w:r>
      <w:r w:rsidR="0057307B" w:rsidRPr="00052098">
        <w:t xml:space="preserve">in </w:t>
      </w:r>
      <w:r w:rsidR="00D7584A" w:rsidRPr="00052098">
        <w:t xml:space="preserve">the same way. </w:t>
      </w:r>
      <w:r w:rsidRPr="00052098">
        <w:t xml:space="preserve">Detailed reporting on this screening process would lead to information overflow. </w:t>
      </w:r>
      <w:r w:rsidR="000D3EF6" w:rsidRPr="00052098">
        <w:t>Therefore</w:t>
      </w:r>
      <w:r w:rsidR="004370D1" w:rsidRPr="00052098">
        <w:t xml:space="preserve">, it </w:t>
      </w:r>
      <w:r w:rsidR="000D3EF6" w:rsidRPr="00052098">
        <w:t xml:space="preserve">also </w:t>
      </w:r>
      <w:r w:rsidR="004370D1" w:rsidRPr="00052098">
        <w:t xml:space="preserve">makes no sense to require for each KPI a description of the nature of products / services or assets / processes that are taxonomy-aligned. </w:t>
      </w:r>
      <w:r w:rsidR="000D3EF6" w:rsidRPr="00052098">
        <w:t>Further, we do not understand the phrase “Explain how turnover / CapEx / OpEx was allocated across economic activities to avoid double counting.”</w:t>
      </w:r>
      <w:r w:rsidR="00391BB9" w:rsidRPr="00052098">
        <w:t xml:space="preserve"> In our opinion </w:t>
      </w:r>
      <w:r w:rsidR="0097126C" w:rsidRPr="00052098">
        <w:t>an allocation problem (and maybe a</w:t>
      </w:r>
      <w:r w:rsidR="00391BB9" w:rsidRPr="00052098">
        <w:t xml:space="preserve"> risk of double counting</w:t>
      </w:r>
      <w:r w:rsidR="0097126C" w:rsidRPr="00052098">
        <w:t>)</w:t>
      </w:r>
      <w:r w:rsidR="00391BB9" w:rsidRPr="00052098">
        <w:t xml:space="preserve"> only arises </w:t>
      </w:r>
      <w:r w:rsidR="0097126C" w:rsidRPr="00052098">
        <w:t>from the disaggregation requirement regarding KPI</w:t>
      </w:r>
      <w:r w:rsidR="00052098">
        <w:t>s</w:t>
      </w:r>
      <w:r w:rsidR="0097126C" w:rsidRPr="00052098">
        <w:t xml:space="preserve"> per environmental objective</w:t>
      </w:r>
      <w:r w:rsidR="00052098">
        <w:t>, and we disagree with such a requirement.</w:t>
      </w:r>
    </w:p>
    <w:p w14:paraId="59164B1B" w14:textId="77777777" w:rsidR="00052098" w:rsidRPr="00052098" w:rsidRDefault="00052098" w:rsidP="00492B3A"/>
    <w:p w14:paraId="2A503F2D" w14:textId="3C6C7ED6" w:rsidR="00052098" w:rsidRPr="00052098" w:rsidRDefault="00052098" w:rsidP="00492B3A">
      <w:r w:rsidRPr="00052098">
        <w:t>Regarding the disclosure requirements concerning the “context” of the KPIs, w</w:t>
      </w:r>
      <w:r w:rsidR="001A21AE" w:rsidRPr="00052098">
        <w:t xml:space="preserve">e </w:t>
      </w:r>
      <w:r w:rsidRPr="00052098">
        <w:t xml:space="preserve">propose to restrict information on the drivers of the change in KPIs during the period to a group level perspective. </w:t>
      </w:r>
      <w:r>
        <w:t>Finally</w:t>
      </w:r>
      <w:r w:rsidRPr="00052098">
        <w:t>, we</w:t>
      </w:r>
    </w:p>
    <w:p w14:paraId="5EFF73CE" w14:textId="294ABDCC" w:rsidR="001A21AE" w:rsidRPr="00052098" w:rsidRDefault="001A21AE" w:rsidP="00492B3A">
      <w:r w:rsidRPr="00052098">
        <w:t>do not understand the phrasing of the additional disclosure requirement regarding leased fixed assets</w:t>
      </w:r>
      <w:r w:rsidR="00391BB9" w:rsidRPr="00052098">
        <w:t>, especially regarding the impact of leasing on the CapEx KPI</w:t>
      </w:r>
      <w:r w:rsidRPr="00052098">
        <w:t xml:space="preserve">. How would </w:t>
      </w:r>
      <w:r w:rsidR="00391BB9" w:rsidRPr="00052098">
        <w:t>leased</w:t>
      </w:r>
      <w:r w:rsidRPr="00052098">
        <w:t xml:space="preserve"> assets have an impact on the calculated CapEx KPI, if compan</w:t>
      </w:r>
      <w:r w:rsidR="00391BB9" w:rsidRPr="00052098">
        <w:t>ies</w:t>
      </w:r>
      <w:r w:rsidRPr="00052098">
        <w:t xml:space="preserve"> comply with ESMA’s CapEx definition that does not include IFRS 16 accounting?</w:t>
      </w:r>
    </w:p>
    <w:permEnd w:id="70807355"/>
    <w:p w14:paraId="293286B0" w14:textId="33DDCC9D"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174D5466" w:rsidR="00492B3A" w:rsidRPr="00C4114B" w:rsidRDefault="00391BB9" w:rsidP="00492B3A">
      <w:permStart w:id="1969951227" w:edGrp="everyone"/>
      <w:r w:rsidRPr="00C4114B">
        <w:t>We could not find an explicit referral requirement to financial statement line items in ESMAs proposals.</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409F4C63" w:rsidR="00492B3A" w:rsidRPr="00E53D65" w:rsidRDefault="001E60F5" w:rsidP="00492B3A">
      <w:permStart w:id="384379543" w:edGrp="everyone"/>
      <w:r w:rsidRPr="00E53D65">
        <w:t>Additional information on the context of the KPIs (especially reconciliations explaining the drivers of change during the period) would require significant financial resources, if the underlying economic activities are not reflected in the present organisational structure of the company</w:t>
      </w:r>
      <w:r w:rsidR="00704359" w:rsidRPr="00E53D65">
        <w:t xml:space="preserve"> that is used by the chief decision maker for management purposes</w:t>
      </w:r>
      <w:r w:rsidRPr="00E53D65">
        <w:t>.</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432B1E8F" w14:textId="5DF710EF" w:rsidR="00BD3032" w:rsidRPr="00C168B5" w:rsidRDefault="006B27B0" w:rsidP="00492B3A">
      <w:pPr>
        <w:rPr>
          <w:color w:val="FF0000"/>
        </w:rPr>
      </w:pPr>
      <w:permStart w:id="1844913490" w:edGrp="everyone"/>
      <w:r>
        <w:t xml:space="preserve"> </w:t>
      </w:r>
      <w:r w:rsidR="00E53D65" w:rsidRPr="00E53D65">
        <w:t>With respect to the overriding objective of the EU taxonomy of achieving “climate neutrality by 2050.” we deem it to</w:t>
      </w:r>
      <w:r w:rsidR="009410F8" w:rsidRPr="00E53D65">
        <w:t xml:space="preserve"> be </w:t>
      </w:r>
      <w:proofErr w:type="gramStart"/>
      <w:r w:rsidR="009410F8" w:rsidRPr="00E53D65">
        <w:t>sufficient</w:t>
      </w:r>
      <w:proofErr w:type="gramEnd"/>
      <w:r w:rsidR="009410F8" w:rsidRPr="00E53D65">
        <w:t xml:space="preserve"> to provide</w:t>
      </w:r>
      <w:r w:rsidRPr="00E53D65">
        <w:t xml:space="preserve"> the</w:t>
      </w:r>
      <w:r w:rsidR="009410F8" w:rsidRPr="00E53D65">
        <w:t xml:space="preserve"> three </w:t>
      </w:r>
      <w:r w:rsidR="000C59A5" w:rsidRPr="00E53D65">
        <w:t>KPI</w:t>
      </w:r>
      <w:r w:rsidR="009410F8" w:rsidRPr="00E53D65">
        <w:t xml:space="preserve"> on group level</w:t>
      </w:r>
      <w:r w:rsidR="00E53D65" w:rsidRPr="00E53D65">
        <w:t xml:space="preserve"> only</w:t>
      </w:r>
      <w:r w:rsidR="009410F8" w:rsidRPr="00E53D65">
        <w:t xml:space="preserve">. </w:t>
      </w:r>
      <w:r w:rsidR="00C168B5" w:rsidRPr="00E53D65">
        <w:t>At least for chemical operations di</w:t>
      </w:r>
      <w:r w:rsidR="009410F8" w:rsidRPr="00E53D65">
        <w:t>saggregation</w:t>
      </w:r>
      <w:r w:rsidRPr="00E53D65">
        <w:t xml:space="preserve"> </w:t>
      </w:r>
      <w:r w:rsidR="00704359" w:rsidRPr="00E53D65">
        <w:t>to</w:t>
      </w:r>
      <w:r w:rsidRPr="00E53D65">
        <w:t xml:space="preserve"> the individual economic activities </w:t>
      </w:r>
      <w:r w:rsidR="009410F8" w:rsidRPr="00E53D65">
        <w:t xml:space="preserve">will be much too detailed. </w:t>
      </w:r>
      <w:r w:rsidR="00704359" w:rsidRPr="00E53D65">
        <w:t>Such an approach would be very</w:t>
      </w:r>
      <w:r w:rsidRPr="00E53D65">
        <w:t xml:space="preserve"> burdensome </w:t>
      </w:r>
      <w:r w:rsidR="00704359" w:rsidRPr="00E53D65">
        <w:t>for the prepare</w:t>
      </w:r>
      <w:r w:rsidR="00BD3032" w:rsidRPr="00E53D65">
        <w:t>r</w:t>
      </w:r>
      <w:r w:rsidR="00C168B5" w:rsidRPr="00E53D65">
        <w:t>,</w:t>
      </w:r>
      <w:r w:rsidR="00704359" w:rsidRPr="00E53D65">
        <w:t xml:space="preserve"> so that </w:t>
      </w:r>
      <w:r w:rsidRPr="00E53D65">
        <w:t xml:space="preserve">the costs </w:t>
      </w:r>
      <w:r w:rsidR="00704359" w:rsidRPr="00E53D65">
        <w:t>would clearly</w:t>
      </w:r>
      <w:r w:rsidRPr="00E53D65">
        <w:t xml:space="preserve"> outweigh the benefits. Moreover,</w:t>
      </w:r>
      <w:r w:rsidR="00BD3032" w:rsidRPr="00E53D65">
        <w:t xml:space="preserve"> there is still uncertainty about the definition of an economic activity</w:t>
      </w:r>
      <w:r w:rsidRPr="00E53D65">
        <w:t xml:space="preserve">. </w:t>
      </w:r>
      <w:r w:rsidR="00BD3032" w:rsidRPr="00E53D65">
        <w:t xml:space="preserve">We do not think that users of information will appreciate information loads over dozens or hundreds of economic activities, but rather </w:t>
      </w:r>
      <w:r w:rsidR="00C168B5" w:rsidRPr="00E53D65">
        <w:t xml:space="preserve">an information level that is also used by the chief decision maker of the company. </w:t>
      </w:r>
      <w:r w:rsidR="00BD3032" w:rsidRPr="00E53D65">
        <w:t>In our opinion the reporting level on sustainability issues should not go beyond the IFRS 8 segment level.</w:t>
      </w:r>
    </w:p>
    <w:permEnd w:id="1844913490"/>
    <w:p w14:paraId="70457698" w14:textId="089E7CEC"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07D6DDFB" w:rsidR="00492B3A" w:rsidRPr="00E53D65" w:rsidRDefault="00C168B5" w:rsidP="00492B3A">
      <w:permStart w:id="1403017900" w:edGrp="everyone"/>
      <w:r w:rsidRPr="00E53D65">
        <w:t xml:space="preserve">We believe that currently there is no need for KPIs per environmental objective and that such a requirement could only be implemented with significant discretion to be exercised by the preparer and considerable allocation cost and inconsistencies. </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64869361" w:rsidR="00492B3A" w:rsidRPr="004175D3" w:rsidRDefault="006F68B9" w:rsidP="00492B3A">
      <w:permStart w:id="1046510351" w:edGrp="everyone"/>
      <w:r w:rsidRPr="004175D3">
        <w:t xml:space="preserve">For the sake of </w:t>
      </w:r>
      <w:proofErr w:type="gramStart"/>
      <w:r w:rsidRPr="004175D3">
        <w:t>simplicity</w:t>
      </w:r>
      <w:proofErr w:type="gramEnd"/>
      <w:r w:rsidRPr="004175D3">
        <w:t xml:space="preserve"> we think that companies should not be required to report on these activities.</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 xml:space="preserve">Do you agree that the three KPIs should be provided per environmental objective as well as a total at undertaking or group level across all objectives? If not, please provide your reasons </w:t>
      </w:r>
      <w:r>
        <w:lastRenderedPageBreak/>
        <w:t>and address the impact of your proposal to financial market participants along the investment chain.</w:t>
      </w:r>
    </w:p>
    <w:p w14:paraId="0A7FFEE1" w14:textId="77777777" w:rsidR="00492B3A" w:rsidRDefault="00492B3A" w:rsidP="00492B3A">
      <w:r>
        <w:t>&lt;ESMA_QUESTION_TRART8_17&gt;</w:t>
      </w:r>
    </w:p>
    <w:p w14:paraId="6B61C298" w14:textId="46468F00" w:rsidR="00492B3A" w:rsidRDefault="000D6C9F" w:rsidP="00492B3A">
      <w:permStart w:id="1692017174" w:edGrp="everyone"/>
      <w:r>
        <w:t xml:space="preserve"> </w:t>
      </w:r>
      <w:r w:rsidR="006F68B9" w:rsidRPr="004175D3">
        <w:t>No. See our answer to Q15</w:t>
      </w:r>
      <w:r w:rsidR="006F68B9">
        <w:t>.</w:t>
      </w:r>
      <w:r w:rsidRPr="009410F8">
        <w:rPr>
          <w:color w:val="000000" w:themeColor="text1"/>
        </w:rPr>
        <w:t xml:space="preserve"> </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1BE8C93F" w:rsidR="00492B3A" w:rsidRDefault="009108D8" w:rsidP="00492B3A">
      <w:permStart w:id="2067675786" w:edGrp="everyone"/>
      <w:r>
        <w:t xml:space="preserve"> </w:t>
      </w:r>
      <w:r w:rsidRPr="00713135">
        <w:t xml:space="preserve">We believe </w:t>
      </w:r>
      <w:r w:rsidRPr="009108D8">
        <w:rPr>
          <w:color w:val="000000" w:themeColor="text1"/>
        </w:rPr>
        <w:t xml:space="preserve">the focus should be set on KPIs for taxonomy aligned activities. Entities should be allowed but not required to provide KPIs for additional issues. </w:t>
      </w:r>
      <w:r w:rsidRPr="00713135">
        <w:t>E.g. if an entity believes, it has activities that are not yet covered by the taxon</w:t>
      </w:r>
      <w:r>
        <w:t>omy but information on these ac</w:t>
      </w:r>
      <w:r w:rsidRPr="00713135">
        <w:t>t</w:t>
      </w:r>
      <w:r>
        <w:t>i</w:t>
      </w:r>
      <w:r w:rsidRPr="00713135">
        <w:t>vit</w:t>
      </w:r>
      <w:r>
        <w:t>i</w:t>
      </w:r>
      <w:r w:rsidRPr="00713135">
        <w:t>es may be interesting towards stakeholder</w:t>
      </w:r>
      <w:r w:rsidR="006F68B9">
        <w:t>s</w:t>
      </w:r>
      <w:r w:rsidRPr="00713135">
        <w:t xml:space="preserve">, the entity should be allowed to disclose that information. </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6ACB97E6" w:rsidR="00492B3A" w:rsidRDefault="009108D8" w:rsidP="00492B3A">
      <w:permStart w:id="1373325572" w:edGrp="everyone"/>
      <w:r>
        <w:t xml:space="preserve"> </w:t>
      </w:r>
      <w:r w:rsidRPr="00030BD8">
        <w:rPr>
          <w:color w:val="000000" w:themeColor="text1"/>
        </w:rPr>
        <w:t>Yes, we agree</w:t>
      </w:r>
      <w:r w:rsidRPr="00713135">
        <w:t>.</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0599D455" w:rsidR="00492B3A" w:rsidRDefault="007E4CE9" w:rsidP="00492B3A">
      <w:permStart w:id="1800012995" w:edGrp="everyone"/>
      <w:r>
        <w:t xml:space="preserve"> </w:t>
      </w:r>
      <w:r w:rsidR="00A70405">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77777777" w:rsidR="00492B3A" w:rsidRDefault="00492B3A" w:rsidP="00492B3A">
      <w:permStart w:id="2059688895" w:edGrp="everyone"/>
      <w:r>
        <w:t>TYPE YOUR TEXT HERE</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1FDA8A75" w14:textId="29A13FA1" w:rsidR="00492B3A" w:rsidRDefault="00030BD8" w:rsidP="00492B3A">
      <w:permStart w:id="1618612787" w:edGrp="everyone"/>
      <w:r w:rsidRPr="00D07223">
        <w:rPr>
          <w:color w:val="FF0000"/>
        </w:rPr>
        <w:t xml:space="preserve"> </w:t>
      </w:r>
      <w:r w:rsidR="00A70405" w:rsidRPr="00F16C9B">
        <w:t>In our opinion t</w:t>
      </w:r>
      <w:r w:rsidR="00D07223" w:rsidRPr="00F16C9B">
        <w:t>he overarching goal of the taxonomy regulation does not require a disaggregated disclosure of the KPIs. Therefore</w:t>
      </w:r>
      <w:r w:rsidRPr="00F16C9B">
        <w:t xml:space="preserve">, we </w:t>
      </w:r>
      <w:r w:rsidR="00F16C9B">
        <w:t>do not agree with</w:t>
      </w:r>
      <w:r w:rsidRPr="00F16C9B">
        <w:t xml:space="preserve"> a </w:t>
      </w:r>
      <w:r w:rsidRPr="00F16C9B">
        <w:rPr>
          <w:rFonts w:cs="Arial"/>
          <w:szCs w:val="20"/>
          <w:lang w:val="en-US"/>
        </w:rPr>
        <w:t>mandatory standardi</w:t>
      </w:r>
      <w:r w:rsidR="00D07223" w:rsidRPr="00F16C9B">
        <w:rPr>
          <w:rFonts w:cs="Arial"/>
          <w:szCs w:val="20"/>
          <w:lang w:val="en-US"/>
        </w:rPr>
        <w:t>z</w:t>
      </w:r>
      <w:r w:rsidRPr="00F16C9B">
        <w:rPr>
          <w:rFonts w:cs="Arial"/>
          <w:szCs w:val="20"/>
          <w:lang w:val="en-US"/>
        </w:rPr>
        <w:t xml:space="preserve">ed table. </w:t>
      </w:r>
      <w:r w:rsidR="00F16C9B">
        <w:rPr>
          <w:rFonts w:cs="Arial"/>
          <w:szCs w:val="20"/>
          <w:lang w:val="en-US"/>
        </w:rPr>
        <w:t>I</w:t>
      </w:r>
      <w:r w:rsidRPr="00F16C9B">
        <w:rPr>
          <w:rFonts w:cs="Arial"/>
          <w:szCs w:val="20"/>
          <w:lang w:val="en-US"/>
        </w:rPr>
        <w:t xml:space="preserve">t will be most likely that a practical approach that best fits the information needs of stakeholders will evolve over time. </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494A1BC1" w:rsidR="00492B3A" w:rsidRDefault="007E4CE9" w:rsidP="00492B3A">
      <w:permStart w:id="300711497" w:edGrp="everyone"/>
      <w:r>
        <w:t xml:space="preserve"> We do not agree with formatting rules, because we have our own format in the financial and nonfinancial reporting. </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lastRenderedPageBreak/>
        <w:t>&lt;ESMA_QUESTION_TRART8_28&gt;</w:t>
      </w:r>
    </w:p>
    <w:p w14:paraId="41056543" w14:textId="77777777" w:rsidR="00492B3A" w:rsidRDefault="00492B3A" w:rsidP="00492B3A">
      <w:permStart w:id="1382092212" w:edGrp="everyone"/>
      <w:r>
        <w:t>TYPE YOUR TEXT HERE</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77777777" w:rsidR="00492B3A" w:rsidRDefault="00492B3A" w:rsidP="00492B3A">
      <w:permStart w:id="1684879065" w:edGrp="everyone"/>
      <w:r>
        <w:t>TYPE YOUR TEXT HERE</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lastRenderedPageBreak/>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lastRenderedPageBreak/>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82768" w14:textId="77777777" w:rsidR="00C225A5" w:rsidRDefault="00C225A5">
      <w:r>
        <w:separator/>
      </w:r>
    </w:p>
    <w:p w14:paraId="103C96F4" w14:textId="77777777" w:rsidR="00C225A5" w:rsidRDefault="00C225A5"/>
  </w:endnote>
  <w:endnote w:type="continuationSeparator" w:id="0">
    <w:p w14:paraId="2FB81213" w14:textId="77777777" w:rsidR="00C225A5" w:rsidRDefault="00C225A5">
      <w:r>
        <w:continuationSeparator/>
      </w:r>
    </w:p>
    <w:p w14:paraId="439A1EC5" w14:textId="77777777" w:rsidR="00C225A5" w:rsidRDefault="00C225A5"/>
  </w:endnote>
  <w:endnote w:type="continuationNotice" w:id="1">
    <w:p w14:paraId="02830FCB" w14:textId="77777777" w:rsidR="00C225A5" w:rsidRDefault="00C22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175D3" w:rsidRPr="00616B9B" w14:paraId="5517B000" w14:textId="77777777" w:rsidTr="00315E96">
      <w:trPr>
        <w:trHeight w:val="284"/>
      </w:trPr>
      <w:tc>
        <w:tcPr>
          <w:tcW w:w="8460" w:type="dxa"/>
        </w:tcPr>
        <w:p w14:paraId="4C959F65" w14:textId="77777777" w:rsidR="004175D3" w:rsidRPr="00315E96" w:rsidRDefault="004175D3" w:rsidP="00315E96">
          <w:pPr>
            <w:pStyle w:val="00Footer"/>
            <w:rPr>
              <w:lang w:val="fr-FR"/>
            </w:rPr>
          </w:pPr>
        </w:p>
      </w:tc>
      <w:tc>
        <w:tcPr>
          <w:tcW w:w="952" w:type="dxa"/>
        </w:tcPr>
        <w:p w14:paraId="2310C30E" w14:textId="77777777" w:rsidR="004175D3" w:rsidRPr="00616B9B" w:rsidRDefault="004175D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14:paraId="08C7C785" w14:textId="77777777" w:rsidR="004175D3" w:rsidRDefault="004175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4175D3" w:rsidRDefault="004175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322F7" w14:textId="77777777" w:rsidR="00C225A5" w:rsidRDefault="00C225A5">
      <w:r>
        <w:separator/>
      </w:r>
    </w:p>
    <w:p w14:paraId="3E413D0A" w14:textId="77777777" w:rsidR="00C225A5" w:rsidRDefault="00C225A5"/>
  </w:footnote>
  <w:footnote w:type="continuationSeparator" w:id="0">
    <w:p w14:paraId="1F122A87" w14:textId="77777777" w:rsidR="00C225A5" w:rsidRDefault="00C225A5">
      <w:r>
        <w:continuationSeparator/>
      </w:r>
    </w:p>
    <w:p w14:paraId="16F64042" w14:textId="77777777" w:rsidR="00C225A5" w:rsidRDefault="00C225A5"/>
  </w:footnote>
  <w:footnote w:type="continuationNotice" w:id="1">
    <w:p w14:paraId="60F0B356" w14:textId="77777777" w:rsidR="00C225A5" w:rsidRDefault="00C22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4175D3" w:rsidRDefault="004175D3">
    <w:pPr>
      <w:pStyle w:val="Kopfzeile"/>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4175D3" w:rsidRDefault="004175D3" w:rsidP="00013CCE">
    <w:pPr>
      <w:pStyle w:val="Kopfzeile"/>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4175D3" w:rsidRDefault="004175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175D3" w:rsidRPr="002F4496" w14:paraId="5849CEB8" w14:textId="77777777" w:rsidTr="000C06C9">
      <w:trPr>
        <w:trHeight w:val="284"/>
      </w:trPr>
      <w:tc>
        <w:tcPr>
          <w:tcW w:w="8460" w:type="dxa"/>
        </w:tcPr>
        <w:p w14:paraId="2B1CC9DC" w14:textId="77777777" w:rsidR="004175D3" w:rsidRPr="000C3B6D" w:rsidRDefault="004175D3" w:rsidP="000C06C9">
          <w:pPr>
            <w:pStyle w:val="00Footer"/>
            <w:rPr>
              <w:lang w:val="fr-FR"/>
            </w:rPr>
          </w:pPr>
        </w:p>
      </w:tc>
      <w:tc>
        <w:tcPr>
          <w:tcW w:w="952" w:type="dxa"/>
        </w:tcPr>
        <w:p w14:paraId="0A78D32B" w14:textId="77777777" w:rsidR="004175D3" w:rsidRPr="00146B34" w:rsidRDefault="004175D3" w:rsidP="000C06C9">
          <w:pPr>
            <w:pStyle w:val="00aPagenumber"/>
            <w:rPr>
              <w:lang w:val="fr-FR"/>
            </w:rPr>
          </w:pPr>
        </w:p>
      </w:tc>
    </w:tr>
  </w:tbl>
  <w:p w14:paraId="228C483B" w14:textId="77777777" w:rsidR="004175D3" w:rsidRPr="00DB46C3" w:rsidRDefault="004175D3">
    <w:pPr>
      <w:rPr>
        <w:lang w:val="fr-FR"/>
      </w:rPr>
    </w:pPr>
  </w:p>
  <w:p w14:paraId="7ABBBBAC" w14:textId="77777777" w:rsidR="004175D3" w:rsidRPr="002F4496" w:rsidRDefault="004175D3">
    <w:pPr>
      <w:pStyle w:val="Kopfzeile"/>
      <w:rPr>
        <w:lang w:val="fr-FR"/>
      </w:rPr>
    </w:pPr>
  </w:p>
  <w:p w14:paraId="0F1BB730" w14:textId="77777777" w:rsidR="004175D3" w:rsidRPr="002F4496" w:rsidRDefault="004175D3" w:rsidP="000C06C9">
    <w:pPr>
      <w:pStyle w:val="Kopfzeile"/>
      <w:tabs>
        <w:tab w:val="clear" w:pos="4536"/>
        <w:tab w:val="clear" w:pos="9072"/>
        <w:tab w:val="left" w:pos="8227"/>
      </w:tabs>
      <w:rPr>
        <w:lang w:val="fr-FR"/>
      </w:rPr>
    </w:pPr>
  </w:p>
  <w:p w14:paraId="354F7019" w14:textId="77777777" w:rsidR="004175D3" w:rsidRPr="002F4496" w:rsidRDefault="004175D3" w:rsidP="000C06C9">
    <w:pPr>
      <w:pStyle w:val="Kopfzeile"/>
      <w:tabs>
        <w:tab w:val="clear" w:pos="4536"/>
        <w:tab w:val="clear" w:pos="9072"/>
        <w:tab w:val="left" w:pos="8227"/>
      </w:tabs>
      <w:rPr>
        <w:lang w:val="fr-FR"/>
      </w:rPr>
    </w:pPr>
  </w:p>
  <w:p w14:paraId="438C49BF" w14:textId="77777777" w:rsidR="004175D3" w:rsidRPr="002F4496" w:rsidRDefault="004175D3">
    <w:pPr>
      <w:pStyle w:val="Kopfzeile"/>
      <w:rPr>
        <w:lang w:val="fr-FR"/>
      </w:rPr>
    </w:pPr>
  </w:p>
  <w:p w14:paraId="77F5F5FB" w14:textId="77777777" w:rsidR="004175D3" w:rsidRPr="002F4496" w:rsidRDefault="004175D3">
    <w:pPr>
      <w:pStyle w:val="Kopfzeile"/>
      <w:rPr>
        <w:lang w:val="fr-FR"/>
      </w:rPr>
    </w:pPr>
  </w:p>
  <w:p w14:paraId="31EA96F8" w14:textId="77777777" w:rsidR="004175D3" w:rsidRPr="002F4496" w:rsidRDefault="004175D3">
    <w:pPr>
      <w:pStyle w:val="Kopfzeile"/>
      <w:rPr>
        <w:lang w:val="fr-FR"/>
      </w:rPr>
    </w:pPr>
  </w:p>
  <w:p w14:paraId="0FAE7A71" w14:textId="77777777" w:rsidR="004175D3" w:rsidRPr="002F4496" w:rsidRDefault="004175D3">
    <w:pPr>
      <w:pStyle w:val="Kopfzeile"/>
      <w:rPr>
        <w:lang w:val="fr-FR"/>
      </w:rPr>
    </w:pPr>
  </w:p>
  <w:p w14:paraId="339C0C6E" w14:textId="77777777" w:rsidR="004175D3" w:rsidRPr="002F4496" w:rsidRDefault="004175D3">
    <w:pPr>
      <w:pStyle w:val="Kopfzeile"/>
      <w:rPr>
        <w:highlight w:val="yellow"/>
        <w:lang w:val="fr-FR"/>
      </w:rPr>
    </w:pPr>
  </w:p>
  <w:p w14:paraId="0495A777" w14:textId="77777777" w:rsidR="004175D3" w:rsidRDefault="004175D3">
    <w:pPr>
      <w:pStyle w:val="Kopfzeile"/>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0BD8"/>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098"/>
    <w:rsid w:val="000521A7"/>
    <w:rsid w:val="00052F47"/>
    <w:rsid w:val="0005399B"/>
    <w:rsid w:val="00054DE6"/>
    <w:rsid w:val="000569D7"/>
    <w:rsid w:val="000576D7"/>
    <w:rsid w:val="00060F72"/>
    <w:rsid w:val="00062592"/>
    <w:rsid w:val="00062CE8"/>
    <w:rsid w:val="000636A1"/>
    <w:rsid w:val="000649D9"/>
    <w:rsid w:val="000652BE"/>
    <w:rsid w:val="00066479"/>
    <w:rsid w:val="00066F6B"/>
    <w:rsid w:val="0006723C"/>
    <w:rsid w:val="00070376"/>
    <w:rsid w:val="00070974"/>
    <w:rsid w:val="00071EAD"/>
    <w:rsid w:val="00071F4E"/>
    <w:rsid w:val="00072271"/>
    <w:rsid w:val="00072B54"/>
    <w:rsid w:val="00072DF5"/>
    <w:rsid w:val="0007463D"/>
    <w:rsid w:val="000749F0"/>
    <w:rsid w:val="0007609D"/>
    <w:rsid w:val="00076C29"/>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30D"/>
    <w:rsid w:val="000A1BD2"/>
    <w:rsid w:val="000A2127"/>
    <w:rsid w:val="000A358F"/>
    <w:rsid w:val="000A43CC"/>
    <w:rsid w:val="000A58BE"/>
    <w:rsid w:val="000A6D39"/>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9A5"/>
    <w:rsid w:val="000C5FD3"/>
    <w:rsid w:val="000C701D"/>
    <w:rsid w:val="000C7C4A"/>
    <w:rsid w:val="000D17AA"/>
    <w:rsid w:val="000D2D0B"/>
    <w:rsid w:val="000D340A"/>
    <w:rsid w:val="000D3EF6"/>
    <w:rsid w:val="000D4660"/>
    <w:rsid w:val="000D4D88"/>
    <w:rsid w:val="000D5D1A"/>
    <w:rsid w:val="000D6C9F"/>
    <w:rsid w:val="000D705D"/>
    <w:rsid w:val="000D7EB9"/>
    <w:rsid w:val="000E0223"/>
    <w:rsid w:val="000E0CF3"/>
    <w:rsid w:val="000E18A8"/>
    <w:rsid w:val="000E1AEC"/>
    <w:rsid w:val="000E3937"/>
    <w:rsid w:val="000E4926"/>
    <w:rsid w:val="000E5F7F"/>
    <w:rsid w:val="000E667A"/>
    <w:rsid w:val="000E7086"/>
    <w:rsid w:val="000E7C65"/>
    <w:rsid w:val="000F04D2"/>
    <w:rsid w:val="000F29FA"/>
    <w:rsid w:val="000F3C5C"/>
    <w:rsid w:val="000F4A21"/>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11B"/>
    <w:rsid w:val="00120F0E"/>
    <w:rsid w:val="00121BED"/>
    <w:rsid w:val="00123D39"/>
    <w:rsid w:val="001244CD"/>
    <w:rsid w:val="0012566F"/>
    <w:rsid w:val="001262B1"/>
    <w:rsid w:val="00130F41"/>
    <w:rsid w:val="00130FAF"/>
    <w:rsid w:val="00132706"/>
    <w:rsid w:val="00134380"/>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67DBC"/>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21AE"/>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0F5"/>
    <w:rsid w:val="001E66EC"/>
    <w:rsid w:val="001E68C5"/>
    <w:rsid w:val="001F0F63"/>
    <w:rsid w:val="001F3996"/>
    <w:rsid w:val="001F44A4"/>
    <w:rsid w:val="001F579D"/>
    <w:rsid w:val="001F65EF"/>
    <w:rsid w:val="001F697B"/>
    <w:rsid w:val="002005A6"/>
    <w:rsid w:val="00204588"/>
    <w:rsid w:val="00204CBC"/>
    <w:rsid w:val="002051F1"/>
    <w:rsid w:val="0020546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A66"/>
    <w:rsid w:val="00236F34"/>
    <w:rsid w:val="002372F7"/>
    <w:rsid w:val="00240651"/>
    <w:rsid w:val="00240803"/>
    <w:rsid w:val="0024426D"/>
    <w:rsid w:val="00244F1D"/>
    <w:rsid w:val="00245004"/>
    <w:rsid w:val="00245FB4"/>
    <w:rsid w:val="0024785B"/>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077B"/>
    <w:rsid w:val="002E1517"/>
    <w:rsid w:val="002E1B22"/>
    <w:rsid w:val="002E30BB"/>
    <w:rsid w:val="002E387F"/>
    <w:rsid w:val="002E485A"/>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01A1"/>
    <w:rsid w:val="00311184"/>
    <w:rsid w:val="00312675"/>
    <w:rsid w:val="00312B3F"/>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36E04"/>
    <w:rsid w:val="00341B25"/>
    <w:rsid w:val="00341EC0"/>
    <w:rsid w:val="0034240C"/>
    <w:rsid w:val="00344496"/>
    <w:rsid w:val="00345968"/>
    <w:rsid w:val="00345EC5"/>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1BB9"/>
    <w:rsid w:val="003926C1"/>
    <w:rsid w:val="0039275C"/>
    <w:rsid w:val="00392900"/>
    <w:rsid w:val="00393357"/>
    <w:rsid w:val="00394CE6"/>
    <w:rsid w:val="00395E7B"/>
    <w:rsid w:val="00395F4C"/>
    <w:rsid w:val="00397E56"/>
    <w:rsid w:val="003A0A78"/>
    <w:rsid w:val="003A5DAC"/>
    <w:rsid w:val="003A605A"/>
    <w:rsid w:val="003A6591"/>
    <w:rsid w:val="003A6E9A"/>
    <w:rsid w:val="003B08C8"/>
    <w:rsid w:val="003B1164"/>
    <w:rsid w:val="003B2567"/>
    <w:rsid w:val="003B381A"/>
    <w:rsid w:val="003B4976"/>
    <w:rsid w:val="003B4B3F"/>
    <w:rsid w:val="003B6258"/>
    <w:rsid w:val="003B7A99"/>
    <w:rsid w:val="003C0343"/>
    <w:rsid w:val="003C0E87"/>
    <w:rsid w:val="003C1C32"/>
    <w:rsid w:val="003C40DA"/>
    <w:rsid w:val="003C42BA"/>
    <w:rsid w:val="003C462F"/>
    <w:rsid w:val="003C46B0"/>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248D"/>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79"/>
    <w:rsid w:val="00406E90"/>
    <w:rsid w:val="00410240"/>
    <w:rsid w:val="00412253"/>
    <w:rsid w:val="004142ED"/>
    <w:rsid w:val="0041634D"/>
    <w:rsid w:val="004175D3"/>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0D1"/>
    <w:rsid w:val="00437929"/>
    <w:rsid w:val="00437A4A"/>
    <w:rsid w:val="00440541"/>
    <w:rsid w:val="00440F5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4A8F"/>
    <w:rsid w:val="00475B8E"/>
    <w:rsid w:val="004760BD"/>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4F01"/>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25D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56AE"/>
    <w:rsid w:val="0054672D"/>
    <w:rsid w:val="00550F4E"/>
    <w:rsid w:val="00552427"/>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07B"/>
    <w:rsid w:val="00573569"/>
    <w:rsid w:val="00573871"/>
    <w:rsid w:val="0057389E"/>
    <w:rsid w:val="005738DE"/>
    <w:rsid w:val="005762EC"/>
    <w:rsid w:val="005765C0"/>
    <w:rsid w:val="005778DE"/>
    <w:rsid w:val="00580B3F"/>
    <w:rsid w:val="005825F2"/>
    <w:rsid w:val="005860AF"/>
    <w:rsid w:val="00587F1D"/>
    <w:rsid w:val="00590348"/>
    <w:rsid w:val="005904D6"/>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7B0"/>
    <w:rsid w:val="006B2D40"/>
    <w:rsid w:val="006B34DF"/>
    <w:rsid w:val="006B39B2"/>
    <w:rsid w:val="006B3AF9"/>
    <w:rsid w:val="006B45A0"/>
    <w:rsid w:val="006B5668"/>
    <w:rsid w:val="006B5F71"/>
    <w:rsid w:val="006B6E44"/>
    <w:rsid w:val="006B7059"/>
    <w:rsid w:val="006B70A4"/>
    <w:rsid w:val="006B7287"/>
    <w:rsid w:val="006B7F2E"/>
    <w:rsid w:val="006C0BF8"/>
    <w:rsid w:val="006C10F4"/>
    <w:rsid w:val="006C2253"/>
    <w:rsid w:val="006C2CCB"/>
    <w:rsid w:val="006C4334"/>
    <w:rsid w:val="006C4B0F"/>
    <w:rsid w:val="006C5A93"/>
    <w:rsid w:val="006C5E96"/>
    <w:rsid w:val="006D399F"/>
    <w:rsid w:val="006D4F0C"/>
    <w:rsid w:val="006D5645"/>
    <w:rsid w:val="006E0A4F"/>
    <w:rsid w:val="006E0C8A"/>
    <w:rsid w:val="006E2A23"/>
    <w:rsid w:val="006E35E5"/>
    <w:rsid w:val="006E3C72"/>
    <w:rsid w:val="006E4F20"/>
    <w:rsid w:val="006E649A"/>
    <w:rsid w:val="006F08DC"/>
    <w:rsid w:val="006F15F3"/>
    <w:rsid w:val="006F1D42"/>
    <w:rsid w:val="006F3948"/>
    <w:rsid w:val="006F4403"/>
    <w:rsid w:val="006F4535"/>
    <w:rsid w:val="006F45EC"/>
    <w:rsid w:val="006F47B8"/>
    <w:rsid w:val="006F47D2"/>
    <w:rsid w:val="006F4B04"/>
    <w:rsid w:val="006F5456"/>
    <w:rsid w:val="006F57F2"/>
    <w:rsid w:val="006F6468"/>
    <w:rsid w:val="006F68B9"/>
    <w:rsid w:val="00700247"/>
    <w:rsid w:val="00700B99"/>
    <w:rsid w:val="00701051"/>
    <w:rsid w:val="007021C2"/>
    <w:rsid w:val="00702502"/>
    <w:rsid w:val="007033A8"/>
    <w:rsid w:val="0070421B"/>
    <w:rsid w:val="00704359"/>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4A9B"/>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167"/>
    <w:rsid w:val="007B0CD8"/>
    <w:rsid w:val="007B0DE0"/>
    <w:rsid w:val="007B21DE"/>
    <w:rsid w:val="007B2BB9"/>
    <w:rsid w:val="007B31DA"/>
    <w:rsid w:val="007B43E8"/>
    <w:rsid w:val="007B4740"/>
    <w:rsid w:val="007B502C"/>
    <w:rsid w:val="007B5F3B"/>
    <w:rsid w:val="007B6A55"/>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4CE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471F"/>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28"/>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083"/>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0FFB"/>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08D8"/>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10F8"/>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26C"/>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D6554"/>
    <w:rsid w:val="009E0711"/>
    <w:rsid w:val="009E1917"/>
    <w:rsid w:val="009E2FDB"/>
    <w:rsid w:val="009E3594"/>
    <w:rsid w:val="009E5AD2"/>
    <w:rsid w:val="009E6B77"/>
    <w:rsid w:val="009E7724"/>
    <w:rsid w:val="009E7D1F"/>
    <w:rsid w:val="009F06A0"/>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0ACB"/>
    <w:rsid w:val="00A24269"/>
    <w:rsid w:val="00A243E4"/>
    <w:rsid w:val="00A25ED4"/>
    <w:rsid w:val="00A263DA"/>
    <w:rsid w:val="00A26C5C"/>
    <w:rsid w:val="00A2706E"/>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405"/>
    <w:rsid w:val="00A70762"/>
    <w:rsid w:val="00A7332E"/>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392"/>
    <w:rsid w:val="00B248A0"/>
    <w:rsid w:val="00B24B42"/>
    <w:rsid w:val="00B24DC6"/>
    <w:rsid w:val="00B24E30"/>
    <w:rsid w:val="00B258F3"/>
    <w:rsid w:val="00B2596F"/>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182"/>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159"/>
    <w:rsid w:val="00BC4E8B"/>
    <w:rsid w:val="00BC5622"/>
    <w:rsid w:val="00BC6060"/>
    <w:rsid w:val="00BC6596"/>
    <w:rsid w:val="00BC7897"/>
    <w:rsid w:val="00BD0F35"/>
    <w:rsid w:val="00BD3032"/>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9ED"/>
    <w:rsid w:val="00C03EA2"/>
    <w:rsid w:val="00C044B4"/>
    <w:rsid w:val="00C05105"/>
    <w:rsid w:val="00C05A5D"/>
    <w:rsid w:val="00C0622F"/>
    <w:rsid w:val="00C0654A"/>
    <w:rsid w:val="00C06DE3"/>
    <w:rsid w:val="00C06F97"/>
    <w:rsid w:val="00C10BE6"/>
    <w:rsid w:val="00C10ED1"/>
    <w:rsid w:val="00C11296"/>
    <w:rsid w:val="00C11905"/>
    <w:rsid w:val="00C1234A"/>
    <w:rsid w:val="00C12661"/>
    <w:rsid w:val="00C126E3"/>
    <w:rsid w:val="00C1330F"/>
    <w:rsid w:val="00C13ED7"/>
    <w:rsid w:val="00C14615"/>
    <w:rsid w:val="00C14F48"/>
    <w:rsid w:val="00C15296"/>
    <w:rsid w:val="00C168B5"/>
    <w:rsid w:val="00C17750"/>
    <w:rsid w:val="00C2094B"/>
    <w:rsid w:val="00C20DC5"/>
    <w:rsid w:val="00C225A5"/>
    <w:rsid w:val="00C2294E"/>
    <w:rsid w:val="00C22A5B"/>
    <w:rsid w:val="00C23412"/>
    <w:rsid w:val="00C264C7"/>
    <w:rsid w:val="00C271C4"/>
    <w:rsid w:val="00C274F3"/>
    <w:rsid w:val="00C3009A"/>
    <w:rsid w:val="00C30A54"/>
    <w:rsid w:val="00C316F7"/>
    <w:rsid w:val="00C31DF0"/>
    <w:rsid w:val="00C32578"/>
    <w:rsid w:val="00C32AB7"/>
    <w:rsid w:val="00C33916"/>
    <w:rsid w:val="00C33BCF"/>
    <w:rsid w:val="00C34D1D"/>
    <w:rsid w:val="00C353A0"/>
    <w:rsid w:val="00C368D7"/>
    <w:rsid w:val="00C36FD1"/>
    <w:rsid w:val="00C371A5"/>
    <w:rsid w:val="00C400B0"/>
    <w:rsid w:val="00C40F4E"/>
    <w:rsid w:val="00C4114B"/>
    <w:rsid w:val="00C413FC"/>
    <w:rsid w:val="00C41CD5"/>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674D2"/>
    <w:rsid w:val="00C72212"/>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2F39"/>
    <w:rsid w:val="00D045CE"/>
    <w:rsid w:val="00D05082"/>
    <w:rsid w:val="00D06163"/>
    <w:rsid w:val="00D0722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3FF5"/>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539A"/>
    <w:rsid w:val="00D67101"/>
    <w:rsid w:val="00D7106D"/>
    <w:rsid w:val="00D71B45"/>
    <w:rsid w:val="00D71F8A"/>
    <w:rsid w:val="00D75603"/>
    <w:rsid w:val="00D7584A"/>
    <w:rsid w:val="00D75FEE"/>
    <w:rsid w:val="00D76933"/>
    <w:rsid w:val="00D76D88"/>
    <w:rsid w:val="00D77CC9"/>
    <w:rsid w:val="00D83D4B"/>
    <w:rsid w:val="00D871C6"/>
    <w:rsid w:val="00D87B34"/>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1F4"/>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3D65"/>
    <w:rsid w:val="00E54EE6"/>
    <w:rsid w:val="00E56715"/>
    <w:rsid w:val="00E56C2C"/>
    <w:rsid w:val="00E57F8E"/>
    <w:rsid w:val="00E611C8"/>
    <w:rsid w:val="00E63256"/>
    <w:rsid w:val="00E6344A"/>
    <w:rsid w:val="00E64517"/>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30D"/>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2ADE"/>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6C9B"/>
    <w:rsid w:val="00F170BB"/>
    <w:rsid w:val="00F2081B"/>
    <w:rsid w:val="00F20A43"/>
    <w:rsid w:val="00F20C51"/>
    <w:rsid w:val="00F21049"/>
    <w:rsid w:val="00F218AE"/>
    <w:rsid w:val="00F22232"/>
    <w:rsid w:val="00F2228E"/>
    <w:rsid w:val="00F22D3C"/>
    <w:rsid w:val="00F23D66"/>
    <w:rsid w:val="00F24E6F"/>
    <w:rsid w:val="00F26069"/>
    <w:rsid w:val="00F26B7E"/>
    <w:rsid w:val="00F2754B"/>
    <w:rsid w:val="00F27D7D"/>
    <w:rsid w:val="00F3002B"/>
    <w:rsid w:val="00F30BC9"/>
    <w:rsid w:val="00F31E57"/>
    <w:rsid w:val="00F3201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62AB"/>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481C"/>
    <w:rsid w:val="00F9580B"/>
    <w:rsid w:val="00F95F15"/>
    <w:rsid w:val="00F96258"/>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48D"/>
    <w:rsid w:val="00FD09AD"/>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3331A2"/>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492B3A"/>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Standard"/>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1" ma:contentTypeDescription="Create a new document." ma:contentTypeScope="" ma:versionID="29545bbaddcb9c3aa45347798d9c849a">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308bf0c746c72f31add7d424b25ff722"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22539-BAD3-44D2-92FB-18CCFA13FBD5}">
  <ds:schemaRefs>
    <ds:schemaRef ds:uri="http://schemas.openxmlformats.org/officeDocument/2006/bibliography"/>
  </ds:schemaRefs>
</ds:datastoreItem>
</file>

<file path=customXml/itemProps3.xml><?xml version="1.0" encoding="utf-8"?>
<ds:datastoreItem xmlns:ds="http://schemas.openxmlformats.org/officeDocument/2006/customXml" ds:itemID="{684B9916-D2E3-4C9F-9867-C76C54A3D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508F4E35-F140-4F18-993D-5374BC78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4335</Words>
  <Characters>25466</Characters>
  <Application>Microsoft Office Word</Application>
  <DocSecurity>8</DocSecurity>
  <Lines>523</Lines>
  <Paragraphs>232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29602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Demant, Lothar</cp:lastModifiedBy>
  <cp:revision>5</cp:revision>
  <cp:lastPrinted>2020-12-04T12:47:00Z</cp:lastPrinted>
  <dcterms:created xsi:type="dcterms:W3CDTF">2020-12-04T12:21:00Z</dcterms:created>
  <dcterms:modified xsi:type="dcterms:W3CDTF">2020-12-04T14:00:00Z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