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3761EF5C" w:rsidR="00C2094B" w:rsidRPr="00F10D35" w:rsidRDefault="007F79DB" w:rsidP="00AF38AF">
            <w:pPr>
              <w:pStyle w:val="00bDBInfo"/>
              <w:rPr>
                <w:rFonts w:cs="Arial"/>
              </w:rPr>
            </w:pPr>
            <w:r>
              <w:rPr>
                <w:rFonts w:cs="Arial"/>
              </w:rPr>
              <w:t>5</w:t>
            </w:r>
            <w:r w:rsidR="00FE40D3" w:rsidRPr="00FE40D3">
              <w:rPr>
                <w:rFonts w:cs="Arial"/>
              </w:rPr>
              <w:t xml:space="preserve"> November</w:t>
            </w:r>
            <w:r w:rsidR="002C27F9" w:rsidRPr="00FE40D3">
              <w:rPr>
                <w:rFonts w:cs="Arial"/>
              </w:rPr>
              <w:t xml:space="preserve"> 2020</w:t>
            </w:r>
          </w:p>
        </w:tc>
      </w:tr>
    </w:tbl>
    <w:p w14:paraId="031231A1" w14:textId="77777777"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59A50913" w:rsidR="00146A6C" w:rsidRPr="009661B8" w:rsidRDefault="00146A6C" w:rsidP="00146A6C">
            <w:pPr>
              <w:pStyle w:val="01aDBTitle"/>
              <w:jc w:val="left"/>
              <w:rPr>
                <w:sz w:val="32"/>
                <w:szCs w:val="32"/>
              </w:rPr>
            </w:pPr>
            <w:r w:rsidRPr="00146A6C">
              <w:rPr>
                <w:rFonts w:cs="Arial"/>
                <w:sz w:val="32"/>
                <w:szCs w:val="32"/>
              </w:rPr>
              <w:t>Response form for the Consultation Paper on</w:t>
            </w:r>
            <w:r w:rsidRPr="00146A6C">
              <w:rPr>
                <w:sz w:val="32"/>
                <w:szCs w:val="32"/>
              </w:rPr>
              <w:t xml:space="preserve"> </w:t>
            </w:r>
            <w:r w:rsidR="00E258BE">
              <w:rPr>
                <w:sz w:val="32"/>
                <w:szCs w:val="32"/>
              </w:rPr>
              <w:t>the</w:t>
            </w:r>
            <w:r w:rsidR="00E258BE">
              <w:t xml:space="preserve"> </w:t>
            </w:r>
            <w:r w:rsidR="00E258BE" w:rsidRPr="00E258BE">
              <w:rPr>
                <w:sz w:val="32"/>
                <w:szCs w:val="32"/>
              </w:rPr>
              <w:t>Draft advice to European Commission under Article 8 of the Taxonomy Regulation</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3A6AA7F" w:rsidR="00620D7C" w:rsidRPr="004E49B0" w:rsidRDefault="00620D7C" w:rsidP="00FE40D3">
            <w:pPr>
              <w:pStyle w:val="02Date"/>
              <w:jc w:val="right"/>
              <w:rPr>
                <w:rFonts w:cs="Arial"/>
              </w:rPr>
            </w:pPr>
            <w:r w:rsidRPr="00F10D35">
              <w:rPr>
                <w:rFonts w:cs="Arial"/>
              </w:rPr>
              <w:lastRenderedPageBreak/>
              <w:t xml:space="preserve">Date: </w:t>
            </w:r>
            <w:r w:rsidR="007F79DB">
              <w:rPr>
                <w:rFonts w:cs="Arial"/>
              </w:rPr>
              <w:t>5</w:t>
            </w:r>
            <w:r w:rsidR="00FE40D3" w:rsidRPr="00FE40D3">
              <w:rPr>
                <w:rFonts w:cs="Arial"/>
              </w:rPr>
              <w:t xml:space="preserve"> November</w:t>
            </w:r>
            <w:r w:rsidR="002C27F9" w:rsidRPr="00FE40D3">
              <w:rPr>
                <w:rFonts w:cs="Arial"/>
              </w:rPr>
              <w:t xml:space="preserve"> </w:t>
            </w:r>
            <w:r w:rsidR="005738DE" w:rsidRPr="00FE40D3">
              <w:rPr>
                <w:rFonts w:cs="Arial"/>
              </w:rPr>
              <w:t>20</w:t>
            </w:r>
            <w:r w:rsidR="002C27F9" w:rsidRPr="00FE40D3">
              <w:rPr>
                <w:rFonts w:cs="Arial"/>
              </w:rPr>
              <w:t>20</w:t>
            </w:r>
          </w:p>
        </w:tc>
      </w:tr>
    </w:tbl>
    <w:p w14:paraId="3B583CC6" w14:textId="77777777"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B5A7B3D"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Pr="00FE40D3">
        <w:rPr>
          <w:b/>
          <w:bCs/>
          <w:sz w:val="22"/>
          <w:szCs w:val="20"/>
          <w:lang w:eastAsia="en-US"/>
        </w:rPr>
        <w:t>4 December 2020</w:t>
      </w:r>
      <w:r w:rsidRPr="00FE40D3">
        <w:rPr>
          <w:sz w:val="22"/>
          <w:szCs w:val="20"/>
          <w:lang w:eastAsia="en-US"/>
        </w:rPr>
        <w:t>.</w:t>
      </w:r>
    </w:p>
    <w:p w14:paraId="4269A5C4"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should be submitted online at </w:t>
      </w:r>
      <w:hyperlink r:id="rId16"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p w14:paraId="6A0918C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Instructions</w:t>
      </w:r>
    </w:p>
    <w:p w14:paraId="7A099769"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Insert your responses to the consultation questions in the form “Response form_Consultation Paper on TR Article 8 advice”, available on ESMA’s website alongside the present Consultation Paper (</w:t>
      </w:r>
      <w:hyperlink r:id="rId17" w:history="1">
        <w:r w:rsidRPr="00FE40D3">
          <w:rPr>
            <w:color w:val="0563C1"/>
            <w:sz w:val="22"/>
            <w:szCs w:val="22"/>
            <w:u w:val="single"/>
            <w:lang w:eastAsia="en-GB"/>
          </w:rPr>
          <w:t>www.esma.europa.eu</w:t>
        </w:r>
      </w:hyperlink>
      <w:r w:rsidRPr="00FE40D3">
        <w:rPr>
          <w:sz w:val="22"/>
          <w:szCs w:val="22"/>
          <w:lang w:eastAsia="en-GB"/>
        </w:rPr>
        <w:t xml:space="preserve"> → ‘Your input – Open consultations’ → ‘Consultation on advice under Taxonomy Regulation Article 8’). </w:t>
      </w:r>
    </w:p>
    <w:p w14:paraId="45B49741"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 xml:space="preserve">Please do not remove tags of the type &lt;ESMA_QUESTION_TRART8_1&gt;. Your response to each question has to be framed by the two tags corresponding to the question. </w:t>
      </w:r>
    </w:p>
    <w:p w14:paraId="3C1B6FA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If you do not wish to respond to a given question, please do not delete it but simply leave the text “TYPE YOUR TEXT HERE” between the tags.</w:t>
      </w:r>
    </w:p>
    <w:p w14:paraId="0398429A"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When you have drafted your response, name your response form according to the following convention: ESMA_TRART8_nameofrespondent_RESPONSEFORM. For example, for a respondent named ABCD, the response form would be entitled ESMA_TRART8_ABCD_RESPONSEFORM.</w:t>
      </w:r>
    </w:p>
    <w:p w14:paraId="033FC00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Upload the form containing your responses, in Word format, to ESMA’s website (</w:t>
      </w:r>
      <w:hyperlink r:id="rId18" w:history="1">
        <w:r w:rsidRPr="00FE40D3">
          <w:rPr>
            <w:color w:val="0563C1"/>
            <w:sz w:val="22"/>
            <w:szCs w:val="22"/>
            <w:u w:val="single"/>
            <w:lang w:eastAsia="en-GB"/>
          </w:rPr>
          <w:t>www.esma.europa.eu</w:t>
        </w:r>
      </w:hyperlink>
      <w:r w:rsidRPr="00FE40D3">
        <w:rPr>
          <w:sz w:val="22"/>
          <w:szCs w:val="22"/>
          <w:lang w:eastAsia="en-GB"/>
        </w:rPr>
        <w:t xml:space="preserve"> under the heading ‘Your input – Open consultations’ → ‘Consultation on advice under Taxonomy Regulation Article 8’).</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9"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20"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1BDD19D9" w:rsidR="00332304" w:rsidRPr="001021EF" w:rsidRDefault="00FE40D3" w:rsidP="00FE40D3">
      <w:pPr>
        <w:spacing w:after="240"/>
        <w:jc w:val="both"/>
        <w:rPr>
          <w:b/>
          <w:bCs/>
        </w:rPr>
      </w:pPr>
      <w:r w:rsidRPr="00FE40D3">
        <w:rPr>
          <w:sz w:val="22"/>
          <w:szCs w:val="20"/>
          <w:lang w:eastAsia="en-US"/>
        </w:rPr>
        <w:t>This Consultation Paper may be of particular interest to non-financial undertakings and asset managers covered by Article 8 of Regulation (EU) 2020/852 (the ‘Taxonomy Regulation’) as well as to investors and other users of non-financial information</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5BE929D2" w:rsidR="00B327E9" w:rsidRPr="00AB6D88" w:rsidRDefault="00B80A51" w:rsidP="00F136AD">
                <w:pPr>
                  <w:rPr>
                    <w:rStyle w:val="PlaceholderText"/>
                    <w:rFonts w:cs="Arial"/>
                  </w:rPr>
                </w:pPr>
                <w:r>
                  <w:rPr>
                    <w:rStyle w:val="PlaceholderText"/>
                    <w:rFonts w:cs="Arial"/>
                  </w:rPr>
                  <w:t>EuropeanIssuers</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2B13813B" w:rsidR="00B327E9" w:rsidRPr="00AB6D88" w:rsidRDefault="004544AD"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B80A51">
                  <w:rPr>
                    <w:rFonts w:cs="Arial"/>
                  </w:rPr>
                  <w:t>Issuer Association</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50B064BB" w14:textId="222AC0D6" w:rsidR="00B327E9" w:rsidRPr="00AB6D88" w:rsidRDefault="00B80A51"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5741B88B" w:rsidR="00B327E9" w:rsidRPr="00AB6D88" w:rsidRDefault="00B80A51" w:rsidP="00F136AD">
                <w:pPr>
                  <w:rPr>
                    <w:rFonts w:cs="Arial"/>
                  </w:rPr>
                </w:pPr>
                <w:r>
                  <w:rPr>
                    <w:rFonts w:cs="Arial"/>
                  </w:rPr>
                  <w:t>Belgium</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357F72B9" w:rsidR="00B327E9" w:rsidRPr="006F4535" w:rsidRDefault="00B327E9" w:rsidP="00FE6577">
      <w:r w:rsidRPr="006F4535">
        <w:t>&lt;ESMA_COMMENT_</w:t>
      </w:r>
      <w:r w:rsidR="00FE6577">
        <w:t>TRART8</w:t>
      </w:r>
      <w:r w:rsidRPr="006F4535">
        <w:t>_1&gt;</w:t>
      </w:r>
    </w:p>
    <w:p w14:paraId="3EC00E6D" w14:textId="2A4CF1B7" w:rsidR="00B327E9" w:rsidRDefault="00B80A51" w:rsidP="00B80A51">
      <w:pPr>
        <w:jc w:val="both"/>
      </w:pPr>
      <w:permStart w:id="44765448" w:edGrp="everyone"/>
      <w:r>
        <w:t>EuropeanIssuers is a pan-European organisation representing the interests of publicly quoted companies across Europe to the EU Institutions. Our members include both national associations and companies from all sectors in 15 European countries, covering markets worth €7.6 trillion market capitalisation with approximately 8,000 companies. We aim to ensure that EU policy creates an environment in which companies can raise capital through the public markets and can deliver growth over the longer-term. We seek capital markets that serve the interests of their end users, including issuers</w:t>
      </w:r>
      <w:r>
        <w:t>.</w:t>
      </w:r>
    </w:p>
    <w:p w14:paraId="64E1C528" w14:textId="3738D1E7" w:rsidR="00B80A51" w:rsidRDefault="00B80A51" w:rsidP="00B80A51">
      <w:pPr>
        <w:jc w:val="both"/>
      </w:pPr>
    </w:p>
    <w:p w14:paraId="212228CD" w14:textId="7B138EF7" w:rsidR="00B80A51" w:rsidRDefault="00B80A51" w:rsidP="00B80A51">
      <w:pPr>
        <w:jc w:val="both"/>
      </w:pPr>
      <w:r>
        <w:t xml:space="preserve">We welcome the opportunity to comment on the Consultation Paper regarding Article 8 of the Taxonomy Regulation, and we would like to express the following introductory remarks: </w:t>
      </w:r>
    </w:p>
    <w:p w14:paraId="6B71896A" w14:textId="77777777" w:rsidR="00B80A51" w:rsidRDefault="00B80A51" w:rsidP="00B80A51">
      <w:pPr>
        <w:pStyle w:val="ListParagraph"/>
        <w:ind w:left="360"/>
        <w:jc w:val="both"/>
        <w:rPr>
          <w:bCs/>
          <w:szCs w:val="20"/>
        </w:rPr>
      </w:pPr>
    </w:p>
    <w:p w14:paraId="00C4F0D9" w14:textId="37EB06C4" w:rsidR="00B80A51" w:rsidRDefault="00B80A51" w:rsidP="004544AD">
      <w:pPr>
        <w:pStyle w:val="ListParagraph"/>
        <w:numPr>
          <w:ilvl w:val="0"/>
          <w:numId w:val="39"/>
        </w:numPr>
        <w:jc w:val="both"/>
        <w:rPr>
          <w:bCs/>
          <w:szCs w:val="20"/>
        </w:rPr>
      </w:pPr>
      <w:r w:rsidRPr="003B53D4">
        <w:rPr>
          <w:bCs/>
          <w:szCs w:val="20"/>
        </w:rPr>
        <w:t xml:space="preserve">The </w:t>
      </w:r>
      <w:r w:rsidRPr="003B53D4">
        <w:rPr>
          <w:b/>
          <w:szCs w:val="20"/>
        </w:rPr>
        <w:t>timeline of application of the new reporting requirements will be very challenging for companies, in particular in the aftermath of the COVID pandemic</w:t>
      </w:r>
      <w:r w:rsidRPr="003B53D4">
        <w:rPr>
          <w:bCs/>
          <w:szCs w:val="20"/>
        </w:rPr>
        <w:t>. We understand that the new disclosure requirements will apply in 2022 regarding FY 2021 (e</w:t>
      </w:r>
      <w:r>
        <w:rPr>
          <w:bCs/>
          <w:szCs w:val="20"/>
        </w:rPr>
        <w:t>.</w:t>
      </w:r>
      <w:r w:rsidRPr="003B53D4">
        <w:rPr>
          <w:bCs/>
          <w:szCs w:val="20"/>
        </w:rPr>
        <w:t>g. publication in 2022 of revenue, Cap</w:t>
      </w:r>
      <w:r w:rsidR="00017F9B">
        <w:rPr>
          <w:bCs/>
          <w:szCs w:val="20"/>
        </w:rPr>
        <w:t>E</w:t>
      </w:r>
      <w:r w:rsidRPr="003B53D4">
        <w:rPr>
          <w:bCs/>
          <w:szCs w:val="20"/>
        </w:rPr>
        <w:t>x and Op</w:t>
      </w:r>
      <w:r w:rsidR="00017F9B">
        <w:rPr>
          <w:bCs/>
          <w:szCs w:val="20"/>
        </w:rPr>
        <w:t>E</w:t>
      </w:r>
      <w:r w:rsidRPr="003B53D4">
        <w:rPr>
          <w:bCs/>
          <w:szCs w:val="20"/>
        </w:rPr>
        <w:t xml:space="preserve">x related to financial year 2021). Since the delegated act (DA) is to be adopted by 1 June 2021, at the latest, </w:t>
      </w:r>
      <w:r w:rsidRPr="003B53D4">
        <w:rPr>
          <w:b/>
          <w:szCs w:val="20"/>
        </w:rPr>
        <w:t>companies will only have 7 months to comply with the new requirements</w:t>
      </w:r>
      <w:r w:rsidRPr="003B53D4">
        <w:rPr>
          <w:bCs/>
          <w:szCs w:val="20"/>
        </w:rPr>
        <w:t>. Additionally, should the DA lead to the implementation of new methodologies by companies, it might be challenging to apply them retroactively to the first months of the reporting period.</w:t>
      </w:r>
    </w:p>
    <w:p w14:paraId="1E58665D" w14:textId="77777777" w:rsidR="00B80A51" w:rsidRPr="003B53D4" w:rsidRDefault="00B80A51" w:rsidP="004544AD">
      <w:pPr>
        <w:pStyle w:val="ListParagraph"/>
        <w:numPr>
          <w:ilvl w:val="0"/>
          <w:numId w:val="39"/>
        </w:numPr>
        <w:jc w:val="both"/>
        <w:rPr>
          <w:bCs/>
          <w:szCs w:val="20"/>
        </w:rPr>
      </w:pPr>
      <w:r>
        <w:rPr>
          <w:bCs/>
          <w:szCs w:val="20"/>
        </w:rPr>
        <w:t>The complexity and costs of the new disclosure requirements should not be underestimated, particularly for small and medium-sized companies with limited resources to devote to the implementation of new reporting processes.</w:t>
      </w:r>
    </w:p>
    <w:p w14:paraId="405BB3BC" w14:textId="0BFB6B01" w:rsidR="00B80A51" w:rsidRPr="003B53D4" w:rsidRDefault="00B80A51" w:rsidP="004544AD">
      <w:pPr>
        <w:pStyle w:val="ListParagraph"/>
        <w:numPr>
          <w:ilvl w:val="0"/>
          <w:numId w:val="39"/>
        </w:numPr>
        <w:jc w:val="both"/>
        <w:rPr>
          <w:bCs/>
          <w:szCs w:val="20"/>
        </w:rPr>
      </w:pPr>
      <w:r w:rsidRPr="003B53D4">
        <w:rPr>
          <w:bCs/>
          <w:szCs w:val="20"/>
        </w:rPr>
        <w:t xml:space="preserve">Clarification is needed regarding </w:t>
      </w:r>
      <w:r w:rsidRPr="003B53D4">
        <w:rPr>
          <w:b/>
          <w:szCs w:val="20"/>
        </w:rPr>
        <w:t>how the proportion of revenue, Cap</w:t>
      </w:r>
      <w:r w:rsidR="00017F9B">
        <w:rPr>
          <w:b/>
          <w:szCs w:val="20"/>
        </w:rPr>
        <w:t>E</w:t>
      </w:r>
      <w:r w:rsidRPr="003B53D4">
        <w:rPr>
          <w:b/>
          <w:szCs w:val="20"/>
        </w:rPr>
        <w:t>x and Op</w:t>
      </w:r>
      <w:r w:rsidR="00017F9B">
        <w:rPr>
          <w:b/>
          <w:szCs w:val="20"/>
        </w:rPr>
        <w:t>E</w:t>
      </w:r>
      <w:r w:rsidRPr="003B53D4">
        <w:rPr>
          <w:b/>
          <w:szCs w:val="20"/>
        </w:rPr>
        <w:t xml:space="preserve">x realised outside the EU – in third countries – should be assessed against the criteria of the Taxonomy </w:t>
      </w:r>
      <w:r w:rsidRPr="003B53D4">
        <w:rPr>
          <w:bCs/>
          <w:szCs w:val="20"/>
        </w:rPr>
        <w:t>and accounted for. This proportion can be significant for our members operating worldwide.</w:t>
      </w:r>
    </w:p>
    <w:p w14:paraId="190B1040" w14:textId="77777777" w:rsidR="00B80A51" w:rsidRPr="003B53D4" w:rsidRDefault="00B80A51" w:rsidP="004544AD">
      <w:pPr>
        <w:pStyle w:val="ListParagraph"/>
        <w:numPr>
          <w:ilvl w:val="0"/>
          <w:numId w:val="40"/>
        </w:numPr>
        <w:jc w:val="both"/>
        <w:rPr>
          <w:bCs/>
          <w:szCs w:val="20"/>
        </w:rPr>
      </w:pPr>
      <w:r w:rsidRPr="003B53D4">
        <w:rPr>
          <w:b/>
          <w:szCs w:val="20"/>
        </w:rPr>
        <w:t>Activities are not yet covered</w:t>
      </w:r>
      <w:r w:rsidRPr="003B53D4">
        <w:rPr>
          <w:bCs/>
          <w:szCs w:val="20"/>
        </w:rPr>
        <w:t xml:space="preserve"> by the taxonomy and technical screening criteria should not be reported.</w:t>
      </w:r>
    </w:p>
    <w:p w14:paraId="6A666CA4" w14:textId="76228CCC" w:rsidR="00B80A51" w:rsidRPr="00B80A51" w:rsidRDefault="00B80A51" w:rsidP="004544AD">
      <w:pPr>
        <w:pStyle w:val="ListParagraph"/>
        <w:numPr>
          <w:ilvl w:val="0"/>
          <w:numId w:val="40"/>
        </w:numPr>
        <w:jc w:val="both"/>
        <w:rPr>
          <w:szCs w:val="20"/>
        </w:rPr>
      </w:pPr>
      <w:r w:rsidRPr="003B53D4">
        <w:rPr>
          <w:szCs w:val="20"/>
        </w:rPr>
        <w:t>Regarding the new KPIs required by article 8 (proportion of sustainable revenue, Cap</w:t>
      </w:r>
      <w:r w:rsidR="00017F9B">
        <w:rPr>
          <w:szCs w:val="20"/>
        </w:rPr>
        <w:t>E</w:t>
      </w:r>
      <w:r w:rsidRPr="003B53D4">
        <w:rPr>
          <w:szCs w:val="20"/>
        </w:rPr>
        <w:t>x and Op</w:t>
      </w:r>
      <w:r w:rsidR="00017F9B">
        <w:rPr>
          <w:szCs w:val="20"/>
        </w:rPr>
        <w:t>E</w:t>
      </w:r>
      <w:r w:rsidRPr="003B53D4">
        <w:rPr>
          <w:szCs w:val="20"/>
        </w:rPr>
        <w:t>x), we consider that the best way forward is to allow flexibility to companies to adapt to this new requirement, in particular, taking into account the first point mentioned above</w:t>
      </w:r>
      <w:r w:rsidRPr="003B53D4">
        <w:rPr>
          <w:bCs/>
          <w:szCs w:val="20"/>
        </w:rPr>
        <w:t xml:space="preserve">. As a matter of fact, compliance with </w:t>
      </w:r>
      <w:r w:rsidRPr="003B53D4">
        <w:rPr>
          <w:b/>
          <w:szCs w:val="20"/>
        </w:rPr>
        <w:t>the technical screening criteria will be assessed at site level whereas the reporting procedures and ERP are organised by legal entities</w:t>
      </w:r>
      <w:r w:rsidRPr="003B53D4">
        <w:rPr>
          <w:bCs/>
          <w:szCs w:val="20"/>
        </w:rPr>
        <w:t xml:space="preserve">. It will therefore be very difficult for companies to determine the contribution of each site or factory to the revenue especially within the timeframe mentioned above: companies will have to establish and implement new procedures and potentially modify their IT systems in a time when resources will be mobilised to manage the impacts of the crisis. We would </w:t>
      </w:r>
      <w:r w:rsidRPr="003B53D4">
        <w:rPr>
          <w:b/>
          <w:szCs w:val="20"/>
        </w:rPr>
        <w:t>recommend a phasing in of the new disclosure requirements or an extension of the deadline for implementation</w:t>
      </w:r>
      <w:r w:rsidRPr="003B53D4">
        <w:rPr>
          <w:bCs/>
          <w:szCs w:val="20"/>
        </w:rPr>
        <w:t xml:space="preserve">. In this regard, article 27 of the Taxonomy Regulation which states that article 8 shall apply from 1 January 2022 could and should be read as </w:t>
      </w:r>
      <w:r w:rsidRPr="003B53D4">
        <w:rPr>
          <w:b/>
          <w:szCs w:val="20"/>
        </w:rPr>
        <w:t>applicable to financial periods beginning on or after 1 January 2022</w:t>
      </w:r>
      <w:r w:rsidRPr="003B53D4">
        <w:rPr>
          <w:bCs/>
          <w:szCs w:val="20"/>
        </w:rPr>
        <w:t>. This would allow more time to companies to prepare for the new disclosure requirements: the new taxonomy related KPIs relating to 2022 will be published in 2023</w:t>
      </w:r>
      <w:r>
        <w:rPr>
          <w:bCs/>
          <w:szCs w:val="20"/>
        </w:rPr>
        <w:t>.</w:t>
      </w:r>
    </w:p>
    <w:permEnd w:id="44765448"/>
    <w:p w14:paraId="68F63540" w14:textId="7560FACC" w:rsidR="00B327E9" w:rsidRPr="00BF28DA" w:rsidRDefault="00B327E9" w:rsidP="00FE6577">
      <w:r w:rsidRPr="00BF28DA">
        <w:t>&lt;ESMA_COMMENT_</w:t>
      </w:r>
      <w:r w:rsidR="00FE6577">
        <w:t>TRART8</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lastRenderedPageBreak/>
        <w:br w:type="page"/>
      </w:r>
    </w:p>
    <w:p w14:paraId="4508D4FF" w14:textId="3D5C8669" w:rsidR="00492B3A" w:rsidRPr="00492B3A" w:rsidRDefault="00492B3A" w:rsidP="00492B3A">
      <w:pPr>
        <w:pStyle w:val="Questionstyle"/>
        <w:numPr>
          <w:ilvl w:val="0"/>
          <w:numId w:val="49"/>
        </w:numPr>
        <w:rPr>
          <w:rFonts w:ascii="Arial" w:hAnsi="Arial"/>
          <w:szCs w:val="22"/>
        </w:rPr>
      </w:pPr>
      <w:r>
        <w:lastRenderedPageBreak/>
        <w:t>For this KPI, do you agree with the proposed approach to defining turnover (bullet a in the draft advice)?</w:t>
      </w:r>
    </w:p>
    <w:p w14:paraId="7EE00B55" w14:textId="77777777" w:rsidR="00492B3A" w:rsidRDefault="00492B3A" w:rsidP="00492B3A">
      <w:r>
        <w:t>&lt;ESMA_QUESTION_TRART8_1&gt;</w:t>
      </w:r>
    </w:p>
    <w:p w14:paraId="7D07BEAD" w14:textId="77777777" w:rsidR="00B80A51" w:rsidRDefault="00B80A51" w:rsidP="00B80A51">
      <w:pPr>
        <w:jc w:val="both"/>
      </w:pPr>
      <w:permStart w:id="1576605906" w:edGrp="everyone"/>
      <w:r>
        <w:t>Yes, we agree with the proposed definition of turnover.</w:t>
      </w:r>
    </w:p>
    <w:p w14:paraId="741FADC4" w14:textId="6056F286" w:rsidR="00492B3A" w:rsidRDefault="00B80A51" w:rsidP="00492B3A">
      <w:r>
        <w:t>However, it will be very challenging for companies to produce this KPI considering the deadline and the fact that internal reporting processes are not based on NACE classification. Please refer to our introductory comments</w:t>
      </w:r>
      <w:r>
        <w:t xml:space="preserve">. </w:t>
      </w:r>
      <w:permEnd w:id="1576605906"/>
    </w:p>
    <w:p w14:paraId="7E5A3C00" w14:textId="77777777" w:rsidR="00492B3A" w:rsidRDefault="00492B3A" w:rsidP="00492B3A">
      <w:r>
        <w:t>&lt;ESMA_QUESTION_TRART8_1&gt;</w:t>
      </w:r>
    </w:p>
    <w:p w14:paraId="66BCB951" w14:textId="77777777" w:rsidR="00492B3A" w:rsidRDefault="00492B3A" w:rsidP="00492B3A"/>
    <w:p w14:paraId="711E593A" w14:textId="261590F3" w:rsidR="00492B3A" w:rsidRDefault="00492B3A" w:rsidP="00492B3A">
      <w:pPr>
        <w:pStyle w:val="Questionstyle"/>
      </w:pPr>
      <w:r>
        <w:t>For this KPI, do you agree with the proposed approach to when turnover can be counted (bullet b in the draft advice)?</w:t>
      </w:r>
    </w:p>
    <w:p w14:paraId="3451E920" w14:textId="77777777" w:rsidR="00492B3A" w:rsidRDefault="00492B3A" w:rsidP="00492B3A">
      <w:r>
        <w:t>&lt;ESMA_QUESTION_TRART8_2&gt;</w:t>
      </w:r>
    </w:p>
    <w:p w14:paraId="4F3BD652" w14:textId="77777777" w:rsidR="00B80A51" w:rsidRDefault="00B80A51" w:rsidP="00B80A51">
      <w:pPr>
        <w:jc w:val="both"/>
      </w:pPr>
      <w:permStart w:id="1123047147" w:edGrp="everyone"/>
      <w:r>
        <w:t>We would welcome further guidance and clarification regarding the assessment of the proportion of turnover that can be counted. ESMA could for instance provide examples on the calculation of this KPI based on different business cases.</w:t>
      </w:r>
    </w:p>
    <w:p w14:paraId="45694F8F" w14:textId="4599F303" w:rsidR="00492B3A" w:rsidRDefault="00B80A51" w:rsidP="00B80A51">
      <w:pPr>
        <w:jc w:val="both"/>
      </w:pPr>
      <w:r>
        <w:t>We would also welcome clarification regarding ESMA’s proposal, for the environmental objective of climate change adaptation, to count the turnover only where the activity enables other activities to undergo climate change adaptation. In this regard we would like to point out that according to article 11 of the Taxonomy Regulation an economic activity can qualify as contributing substantially to climate change adaptation where that activity includes adaptation solutions that either substantially reduce the risk of the adverse impact of the current and expected future climate for that activity or provides adaptation solutions. ESMA’s proposed approach seems to address only the second case (activities providing adaptation solutions) and we wonder whether under this approach a company whose activities include adaptation solutions would be allowed to take into account revenues stemming from said activities.</w:t>
      </w:r>
    </w:p>
    <w:permEnd w:id="1123047147"/>
    <w:p w14:paraId="741E001B" w14:textId="77777777" w:rsidR="00492B3A" w:rsidRDefault="00492B3A" w:rsidP="00492B3A">
      <w:r>
        <w:t>&lt;ESMA_QUESTION_TRART8_2&gt;</w:t>
      </w:r>
    </w:p>
    <w:p w14:paraId="3DF6FFDF" w14:textId="77777777" w:rsidR="00492B3A" w:rsidRDefault="00492B3A" w:rsidP="00492B3A"/>
    <w:p w14:paraId="47C2F5CA" w14:textId="0B6775F1" w:rsidR="00492B3A" w:rsidRDefault="00492B3A" w:rsidP="00492B3A">
      <w:pPr>
        <w:pStyle w:val="Questionstyle"/>
      </w:pPr>
      <w:r>
        <w:t>For this KPI, do you agree with the proposed approach to defining CapEx (bullet a in the draft advice)?</w:t>
      </w:r>
    </w:p>
    <w:p w14:paraId="1D5C0FD1" w14:textId="77777777" w:rsidR="00492B3A" w:rsidRDefault="00492B3A" w:rsidP="00492B3A">
      <w:r>
        <w:t>&lt;ESMA_QUESTION_TRART8_3&gt;</w:t>
      </w:r>
    </w:p>
    <w:p w14:paraId="6FD778B3" w14:textId="4914FA5C" w:rsidR="00492B3A" w:rsidRDefault="00B80A51" w:rsidP="00492B3A">
      <w:permStart w:id="1823616926" w:edGrp="everyone"/>
      <w:r w:rsidRPr="00B80A51">
        <w:t>Yes, we agree with the proposed definition of CapEx. We consider however that it will be very challenging for companies to produce this KPI considering the deadline and the fact that internal reporting processes are not based on NACE classification. Please refer to our introductory comments.</w:t>
      </w:r>
    </w:p>
    <w:permEnd w:id="1823616926"/>
    <w:p w14:paraId="383E5893" w14:textId="77777777" w:rsidR="00492B3A" w:rsidRDefault="00492B3A" w:rsidP="00492B3A">
      <w:r>
        <w:t>&lt;ESMA_QUESTION_TRART8_3&gt;</w:t>
      </w:r>
    </w:p>
    <w:p w14:paraId="4AD8C875" w14:textId="77777777" w:rsidR="00492B3A" w:rsidRDefault="00492B3A" w:rsidP="00492B3A"/>
    <w:p w14:paraId="798F0E29" w14:textId="59B6BBDF" w:rsidR="00492B3A" w:rsidRDefault="00492B3A" w:rsidP="00492B3A">
      <w:pPr>
        <w:pStyle w:val="Questionstyle"/>
      </w:pPr>
      <w:r>
        <w:t>For this KPI, do you agree with the proposed approach to when CapEx can be counted, including the definition of ‘plan’ (bullet b in the draft advice)?</w:t>
      </w:r>
    </w:p>
    <w:p w14:paraId="001F3D0D" w14:textId="77777777" w:rsidR="00492B3A" w:rsidRDefault="00492B3A" w:rsidP="00492B3A">
      <w:r>
        <w:t>&lt;ESMA_QUESTION_TRART8_4&gt;</w:t>
      </w:r>
    </w:p>
    <w:p w14:paraId="599CCB67" w14:textId="77777777" w:rsidR="00B80A51" w:rsidRDefault="00B80A51" w:rsidP="00017F9B">
      <w:pPr>
        <w:jc w:val="both"/>
      </w:pPr>
      <w:permStart w:id="910372547" w:edGrp="everyone"/>
      <w:r>
        <w:t>No, we disagree with the proposed approach.</w:t>
      </w:r>
    </w:p>
    <w:p w14:paraId="6F341F2F" w14:textId="77777777" w:rsidR="00B80A51" w:rsidRDefault="00B80A51" w:rsidP="00017F9B">
      <w:pPr>
        <w:jc w:val="both"/>
      </w:pPr>
      <w:r>
        <w:t>Article 8 of the Taxonomy Regulation requires companies to disclose the proportion of their capital expenditure and the proportion of their operating expenditure related to assets or processes associated with economic activities that qualify as environmentally sustainable. Adding a requirement that CapEx should be part of a plan in order to be counted results in adding a condition not laid down in level 1 in order to consider that the activity is sustainable.</w:t>
      </w:r>
    </w:p>
    <w:p w14:paraId="3D9D3613" w14:textId="77777777" w:rsidR="00B80A51" w:rsidRDefault="00B80A51" w:rsidP="00017F9B">
      <w:pPr>
        <w:jc w:val="both"/>
      </w:pPr>
      <w:r>
        <w:t>Furthermore :</w:t>
      </w:r>
    </w:p>
    <w:p w14:paraId="5330553C" w14:textId="77777777" w:rsidR="00B80A51" w:rsidRDefault="00B80A51" w:rsidP="00017F9B">
      <w:pPr>
        <w:jc w:val="both"/>
      </w:pPr>
      <w:r>
        <w:t>-</w:t>
      </w:r>
      <w:r>
        <w:tab/>
        <w:t>the 5-year period is totally arbitrary and we don’t see any reason why investments for a project that runs over 6, 10 or even 15 years could not be counted;</w:t>
      </w:r>
    </w:p>
    <w:p w14:paraId="0042D2F1" w14:textId="77777777" w:rsidR="00B80A51" w:rsidRDefault="00B80A51" w:rsidP="00017F9B">
      <w:pPr>
        <w:jc w:val="both"/>
      </w:pPr>
      <w:r>
        <w:t>-</w:t>
      </w:r>
      <w:r>
        <w:tab/>
        <w:t>approval of investments by the board varies according to the company and it’s not possible to determine a common threshold;</w:t>
      </w:r>
    </w:p>
    <w:p w14:paraId="4975BC77" w14:textId="1EA3097F" w:rsidR="00492B3A" w:rsidRDefault="00B80A51" w:rsidP="00017F9B">
      <w:pPr>
        <w:jc w:val="both"/>
      </w:pPr>
      <w:r>
        <w:t>-</w:t>
      </w:r>
      <w:r>
        <w:tab/>
        <w:t>disclosing the plan could result in disclosing sensitive strategic information.</w:t>
      </w:r>
    </w:p>
    <w:permEnd w:id="910372547"/>
    <w:p w14:paraId="44CC0988" w14:textId="77777777" w:rsidR="00492B3A" w:rsidRDefault="00492B3A" w:rsidP="00492B3A">
      <w:r>
        <w:lastRenderedPageBreak/>
        <w:t>&lt;ESMA_QUESTION_TRART8_4&gt;</w:t>
      </w:r>
    </w:p>
    <w:p w14:paraId="629688A3" w14:textId="77777777" w:rsidR="00492B3A" w:rsidRDefault="00492B3A" w:rsidP="00492B3A"/>
    <w:p w14:paraId="4404B413" w14:textId="386DAEEB" w:rsidR="00492B3A" w:rsidRDefault="00492B3A" w:rsidP="00492B3A">
      <w:pPr>
        <w:pStyle w:val="Questionstyle"/>
      </w:pPr>
      <w:r>
        <w:t>For this KPI, do you agree with the proposed approach to defining OpEx (bullet a in the draft advice)?</w:t>
      </w:r>
    </w:p>
    <w:p w14:paraId="037D1519" w14:textId="77777777" w:rsidR="00492B3A" w:rsidRDefault="00492B3A" w:rsidP="00492B3A">
      <w:r>
        <w:t>&lt;ESMA_QUESTION_TRART8_5&gt;</w:t>
      </w:r>
    </w:p>
    <w:p w14:paraId="6BB1572E" w14:textId="77777777" w:rsidR="00B80A51" w:rsidRDefault="00B80A51" w:rsidP="00B80A51">
      <w:pPr>
        <w:jc w:val="both"/>
      </w:pPr>
      <w:permStart w:id="1454397300" w:edGrp="everyone"/>
      <w:r>
        <w:t>As of today, the IASB’s Primary Financial Statements project has not yet resulted in any amendment to IAS1 endorsed by the EU and therefore companies remain free to determine the relevant operational indicator to measure their performance.</w:t>
      </w:r>
    </w:p>
    <w:p w14:paraId="0D6A7F8B" w14:textId="77777777" w:rsidR="00B80A51" w:rsidRDefault="00B80A51" w:rsidP="00B80A51">
      <w:pPr>
        <w:jc w:val="both"/>
      </w:pPr>
      <w:r>
        <w:t>Therefore the definition should remain general and allow flexibility for companies. This will ensure alignment and consistency of this KPI with alternative performance measures used by companies to measure their operational performance.</w:t>
      </w:r>
    </w:p>
    <w:p w14:paraId="49ABA67A" w14:textId="7CD81DB1" w:rsidR="00B80A51" w:rsidRDefault="00B80A51" w:rsidP="00B80A51">
      <w:pPr>
        <w:jc w:val="both"/>
      </w:pPr>
      <w:r>
        <w:t xml:space="preserve">We agree with the definition put forward by ESMA that </w:t>
      </w:r>
      <w:r w:rsidR="00017F9B">
        <w:t>“</w:t>
      </w:r>
      <w:r>
        <w:t>non-financial undertakings should include in the amount of OpEx all items of expense that arise from the undertaking’s main business activities, which are generally identified as the principal revenue-producing activities of the entity</w:t>
      </w:r>
      <w:r w:rsidR="00017F9B">
        <w:t>”</w:t>
      </w:r>
      <w:r>
        <w:t xml:space="preserve"> </w:t>
      </w:r>
    </w:p>
    <w:p w14:paraId="591E6BE3" w14:textId="3F010172" w:rsidR="00B80A51" w:rsidRDefault="00B80A51" w:rsidP="00B80A51">
      <w:pPr>
        <w:jc w:val="both"/>
      </w:pPr>
      <w:r>
        <w:t>However we question whether systematically disclosing this KPI is relevant and/or necessary? Disclosure of this KPI could be redundant with the proportion of revenue associated with sustainable activities.  We would like to remind that the institutional agreement between the co-legislators reached in December 2019 on the Commission’s proposal for a regulation establishing the Taxonomy required – under article 4 delta – the disclosure of “the proportion of their total investments (Capital Expenditure) and/or expenditures (Op</w:t>
      </w:r>
      <w:r>
        <w:t>er</w:t>
      </w:r>
      <w:r>
        <w:t xml:space="preserve">ating Expenditure) related to assets or processes associated with environmentally sustainable economic activities” while the final version of the Regulation published requires, under article 8, the disclosure of “the proportion of their capital expenditure and the proportion of their operating expenditure”. </w:t>
      </w:r>
    </w:p>
    <w:p w14:paraId="709F0B8A" w14:textId="7F1DCDEF" w:rsidR="00492B3A" w:rsidRDefault="00B80A51" w:rsidP="00B80A51">
      <w:pPr>
        <w:jc w:val="both"/>
      </w:pPr>
      <w:r>
        <w:t>In this regard, determining the proportion of OpEx associated with sustainable activities will be very complex and burdensome for companies with limited added value if the purpose is to show the transition path/demonstrate the trajectory of the company. Therefore flexibility should be given to companies to decide whether it is relevant to disclose an OpEx KPI considering the variety of business models : ESMA could clarify in its advice that where the taxonomy compliant part of OpEx is not deemed relevant and/or significant, companies should be authorised to explain why they are not disclosing this KPI.</w:t>
      </w:r>
    </w:p>
    <w:permEnd w:id="1454397300"/>
    <w:p w14:paraId="208A9476" w14:textId="77777777" w:rsidR="00492B3A" w:rsidRDefault="00492B3A" w:rsidP="00492B3A">
      <w:r>
        <w:t>&lt;ESMA_QUESTION_TRART8_5&gt;</w:t>
      </w:r>
    </w:p>
    <w:p w14:paraId="7F6E38EC" w14:textId="77777777" w:rsidR="00492B3A" w:rsidRDefault="00492B3A" w:rsidP="00492B3A"/>
    <w:p w14:paraId="428AAF91" w14:textId="35434FB5" w:rsidR="00492B3A" w:rsidRDefault="00492B3A" w:rsidP="00492B3A">
      <w:pPr>
        <w:pStyle w:val="Questionstyle"/>
      </w:pPr>
      <w:r>
        <w:t>For this KPI, do you agree with the proposed approach to when OpEx can be counted, including the definition of ‘plan’ (bullet b in the draft advice)? With reference to the TEG’s inclusion of the words “if relevant” in relation to OpEx, in which situations should it be possible to count OpEx as Taxonomy-aligned?</w:t>
      </w:r>
    </w:p>
    <w:p w14:paraId="5D7E3500" w14:textId="77777777" w:rsidR="00492B3A" w:rsidRDefault="00492B3A" w:rsidP="00492B3A">
      <w:r>
        <w:t>&lt;ESMA_QUESTION_TRART8_6&gt;</w:t>
      </w:r>
    </w:p>
    <w:p w14:paraId="4DC42D59" w14:textId="26D00F4D" w:rsidR="00492B3A" w:rsidRDefault="00B80A51" w:rsidP="00492B3A">
      <w:permStart w:id="164587406" w:edGrp="everyone"/>
      <w:r>
        <w:t>No, we disagree with the approach and the requirement to be part of a “plan”. Please, refer to our answer to Question 4.</w:t>
      </w:r>
    </w:p>
    <w:permEnd w:id="164587406"/>
    <w:p w14:paraId="7A0C7BD5" w14:textId="77777777" w:rsidR="00492B3A" w:rsidRDefault="00492B3A" w:rsidP="00492B3A">
      <w:r>
        <w:t>&lt;ESMA_QUESTION_TRART8_6&gt;</w:t>
      </w:r>
    </w:p>
    <w:p w14:paraId="4BF785AD" w14:textId="77777777" w:rsidR="00492B3A" w:rsidRDefault="00492B3A" w:rsidP="00492B3A"/>
    <w:p w14:paraId="71D01BE1" w14:textId="5A6C64AB" w:rsidR="00492B3A" w:rsidRDefault="00492B3A" w:rsidP="00492B3A">
      <w:pPr>
        <w:pStyle w:val="Questionstyle"/>
      </w:pPr>
      <w:r>
        <w:t>Do you believe that any of the suggested approaches covered in questions 1 to 6 above will impose additional costs on non-financial undertakings? If yes, please specify the type of those costs, including whether they are one-off or ongoing, and provide your best quantitative estimate of their size.</w:t>
      </w:r>
    </w:p>
    <w:p w14:paraId="57CA855E" w14:textId="77777777" w:rsidR="00492B3A" w:rsidRDefault="00492B3A" w:rsidP="00492B3A">
      <w:r>
        <w:t>&lt;ESMA_QUESTION_TRART8_7&gt;</w:t>
      </w:r>
    </w:p>
    <w:p w14:paraId="0A43D936" w14:textId="77777777" w:rsidR="00B80A51" w:rsidRDefault="00B80A51" w:rsidP="00B80A51">
      <w:pPr>
        <w:jc w:val="both"/>
      </w:pPr>
      <w:permStart w:id="1191210126" w:edGrp="everyone"/>
      <w:r>
        <w:t>Disclosing new KPIs will necessarily generate additional costs for preparers.</w:t>
      </w:r>
    </w:p>
    <w:p w14:paraId="67F09826" w14:textId="77777777" w:rsidR="00B80A51" w:rsidRDefault="00B80A51" w:rsidP="00B80A51">
      <w:pPr>
        <w:jc w:val="both"/>
      </w:pPr>
      <w:r>
        <w:t>Additional costs will arise due to:</w:t>
      </w:r>
    </w:p>
    <w:p w14:paraId="1409D81A" w14:textId="77777777" w:rsidR="00B80A51" w:rsidRDefault="00B80A51" w:rsidP="00B80A51">
      <w:pPr>
        <w:jc w:val="both"/>
      </w:pPr>
      <w:r>
        <w:t>-</w:t>
      </w:r>
      <w:r>
        <w:tab/>
        <w:t>Companies reporting processes and IT systems are not organised according to the NACE classification. Neither is the reporting of operating segments under IFRS 8.</w:t>
      </w:r>
    </w:p>
    <w:p w14:paraId="58B41F4E" w14:textId="77777777" w:rsidR="00B80A51" w:rsidRDefault="00B80A51" w:rsidP="00B80A51">
      <w:pPr>
        <w:jc w:val="both"/>
      </w:pPr>
      <w:r>
        <w:t>-</w:t>
      </w:r>
      <w:r>
        <w:tab/>
        <w:t>Collecting and compiling new data will generate additional work.</w:t>
      </w:r>
    </w:p>
    <w:p w14:paraId="1121E694" w14:textId="77777777" w:rsidR="00B80A51" w:rsidRDefault="00B80A51" w:rsidP="00B80A51">
      <w:pPr>
        <w:jc w:val="both"/>
      </w:pPr>
      <w:r>
        <w:t>-</w:t>
      </w:r>
      <w:r>
        <w:tab/>
        <w:t>So will the determination of new allocation methodology and the training of the staff.</w:t>
      </w:r>
    </w:p>
    <w:p w14:paraId="5C977D2D" w14:textId="77777777" w:rsidR="00B80A51" w:rsidRDefault="00B80A51" w:rsidP="00B80A51">
      <w:pPr>
        <w:jc w:val="both"/>
      </w:pPr>
    </w:p>
    <w:p w14:paraId="0F6B4017" w14:textId="2A469A38" w:rsidR="00492B3A" w:rsidRDefault="00B80A51" w:rsidP="00B80A51">
      <w:pPr>
        <w:jc w:val="both"/>
      </w:pPr>
      <w:r>
        <w:t>Since the KPIs are included in the non-financial statement, this will also generate additional verification costs for companies who are required, as of today, to have their non-financial statement verified by an independent assurance services provider. We understand that in the context of the review of NFRD, verification of non-financial information may become a requirement for all companies. Finally, technical screening criteria and environmental objectives may change and evolve over time forcing companies to adapt and modify their methodology and organisation. This will generate maintenance and/or updating costs</w:t>
      </w:r>
      <w:r>
        <w:t>.</w:t>
      </w:r>
    </w:p>
    <w:permEnd w:id="1191210126"/>
    <w:p w14:paraId="20867D23" w14:textId="77777777" w:rsidR="00492B3A" w:rsidRDefault="00492B3A" w:rsidP="00492B3A">
      <w:r>
        <w:t>&lt;ESMA_QUESTION_TRART8_7&gt;</w:t>
      </w:r>
    </w:p>
    <w:p w14:paraId="627B65D4" w14:textId="77777777" w:rsidR="00492B3A" w:rsidRDefault="00492B3A" w:rsidP="00492B3A"/>
    <w:p w14:paraId="32FE661C" w14:textId="4F9A21D5" w:rsidR="00492B3A" w:rsidRDefault="00492B3A" w:rsidP="00492B3A">
      <w:pPr>
        <w:pStyle w:val="Questionstyle"/>
      </w:pPr>
      <w:r>
        <w:t>Do you agree that sectoral specificities should not be addressed in the advice, as proposed in Section 3.2.3?</w:t>
      </w:r>
    </w:p>
    <w:p w14:paraId="64A00FD2" w14:textId="77777777" w:rsidR="00492B3A" w:rsidRDefault="00492B3A" w:rsidP="00492B3A">
      <w:r>
        <w:t>&lt;ESMA_QUESTION_TRART8_8&gt;</w:t>
      </w:r>
    </w:p>
    <w:p w14:paraId="6B8BC859" w14:textId="77777777" w:rsidR="00492B3A" w:rsidRDefault="00492B3A" w:rsidP="00492B3A">
      <w:permStart w:id="21103909" w:edGrp="everyone"/>
      <w:r>
        <w:t>TYPE YOUR TEXT HERE</w:t>
      </w:r>
    </w:p>
    <w:permEnd w:id="21103909"/>
    <w:p w14:paraId="6C91EF19" w14:textId="77777777" w:rsidR="00492B3A" w:rsidRDefault="00492B3A" w:rsidP="00492B3A">
      <w:r>
        <w:t>&lt;ESMA_QUESTION_TRART8_8&gt;</w:t>
      </w:r>
    </w:p>
    <w:p w14:paraId="358E7A29" w14:textId="77777777" w:rsidR="00492B3A" w:rsidRDefault="00492B3A" w:rsidP="00492B3A"/>
    <w:p w14:paraId="35F135E9" w14:textId="08007B24" w:rsidR="00492B3A" w:rsidRDefault="00492B3A" w:rsidP="00492B3A">
      <w:pPr>
        <w:pStyle w:val="Questionstyle"/>
      </w:pPr>
      <w:r>
        <w:t>Do you agree with the requirements for accompanying information which ESMA has proposed for the three KPIs?</w:t>
      </w:r>
    </w:p>
    <w:p w14:paraId="01ADFC46" w14:textId="77777777" w:rsidR="00492B3A" w:rsidRDefault="00492B3A" w:rsidP="00492B3A">
      <w:r>
        <w:t>&lt;ESMA_QUESTION_TRART8_9&gt;</w:t>
      </w:r>
    </w:p>
    <w:p w14:paraId="0AB3A7A1" w14:textId="77777777" w:rsidR="00492B3A" w:rsidRDefault="00492B3A" w:rsidP="00492B3A">
      <w:permStart w:id="70807355" w:edGrp="everyone"/>
      <w:r>
        <w:t>TYPE YOUR TEXT HERE</w:t>
      </w:r>
    </w:p>
    <w:permEnd w:id="70807355"/>
    <w:p w14:paraId="293286B0" w14:textId="77777777" w:rsidR="00492B3A" w:rsidRDefault="00492B3A" w:rsidP="00492B3A">
      <w:r>
        <w:t>&lt;ESMA_QUESTION_TRART8_9&gt;</w:t>
      </w:r>
    </w:p>
    <w:p w14:paraId="1265C514" w14:textId="77777777" w:rsidR="00492B3A" w:rsidRDefault="00492B3A" w:rsidP="00492B3A"/>
    <w:p w14:paraId="65464EDE" w14:textId="09C1D542" w:rsidR="00492B3A" w:rsidRDefault="00492B3A" w:rsidP="00492B3A">
      <w:pPr>
        <w:pStyle w:val="Questionstyle"/>
      </w:pPr>
      <w:r>
        <w:t>Do you consider that the requirement to refer to the relevant line item(s) in the financial statements for each KPI ensures sufficient integration between the KPIs and the financial statements?</w:t>
      </w:r>
    </w:p>
    <w:p w14:paraId="554C7E7D" w14:textId="77777777" w:rsidR="00492B3A" w:rsidRDefault="00492B3A" w:rsidP="00492B3A">
      <w:r>
        <w:t>&lt;ESMA_QUESTION_TRART8_10&gt;</w:t>
      </w:r>
    </w:p>
    <w:p w14:paraId="729D6FDA" w14:textId="77777777" w:rsidR="00492B3A" w:rsidRDefault="00492B3A" w:rsidP="00492B3A">
      <w:permStart w:id="1969951227" w:edGrp="everyone"/>
      <w:r>
        <w:t>TYPE YOUR TEXT HERE</w:t>
      </w:r>
    </w:p>
    <w:permEnd w:id="1969951227"/>
    <w:p w14:paraId="1CD8F45C" w14:textId="77777777" w:rsidR="00492B3A" w:rsidRDefault="00492B3A" w:rsidP="00492B3A">
      <w:r>
        <w:t>&lt;ESMA_QUESTION_TRART8_10&gt;</w:t>
      </w:r>
    </w:p>
    <w:p w14:paraId="4A233221" w14:textId="77777777" w:rsidR="00492B3A" w:rsidRDefault="00492B3A" w:rsidP="00492B3A"/>
    <w:p w14:paraId="43470B7B" w14:textId="7E3668E4" w:rsidR="00492B3A" w:rsidRDefault="00492B3A" w:rsidP="00492B3A">
      <w:pPr>
        <w:pStyle w:val="Questionstyle"/>
      </w:pPr>
      <w:r>
        <w:t>Do you agree with ESMA’s suggestion to permit compliance by reference, so that non-financial undertakings may present the accompanying information elsewhere in the non-financial statement than in the immediate vicinity of the KPIs, as long as they provide a hyperlink to the location of the accompanying information?</w:t>
      </w:r>
    </w:p>
    <w:p w14:paraId="17905251" w14:textId="77777777" w:rsidR="00492B3A" w:rsidRDefault="00492B3A" w:rsidP="00492B3A">
      <w:r>
        <w:t>&lt;ESMA_QUESTION_TRART8_11&gt;</w:t>
      </w:r>
    </w:p>
    <w:p w14:paraId="16B29EBB" w14:textId="091952E2" w:rsidR="00492B3A" w:rsidRDefault="00B80A51" w:rsidP="00492B3A">
      <w:permStart w:id="947678092" w:edGrp="everyone"/>
      <w:r>
        <w:t>Yes, we agree with ESMA’s suggestion to permit compliance by reference.</w:t>
      </w:r>
    </w:p>
    <w:permEnd w:id="947678092"/>
    <w:p w14:paraId="5D803357" w14:textId="77777777" w:rsidR="00492B3A" w:rsidRDefault="00492B3A" w:rsidP="00492B3A">
      <w:r>
        <w:t>&lt;ESMA_QUESTION_TRART8_11&gt;</w:t>
      </w:r>
    </w:p>
    <w:p w14:paraId="1A3E6E6B" w14:textId="77777777" w:rsidR="00492B3A" w:rsidRDefault="00492B3A" w:rsidP="00492B3A"/>
    <w:p w14:paraId="681EC23B" w14:textId="56FB4CB0" w:rsidR="00492B3A" w:rsidRDefault="00492B3A" w:rsidP="00492B3A">
      <w:pPr>
        <w:pStyle w:val="Questionstyle"/>
      </w:pPr>
      <w:r>
        <w:t>Do you consider there are additional topics that should be considered by ESMA in order to specify the content of the three KPIs? If yes, please elaborate and explain the relevance of these topics.</w:t>
      </w:r>
    </w:p>
    <w:p w14:paraId="7F0E3695" w14:textId="77777777" w:rsidR="00492B3A" w:rsidRDefault="00492B3A" w:rsidP="00492B3A">
      <w:r>
        <w:t>&lt;ESMA_QUESTION_TRART8_12&gt;</w:t>
      </w:r>
    </w:p>
    <w:p w14:paraId="5F50FA92" w14:textId="77777777" w:rsidR="00492B3A" w:rsidRDefault="00492B3A" w:rsidP="00492B3A">
      <w:permStart w:id="575285207" w:edGrp="everyone"/>
      <w:r>
        <w:t>TYPE YOUR TEXT HERE</w:t>
      </w:r>
    </w:p>
    <w:permEnd w:id="575285207"/>
    <w:p w14:paraId="40A9AA66" w14:textId="77777777" w:rsidR="00492B3A" w:rsidRDefault="00492B3A" w:rsidP="00492B3A">
      <w:r>
        <w:t>&lt;ESMA_QUESTION_TRART8_12&gt;</w:t>
      </w:r>
    </w:p>
    <w:p w14:paraId="47FAF275" w14:textId="77777777" w:rsidR="00492B3A" w:rsidRDefault="00492B3A" w:rsidP="00492B3A"/>
    <w:p w14:paraId="01343F76" w14:textId="51762306" w:rsidR="00492B3A" w:rsidRDefault="00492B3A" w:rsidP="00492B3A">
      <w:pPr>
        <w:pStyle w:val="Questionstyle"/>
      </w:pPr>
      <w:r>
        <w:lastRenderedPageBreak/>
        <w:t>Do you believe that providing the suggested accompanying information will impose additional costs on non-financial undertakings? If yes, please specify the type of those costs, including whether they are one-off or on-going, and provide your best quantitative estimate of their size.</w:t>
      </w:r>
    </w:p>
    <w:p w14:paraId="4C7333E2" w14:textId="77777777" w:rsidR="00492B3A" w:rsidRDefault="00492B3A" w:rsidP="00492B3A">
      <w:r>
        <w:t>&lt;ESMA_QUESTION_TRART8_13&gt;</w:t>
      </w:r>
    </w:p>
    <w:p w14:paraId="7A9A50C5" w14:textId="77777777" w:rsidR="00492B3A" w:rsidRDefault="00492B3A" w:rsidP="00492B3A">
      <w:permStart w:id="384379543" w:edGrp="everyone"/>
      <w:r>
        <w:t>TYPE YOUR TEXT HERE</w:t>
      </w:r>
    </w:p>
    <w:permEnd w:id="384379543"/>
    <w:p w14:paraId="0D19A1E9" w14:textId="77777777" w:rsidR="00492B3A" w:rsidRDefault="00492B3A" w:rsidP="00492B3A">
      <w:r>
        <w:t>&lt;ESMA_QUESTION_TRART8_13&gt;</w:t>
      </w:r>
    </w:p>
    <w:p w14:paraId="2B65235D" w14:textId="77777777" w:rsidR="00492B3A" w:rsidRDefault="00492B3A" w:rsidP="00492B3A"/>
    <w:p w14:paraId="620A77B5" w14:textId="464FAA88" w:rsidR="00492B3A" w:rsidRDefault="00492B3A" w:rsidP="00492B3A">
      <w:pPr>
        <w:pStyle w:val="Questionstyle"/>
      </w:pPr>
      <w:r>
        <w:t>Do you agree that non-financial undertakings should provide the three KPIs per economic activity and also provide a total of the three KPIs at the level of the undertaking / group? If not, please provide your reasons and address the impact of your proposal to financial market participants along the investment chain.</w:t>
      </w:r>
    </w:p>
    <w:p w14:paraId="469F3B30" w14:textId="77777777" w:rsidR="00492B3A" w:rsidRDefault="00492B3A" w:rsidP="00492B3A">
      <w:r>
        <w:t>&lt;ESMA_QUESTION_TRART8_14&gt;</w:t>
      </w:r>
    </w:p>
    <w:p w14:paraId="65AE7182" w14:textId="64E5E4E7" w:rsidR="00492B3A" w:rsidRDefault="00B80A51" w:rsidP="00B80A51">
      <w:pPr>
        <w:jc w:val="both"/>
      </w:pPr>
      <w:permStart w:id="1844913490" w:edGrp="everyone"/>
      <w:r w:rsidRPr="00B80A51">
        <w:t>No we disagree with ESMA’s proposal that the three KPIs should be provided per economic activity. The KPIs should only be reported on as a total.</w:t>
      </w:r>
    </w:p>
    <w:permEnd w:id="1844913490"/>
    <w:p w14:paraId="70457698" w14:textId="77777777" w:rsidR="00492B3A" w:rsidRDefault="00492B3A" w:rsidP="00492B3A">
      <w:r>
        <w:t>&lt;ESMA_QUESTION_TRART8_14&gt;</w:t>
      </w:r>
    </w:p>
    <w:p w14:paraId="33E3946A" w14:textId="77777777" w:rsidR="00492B3A" w:rsidRDefault="00492B3A" w:rsidP="00492B3A"/>
    <w:p w14:paraId="3CC16F44" w14:textId="4015EA44" w:rsidR="00492B3A" w:rsidRDefault="00492B3A" w:rsidP="00492B3A">
      <w:pPr>
        <w:pStyle w:val="Questionstyle"/>
      </w:pPr>
      <w:r>
        <w:t>Do you agree that where an economic activity contributes to more than one environmental objective, non-financial undertakings should explain how they allocated the turnover / CapEx / OpEx of that activity across environmental objectives and where relevant the reasons for choosing one objective over another?</w:t>
      </w:r>
    </w:p>
    <w:p w14:paraId="63D6457D" w14:textId="77777777" w:rsidR="00492B3A" w:rsidRDefault="00492B3A" w:rsidP="00492B3A">
      <w:r>
        <w:t>&lt;ESMA_QUESTION_TRART8_15&gt;</w:t>
      </w:r>
    </w:p>
    <w:p w14:paraId="2E34B8AF" w14:textId="746CD6D9" w:rsidR="00492B3A" w:rsidRDefault="00B80A51" w:rsidP="00B80A51">
      <w:pPr>
        <w:jc w:val="both"/>
      </w:pPr>
      <w:permStart w:id="1403017900" w:edGrp="everyone"/>
      <w:r w:rsidRPr="00B80A51">
        <w:t>No, we disagree with ESMA’s proposal and consider that it is not necessary to provide additional explanations. The split between objectives will be automatically visible through the disclosure per environmental objective.</w:t>
      </w:r>
    </w:p>
    <w:permEnd w:id="1403017900"/>
    <w:p w14:paraId="379DD71C" w14:textId="77777777" w:rsidR="00492B3A" w:rsidRDefault="00492B3A" w:rsidP="00492B3A">
      <w:r>
        <w:t>&lt;ESMA_QUESTION_TRART8_15&gt;</w:t>
      </w:r>
    </w:p>
    <w:p w14:paraId="3D52163A" w14:textId="77777777" w:rsidR="00492B3A" w:rsidRDefault="00492B3A" w:rsidP="00492B3A"/>
    <w:p w14:paraId="112B8CBC" w14:textId="727487DB" w:rsidR="00492B3A" w:rsidRDefault="00492B3A" w:rsidP="00492B3A">
      <w:pPr>
        <w:pStyle w:val="Questionstyle"/>
      </w:pPr>
      <w:r>
        <w:t>Do you agree that non-financial undertakings should provide information on enabling and transitional activities?</w:t>
      </w:r>
    </w:p>
    <w:p w14:paraId="4EC2BDB8" w14:textId="77777777" w:rsidR="00492B3A" w:rsidRDefault="00492B3A" w:rsidP="00492B3A">
      <w:r>
        <w:t>&lt;ESMA_QUESTION_TRART8_16&gt;</w:t>
      </w:r>
    </w:p>
    <w:p w14:paraId="7B417AAA" w14:textId="77777777" w:rsidR="00B80A51" w:rsidRDefault="00B80A51" w:rsidP="00B80A51">
      <w:pPr>
        <w:jc w:val="both"/>
      </w:pPr>
      <w:permStart w:id="1046510351" w:edGrp="everyone"/>
      <w:r>
        <w:t xml:space="preserve">We understand that transitional activities are only mentioned in article 10 paragraph 2 of the Taxonomy Regulation: </w:t>
      </w:r>
    </w:p>
    <w:p w14:paraId="1A0BBB54" w14:textId="77777777" w:rsidR="00B80A51" w:rsidRDefault="00B80A51" w:rsidP="00B80A51">
      <w:pPr>
        <w:jc w:val="both"/>
      </w:pPr>
      <w:r>
        <w:t xml:space="preserve">« For the purposes of paragraph 1, an economic activity for which there is no technologically and economically feasible low-carbon alternative shall qualify as contributing substantially to climate change mitigation where it supports the transition to a climate-neutral economy consistent with a pathway to limit the temperature increase to 1,5 0C above pre- industrial levels, including by phasing out greenhouse gas emissions, in particular emissions from solid fossil fuels, and where that activity: </w:t>
      </w:r>
    </w:p>
    <w:p w14:paraId="4F1E4AD3" w14:textId="77777777" w:rsidR="00B80A51" w:rsidRDefault="00B80A51" w:rsidP="00B80A51">
      <w:pPr>
        <w:jc w:val="both"/>
      </w:pPr>
      <w:r>
        <w:t xml:space="preserve">(a) has greenhouse gas emission levels that correspond to the best performance in the sector or industry; </w:t>
      </w:r>
    </w:p>
    <w:p w14:paraId="58295B2A" w14:textId="77777777" w:rsidR="00B80A51" w:rsidRDefault="00B80A51" w:rsidP="00B80A51">
      <w:pPr>
        <w:jc w:val="both"/>
      </w:pPr>
      <w:r>
        <w:t xml:space="preserve">(b) does not hamper the development and deployment of low-carbon alternatives; and </w:t>
      </w:r>
    </w:p>
    <w:p w14:paraId="459B4448" w14:textId="77777777" w:rsidR="00B80A51" w:rsidRDefault="00B80A51" w:rsidP="00B80A51">
      <w:pPr>
        <w:jc w:val="both"/>
      </w:pPr>
      <w:r>
        <w:t>(c) does not lead to a lock-in of carbon-intensive assets, considering the economic lifetime of those assets.»</w:t>
      </w:r>
    </w:p>
    <w:p w14:paraId="709758D1" w14:textId="77777777" w:rsidR="00B80A51" w:rsidRDefault="00B80A51" w:rsidP="00B80A51">
      <w:pPr>
        <w:jc w:val="both"/>
      </w:pPr>
      <w:r>
        <w:t>Therefore transitional activities are by definition activities that substantially contribute to the first objective of climate change mitigation.</w:t>
      </w:r>
    </w:p>
    <w:p w14:paraId="1FF5293E" w14:textId="29B59EC1" w:rsidR="00492B3A" w:rsidRDefault="00B80A51" w:rsidP="00B80A51">
      <w:pPr>
        <w:jc w:val="both"/>
      </w:pPr>
      <w:r>
        <w:t>For the sake of simplicity we advise ESMA to not require a specific column regarding transitional activities. Such activities can be identified in footnotes or accompanying information. Information about transitional and enabling activities will be included in accompanying information</w:t>
      </w:r>
      <w:r>
        <w:t>.</w:t>
      </w:r>
    </w:p>
    <w:permEnd w:id="1046510351"/>
    <w:p w14:paraId="1B3BEA7F" w14:textId="77777777" w:rsidR="00492B3A" w:rsidRDefault="00492B3A" w:rsidP="00492B3A">
      <w:r>
        <w:t>&lt;ESMA_QUESTION_TRART8_16&gt;</w:t>
      </w:r>
    </w:p>
    <w:p w14:paraId="649FBBBD" w14:textId="77777777" w:rsidR="00492B3A" w:rsidRDefault="00492B3A" w:rsidP="00492B3A"/>
    <w:p w14:paraId="5EF224F0" w14:textId="645A4977" w:rsidR="00492B3A" w:rsidRDefault="00492B3A" w:rsidP="00492B3A">
      <w:pPr>
        <w:pStyle w:val="Questionstyle"/>
      </w:pPr>
      <w:r>
        <w:lastRenderedPageBreak/>
        <w:t>Do you agree that the three KPIs should be provided per environmental objective as well as a total at undertaking or group level across all objectives? If not, please provide your reasons and address the impact of your proposal to financial market participants along the investment chain.</w:t>
      </w:r>
    </w:p>
    <w:p w14:paraId="0A7FFEE1" w14:textId="77777777" w:rsidR="00492B3A" w:rsidRDefault="00492B3A" w:rsidP="00492B3A">
      <w:r>
        <w:t>&lt;ESMA_QUESTION_TRART8_17&gt;</w:t>
      </w:r>
    </w:p>
    <w:p w14:paraId="6B61C298" w14:textId="098FCC1C" w:rsidR="00492B3A" w:rsidRDefault="00B80A51" w:rsidP="00B80A51">
      <w:pPr>
        <w:jc w:val="both"/>
      </w:pPr>
      <w:permStart w:id="1692017174" w:edGrp="everyone"/>
      <w:r w:rsidRPr="00B80A51">
        <w:t>Yes, we agree with ESMA’s proposal notwithstanding our reservations about disclosing the proportion of OpEx associated with sustainable activities</w:t>
      </w:r>
      <w:r>
        <w:t>.</w:t>
      </w:r>
    </w:p>
    <w:permEnd w:id="1692017174"/>
    <w:p w14:paraId="20733EA7" w14:textId="77777777" w:rsidR="00492B3A" w:rsidRDefault="00492B3A" w:rsidP="00492B3A">
      <w:r>
        <w:t>&lt;ESMA_QUESTION_TRART8_17&gt;</w:t>
      </w:r>
    </w:p>
    <w:p w14:paraId="003742D8" w14:textId="77777777" w:rsidR="00492B3A" w:rsidRDefault="00492B3A" w:rsidP="00492B3A"/>
    <w:p w14:paraId="630C1875" w14:textId="71E26F90" w:rsidR="00492B3A" w:rsidRDefault="00492B3A" w:rsidP="00492B3A">
      <w:pPr>
        <w:pStyle w:val="Questionstyle"/>
      </w:pPr>
      <w:r>
        <w:t>Do you agree that non-financial undertakings should be required to provide the three KPIs for economic activities which are covered by the Taxonomy, economic activities which are covered by the Taxonomy but for which the relevant criteria are not met and therefore are not Taxonomy-aligned as well as for economic activities which are not covered by the Taxonomy?</w:t>
      </w:r>
    </w:p>
    <w:p w14:paraId="62131EFD" w14:textId="77777777" w:rsidR="00492B3A" w:rsidRDefault="00492B3A" w:rsidP="00492B3A">
      <w:r>
        <w:t>&lt;ESMA_QUESTION_TRART8_18&gt;</w:t>
      </w:r>
    </w:p>
    <w:p w14:paraId="6D6AE62C" w14:textId="77777777" w:rsidR="00B80A51" w:rsidRDefault="00B80A51" w:rsidP="00B80A51">
      <w:pPr>
        <w:jc w:val="both"/>
      </w:pPr>
      <w:permStart w:id="2067675786" w:edGrp="everyone"/>
      <w:r>
        <w:t>We consider that companies should not have to disclose the KPIs for economic activities which are covered by the Taxonomy but for which the relevant criteria are not met and for activities not covered by the  Taxonomy.</w:t>
      </w:r>
    </w:p>
    <w:p w14:paraId="1298BA03" w14:textId="390D0C90" w:rsidR="00492B3A" w:rsidRDefault="00B80A51" w:rsidP="00B80A51">
      <w:pPr>
        <w:jc w:val="both"/>
      </w:pPr>
      <w:r>
        <w:t>Article 8 of the Taxonomy Regulation requires only the disclosure of the proportion of revenue, CapEx and OpEx associated with sustainable activities under articles 3 and 9. Therefore activities for which there are no technical criteria defined do not fall under the scope of article 8.</w:t>
      </w:r>
    </w:p>
    <w:permEnd w:id="2067675786"/>
    <w:p w14:paraId="0824C05D" w14:textId="77777777" w:rsidR="00492B3A" w:rsidRDefault="00492B3A" w:rsidP="00492B3A">
      <w:r>
        <w:t>&lt;ESMA_QUESTION_TRART8_18&gt;</w:t>
      </w:r>
    </w:p>
    <w:p w14:paraId="04F456E7" w14:textId="77777777" w:rsidR="00492B3A" w:rsidRDefault="00492B3A" w:rsidP="00492B3A"/>
    <w:p w14:paraId="2CB6885A" w14:textId="000888D8" w:rsidR="00492B3A" w:rsidRDefault="00492B3A" w:rsidP="00492B3A">
      <w:pPr>
        <w:pStyle w:val="Questionstyle"/>
      </w:pPr>
      <w:r>
        <w:t>Do you agree with the proposal not to require retroactive disclosure concerning the four environmental objectives relating to the financial year 2021?</w:t>
      </w:r>
    </w:p>
    <w:p w14:paraId="7199B384" w14:textId="77777777" w:rsidR="00492B3A" w:rsidRDefault="00492B3A" w:rsidP="00492B3A">
      <w:r>
        <w:t>&lt;ESMA_QUESTION_TRART8_19&gt;</w:t>
      </w:r>
    </w:p>
    <w:p w14:paraId="3088D274" w14:textId="44E3AF35" w:rsidR="00492B3A" w:rsidRDefault="0002410F" w:rsidP="0002410F">
      <w:pPr>
        <w:jc w:val="both"/>
      </w:pPr>
      <w:permStart w:id="1373325572" w:edGrp="everyone"/>
      <w:r w:rsidRPr="0002410F">
        <w:t>Yes, we agree with ESMA’s proposal not to require retroactive disclosure concerning the four environmental objectives relating to the financial year 2021.</w:t>
      </w:r>
    </w:p>
    <w:permEnd w:id="1373325572"/>
    <w:p w14:paraId="0BFE7D97" w14:textId="77777777" w:rsidR="00492B3A" w:rsidRDefault="00492B3A" w:rsidP="00492B3A">
      <w:r>
        <w:t>&lt;ESMA_QUESTION_TRART8_19&gt;</w:t>
      </w:r>
    </w:p>
    <w:p w14:paraId="3D24CE57" w14:textId="77777777" w:rsidR="00492B3A" w:rsidRDefault="00492B3A" w:rsidP="00492B3A"/>
    <w:p w14:paraId="480CBA32" w14:textId="73EF4494" w:rsidR="00492B3A" w:rsidRDefault="00492B3A" w:rsidP="00492B3A">
      <w:pPr>
        <w:pStyle w:val="Questionstyle"/>
      </w:pPr>
      <w:r>
        <w:t>Do you consider that there are specific elements in ESMA’s draft advice which are not in line with the information needed by financial market participants in order to comply with their own obligations under the Taxonomy Regulation and the SFDR? If yes, please specify in your answer.</w:t>
      </w:r>
    </w:p>
    <w:p w14:paraId="2B4FDACB" w14:textId="77777777" w:rsidR="00492B3A" w:rsidRDefault="00492B3A" w:rsidP="00492B3A">
      <w:r>
        <w:t>&lt;ESMA_QUESTION_TRART8_20&gt;</w:t>
      </w:r>
    </w:p>
    <w:p w14:paraId="3189744A" w14:textId="77777777" w:rsidR="00492B3A" w:rsidRDefault="00492B3A" w:rsidP="00492B3A">
      <w:permStart w:id="1139373962" w:edGrp="everyone"/>
      <w:r>
        <w:t>TYPE YOUR TEXT HERE</w:t>
      </w:r>
    </w:p>
    <w:permEnd w:id="1139373962"/>
    <w:p w14:paraId="013F0CDC" w14:textId="77777777" w:rsidR="00492B3A" w:rsidRDefault="00492B3A" w:rsidP="00492B3A">
      <w:r>
        <w:t>&lt;ESMA_QUESTION_TRART8_20&gt;</w:t>
      </w:r>
    </w:p>
    <w:p w14:paraId="6ADCFC75" w14:textId="77777777" w:rsidR="00492B3A" w:rsidRDefault="00492B3A" w:rsidP="00492B3A"/>
    <w:p w14:paraId="3ACDF89C" w14:textId="1758DD30" w:rsidR="00492B3A" w:rsidRDefault="00492B3A" w:rsidP="00492B3A">
      <w:pPr>
        <w:pStyle w:val="Questionstyle"/>
      </w:pPr>
      <w:r>
        <w:t>Are there points that should be addressed in ESMA’s advice in order to facilitate compliance of financial market participants across the investment chain? If yes, please specify.</w:t>
      </w:r>
    </w:p>
    <w:p w14:paraId="0AC75177" w14:textId="77777777" w:rsidR="00492B3A" w:rsidRDefault="00492B3A" w:rsidP="00492B3A">
      <w:r>
        <w:t>&lt;ESMA_QUESTION_TRART8_21&gt;</w:t>
      </w:r>
    </w:p>
    <w:p w14:paraId="1B8CFF13" w14:textId="77777777" w:rsidR="00492B3A" w:rsidRDefault="00492B3A" w:rsidP="00492B3A">
      <w:permStart w:id="1800012995" w:edGrp="everyone"/>
      <w:r>
        <w:t>TYPE YOUR TEXT HERE</w:t>
      </w:r>
    </w:p>
    <w:permEnd w:id="1800012995"/>
    <w:p w14:paraId="0B224243" w14:textId="77777777" w:rsidR="00492B3A" w:rsidRDefault="00492B3A" w:rsidP="00492B3A">
      <w:r>
        <w:t>&lt;ESMA_QUESTION_TRART8_21&gt;</w:t>
      </w:r>
    </w:p>
    <w:p w14:paraId="3C54CD52" w14:textId="77777777" w:rsidR="00492B3A" w:rsidRDefault="00492B3A" w:rsidP="00492B3A"/>
    <w:p w14:paraId="1C55997C" w14:textId="3797E289" w:rsidR="00492B3A" w:rsidRDefault="00492B3A" w:rsidP="00492B3A">
      <w:pPr>
        <w:pStyle w:val="Questionstyle"/>
      </w:pPr>
      <w:r>
        <w:lastRenderedPageBreak/>
        <w:t>Do you believe that ESMA’s detailed proposals under Section 3.3 will impose additional costs on non-financial undertakings? If yes, please specify the type of those costs, to which specific proposal they relate including whether they are one-off or on-going, and provide your best quantitative estimate of their size.</w:t>
      </w:r>
    </w:p>
    <w:p w14:paraId="1AEDE398" w14:textId="77777777" w:rsidR="00492B3A" w:rsidRDefault="00492B3A" w:rsidP="00492B3A">
      <w:r>
        <w:t>&lt;ESMA_QUESTION_TRART8_22&gt;</w:t>
      </w:r>
    </w:p>
    <w:p w14:paraId="334104E1" w14:textId="3C3FF7C9" w:rsidR="00492B3A" w:rsidRDefault="0002410F" w:rsidP="0002410F">
      <w:pPr>
        <w:jc w:val="both"/>
      </w:pPr>
      <w:permStart w:id="449525443" w:edGrp="everyone"/>
      <w:r w:rsidRPr="00F64716">
        <w:t xml:space="preserve">Yes, we believe that the new reporting requirements will generate additional costs. Please refer to our </w:t>
      </w:r>
      <w:r>
        <w:t>ans</w:t>
      </w:r>
      <w:r w:rsidRPr="00F64716">
        <w:t>wer to question 7</w:t>
      </w:r>
      <w:r>
        <w:t>.</w:t>
      </w:r>
    </w:p>
    <w:permEnd w:id="449525443"/>
    <w:p w14:paraId="6064EA3A" w14:textId="77777777" w:rsidR="00492B3A" w:rsidRDefault="00492B3A" w:rsidP="00492B3A">
      <w:r>
        <w:t>&lt;ESMA_QUESTION_TRART8_22&gt;</w:t>
      </w:r>
    </w:p>
    <w:p w14:paraId="1A7A9FA5" w14:textId="77777777" w:rsidR="00492B3A" w:rsidRDefault="00492B3A" w:rsidP="00492B3A"/>
    <w:p w14:paraId="6D4B37FC" w14:textId="4EF0566C" w:rsidR="00492B3A" w:rsidRDefault="00492B3A" w:rsidP="00492B3A">
      <w:pPr>
        <w:pStyle w:val="Questionstyle"/>
      </w:pPr>
      <w:r>
        <w:t>Do you consider there are additional topics that should be considered by ESMA in order to specify the methodology that non-financial undertakings should follow? If yes, please elaborate and explain the relevance of these topics.</w:t>
      </w:r>
    </w:p>
    <w:p w14:paraId="79AF9D7A" w14:textId="77777777" w:rsidR="00492B3A" w:rsidRDefault="00492B3A" w:rsidP="00492B3A">
      <w:r>
        <w:t>&lt;ESMA_QUESTION_TRART8_23&gt;</w:t>
      </w:r>
    </w:p>
    <w:p w14:paraId="613956EA" w14:textId="0FBF3219" w:rsidR="00492B3A" w:rsidRDefault="0002410F" w:rsidP="00492B3A">
      <w:permStart w:id="1857751903" w:edGrp="everyone"/>
      <w:r>
        <w:t>Guidance from ESMA regarding how to account for activities carried out in third countries would be useful.</w:t>
      </w:r>
    </w:p>
    <w:permEnd w:id="1857751903"/>
    <w:p w14:paraId="6FC84A1D" w14:textId="77777777" w:rsidR="00492B3A" w:rsidRDefault="00492B3A" w:rsidP="00492B3A">
      <w:r>
        <w:t>&lt;ESMA_QUESTION_TRART8_23&gt;</w:t>
      </w:r>
    </w:p>
    <w:p w14:paraId="71D02515" w14:textId="77777777" w:rsidR="00492B3A" w:rsidRDefault="00492B3A" w:rsidP="00492B3A"/>
    <w:p w14:paraId="592B7BDB" w14:textId="5B007498" w:rsidR="00492B3A" w:rsidRDefault="00492B3A" w:rsidP="00492B3A">
      <w:pPr>
        <w:pStyle w:val="Questionstyle"/>
      </w:pPr>
      <w:r>
        <w:t>Do you agree that in order to ensure the comparability of the information disclosed under Article 8(2) of the Taxonomy Regulation and as such facilitate its usage, ESMA should propose the use of a standardised table?</w:t>
      </w:r>
    </w:p>
    <w:p w14:paraId="743B69AE" w14:textId="77777777" w:rsidR="00492B3A" w:rsidRDefault="00492B3A" w:rsidP="00492B3A">
      <w:r>
        <w:t>&lt;ESMA_QUESTION_TRART8_24&gt;</w:t>
      </w:r>
    </w:p>
    <w:p w14:paraId="58910E03" w14:textId="77777777" w:rsidR="0002410F" w:rsidRDefault="0002410F" w:rsidP="0002410F">
      <w:pPr>
        <w:jc w:val="both"/>
      </w:pPr>
      <w:permStart w:id="2059688895" w:edGrp="everyone"/>
      <w:r>
        <w:t>Providing a standardised table could be useful but it should remain an example and companies should have the flexibility to choose a different format.</w:t>
      </w:r>
    </w:p>
    <w:p w14:paraId="26523259" w14:textId="4FD364F4" w:rsidR="00492B3A" w:rsidRDefault="0002410F" w:rsidP="0002410F">
      <w:pPr>
        <w:jc w:val="both"/>
      </w:pPr>
      <w:r>
        <w:t>The proportion of revenue associated with sustainable activities is however – and to a certain extent – the easiest KPI to calculate and publish. We would also appreciate templates for CapEx and OpEx KPIs.</w:t>
      </w:r>
    </w:p>
    <w:permEnd w:id="2059688895"/>
    <w:p w14:paraId="3A6236CE" w14:textId="77777777" w:rsidR="00492B3A" w:rsidRDefault="00492B3A" w:rsidP="00492B3A">
      <w:r>
        <w:t>&lt;ESMA_QUESTION_TRART8_24&gt;</w:t>
      </w:r>
    </w:p>
    <w:p w14:paraId="64DD58B2" w14:textId="77777777" w:rsidR="00492B3A" w:rsidRDefault="00492B3A" w:rsidP="00492B3A"/>
    <w:p w14:paraId="1AA09908" w14:textId="0936C4AE" w:rsidR="00492B3A" w:rsidRDefault="00492B3A" w:rsidP="00492B3A">
      <w:pPr>
        <w:pStyle w:val="Questionstyle"/>
      </w:pPr>
      <w:r>
        <w:t>Do you consider that the standard table provided in Annex III of this Consultation Paper is fit for purpose? Do you think the standard table provides the right information, taking into account the burden on non-financial undertakings of compiling the data versus the benefit to users of receiving the data? If not, please explain and provide alternative suggestions to promote the standardisation of the disclosure obligations pursuant to Article 8 of the Taxonomy Regulation.</w:t>
      </w:r>
    </w:p>
    <w:p w14:paraId="1E1B7EC2" w14:textId="77777777" w:rsidR="00492B3A" w:rsidRDefault="00492B3A" w:rsidP="00492B3A">
      <w:r>
        <w:t>&lt;ESMA_QUESTION_TRART8_25&gt;</w:t>
      </w:r>
    </w:p>
    <w:p w14:paraId="1FDA8A75" w14:textId="29E17535" w:rsidR="00492B3A" w:rsidRDefault="0002410F" w:rsidP="00492B3A">
      <w:permStart w:id="1618612787" w:edGrp="everyone"/>
      <w:r>
        <w:t>Please, refer to our answer to the previous question.</w:t>
      </w:r>
    </w:p>
    <w:permEnd w:id="1618612787"/>
    <w:p w14:paraId="1DFE63E7" w14:textId="77777777" w:rsidR="00492B3A" w:rsidRDefault="00492B3A" w:rsidP="00492B3A">
      <w:r>
        <w:t>&lt;ESMA_QUESTION_TRART8_25&gt;</w:t>
      </w:r>
    </w:p>
    <w:p w14:paraId="434B4DA4" w14:textId="77777777" w:rsidR="00492B3A" w:rsidRDefault="00492B3A" w:rsidP="00492B3A"/>
    <w:p w14:paraId="3AEE5350" w14:textId="1252AAF1" w:rsidR="00492B3A" w:rsidRDefault="00492B3A" w:rsidP="00492B3A">
      <w:pPr>
        <w:pStyle w:val="Questionstyle"/>
      </w:pPr>
      <w:r>
        <w:t>Do you agree that the disclosure in the three standard tables should comply with the formatting rules mentioned in Table 5?</w:t>
      </w:r>
    </w:p>
    <w:p w14:paraId="63FEE985" w14:textId="77777777" w:rsidR="00492B3A" w:rsidRDefault="00492B3A" w:rsidP="00492B3A">
      <w:r>
        <w:t>&lt;ESMA_QUESTION_TRART8_26&gt;</w:t>
      </w:r>
    </w:p>
    <w:p w14:paraId="45517BC4" w14:textId="26058396" w:rsidR="00492B3A" w:rsidRDefault="0002410F" w:rsidP="0002410F">
      <w:pPr>
        <w:jc w:val="both"/>
      </w:pPr>
      <w:permStart w:id="300711497" w:edGrp="everyone"/>
      <w:r w:rsidRPr="0002410F">
        <w:t>Flexibility should be granted to companies to allow them to ensure consistency with their reporting format and practices.</w:t>
      </w:r>
    </w:p>
    <w:permEnd w:id="300711497"/>
    <w:p w14:paraId="6205EFFC" w14:textId="77777777" w:rsidR="00492B3A" w:rsidRDefault="00492B3A" w:rsidP="00492B3A">
      <w:r>
        <w:t>&lt;ESMA_QUESTION_TRART8_26&gt;</w:t>
      </w:r>
    </w:p>
    <w:p w14:paraId="18D471F6" w14:textId="77777777" w:rsidR="00492B3A" w:rsidRDefault="00492B3A" w:rsidP="00492B3A"/>
    <w:p w14:paraId="2924B4EC" w14:textId="7E5E2100" w:rsidR="00492B3A" w:rsidRDefault="00492B3A" w:rsidP="00492B3A">
      <w:pPr>
        <w:pStyle w:val="Questionstyle"/>
      </w:pPr>
      <w:r>
        <w:lastRenderedPageBreak/>
        <w:t>Do you believe that ESMA’s detailed proposals under Section 3.4 will impose additional costs on non-financial undertakings? If yes, please specify the type of those costs, to which specific proposal they relate including whether they are one-off or on-going, and provide your best quantitative estimate of their size.</w:t>
      </w:r>
    </w:p>
    <w:p w14:paraId="003D9150" w14:textId="77777777" w:rsidR="00492B3A" w:rsidRDefault="00492B3A" w:rsidP="00492B3A">
      <w:r>
        <w:t>&lt;ESMA_QUESTION_TRART8_27&gt;</w:t>
      </w:r>
    </w:p>
    <w:p w14:paraId="54FC59CA" w14:textId="77777777" w:rsidR="00492B3A" w:rsidRDefault="00492B3A" w:rsidP="00492B3A">
      <w:permStart w:id="1094988904" w:edGrp="everyone"/>
      <w:r>
        <w:t>TYPE YOUR TEXT HERE</w:t>
      </w:r>
    </w:p>
    <w:permEnd w:id="1094988904"/>
    <w:p w14:paraId="700D8F45" w14:textId="77777777" w:rsidR="00492B3A" w:rsidRDefault="00492B3A" w:rsidP="00492B3A">
      <w:r>
        <w:t>&lt;ESMA_QUESTION_TRART8_27&gt;</w:t>
      </w:r>
    </w:p>
    <w:p w14:paraId="533E4014" w14:textId="77777777" w:rsidR="00492B3A" w:rsidRDefault="00492B3A" w:rsidP="00492B3A"/>
    <w:p w14:paraId="162D1C68" w14:textId="318E4B96" w:rsidR="00492B3A" w:rsidRDefault="00492B3A" w:rsidP="00492B3A">
      <w:pPr>
        <w:pStyle w:val="Questionstyle"/>
      </w:pPr>
      <w:r>
        <w:t>Do you agree that a share of investments is an appropriate KPI for asset managers? If you do not, what other KPI could be appropriate, please justify.</w:t>
      </w:r>
    </w:p>
    <w:p w14:paraId="5BA76CCA" w14:textId="77777777" w:rsidR="00492B3A" w:rsidRDefault="00492B3A" w:rsidP="00492B3A">
      <w:r>
        <w:t>&lt;ESMA_QUESTION_TRART8_28&gt;</w:t>
      </w:r>
    </w:p>
    <w:p w14:paraId="41056543" w14:textId="77777777" w:rsidR="00492B3A" w:rsidRDefault="00492B3A" w:rsidP="00492B3A">
      <w:permStart w:id="1382092212" w:edGrp="everyone"/>
      <w:r>
        <w:t>TYPE YOUR TEXT HERE</w:t>
      </w:r>
    </w:p>
    <w:permEnd w:id="1382092212"/>
    <w:p w14:paraId="070A9A0E" w14:textId="77777777" w:rsidR="00492B3A" w:rsidRDefault="00492B3A" w:rsidP="00492B3A">
      <w:r>
        <w:t>&lt;ESMA_QUESTION_TRART8_28&gt;</w:t>
      </w:r>
    </w:p>
    <w:p w14:paraId="3CC4AEFA" w14:textId="77777777" w:rsidR="00492B3A" w:rsidRDefault="00492B3A" w:rsidP="00492B3A"/>
    <w:p w14:paraId="607986E2" w14:textId="2125AE0D" w:rsidR="00492B3A" w:rsidRDefault="00492B3A" w:rsidP="00492B3A">
      <w:pPr>
        <w:pStyle w:val="Questionstyle"/>
      </w:pPr>
      <w:r>
        <w:t>This advice focuses on the collective portfolio management activities of asset managers. Should this advice also cover potentially any other activities that asset managers may have a license for, such as individual portfolio management, investment advice, safekeeping and administration or reception and transmission of orders (‘RTO’)?</w:t>
      </w:r>
    </w:p>
    <w:p w14:paraId="313872AE" w14:textId="77777777" w:rsidR="00492B3A" w:rsidRDefault="00492B3A" w:rsidP="00492B3A">
      <w:r>
        <w:t>&lt;ESMA_QUESTION_TRART8_29&gt;</w:t>
      </w:r>
    </w:p>
    <w:p w14:paraId="5D944A3C" w14:textId="77777777" w:rsidR="00492B3A" w:rsidRDefault="00492B3A" w:rsidP="00492B3A">
      <w:permStart w:id="1069877549" w:edGrp="everyone"/>
      <w:r>
        <w:t>TYPE YOUR TEXT HERE</w:t>
      </w:r>
    </w:p>
    <w:permEnd w:id="1069877549"/>
    <w:p w14:paraId="1CF0D583" w14:textId="77777777" w:rsidR="00492B3A" w:rsidRDefault="00492B3A" w:rsidP="00492B3A">
      <w:r>
        <w:t>&lt;ESMA_QUESTION_TRART8_29&gt;</w:t>
      </w:r>
    </w:p>
    <w:p w14:paraId="5E3BC3C7" w14:textId="77777777" w:rsidR="00492B3A" w:rsidRDefault="00492B3A" w:rsidP="00492B3A"/>
    <w:p w14:paraId="35D2842F" w14:textId="4A71B005" w:rsidR="00492B3A" w:rsidRDefault="00492B3A" w:rsidP="00492B3A">
      <w:pPr>
        <w:pStyle w:val="Questionstyle"/>
      </w:pPr>
      <w:r>
        <w:t>Do you agree that for the numerator of the KPI the asset manager should consider a weighted average of the investments exposed to investee companies based on the share of turnover derived from Taxonomy-aligned activities of the investee companies? If not please propose and justify an alternative.</w:t>
      </w:r>
    </w:p>
    <w:p w14:paraId="6825BF36" w14:textId="77777777" w:rsidR="00492B3A" w:rsidRDefault="00492B3A" w:rsidP="00492B3A">
      <w:r>
        <w:t>&lt;ESMA_QUESTION_TRART8_30&gt;</w:t>
      </w:r>
    </w:p>
    <w:p w14:paraId="0B25670B" w14:textId="77777777" w:rsidR="00492B3A" w:rsidRDefault="00492B3A" w:rsidP="00492B3A">
      <w:permStart w:id="1684879065" w:edGrp="everyone"/>
      <w:r>
        <w:t>TYPE YOUR TEXT HERE</w:t>
      </w:r>
    </w:p>
    <w:permEnd w:id="1684879065"/>
    <w:p w14:paraId="34EEBE1B" w14:textId="77777777" w:rsidR="00492B3A" w:rsidRDefault="00492B3A" w:rsidP="00492B3A">
      <w:r>
        <w:t>&lt;ESMA_QUESTION_TRART8_30&gt;</w:t>
      </w:r>
    </w:p>
    <w:p w14:paraId="45FFD29F" w14:textId="77777777" w:rsidR="00492B3A" w:rsidRDefault="00492B3A" w:rsidP="00492B3A"/>
    <w:p w14:paraId="023FFC2D" w14:textId="27C5EF45" w:rsidR="00492B3A" w:rsidRDefault="00492B3A" w:rsidP="00492B3A">
      <w:pPr>
        <w:pStyle w:val="Questionstyle"/>
      </w:pPr>
      <w:r>
        <w:t>Do you agree that in addition to a main turnover-derived Taxonomy-alignment KPI, there is merit in requiring the disclosure of CapEx and OpEx-derived figures for Taxonomy-alignment of an asset managers’ investments?</w:t>
      </w:r>
    </w:p>
    <w:p w14:paraId="6BB9F8BA" w14:textId="77777777" w:rsidR="00492B3A" w:rsidRDefault="00492B3A" w:rsidP="00492B3A">
      <w:r>
        <w:t>&lt;ESMA_QUESTION_TRART8_31&gt;</w:t>
      </w:r>
    </w:p>
    <w:p w14:paraId="5887E21F" w14:textId="77777777" w:rsidR="00492B3A" w:rsidRDefault="00492B3A" w:rsidP="00492B3A">
      <w:permStart w:id="830504005" w:edGrp="everyone"/>
      <w:r>
        <w:t>TYPE YOUR TEXT HERE</w:t>
      </w:r>
    </w:p>
    <w:permEnd w:id="830504005"/>
    <w:p w14:paraId="6FFA950D" w14:textId="77777777" w:rsidR="00492B3A" w:rsidRDefault="00492B3A" w:rsidP="00492B3A">
      <w:r>
        <w:t>&lt;ESMA_QUESTION_TRART8_31&gt;</w:t>
      </w:r>
    </w:p>
    <w:p w14:paraId="7B351319" w14:textId="77777777" w:rsidR="00492B3A" w:rsidRDefault="00492B3A" w:rsidP="00492B3A"/>
    <w:p w14:paraId="3E2A9E31" w14:textId="10AEABEC" w:rsidR="00492B3A" w:rsidRDefault="00492B3A" w:rsidP="00492B3A">
      <w:pPr>
        <w:pStyle w:val="Questionstyle"/>
      </w:pPr>
      <w:r>
        <w:t>Do you think sovereign exposures, such as sovereign bonds (but excluding green bonds complying with the EU Green Bond Standard) should be considered eligible investments and if so under what methodology?</w:t>
      </w:r>
    </w:p>
    <w:p w14:paraId="04039E3D" w14:textId="77777777" w:rsidR="00492B3A" w:rsidRDefault="00492B3A" w:rsidP="00492B3A">
      <w:r>
        <w:t>&lt;ESMA_QUESTION_TRART8_32&gt;</w:t>
      </w:r>
    </w:p>
    <w:p w14:paraId="19DA34DF" w14:textId="77777777" w:rsidR="00492B3A" w:rsidRDefault="00492B3A" w:rsidP="00492B3A">
      <w:permStart w:id="199520874" w:edGrp="everyone"/>
      <w:r>
        <w:t>TYPE YOUR TEXT HERE</w:t>
      </w:r>
    </w:p>
    <w:permEnd w:id="199520874"/>
    <w:p w14:paraId="632B1704" w14:textId="77777777" w:rsidR="00492B3A" w:rsidRDefault="00492B3A" w:rsidP="00492B3A">
      <w:r>
        <w:t>&lt;ESMA_QUESTION_TRART8_32&gt;</w:t>
      </w:r>
    </w:p>
    <w:p w14:paraId="071EE3A7" w14:textId="77777777" w:rsidR="00492B3A" w:rsidRDefault="00492B3A" w:rsidP="00492B3A"/>
    <w:p w14:paraId="4710200F" w14:textId="4137D07F" w:rsidR="00492B3A" w:rsidRDefault="00492B3A" w:rsidP="00492B3A">
      <w:pPr>
        <w:pStyle w:val="Questionstyle"/>
      </w:pPr>
      <w:r>
        <w:t>Do you agree that the denominator should consist of the value of eligible investments in the funds managed by the asset manager or should it be simply the value of all assets in the funds managed by the asset manager?</w:t>
      </w:r>
    </w:p>
    <w:p w14:paraId="50AAC799" w14:textId="77777777" w:rsidR="00492B3A" w:rsidRDefault="00492B3A" w:rsidP="00492B3A">
      <w:r>
        <w:t>&lt;ESMA_QUESTION_TRART8_33&gt;</w:t>
      </w:r>
    </w:p>
    <w:p w14:paraId="42B824DB" w14:textId="77777777" w:rsidR="00492B3A" w:rsidRDefault="00492B3A" w:rsidP="00492B3A">
      <w:permStart w:id="2027381222" w:edGrp="everyone"/>
      <w:r>
        <w:t>TYPE YOUR TEXT HERE</w:t>
      </w:r>
    </w:p>
    <w:permEnd w:id="2027381222"/>
    <w:p w14:paraId="2D6AAB18" w14:textId="77777777" w:rsidR="00492B3A" w:rsidRDefault="00492B3A" w:rsidP="00492B3A">
      <w:r>
        <w:t>&lt;ESMA_QUESTION_TRART8_33&gt;</w:t>
      </w:r>
    </w:p>
    <w:p w14:paraId="703280C5" w14:textId="77777777" w:rsidR="00492B3A" w:rsidRDefault="00492B3A" w:rsidP="00492B3A"/>
    <w:p w14:paraId="5C830997" w14:textId="48BDAA71" w:rsidR="00492B3A" w:rsidRDefault="00492B3A" w:rsidP="00492B3A">
      <w:pPr>
        <w:pStyle w:val="Questionstyle"/>
      </w:pPr>
      <w:r>
        <w:t>Do you support restricting the denominator to funds managed by the asset manager with sustainability characteristics or objectives (i.e. governed by Article 8 or 9 of Regulation (EU) 2019/2088)? What are the benefits and drawbacks of such an approach?</w:t>
      </w:r>
    </w:p>
    <w:p w14:paraId="2A13C1CB" w14:textId="77777777" w:rsidR="00492B3A" w:rsidRDefault="00492B3A" w:rsidP="00492B3A">
      <w:r>
        <w:t>&lt;ESMA_QUESTION_TRART8_34&gt;</w:t>
      </w:r>
    </w:p>
    <w:p w14:paraId="52FE5DB7" w14:textId="77777777" w:rsidR="00492B3A" w:rsidRDefault="00492B3A" w:rsidP="00492B3A">
      <w:permStart w:id="916395240" w:edGrp="everyone"/>
      <w:r>
        <w:t>TYPE YOUR TEXT HERE</w:t>
      </w:r>
    </w:p>
    <w:permEnd w:id="916395240"/>
    <w:p w14:paraId="035E0E93" w14:textId="77777777" w:rsidR="00492B3A" w:rsidRDefault="00492B3A" w:rsidP="00492B3A">
      <w:r>
        <w:t>&lt;ESMA_QUESTION_TRART8_34&gt;</w:t>
      </w:r>
    </w:p>
    <w:p w14:paraId="4A61CFC1" w14:textId="77777777" w:rsidR="00492B3A" w:rsidRDefault="00492B3A" w:rsidP="00492B3A"/>
    <w:p w14:paraId="256BFB5A" w14:textId="5C5C04A2" w:rsidR="00492B3A" w:rsidRDefault="00492B3A" w:rsidP="00492B3A">
      <w:pPr>
        <w:pStyle w:val="Questionstyle"/>
      </w:pPr>
      <w:r>
        <w:t>Is it appropriate to combine equity and fixed income investments in the KPI, bearing in mind that these funding tools are used for different purposes by investee companies? If not, what alternative would you propose?</w:t>
      </w:r>
    </w:p>
    <w:p w14:paraId="3A96762D" w14:textId="77777777" w:rsidR="00492B3A" w:rsidRDefault="00492B3A" w:rsidP="00492B3A">
      <w:r>
        <w:t>&lt;ESMA_QUESTION_TRART8_35&gt;</w:t>
      </w:r>
    </w:p>
    <w:p w14:paraId="394064F4" w14:textId="77777777" w:rsidR="00492B3A" w:rsidRDefault="00492B3A" w:rsidP="00492B3A">
      <w:permStart w:id="1014574023" w:edGrp="everyone"/>
      <w:r>
        <w:t>TYPE YOUR TEXT HERE</w:t>
      </w:r>
    </w:p>
    <w:permEnd w:id="1014574023"/>
    <w:p w14:paraId="766DBEDA" w14:textId="77777777" w:rsidR="00492B3A" w:rsidRDefault="00492B3A" w:rsidP="00492B3A">
      <w:r>
        <w:t>&lt;ESMA_QUESTION_TRART8_35&gt;</w:t>
      </w:r>
    </w:p>
    <w:p w14:paraId="6B3FA5B5" w14:textId="77777777" w:rsidR="00492B3A" w:rsidRDefault="00492B3A" w:rsidP="00492B3A"/>
    <w:p w14:paraId="03C4FBFB" w14:textId="6C7CBA9B" w:rsidR="00492B3A" w:rsidRDefault="00492B3A" w:rsidP="00492B3A">
      <w:pPr>
        <w:pStyle w:val="Questionstyle"/>
      </w:pPr>
      <w:r>
        <w:t>Do you believe the proposed advice will impose additional costs on asset managers? Please specify the type of those costs, to which specific proposal they relate including whether they are one-off or on-going, and provide your best quantitative estimate of their size.</w:t>
      </w:r>
    </w:p>
    <w:p w14:paraId="37037CF6" w14:textId="77777777" w:rsidR="00492B3A" w:rsidRDefault="00492B3A" w:rsidP="00492B3A">
      <w:r>
        <w:t>&lt;ESMA_QUESTION_TRART8_36&gt;</w:t>
      </w:r>
    </w:p>
    <w:p w14:paraId="1BDDCCBA" w14:textId="77777777" w:rsidR="00492B3A" w:rsidRDefault="00492B3A" w:rsidP="00492B3A">
      <w:permStart w:id="362230654" w:edGrp="everyone"/>
      <w:r>
        <w:t>TYPE YOUR TEXT HERE</w:t>
      </w:r>
    </w:p>
    <w:permEnd w:id="362230654"/>
    <w:p w14:paraId="2703A981" w14:textId="77777777" w:rsidR="00492B3A" w:rsidRDefault="00492B3A" w:rsidP="00492B3A">
      <w:r>
        <w:t>&lt;ESMA_QUESTION_TRART8_36&gt;</w:t>
      </w:r>
    </w:p>
    <w:p w14:paraId="528A7A9A" w14:textId="77777777" w:rsidR="00492B3A" w:rsidRDefault="00492B3A" w:rsidP="00492B3A"/>
    <w:p w14:paraId="258E3D63" w14:textId="5CF83F72" w:rsidR="00492B3A" w:rsidRDefault="00492B3A" w:rsidP="00492B3A">
      <w:pPr>
        <w:pStyle w:val="Questionstyle"/>
      </w:pPr>
      <w:r>
        <w:t>What are the benefits and drawbacks of limiting Taxonomy-aligned activities to those reported by Non-Financial Reporting Directive companies?</w:t>
      </w:r>
    </w:p>
    <w:p w14:paraId="5CD5D7D4" w14:textId="77777777" w:rsidR="00492B3A" w:rsidRDefault="00492B3A" w:rsidP="00492B3A">
      <w:r>
        <w:t>&lt;ESMA_QUESTION_TRART8_37&gt;</w:t>
      </w:r>
    </w:p>
    <w:p w14:paraId="12C5CA31" w14:textId="77777777" w:rsidR="00492B3A" w:rsidRDefault="00492B3A" w:rsidP="00492B3A">
      <w:permStart w:id="419981059" w:edGrp="everyone"/>
      <w:r>
        <w:t>TYPE YOUR TEXT HERE</w:t>
      </w:r>
    </w:p>
    <w:permEnd w:id="419981059"/>
    <w:p w14:paraId="48EA7C0A" w14:textId="77777777" w:rsidR="00492B3A" w:rsidRDefault="00492B3A" w:rsidP="00492B3A">
      <w:r>
        <w:t>&lt;ESMA_QUESTION_TRART8_37&gt;</w:t>
      </w:r>
    </w:p>
    <w:p w14:paraId="66A554FC" w14:textId="77777777" w:rsidR="00492B3A" w:rsidRDefault="00492B3A" w:rsidP="00492B3A"/>
    <w:p w14:paraId="6FBA4114" w14:textId="2D9D709F" w:rsidR="00492B3A" w:rsidRDefault="00492B3A" w:rsidP="00492B3A">
      <w:pPr>
        <w:pStyle w:val="Questionstyle"/>
      </w:pPr>
      <w:r>
        <w:t>Do you agree with ESMA’s recommendation that the Commission develop a methodology to allow a sector-coefficient to be assigned for non-reporting investee companies?</w:t>
      </w:r>
    </w:p>
    <w:p w14:paraId="575F8DEE" w14:textId="77777777" w:rsidR="00492B3A" w:rsidRDefault="00492B3A" w:rsidP="00492B3A">
      <w:r>
        <w:t>&lt;ESMA_QUESTION_TRART8_38&gt;</w:t>
      </w:r>
    </w:p>
    <w:p w14:paraId="07D4D26F" w14:textId="77777777" w:rsidR="00492B3A" w:rsidRDefault="00492B3A" w:rsidP="00492B3A">
      <w:permStart w:id="1610223408" w:edGrp="everyone"/>
      <w:r>
        <w:t>TYPE YOUR TEXT HERE</w:t>
      </w:r>
    </w:p>
    <w:permEnd w:id="1610223408"/>
    <w:p w14:paraId="0A99A02E" w14:textId="77777777" w:rsidR="00492B3A" w:rsidRDefault="00492B3A" w:rsidP="00492B3A">
      <w:r>
        <w:t>&lt;ESMA_QUESTION_TRART8_38&gt;</w:t>
      </w:r>
    </w:p>
    <w:p w14:paraId="42A2AC7F" w14:textId="77777777" w:rsidR="00492B3A" w:rsidRDefault="00492B3A" w:rsidP="00492B3A"/>
    <w:p w14:paraId="75C06F48" w14:textId="043E1C76" w:rsidR="00492B3A" w:rsidRDefault="00492B3A" w:rsidP="00492B3A">
      <w:pPr>
        <w:pStyle w:val="Questionstyle"/>
      </w:pPr>
      <w:r>
        <w:t>Should netting be allowed, on the lines of Article 3 of the Short-Selling Regulation?</w:t>
      </w:r>
    </w:p>
    <w:p w14:paraId="727A139D" w14:textId="77777777" w:rsidR="00492B3A" w:rsidRDefault="00492B3A" w:rsidP="00492B3A">
      <w:r>
        <w:t>&lt;ESMA_QUESTION_TRART8_39&gt;</w:t>
      </w:r>
    </w:p>
    <w:p w14:paraId="504F74FB" w14:textId="77777777" w:rsidR="00492B3A" w:rsidRDefault="00492B3A" w:rsidP="00492B3A">
      <w:permStart w:id="341070213" w:edGrp="everyone"/>
      <w:r>
        <w:lastRenderedPageBreak/>
        <w:t>TYPE YOUR TEXT HERE</w:t>
      </w:r>
    </w:p>
    <w:permEnd w:id="341070213"/>
    <w:p w14:paraId="1347A045" w14:textId="77777777" w:rsidR="00492B3A" w:rsidRDefault="00492B3A" w:rsidP="00492B3A">
      <w:r>
        <w:t>&lt;ESMA_QUESTION_TRART8_39&gt;</w:t>
      </w:r>
    </w:p>
    <w:p w14:paraId="3DDC3DCD" w14:textId="77777777" w:rsidR="00492B3A" w:rsidRDefault="00492B3A" w:rsidP="00492B3A"/>
    <w:p w14:paraId="453BA6EE" w14:textId="0825D9EA" w:rsidR="00492B3A" w:rsidRDefault="00492B3A" w:rsidP="00492B3A">
      <w:pPr>
        <w:pStyle w:val="Questionstyle"/>
      </w:pPr>
      <w:r>
        <w:t>How should derivatives be treated for the calculation purposes? Should futures be considered as potential Taxonomy-aligned investments?</w:t>
      </w:r>
    </w:p>
    <w:p w14:paraId="1C7FE0EA" w14:textId="77777777" w:rsidR="00492B3A" w:rsidRDefault="00492B3A" w:rsidP="00492B3A">
      <w:r>
        <w:t>&lt;ESMA_QUESTION_TRART8_40&gt;</w:t>
      </w:r>
    </w:p>
    <w:p w14:paraId="70E42C6C" w14:textId="77777777" w:rsidR="00492B3A" w:rsidRDefault="00492B3A" w:rsidP="00492B3A">
      <w:permStart w:id="1390944062" w:edGrp="everyone"/>
      <w:r>
        <w:t>TYPE YOUR TEXT HERE</w:t>
      </w:r>
    </w:p>
    <w:permEnd w:id="1390944062"/>
    <w:p w14:paraId="7C892D02" w14:textId="77777777" w:rsidR="00492B3A" w:rsidRDefault="00492B3A" w:rsidP="00492B3A">
      <w:r>
        <w:t>&lt;ESMA_QUESTION_TRART8_40&gt;</w:t>
      </w:r>
    </w:p>
    <w:p w14:paraId="359096A5" w14:textId="77777777" w:rsidR="00492B3A" w:rsidRDefault="00492B3A" w:rsidP="00492B3A"/>
    <w:p w14:paraId="06F00798" w14:textId="531BBD96" w:rsidR="00492B3A" w:rsidRDefault="00492B3A" w:rsidP="00492B3A">
      <w:pPr>
        <w:pStyle w:val="Questionstyle"/>
      </w:pPr>
      <w:r>
        <w:t>What are the costs and benefits associated with the different options for non-reported activity coverage, netting and derivatives treatment presented above? Please provide a quantitative estimate for each option, distinguishing between one-off and on-going costs.</w:t>
      </w:r>
    </w:p>
    <w:p w14:paraId="416008EB" w14:textId="77777777" w:rsidR="00492B3A" w:rsidRDefault="00492B3A" w:rsidP="00492B3A">
      <w:r>
        <w:t>&lt;ESMA_QUESTION_TRART8_41&gt;</w:t>
      </w:r>
    </w:p>
    <w:p w14:paraId="1C42E9C7" w14:textId="77777777" w:rsidR="00492B3A" w:rsidRDefault="00492B3A" w:rsidP="00492B3A">
      <w:permStart w:id="702374025" w:edGrp="everyone"/>
      <w:r>
        <w:t>TYPE YOUR TEXT HERE</w:t>
      </w:r>
    </w:p>
    <w:permEnd w:id="702374025"/>
    <w:p w14:paraId="4E0F38EE" w14:textId="77777777" w:rsidR="00492B3A" w:rsidRDefault="00492B3A" w:rsidP="00492B3A">
      <w:r>
        <w:t>&lt;ESMA_QUESTION_TRART8_41&gt;</w:t>
      </w:r>
    </w:p>
    <w:p w14:paraId="3907E0CC" w14:textId="77777777" w:rsidR="00492B3A" w:rsidRDefault="00492B3A" w:rsidP="00492B3A"/>
    <w:p w14:paraId="7E47BFE2" w14:textId="737B1A44" w:rsidR="00492B3A" w:rsidRDefault="00492B3A" w:rsidP="00492B3A">
      <w:pPr>
        <w:pStyle w:val="Questionstyle"/>
      </w:pPr>
      <w:r>
        <w:t>Do you have any views on the proposed advice recommending a standardised table for presentation of the KPI for asset managers in Annex IV?</w:t>
      </w:r>
    </w:p>
    <w:p w14:paraId="21992FC6" w14:textId="77777777" w:rsidR="00492B3A" w:rsidRDefault="00492B3A" w:rsidP="00492B3A">
      <w:r>
        <w:t>&lt;ESMA_QUESTION_TRART8_42&gt;</w:t>
      </w:r>
    </w:p>
    <w:p w14:paraId="0CCA7D59" w14:textId="77777777" w:rsidR="00492B3A" w:rsidRDefault="00492B3A" w:rsidP="00492B3A">
      <w:permStart w:id="2130857204" w:edGrp="everyone"/>
      <w:r>
        <w:t>TYPE YOUR TEXT HERE</w:t>
      </w:r>
    </w:p>
    <w:permEnd w:id="2130857204"/>
    <w:p w14:paraId="4F377E92" w14:textId="77777777" w:rsidR="00492B3A" w:rsidRDefault="00492B3A" w:rsidP="00492B3A">
      <w:r>
        <w:t>&lt;ESMA_QUESTION_TRART8_42&gt;</w:t>
      </w:r>
    </w:p>
    <w:p w14:paraId="1EFF8C92" w14:textId="77777777" w:rsidR="00492B3A" w:rsidRDefault="00492B3A" w:rsidP="00492B3A"/>
    <w:p w14:paraId="4CC0753C" w14:textId="533D0200" w:rsidR="00492B3A" w:rsidRDefault="00492B3A" w:rsidP="00492B3A">
      <w:pPr>
        <w:pStyle w:val="Questionstyle"/>
      </w:pPr>
      <w:r>
        <w:t>Do you agree with presenting accompanying information in the vicinity of the standard table?</w:t>
      </w:r>
    </w:p>
    <w:p w14:paraId="0E5E617B" w14:textId="77777777" w:rsidR="00492B3A" w:rsidRDefault="00492B3A" w:rsidP="00492B3A">
      <w:r>
        <w:t>&lt;ESMA_QUESTION_TRART8_43&gt;</w:t>
      </w:r>
    </w:p>
    <w:p w14:paraId="55CE67A0" w14:textId="77777777" w:rsidR="00492B3A" w:rsidRDefault="00492B3A" w:rsidP="00492B3A">
      <w:permStart w:id="1901090400" w:edGrp="everyone"/>
      <w:r>
        <w:t>TYPE YOUR TEXT HERE</w:t>
      </w:r>
    </w:p>
    <w:permEnd w:id="1901090400"/>
    <w:p w14:paraId="6A6A4AF3" w14:textId="77777777" w:rsidR="00492B3A" w:rsidRDefault="00492B3A" w:rsidP="00492B3A">
      <w:r>
        <w:t>&lt;ESMA_QUESTION_TRART8_43&gt;</w:t>
      </w:r>
    </w:p>
    <w:p w14:paraId="0ACA46B7" w14:textId="77777777" w:rsidR="00492B3A" w:rsidRDefault="00492B3A" w:rsidP="00492B3A"/>
    <w:p w14:paraId="0D078651" w14:textId="3DA76BA9" w:rsidR="00492B3A" w:rsidRDefault="00492B3A" w:rsidP="00492B3A">
      <w:pPr>
        <w:pStyle w:val="Questionstyle"/>
      </w:pPr>
      <w:r>
        <w:t>Do you agree that there would be merit in including in the accompanying information a link, if relevant, to an asset managers’ entity-level disclosures on principal adverse impacts of investment decisions on sustainability factors?</w:t>
      </w:r>
    </w:p>
    <w:p w14:paraId="74B88EDD" w14:textId="77777777" w:rsidR="00492B3A" w:rsidRDefault="00492B3A" w:rsidP="00492B3A">
      <w:r>
        <w:t>&lt;ESMA_QUESTION_TRART8_44&gt;</w:t>
      </w:r>
    </w:p>
    <w:p w14:paraId="674DB263" w14:textId="77777777" w:rsidR="00492B3A" w:rsidRDefault="00492B3A" w:rsidP="00492B3A">
      <w:permStart w:id="788030558" w:edGrp="everyone"/>
      <w:r>
        <w:t>TYPE YOUR TEXT HERE</w:t>
      </w:r>
    </w:p>
    <w:permEnd w:id="788030558"/>
    <w:p w14:paraId="2AC174C8" w14:textId="77777777" w:rsidR="00492B3A" w:rsidRDefault="00492B3A" w:rsidP="00492B3A">
      <w:r>
        <w:t>&lt;ESMA_QUESTION_TRART8_44&gt;</w:t>
      </w:r>
    </w:p>
    <w:p w14:paraId="5AA9D6F3" w14:textId="77777777" w:rsidR="00492B3A" w:rsidRDefault="00492B3A" w:rsidP="00492B3A"/>
    <w:p w14:paraId="40A80E41" w14:textId="7AFD00FD" w:rsidR="00492B3A" w:rsidRDefault="00492B3A" w:rsidP="00492B3A">
      <w:pPr>
        <w:pStyle w:val="Questionstyle"/>
      </w:pPr>
      <w:r>
        <w:t>Do you agree with adopting the same formatting criteria as presented in Section 3.4.2 for the asset manager KPI disclosure?</w:t>
      </w:r>
    </w:p>
    <w:p w14:paraId="0A37B5A0" w14:textId="77777777" w:rsidR="00492B3A" w:rsidRDefault="00492B3A" w:rsidP="00492B3A">
      <w:r>
        <w:t>&lt;ESMA_QUESTION_TRART8_45&gt;</w:t>
      </w:r>
    </w:p>
    <w:p w14:paraId="163F5EB8" w14:textId="77777777" w:rsidR="00492B3A" w:rsidRDefault="00492B3A" w:rsidP="00492B3A">
      <w:permStart w:id="658905723" w:edGrp="everyone"/>
      <w:r>
        <w:t>TYPE YOUR TEXT HERE</w:t>
      </w:r>
    </w:p>
    <w:permEnd w:id="658905723"/>
    <w:p w14:paraId="18217709" w14:textId="77777777" w:rsidR="00492B3A" w:rsidRDefault="00492B3A" w:rsidP="00492B3A">
      <w:r>
        <w:t>&lt;ESMA_QUESTION_TRART8_45&gt;</w:t>
      </w:r>
    </w:p>
    <w:p w14:paraId="56E064F7" w14:textId="77777777" w:rsidR="00492B3A" w:rsidRDefault="00492B3A" w:rsidP="00492B3A"/>
    <w:p w14:paraId="798E499E" w14:textId="6697B958" w:rsidR="00492B3A" w:rsidRDefault="00492B3A" w:rsidP="00492B3A">
      <w:pPr>
        <w:pStyle w:val="Questionstyle"/>
      </w:pPr>
      <w:r>
        <w:t>What are the one-off and on-going costs of setting up the reporting and disclosure under this obligation? Please clarify the type of costs incurred and provide a quantitative estimation where possible.</w:t>
      </w:r>
    </w:p>
    <w:p w14:paraId="62AB3632" w14:textId="77777777" w:rsidR="00492B3A" w:rsidRDefault="00492B3A" w:rsidP="00492B3A">
      <w:r>
        <w:lastRenderedPageBreak/>
        <w:t>&lt;ESMA_QUESTION_TRART8_46&gt;</w:t>
      </w:r>
    </w:p>
    <w:p w14:paraId="5D4B097C" w14:textId="77777777" w:rsidR="00492B3A" w:rsidRDefault="00492B3A" w:rsidP="00492B3A">
      <w:permStart w:id="2002145458" w:edGrp="everyone"/>
      <w:r>
        <w:t>TYPE YOUR TEXT HERE</w:t>
      </w:r>
    </w:p>
    <w:permEnd w:id="2002145458"/>
    <w:p w14:paraId="22B7B46A" w14:textId="77777777" w:rsidR="00492B3A" w:rsidRDefault="00492B3A" w:rsidP="00492B3A">
      <w:r>
        <w:t>&lt;ESMA_QUESTION_TRART8_46&gt;</w:t>
      </w:r>
    </w:p>
    <w:p w14:paraId="7C90FC3A" w14:textId="77777777" w:rsidR="00492B3A" w:rsidRDefault="00492B3A" w:rsidP="00492B3A"/>
    <w:p w14:paraId="61294656"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C559A" w14:textId="77777777" w:rsidR="004544AD" w:rsidRDefault="004544AD">
      <w:r>
        <w:separator/>
      </w:r>
    </w:p>
    <w:p w14:paraId="7BBCAE56" w14:textId="77777777" w:rsidR="004544AD" w:rsidRDefault="004544AD"/>
  </w:endnote>
  <w:endnote w:type="continuationSeparator" w:id="0">
    <w:p w14:paraId="119B331C" w14:textId="77777777" w:rsidR="004544AD" w:rsidRDefault="004544AD">
      <w:r>
        <w:continuationSeparator/>
      </w:r>
    </w:p>
    <w:p w14:paraId="0A04859A" w14:textId="77777777" w:rsidR="004544AD" w:rsidRDefault="004544AD"/>
  </w:endnote>
  <w:endnote w:type="continuationNotice" w:id="1">
    <w:p w14:paraId="36F626CD" w14:textId="77777777" w:rsidR="004544AD" w:rsidRDefault="00454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02F6DE" w14:textId="77777777" w:rsidR="004544AD" w:rsidRDefault="004544AD">
      <w:r>
        <w:separator/>
      </w:r>
    </w:p>
    <w:p w14:paraId="5FC5A698" w14:textId="77777777" w:rsidR="004544AD" w:rsidRDefault="004544AD"/>
  </w:footnote>
  <w:footnote w:type="continuationSeparator" w:id="0">
    <w:p w14:paraId="3DA5EA71" w14:textId="77777777" w:rsidR="004544AD" w:rsidRDefault="004544AD">
      <w:r>
        <w:continuationSeparator/>
      </w:r>
    </w:p>
    <w:p w14:paraId="211FCDE4" w14:textId="77777777" w:rsidR="004544AD" w:rsidRDefault="004544AD"/>
  </w:footnote>
  <w:footnote w:type="continuationNotice" w:id="1">
    <w:p w14:paraId="5FB1B984" w14:textId="77777777" w:rsidR="004544AD" w:rsidRDefault="00454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1AF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33CF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420527"/>
    <w:multiLevelType w:val="hybridMultilevel"/>
    <w:tmpl w:val="D2964360"/>
    <w:lvl w:ilvl="0" w:tplc="E4B818EE">
      <w:start w:val="1"/>
      <w:numFmt w:val="bullet"/>
      <w:lvlText w:val="-"/>
      <w:lvlJc w:val="left"/>
      <w:pPr>
        <w:ind w:left="360" w:hanging="360"/>
      </w:pPr>
      <w:rPr>
        <w:rFonts w:ascii="Courier New" w:hAnsi="Courier New"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CE42D3"/>
    <w:multiLevelType w:val="hybridMultilevel"/>
    <w:tmpl w:val="976C9114"/>
    <w:lvl w:ilvl="0" w:tplc="E4B818EE">
      <w:start w:val="1"/>
      <w:numFmt w:val="bullet"/>
      <w:lvlText w:val="-"/>
      <w:lvlJc w:val="left"/>
      <w:pPr>
        <w:ind w:left="360" w:hanging="360"/>
      </w:pPr>
      <w:rPr>
        <w:rFonts w:ascii="Courier New" w:hAnsi="Courier New"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 w15:restartNumberingAfterBreak="0">
    <w:nsid w:val="3A52232B"/>
    <w:multiLevelType w:val="hybridMultilevel"/>
    <w:tmpl w:val="DA24552C"/>
    <w:lvl w:ilvl="0" w:tplc="0D303B1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1"/>
  </w:num>
  <w:num w:numId="4">
    <w:abstractNumId w:val="24"/>
  </w:num>
  <w:num w:numId="5">
    <w:abstractNumId w:val="26"/>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9"/>
  </w:num>
  <w:num w:numId="16">
    <w:abstractNumId w:val="1"/>
  </w:num>
  <w:num w:numId="17">
    <w:abstractNumId w:val="15"/>
  </w:num>
  <w:num w:numId="18">
    <w:abstractNumId w:val="16"/>
  </w:num>
  <w:num w:numId="19">
    <w:abstractNumId w:val="18"/>
  </w:num>
  <w:num w:numId="20">
    <w:abstractNumId w:val="27"/>
  </w:num>
  <w:num w:numId="21">
    <w:abstractNumId w:val="37"/>
  </w:num>
  <w:num w:numId="22">
    <w:abstractNumId w:val="25"/>
  </w:num>
  <w:num w:numId="23">
    <w:abstractNumId w:val="8"/>
  </w:num>
  <w:num w:numId="24">
    <w:abstractNumId w:val="30"/>
  </w:num>
  <w:num w:numId="25">
    <w:abstractNumId w:val="29"/>
  </w:num>
  <w:num w:numId="26">
    <w:abstractNumId w:val="20"/>
  </w:num>
  <w:num w:numId="27">
    <w:abstractNumId w:val="34"/>
  </w:num>
  <w:num w:numId="28">
    <w:abstractNumId w:val="39"/>
  </w:num>
  <w:num w:numId="29">
    <w:abstractNumId w:val="6"/>
  </w:num>
  <w:num w:numId="30">
    <w:abstractNumId w:val="2"/>
  </w:num>
  <w:num w:numId="31">
    <w:abstractNumId w:val="22"/>
  </w:num>
  <w:num w:numId="32">
    <w:abstractNumId w:val="21"/>
  </w:num>
  <w:num w:numId="33">
    <w:abstractNumId w:val="36"/>
  </w:num>
  <w:num w:numId="34">
    <w:abstractNumId w:val="35"/>
  </w:num>
  <w:num w:numId="35">
    <w:abstractNumId w:val="10"/>
  </w:num>
  <w:num w:numId="36">
    <w:abstractNumId w:val="13"/>
  </w:num>
  <w:num w:numId="37">
    <w:abstractNumId w:val="32"/>
  </w:num>
  <w:num w:numId="38">
    <w:abstractNumId w:val="13"/>
    <w:lvlOverride w:ilvl="0">
      <w:startOverride w:val="1"/>
    </w:lvlOverride>
  </w:num>
  <w:num w:numId="39">
    <w:abstractNumId w:val="3"/>
  </w:num>
  <w:num w:numId="40">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278qUfKmVsVwIUUEqx8iXuk9MyFVaSsIHMtcv57M68y7I6aelYzMoyjiUjJf3rdCEhJbZgCL/vDx2rV8YKdQ==" w:salt="n+J4hrjSTj4f7XM7Qe6Cg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17F9B"/>
    <w:rsid w:val="00020D0F"/>
    <w:rsid w:val="000215EB"/>
    <w:rsid w:val="00021E83"/>
    <w:rsid w:val="000229B7"/>
    <w:rsid w:val="00023713"/>
    <w:rsid w:val="00023C4D"/>
    <w:rsid w:val="0002410F"/>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04C"/>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44AD"/>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090C"/>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0A51"/>
    <w:rsid w:val="00B82DC1"/>
    <w:rsid w:val="00B835D5"/>
    <w:rsid w:val="00B84028"/>
    <w:rsid w:val="00B84307"/>
    <w:rsid w:val="00B8430D"/>
    <w:rsid w:val="00B8541E"/>
    <w:rsid w:val="00B85661"/>
    <w:rsid w:val="00B85C8A"/>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C6"/>
    <w:rsid w:val="00F975CA"/>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492B3A"/>
    <w:pPr>
      <w:numPr>
        <w:numId w:val="36"/>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492B3A"/>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e038d8b-eef4-4a8e-96f8-403daa5a894a">ESMA30-379-337</_dlc_DocId>
    <_dlc_DocIdUrl xmlns="9e038d8b-eef4-4a8e-96f8-403daa5a894a">
      <Url>https://sherpa.esma.europa.eu/sites/INI/_layouts/15/DocIdRedir.aspx?ID=ESMA30-379-337</Url>
      <Description>ESMA30-379-337</Description>
    </_dlc_DocIdUrl>
    <TaxCatchAll xmlns="9e038d8b-eef4-4a8e-96f8-403daa5a894a">
      <Value>180</Value>
      <Value>136</Value>
      <Value>177</Value>
      <Value>211</Value>
      <Value>70</Value>
    </TaxCatchAll>
    <MeetingDate xmlns="9e038d8b-eef4-4a8e-96f8-403daa5a894a">2020-11-04T23:00:00+00:00</MeetingDate>
    <Year xmlns="9e038d8b-eef4-4a8e-96f8-403daa5a894a">2020</Year>
    <nfe595ebf4f64c1a822a9d342b7a0235 xmlns="9e038d8b-eef4-4a8e-96f8-403daa5a894a">
      <Terms xmlns="http://schemas.microsoft.com/office/infopath/2007/PartnerControls"/>
    </nfe595ebf4f64c1a822a9d342b7a0235>
    <f45995dbc5e34702a4907d9c19e24ff1 xmlns="9e038d8b-eef4-4a8e-96f8-403daa5a894a">
      <Terms xmlns="http://schemas.microsoft.com/office/infopath/2007/PartnerControls"/>
    </f45995dbc5e34702a4907d9c19e24ff1>
    <m24acd4774c94f0eb085e90918c19a7d xmlns="9e038d8b-eef4-4a8e-96f8-403daa5a894a">
      <Terms xmlns="http://schemas.microsoft.com/office/infopath/2007/PartnerControls">
        <TermInfo xmlns="http://schemas.microsoft.com/office/infopath/2007/PartnerControls">
          <TermName xmlns="http://schemas.microsoft.com/office/infopath/2007/PartnerControls">Sustainable Finance</TermName>
          <TermId xmlns="http://schemas.microsoft.com/office/infopath/2007/PartnerControls">2b3d71a9-35a3-4434-9d75-bd09a37940bf</TermId>
        </TermInfo>
      </Term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f1a00f3c2bf7480bac6c55a336d088f1>
    <k24506574ead4431a8e2f3258e83a0fd xmlns="9e038d8b-eef4-4a8e-96f8-403daa5a894a">
      <Terms xmlns="http://schemas.microsoft.com/office/infopath/2007/PartnerControls"/>
    </k24506574ead4431a8e2f3258e83a0fd>
    <j1c2ab7cf6ed4bf9abdb70bc5711bad2 xmlns="9e038d8b-eef4-4a8e-96f8-403daa5a894a">
      <Terms xmlns="http://schemas.microsoft.com/office/infopath/2007/PartnerControls"/>
    </j1c2ab7cf6ed4bf9abdb70bc5711bad2>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a849d609-a31c-415e-a1a8-503bcc16b083</TermId>
        </TermInfo>
      </Terms>
    </e098e4de435d4a6084770929094063cb>
    <o40bb6b0fc4c43308119e5e44558f97d xmlns="9e038d8b-eef4-4a8e-96f8-403daa5a894a">
      <Terms xmlns="http://schemas.microsoft.com/office/infopath/2007/PartnerControls">
        <TermInfo xmlns="http://schemas.microsoft.com/office/infopath/2007/PartnerControls">
          <TermName xmlns="http://schemas.microsoft.com/office/infopath/2007/PartnerControls">ESAs</TermName>
          <TermId xmlns="http://schemas.microsoft.com/office/infopath/2007/PartnerControls">fa72426c-f4c1-4de0-83a0-2806812bd296</TermId>
        </TermInfo>
      </Terms>
    </o40bb6b0fc4c43308119e5e44558f97d>
    <g9c428d748e64a40afddd0217f2fd433 xmlns="9e038d8b-eef4-4a8e-96f8-403daa5a894a">
      <Terms xmlns="http://schemas.microsoft.com/office/infopath/2007/PartnerControls">
        <TermInfo xmlns="http://schemas.microsoft.com/office/infopath/2007/PartnerControls">
          <TermName xmlns="http://schemas.microsoft.com/office/infopath/2007/PartnerControls">Cooperations</TermName>
          <TermId xmlns="http://schemas.microsoft.com/office/infopath/2007/PartnerControls">1f032687-c036-4dea-8dd1-b89a6de9f112</TermId>
        </TermInfo>
      </Terms>
    </g9c428d748e64a40afddd0217f2fd433>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Sustainable Finance Coordination Document" ma:contentTypeID="0x0101008326B20E91D8724BBD209C9C2DA77BE3020100751FD0C8B37D344B92D0EFC36999C743" ma:contentTypeVersion="14" ma:contentTypeDescription="" ma:contentTypeScope="" ma:versionID="6d49beb5c8dd869e6db531c0d4a70b70">
  <xsd:schema xmlns:xsd="http://www.w3.org/2001/XMLSchema" xmlns:xs="http://www.w3.org/2001/XMLSchema" xmlns:p="http://schemas.microsoft.com/office/2006/metadata/properties" xmlns:ns2="9e038d8b-eef4-4a8e-96f8-403daa5a894a" targetNamespace="http://schemas.microsoft.com/office/2006/metadata/properties" ma:root="true" ma:fieldsID="5693f1fd22a6bea6aac0cbeb048b3b7c"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e098e4de435d4a6084770929094063cb" minOccurs="0"/>
                <xsd:element ref="ns2:f1a00f3c2bf7480bac6c55a336d088f1" minOccurs="0"/>
                <xsd:element ref="ns2:TaxCatchAll" minOccurs="0"/>
                <xsd:element ref="ns2:TaxCatchAllLabel" minOccurs="0"/>
                <xsd:element ref="ns2:_dlc_DocIdPersistId" minOccurs="0"/>
                <xsd:element ref="ns2:g9c428d748e64a40afddd0217f2fd433" minOccurs="0"/>
                <xsd:element ref="ns2:m24acd4774c94f0eb085e90918c19a7d" minOccurs="0"/>
                <xsd:element ref="ns2:j1c2ab7cf6ed4bf9abdb70bc5711bad2" minOccurs="0"/>
                <xsd:element ref="ns2:k24506574ead4431a8e2f3258e83a0fd" minOccurs="0"/>
                <xsd:element ref="ns2:o40bb6b0fc4c43308119e5e44558f97d" minOccurs="0"/>
                <xsd:element ref="ns2:nfe595ebf4f64c1a822a9d342b7a0235" minOccurs="0"/>
                <xsd:element ref="ns2:f45995dbc5e34702a4907d9c19e24ff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9" ma:displayName="Year" ma:internalName="Year" ma:readOnly="false">
      <xsd:simpleType>
        <xsd:restriction base="dms:Text">
          <xsd:maxLength value="4"/>
        </xsd:restriction>
      </xsd:simpleType>
    </xsd:element>
    <xsd:element name="MeetingDate" ma:index="11" nillable="true" ma:displayName="Meeting Date" ma:format="DateOnly" ma:internalName="MeetingDate" ma:readOnly="false">
      <xsd:simpleType>
        <xsd:restriction base="dms:DateTime"/>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1;#Note|b9e1c92e-303a-4555-86f0-5c711c65937e"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f1a00f3c2bf7480bac6c55a336d088f1" ma:index="16" ma:taxonomy="true" ma:internalName="f1a00f3c2bf7480bac6c55a336d088f1" ma:taxonomyFieldName="ConfidentialityLevel" ma:displayName="Confidentiality Level" ma:readOnly="false" ma:default="-1;#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g9c428d748e64a40afddd0217f2fd433" ma:index="21" ma:taxonomy="true" ma:internalName="g9c428d748e64a40afddd0217f2fd433" ma:taxonomyFieldName="TeamName" ma:displayName="Team Name" ma:readOnly="false" ma:default="-1;#Cooperations|1f032687-c036-4dea-8dd1-b89a6de9f112" ma:fieldId="{09c428d7-48e6-4a40-afdd-d0217f2fd43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m24acd4774c94f0eb085e90918c19a7d" ma:index="23" ma:taxonomy="true" ma:internalName="m24acd4774c94f0eb085e90918c19a7d" ma:taxonomyFieldName="Topic" ma:displayName="Topic" ma:readOnly="false" ma:default="177;#Sustainable Finance|2b3d71a9-35a3-4434-9d75-bd09a37940bf" ma:fieldId="{624acd47-74c9-4f0e-b085-e90918c19a7d}" ma:sspId="0ac1876e-32bf-4158-94e7-cdbcd053a335" ma:termSetId="9c4ed9b0-103f-46e9-b59c-fb2fef37ec77" ma:anchorId="00000000-0000-0000-0000-000000000000" ma:open="false" ma:isKeyword="false">
      <xsd:complexType>
        <xsd:sequence>
          <xsd:element ref="pc:Terms" minOccurs="0" maxOccurs="1"/>
        </xsd:sequence>
      </xsd:complexType>
    </xsd:element>
    <xsd:element name="j1c2ab7cf6ed4bf9abdb70bc5711bad2" ma:index="25" nillable="true" ma:taxonomy="true" ma:internalName="j1c2ab7cf6ed4bf9abdb70bc5711bad2" ma:taxonomyFieldName="StatusOfLegislation" ma:displayName="Status of legislation" ma:readOnly="false" ma:fieldId="{31c2ab7c-f6ed-4bf9-abdb-70bc5711bad2}" ma:sspId="0ac1876e-32bf-4158-94e7-cdbcd053a335" ma:termSetId="55a61bda-d82a-4e03-a226-1844979fbfa7" ma:anchorId="00000000-0000-0000-0000-000000000000" ma:open="false" ma:isKeyword="false">
      <xsd:complexType>
        <xsd:sequence>
          <xsd:element ref="pc:Terms" minOccurs="0" maxOccurs="1"/>
        </xsd:sequence>
      </xsd:complexType>
    </xsd:element>
    <xsd:element name="k24506574ead4431a8e2f3258e83a0fd" ma:index="26" nillable="true" ma:taxonomy="true" ma:internalName="k24506574ead4431a8e2f3258e83a0fd" ma:taxonomyFieldName="EsmaAudience" ma:displayName="Audience" ma:readOnly="false"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o40bb6b0fc4c43308119e5e44558f97d" ma:index="27" ma:taxonomy="true" ma:internalName="o40bb6b0fc4c43308119e5e44558f97d" ma:taxonomyFieldName="SubTopic" ma:displayName="Sub Topic" ma:readOnly="false" ma:default="" ma:fieldId="{840bb6b0-fc4c-4330-8119-e5e44558f97d}" ma:sspId="0ac1876e-32bf-4158-94e7-cdbcd053a335" ma:termSetId="56663939-ed86-4408-b26f-5b4a9652e0ac" ma:anchorId="00000000-0000-0000-0000-000000000000" ma:open="false" ma:isKeyword="false">
      <xsd:complexType>
        <xsd:sequence>
          <xsd:element ref="pc:Terms" minOccurs="0" maxOccurs="1"/>
        </xsd:sequence>
      </xsd:complexType>
    </xsd:element>
    <xsd:element name="nfe595ebf4f64c1a822a9d342b7a0235" ma:index="29" nillable="true" ma:taxonomy="true" ma:internalName="nfe595ebf4f64c1a822a9d342b7a0235" ma:taxonomyFieldName="InternalStakeholders" ma:displayName="Internal stakeholders" ma:readOnly="false" ma:fieldId="{7fe595eb-f4f6-4c1a-822a-9d342b7a0235}" ma:taxonomyMulti="true" ma:sspId="0ac1876e-32bf-4158-94e7-cdbcd053a335" ma:termSetId="6a0dc695-f023-47a5-a2e3-8f2aa0ae239e" ma:anchorId="00000000-0000-0000-0000-000000000000" ma:open="false" ma:isKeyword="false">
      <xsd:complexType>
        <xsd:sequence>
          <xsd:element ref="pc:Terms" minOccurs="0" maxOccurs="1"/>
        </xsd:sequence>
      </xsd:complexType>
    </xsd:element>
    <xsd:element name="f45995dbc5e34702a4907d9c19e24ff1" ma:index="31" nillable="true" ma:taxonomy="true" ma:internalName="f45995dbc5e34702a4907d9c19e24ff1" ma:taxonomyFieldName="ExternalStakeholders" ma:displayName="External stakeholders" ma:readOnly="false" ma:fieldId="{f45995db-c5e3-4702-a490-7d9c19e24ff1}" ma:taxonomyMulti="true" ma:sspId="0ac1876e-32bf-4158-94e7-cdbcd053a335" ma:termSetId="ed1b14a0-d3be-4f81-be4d-6bdb2bb667c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2.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05F0B5A2-D6CE-4251-B5B3-8185936F3DBB}">
  <ds:schemaRefs>
    <ds:schemaRef ds:uri="http://schemas.openxmlformats.org/officeDocument/2006/bibliography"/>
  </ds:schemaRefs>
</ds:datastoreItem>
</file>

<file path=customXml/itemProps5.xml><?xml version="1.0" encoding="utf-8"?>
<ds:datastoreItem xmlns:ds="http://schemas.openxmlformats.org/officeDocument/2006/customXml" ds:itemID="{99F3CE27-9AB0-4090-8605-5615D655E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2D1AF0-A89F-43B0-9F8C-0C6B56ED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4343</Words>
  <Characters>24760</Characters>
  <Application>Microsoft Office Word</Application>
  <DocSecurity>8</DocSecurity>
  <Lines>206</Lines>
  <Paragraphs>58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29045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EuropeanIssuers</cp:lastModifiedBy>
  <cp:revision>3</cp:revision>
  <cp:lastPrinted>2015-02-18T11:01:00Z</cp:lastPrinted>
  <dcterms:created xsi:type="dcterms:W3CDTF">2020-12-04T14:40:00Z</dcterms:created>
  <dcterms:modified xsi:type="dcterms:W3CDTF">2020-12-04T14:43:00Z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0x0101008326B20E91D8724BBD209C9C2DA77BE3020100751FD0C8B37D344B92D0EFC36999C743</vt:lpwstr>
  </property>
  <property fmtid="{D5CDD505-2E9C-101B-9397-08002B2CF9AE}" pid="3" name="EsmaAudience">
    <vt:lpwstr/>
  </property>
  <property fmtid="{D5CDD505-2E9C-101B-9397-08002B2CF9AE}" pid="4" name="TeamName">
    <vt:lpwstr>180;#Cooperations|1f032687-c036-4dea-8dd1-b89a6de9f112</vt:lpwstr>
  </property>
  <property fmtid="{D5CDD505-2E9C-101B-9397-08002B2CF9AE}" pid="5" name="Topic">
    <vt:lpwstr>177;#Sustainable Finance|2b3d71a9-35a3-4434-9d75-bd09a37940bf</vt:lpwstr>
  </property>
  <property fmtid="{D5CDD505-2E9C-101B-9397-08002B2CF9AE}" pid="6" name="SubTopic">
    <vt:lpwstr>211;#ESAs|fa72426c-f4c1-4de0-83a0-2806812bd296</vt:lpwstr>
  </property>
  <property fmtid="{D5CDD505-2E9C-101B-9397-08002B2CF9AE}" pid="7" name="DocumentType">
    <vt:lpwstr>136;#Questionnaire|a849d609-a31c-415e-a1a8-503bcc16b083</vt:lpwstr>
  </property>
  <property fmtid="{D5CDD505-2E9C-101B-9397-08002B2CF9AE}" pid="8" name="ConfidentialityLevel">
    <vt:lpwstr>70;#Public|a0c619ff-bd46-48f0-b213-6b7c03fe156d</vt:lpwstr>
  </property>
  <property fmtid="{D5CDD505-2E9C-101B-9397-08002B2CF9AE}" pid="9" name="_dlc_DocIdItemGuid">
    <vt:lpwstr>7892f057-f62e-4910-a4d6-e988f9c968f9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ies>
</file>