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40779FB6" w:rsidR="00B327E9" w:rsidRPr="00AB6D88" w:rsidRDefault="00881952" w:rsidP="00F136AD">
                <w:pPr>
                  <w:rPr>
                    <w:rStyle w:val="PlaceholderText"/>
                    <w:rFonts w:cs="Arial"/>
                  </w:rPr>
                </w:pPr>
                <w:r>
                  <w:rPr>
                    <w:rStyle w:val="PlaceholderText"/>
                    <w:rFonts w:cs="Arial"/>
                  </w:rPr>
                  <w:t>European Public Real Estate Association - EPRA</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27BA6055" w:rsidR="00B327E9" w:rsidRPr="00AB6D88" w:rsidRDefault="003B53CE"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881952">
                  <w:rPr>
                    <w:rFonts w:cs="Arial"/>
                  </w:rPr>
                  <w:t>Issuer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7DF553EE" w:rsidR="00B327E9" w:rsidRPr="00AB6D88" w:rsidRDefault="00881952"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2479C994" w:rsidR="00B327E9" w:rsidRPr="00AB6D88" w:rsidRDefault="00881952" w:rsidP="00F136AD">
                <w:pPr>
                  <w:rPr>
                    <w:rFonts w:cs="Arial"/>
                  </w:rPr>
                </w:pPr>
                <w:r>
                  <w:rPr>
                    <w:rFonts w:cs="Arial"/>
                  </w:rPr>
                  <w:t>Europe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0335BCDD" w14:textId="77777777" w:rsidR="00881952" w:rsidRDefault="00881952" w:rsidP="00881952">
      <w:pPr>
        <w:pStyle w:val="Pa4"/>
        <w:spacing w:after="160"/>
        <w:rPr>
          <w:sz w:val="22"/>
          <w:szCs w:val="22"/>
        </w:rPr>
      </w:pPr>
      <w:permStart w:id="44765448" w:edGrp="everyone"/>
      <w:r>
        <w:rPr>
          <w:rStyle w:val="A4"/>
        </w:rPr>
        <w:t>EPRA, the European Public Real Estate Association, is the voice of the publicly traded European real estate sector. With more than 270 members, covering the whole spectrum of the listed real estate industry (companies, investors and their suppliers), EPRA represents over €600 billion of real estate assets* and 94% of the market capitalisation of the FTSE EPRA Nareit Europe Index.</w:t>
      </w:r>
    </w:p>
    <w:p w14:paraId="3EC00E6D" w14:textId="6C4069DB" w:rsidR="00B327E9" w:rsidRDefault="00881952" w:rsidP="00881952">
      <w:r>
        <w:rPr>
          <w:rStyle w:val="A4"/>
        </w:rPr>
        <w:t xml:space="preserve">EPRA’s mission is to promote, develop and represent the European public real estate sector. We achieve this through the provision of better information to investors and stakeholders, active involvement in the public and political debate, promotion of best practices and the cohesion and strengthening of the industry. Find out more about our activities on </w:t>
      </w:r>
      <w:r>
        <w:rPr>
          <w:rStyle w:val="A4"/>
          <w:b/>
          <w:bCs/>
        </w:rPr>
        <w:t>www.epra.com</w:t>
      </w:r>
      <w:r>
        <w:rPr>
          <w:rStyle w:val="A4"/>
        </w:rPr>
        <w:t>.</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02C9CF28" w:rsidR="00492B3A" w:rsidRDefault="00876025" w:rsidP="00492B3A">
      <w:permStart w:id="1576605906" w:edGrp="everyone"/>
      <w:r>
        <w:t>Yes, we agree.</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7882D991" w:rsidR="00492B3A" w:rsidRDefault="00876025" w:rsidP="00492B3A">
      <w:permStart w:id="1123047147" w:edGrp="everyone"/>
      <w:r>
        <w:t>Yes, we agree</w:t>
      </w:r>
      <w:r>
        <w:t>.</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7FF13D55" w14:textId="3B96E469" w:rsidR="00876025" w:rsidRPr="00876025" w:rsidRDefault="00876025" w:rsidP="00876025">
      <w:pPr>
        <w:autoSpaceDE w:val="0"/>
        <w:autoSpaceDN w:val="0"/>
        <w:adjustRightInd w:val="0"/>
        <w:cnfStyle w:val="000010000000" w:firstRow="0" w:lastRow="0" w:firstColumn="0" w:lastColumn="0" w:oddVBand="1" w:evenVBand="0" w:oddHBand="0" w:evenHBand="0" w:firstRowFirstColumn="0" w:firstRowLastColumn="0" w:lastRowFirstColumn="0" w:lastRowLastColumn="0"/>
        <w:rPr>
          <w:rFonts w:cs="Arial"/>
          <w:szCs w:val="20"/>
        </w:rPr>
      </w:pPr>
      <w:permStart w:id="1823616926" w:edGrp="everyone"/>
      <w:r w:rsidRPr="00876025">
        <w:rPr>
          <w:rFonts w:cs="Arial"/>
          <w:szCs w:val="20"/>
        </w:rPr>
        <w:t>Y</w:t>
      </w:r>
      <w:r w:rsidRPr="00876025">
        <w:rPr>
          <w:rFonts w:cs="Arial"/>
          <w:szCs w:val="20"/>
        </w:rPr>
        <w:t>es, we mostly agree.</w:t>
      </w:r>
      <w:r>
        <w:rPr>
          <w:rFonts w:cs="Arial"/>
          <w:szCs w:val="20"/>
        </w:rPr>
        <w:t xml:space="preserve"> </w:t>
      </w:r>
      <w:r w:rsidRPr="00876025">
        <w:rPr>
          <w:rFonts w:cs="Arial"/>
          <w:szCs w:val="20"/>
        </w:rPr>
        <w:t>In addition, we recommend to extend the definition as follow</w:t>
      </w:r>
      <w:r>
        <w:rPr>
          <w:rFonts w:cs="Arial"/>
          <w:szCs w:val="20"/>
        </w:rPr>
        <w:t>s</w:t>
      </w:r>
      <w:r w:rsidRPr="00876025">
        <w:rPr>
          <w:rFonts w:cs="Arial"/>
          <w:szCs w:val="20"/>
        </w:rPr>
        <w:t xml:space="preserve">: </w:t>
      </w:r>
    </w:p>
    <w:p w14:paraId="6FD778B3" w14:textId="4B86A35B" w:rsidR="00492B3A" w:rsidRPr="00876025" w:rsidRDefault="00876025" w:rsidP="00492B3A">
      <w:pPr>
        <w:pStyle w:val="ListParagraph"/>
        <w:numPr>
          <w:ilvl w:val="0"/>
          <w:numId w:val="50"/>
        </w:numPr>
        <w:autoSpaceDE w:val="0"/>
        <w:autoSpaceDN w:val="0"/>
        <w:contextualSpacing w:val="0"/>
        <w:jc w:val="both"/>
        <w:cnfStyle w:val="000010000000" w:firstRow="0" w:lastRow="0" w:firstColumn="0" w:lastColumn="0" w:oddVBand="1" w:evenVBand="0" w:oddHBand="0" w:evenHBand="0" w:firstRowFirstColumn="0" w:firstRowLastColumn="0" w:lastRowFirstColumn="0" w:lastRowLastColumn="0"/>
        <w:rPr>
          <w:rFonts w:cs="Arial"/>
          <w:szCs w:val="20"/>
        </w:rPr>
      </w:pPr>
      <w:r w:rsidRPr="00876025">
        <w:rPr>
          <w:rFonts w:cs="Arial"/>
          <w:szCs w:val="20"/>
        </w:rPr>
        <w:t xml:space="preserve">To define </w:t>
      </w:r>
      <w:r w:rsidRPr="00876025">
        <w:rPr>
          <w:rFonts w:cs="Arial"/>
          <w:b/>
          <w:bCs/>
          <w:szCs w:val="20"/>
        </w:rPr>
        <w:t>CapEx</w:t>
      </w:r>
      <w:r w:rsidRPr="00876025">
        <w:rPr>
          <w:rFonts w:cs="Arial"/>
          <w:szCs w:val="20"/>
        </w:rPr>
        <w:t xml:space="preserve"> in the following way: Non-financial undertakings applying IFRS should define CapEx as the change that occurred during the reporting year in the amount of fixed tangible and intangible assets, before any depreciation and amortisation charges for the year, </w:t>
      </w:r>
      <w:r w:rsidRPr="00876025">
        <w:rPr>
          <w:rFonts w:cs="Arial"/>
          <w:b/>
          <w:bCs/>
          <w:szCs w:val="20"/>
        </w:rPr>
        <w:t>based on the statement of financial position and as</w:t>
      </w:r>
      <w:r w:rsidRPr="00876025">
        <w:rPr>
          <w:rFonts w:cs="Arial"/>
          <w:szCs w:val="20"/>
        </w:rPr>
        <w:t xml:space="preserve"> accounted for in accordance with IAS 16, IAS 38 and IAS 40 (if applicable).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975BC77" w14:textId="3BC28C35" w:rsidR="00492B3A" w:rsidRDefault="000830E0" w:rsidP="00492B3A">
      <w:permStart w:id="910372547" w:edGrp="everyone"/>
      <w:r>
        <w:t>Yes, we agree.</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45530FE" w14:textId="77777777" w:rsidR="000830E0" w:rsidRPr="000830E0" w:rsidRDefault="000830E0" w:rsidP="000830E0">
      <w:pPr>
        <w:autoSpaceDE w:val="0"/>
        <w:autoSpaceDN w:val="0"/>
        <w:jc w:val="both"/>
        <w:cnfStyle w:val="000010000000" w:firstRow="0" w:lastRow="0" w:firstColumn="0" w:lastColumn="0" w:oddVBand="1" w:evenVBand="0" w:oddHBand="0" w:evenHBand="0" w:firstRowFirstColumn="0" w:firstRowLastColumn="0" w:lastRowFirstColumn="0" w:lastRowLastColumn="0"/>
      </w:pPr>
      <w:permStart w:id="1454397300" w:edGrp="everyone"/>
      <w:r>
        <w:t xml:space="preserve">No, we do not fully agree. </w:t>
      </w:r>
      <w:r w:rsidRPr="000830E0">
        <w:t xml:space="preserve">We believe that the classification of main business activities based purely on the operating or investing activities is too rigid in nature for certain entities, such as property investment companies, including REITs. According to IAS 40, investment property is defined as property a) held to earn rentals or b) for capital appreciation or c) both. Hence, a hybrid between the operating and investing categories. </w:t>
      </w:r>
    </w:p>
    <w:p w14:paraId="03456B6D" w14:textId="77777777" w:rsidR="000830E0" w:rsidRPr="000830E0" w:rsidRDefault="000830E0" w:rsidP="000830E0">
      <w:pPr>
        <w:autoSpaceDE w:val="0"/>
        <w:autoSpaceDN w:val="0"/>
        <w:jc w:val="both"/>
        <w:cnfStyle w:val="000010000000" w:firstRow="0" w:lastRow="0" w:firstColumn="0" w:lastColumn="0" w:oddVBand="1" w:evenVBand="0" w:oddHBand="0" w:evenHBand="0" w:firstRowFirstColumn="0" w:firstRowLastColumn="0" w:lastRowFirstColumn="0" w:lastRowLastColumn="0"/>
      </w:pPr>
    </w:p>
    <w:p w14:paraId="208A9476" w14:textId="02B1AFD1" w:rsidR="00492B3A" w:rsidRDefault="000830E0" w:rsidP="00492B3A">
      <w:r w:rsidRPr="000830E0">
        <w:t>Therefore, considering that a property company’s main business activity includes income and expenses also from investments (i.e. items of capital nature) on top of the operating/rental activities, we recommend that ESMA allows, or even requires, a mixed basis of classification for determining an undertaking’s main business activities when that provides more useful information and is more aligned both with current industry practice and the accounting treatment.</w:t>
      </w:r>
      <w:permEnd w:id="1454397300"/>
      <w:r w:rsidR="00492B3A">
        <w:t>&lt;ESMA_QUESTION_TRART8_5&gt;</w:t>
      </w:r>
    </w:p>
    <w:p w14:paraId="7F6E38EC" w14:textId="77777777" w:rsidR="00492B3A" w:rsidRDefault="00492B3A" w:rsidP="00492B3A"/>
    <w:p w14:paraId="428AAF91" w14:textId="35434FB5" w:rsidR="00492B3A" w:rsidRDefault="00492B3A" w:rsidP="00492B3A">
      <w:pPr>
        <w:pStyle w:val="Questionstyle"/>
      </w:pPr>
      <w:r>
        <w:t xml:space="preserve">For this KPI, do you agree with the proposed approach to when OpEx can be counted, including the definition of ‘plan’ (bullet b in the draft advice)? With reference to the TEG’s inclusion of the </w:t>
      </w:r>
      <w:r>
        <w:lastRenderedPageBreak/>
        <w:t>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2F0DF345" w:rsidR="00492B3A" w:rsidRDefault="00374FB6" w:rsidP="00492B3A">
      <w:permStart w:id="164587406" w:edGrp="everyone"/>
      <w:r>
        <w:t>Yes, we agree.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77777777" w:rsidR="00492B3A" w:rsidRDefault="00492B3A" w:rsidP="00492B3A">
      <w:permStart w:id="1191210126" w:edGrp="everyone"/>
      <w:r>
        <w:t>TYPE YOUR TEXT HERE</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5F69F97A" w:rsidR="00492B3A" w:rsidRPr="00374FB6" w:rsidRDefault="00374FB6" w:rsidP="00374FB6">
      <w:pPr>
        <w:autoSpaceDE w:val="0"/>
        <w:autoSpaceDN w:val="0"/>
        <w:adjustRightInd w:val="0"/>
        <w:cnfStyle w:val="000010000000" w:firstRow="0" w:lastRow="0" w:firstColumn="0" w:lastColumn="0" w:oddVBand="1" w:evenVBand="0" w:oddHBand="0" w:evenHBand="0" w:firstRowFirstColumn="0" w:firstRowLastColumn="0" w:lastRowFirstColumn="0" w:lastRowLastColumn="0"/>
        <w:rPr>
          <w:rFonts w:cs="Arial"/>
        </w:rPr>
      </w:pPr>
      <w:permStart w:id="21103909" w:edGrp="everyone"/>
      <w:r w:rsidRPr="00AF7BBF">
        <w:rPr>
          <w:rFonts w:cs="Arial"/>
        </w:rPr>
        <w:t>Yes, we agree. We agree with the advice to require relevant undertakings to apply their best judgment of how to split turnover, CapEX and OpEx across their activities.</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644D4C5F" w14:textId="77777777" w:rsidR="00A66C3F" w:rsidRPr="00AF7BBF" w:rsidRDefault="00A66C3F" w:rsidP="00A66C3F">
      <w:pPr>
        <w:autoSpaceDE w:val="0"/>
        <w:autoSpaceDN w:val="0"/>
        <w:adjustRightInd w:val="0"/>
        <w:cnfStyle w:val="000010100000" w:firstRow="0" w:lastRow="0" w:firstColumn="0" w:lastColumn="0" w:oddVBand="1" w:evenVBand="0" w:oddHBand="1" w:evenHBand="0" w:firstRowFirstColumn="0" w:firstRowLastColumn="0" w:lastRowFirstColumn="0" w:lastRowLastColumn="0"/>
        <w:rPr>
          <w:rFonts w:cs="Arial"/>
        </w:rPr>
      </w:pPr>
      <w:permStart w:id="70807355" w:edGrp="everyone"/>
      <w:r w:rsidRPr="00AF7BBF">
        <w:rPr>
          <w:rFonts w:cs="Arial"/>
        </w:rPr>
        <w:t>We do not fully agree with the ESMA advice on the requirements for accompanying information.</w:t>
      </w:r>
    </w:p>
    <w:p w14:paraId="0477B580" w14:textId="77777777" w:rsidR="00A66C3F" w:rsidRPr="00AF7BBF" w:rsidRDefault="00A66C3F" w:rsidP="00A66C3F">
      <w:pPr>
        <w:autoSpaceDE w:val="0"/>
        <w:autoSpaceDN w:val="0"/>
        <w:adjustRightInd w:val="0"/>
        <w:cnfStyle w:val="000010100000" w:firstRow="0" w:lastRow="0" w:firstColumn="0" w:lastColumn="0" w:oddVBand="1" w:evenVBand="0" w:oddHBand="1" w:evenHBand="0" w:firstRowFirstColumn="0" w:firstRowLastColumn="0" w:lastRowFirstColumn="0" w:lastRowLastColumn="0"/>
        <w:rPr>
          <w:rFonts w:cs="Arial"/>
        </w:rPr>
      </w:pPr>
      <w:r w:rsidRPr="00AF7BBF">
        <w:rPr>
          <w:rFonts w:cs="Arial"/>
        </w:rPr>
        <w:t xml:space="preserve"> </w:t>
      </w:r>
    </w:p>
    <w:p w14:paraId="7F7AB2EF" w14:textId="68F59543" w:rsidR="00A66C3F" w:rsidRPr="00AF7BBF" w:rsidRDefault="00A66C3F" w:rsidP="00A66C3F">
      <w:pPr>
        <w:autoSpaceDE w:val="0"/>
        <w:autoSpaceDN w:val="0"/>
        <w:adjustRightInd w:val="0"/>
        <w:cnfStyle w:val="000010100000" w:firstRow="0" w:lastRow="0" w:firstColumn="0" w:lastColumn="0" w:oddVBand="1" w:evenVBand="0" w:oddHBand="1" w:evenHBand="0" w:firstRowFirstColumn="0" w:firstRowLastColumn="0" w:lastRowFirstColumn="0" w:lastRowLastColumn="0"/>
        <w:rPr>
          <w:rFonts w:cs="Arial"/>
        </w:rPr>
      </w:pPr>
      <w:r w:rsidRPr="00AF7BBF">
        <w:rPr>
          <w:rFonts w:cs="Arial"/>
        </w:rPr>
        <w:t xml:space="preserve">We agree with ESMA on the methodology part </w:t>
      </w:r>
      <w:r>
        <w:rPr>
          <w:rFonts w:cs="Arial"/>
        </w:rPr>
        <w:t>(</w:t>
      </w:r>
      <w:r w:rsidRPr="00AF7BBF">
        <w:rPr>
          <w:rFonts w:cs="Arial"/>
        </w:rPr>
        <w:t>i.e. accounting policy and assessment</w:t>
      </w:r>
      <w:r>
        <w:rPr>
          <w:rFonts w:cs="Arial"/>
        </w:rPr>
        <w:t>)</w:t>
      </w:r>
      <w:r w:rsidRPr="00AF7BBF">
        <w:rPr>
          <w:rFonts w:cs="Arial"/>
        </w:rPr>
        <w:t xml:space="preserve"> as it is important, and required by Art. 8, to explain how the undertaking’s activities are associated with the Taxonomy. The three KPIs then sufficiently explain and monetise – the ‘to what extent’ requirement. </w:t>
      </w:r>
    </w:p>
    <w:p w14:paraId="212F66F3" w14:textId="77777777" w:rsidR="00A66C3F" w:rsidRPr="00AF7BBF" w:rsidRDefault="00A66C3F" w:rsidP="00A66C3F">
      <w:pPr>
        <w:autoSpaceDE w:val="0"/>
        <w:autoSpaceDN w:val="0"/>
        <w:adjustRightInd w:val="0"/>
        <w:cnfStyle w:val="000010100000" w:firstRow="0" w:lastRow="0" w:firstColumn="0" w:lastColumn="0" w:oddVBand="1" w:evenVBand="0" w:oddHBand="1" w:evenHBand="0" w:firstRowFirstColumn="0" w:firstRowLastColumn="0" w:lastRowFirstColumn="0" w:lastRowLastColumn="0"/>
        <w:rPr>
          <w:rFonts w:cs="Arial"/>
        </w:rPr>
      </w:pPr>
    </w:p>
    <w:p w14:paraId="0AB3A7A1" w14:textId="1601AACD" w:rsidR="00492B3A" w:rsidRPr="00A66C3F" w:rsidRDefault="00A66C3F" w:rsidP="00A66C3F">
      <w:pPr>
        <w:autoSpaceDE w:val="0"/>
        <w:autoSpaceDN w:val="0"/>
        <w:adjustRightInd w:val="0"/>
        <w:cnfStyle w:val="000010100000" w:firstRow="0" w:lastRow="0" w:firstColumn="0" w:lastColumn="0" w:oddVBand="1" w:evenVBand="0" w:oddHBand="1" w:evenHBand="0" w:firstRowFirstColumn="0" w:firstRowLastColumn="0" w:lastRowFirstColumn="0" w:lastRowLastColumn="0"/>
        <w:rPr>
          <w:rFonts w:cs="Arial"/>
        </w:rPr>
      </w:pPr>
      <w:r w:rsidRPr="00AF7BBF">
        <w:rPr>
          <w:rFonts w:cs="Arial"/>
        </w:rPr>
        <w:t xml:space="preserve">As for the interpretation, we would argue that it is important to limit the contextual information to those transitional activities which are part of the 5-year plan as it will be needed to explain investors how in the following 5 years the reported transitional activity is intended to be materialised. If ESMA proposes full context to be disclosed, then we argue that such advice would go beyond Article 8 of the Taxonomy Regulation. The Delegated Rules are to specify how to achieve the obligations required in the Article 8 of the Taxonomy. </w:t>
      </w:r>
      <w:r w:rsidRPr="00DE43FD">
        <w:rPr>
          <w:rFonts w:cs="Arial"/>
          <w:b/>
          <w:bCs/>
        </w:rPr>
        <w:t>It has no authority</w:t>
      </w:r>
      <w:r w:rsidRPr="00AF7BBF">
        <w:rPr>
          <w:rFonts w:cs="Arial"/>
        </w:rPr>
        <w:t xml:space="preserve">, and it should therefore not be looking at how </w:t>
      </w:r>
      <w:r w:rsidRPr="00DE43FD">
        <w:rPr>
          <w:rFonts w:cs="Arial"/>
          <w:b/>
          <w:bCs/>
        </w:rPr>
        <w:t>to exceed this underlying obligation.</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1CD8F45C" w14:textId="6F9A3C50" w:rsidR="00492B3A" w:rsidRDefault="00203E6A" w:rsidP="00492B3A">
      <w:permStart w:id="1969951227" w:edGrp="everyone"/>
      <w:r w:rsidRPr="00AF7BBF">
        <w:rPr>
          <w:rFonts w:cs="Arial"/>
        </w:rPr>
        <w:t xml:space="preserve">Yes, we agree. </w:t>
      </w:r>
      <w:permEnd w:id="1969951227"/>
      <w:r w:rsidR="00492B3A">
        <w:t>&lt;ESMA_QUESTION_TRART8_10&gt;</w:t>
      </w:r>
    </w:p>
    <w:p w14:paraId="4A233221" w14:textId="77777777" w:rsidR="00492B3A" w:rsidRDefault="00492B3A" w:rsidP="00492B3A"/>
    <w:p w14:paraId="43470B7B" w14:textId="7E3668E4" w:rsidR="00492B3A" w:rsidRDefault="00492B3A" w:rsidP="00492B3A">
      <w:pPr>
        <w:pStyle w:val="Questionstyle"/>
      </w:pPr>
      <w:r>
        <w:lastRenderedPageBreak/>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5D803357" w14:textId="4FEFEB4E" w:rsidR="00492B3A" w:rsidRDefault="00203E6A" w:rsidP="00492B3A">
      <w:permStart w:id="947678092" w:edGrp="everyone"/>
      <w:r w:rsidRPr="00AF7BBF">
        <w:rPr>
          <w:rFonts w:cs="Arial"/>
        </w:rPr>
        <w:t xml:space="preserve">Yes, we agree. </w:t>
      </w:r>
      <w:permEnd w:id="947678092"/>
      <w:r w:rsidR="00492B3A">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3527FCA6" w:rsidR="00492B3A" w:rsidRDefault="00074E73" w:rsidP="00492B3A">
      <w:permStart w:id="575285207" w:edGrp="everyone"/>
      <w:r>
        <w:t>No, we do not.</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7A9A50C5" w14:textId="77777777" w:rsidR="00492B3A" w:rsidRDefault="00492B3A" w:rsidP="00492B3A">
      <w:permStart w:id="384379543" w:edGrp="everyone"/>
      <w:r>
        <w:t>TYPE YOUR TEXT HERE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70457698" w14:textId="67F26574" w:rsidR="00492B3A" w:rsidRDefault="001F1936" w:rsidP="00492B3A">
      <w:permStart w:id="1844913490" w:edGrp="everyone"/>
      <w:r w:rsidRPr="00AF7BBF">
        <w:rPr>
          <w:rFonts w:cs="Arial"/>
        </w:rPr>
        <w:t xml:space="preserve">Yes, we agree. </w:t>
      </w:r>
      <w:permEnd w:id="1844913490"/>
      <w:r w:rsidR="00492B3A">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B67C423" w14:textId="77777777" w:rsidR="001F1936" w:rsidRPr="00C55388" w:rsidRDefault="001F1936" w:rsidP="001F1936">
      <w:pPr>
        <w:autoSpaceDE w:val="0"/>
        <w:autoSpaceDN w:val="0"/>
        <w:adjustRightInd w:val="0"/>
        <w:cnfStyle w:val="000010000000" w:firstRow="0" w:lastRow="0" w:firstColumn="0" w:lastColumn="0" w:oddVBand="1" w:evenVBand="0" w:oddHBand="0" w:evenHBand="0" w:firstRowFirstColumn="0" w:firstRowLastColumn="0" w:lastRowFirstColumn="0" w:lastRowLastColumn="0"/>
        <w:rPr>
          <w:rFonts w:cs="Arial"/>
        </w:rPr>
      </w:pPr>
      <w:permStart w:id="1403017900" w:edGrp="everyone"/>
      <w:r w:rsidRPr="00C55388">
        <w:rPr>
          <w:rFonts w:cs="Arial"/>
        </w:rPr>
        <w:t xml:space="preserve">These information are part of the methodology/assessment and are referred to in Question 9. We believe that there is no need to create an additional layer of additional information. </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238A752A" w14:textId="77777777" w:rsidR="001F1936" w:rsidRPr="00C55388" w:rsidRDefault="001F1936" w:rsidP="001F1936">
      <w:pPr>
        <w:autoSpaceDE w:val="0"/>
        <w:autoSpaceDN w:val="0"/>
        <w:adjustRightInd w:val="0"/>
        <w:cnfStyle w:val="000010000000" w:firstRow="0" w:lastRow="0" w:firstColumn="0" w:lastColumn="0" w:oddVBand="1" w:evenVBand="0" w:oddHBand="0" w:evenHBand="0" w:firstRowFirstColumn="0" w:firstRowLastColumn="0" w:lastRowFirstColumn="0" w:lastRowLastColumn="0"/>
        <w:rPr>
          <w:rFonts w:cs="Arial"/>
        </w:rPr>
      </w:pPr>
      <w:permStart w:id="1046510351" w:edGrp="everyone"/>
      <w:r w:rsidRPr="00C55388">
        <w:rPr>
          <w:rFonts w:cs="Arial"/>
        </w:rPr>
        <w:t xml:space="preserve">These information are part of the methodology/assessment and are referred to in Question 9. We believe that there is no need to create an additional layer of additional information. </w:t>
      </w:r>
    </w:p>
    <w:permEnd w:id="1046510351"/>
    <w:p w14:paraId="1B3BEA7F" w14:textId="77777777" w:rsidR="00492B3A" w:rsidRDefault="00492B3A" w:rsidP="00492B3A">
      <w:r>
        <w:lastRenderedPageBreak/>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20733EA7" w14:textId="3C9EA001" w:rsidR="00492B3A" w:rsidRDefault="001F1936" w:rsidP="00492B3A">
      <w:permStart w:id="1692017174" w:edGrp="everyone"/>
      <w:r w:rsidRPr="00C55388">
        <w:rPr>
          <w:rFonts w:cs="Arial"/>
        </w:rPr>
        <w:t>No, we absolutely do not. The EU Taxonomy Regulation is explicitly requiring undertakings to disclose information on their activities which are associated with economic activities which qualify as environmentally sustainable. That said, the Taxonomy is trying to harmonise our understanding of what we consider sustainable and thus if the undertaking reports certain activity to be sustainable, then it does so following the Taxonomy Regulation and technical screening criteria. It means that if the underlying activity of the undertaking is sustainable based on one of the 6 objectives, it should limit the information to this one objective. Anything more would constitute an excessive burden on both the undertakings and the investors. We also argue, that this excessive approach would not be aligned with the Article 8 of the EU Taxonomy Regulation.</w:t>
      </w:r>
      <w:permEnd w:id="1692017174"/>
      <w:r w:rsidR="00492B3A">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5E8A59E6" w14:textId="7818026D" w:rsidR="001F1936" w:rsidRPr="00C55388" w:rsidRDefault="001F1936" w:rsidP="001F1936">
      <w:pPr>
        <w:autoSpaceDE w:val="0"/>
        <w:autoSpaceDN w:val="0"/>
        <w:adjustRightInd w:val="0"/>
        <w:cnfStyle w:val="000010000000" w:firstRow="0" w:lastRow="0" w:firstColumn="0" w:lastColumn="0" w:oddVBand="1" w:evenVBand="0" w:oddHBand="0" w:evenHBand="0" w:firstRowFirstColumn="0" w:firstRowLastColumn="0" w:lastRowFirstColumn="0" w:lastRowLastColumn="0"/>
        <w:rPr>
          <w:rFonts w:cs="Arial"/>
          <w:b/>
          <w:bCs/>
        </w:rPr>
      </w:pPr>
      <w:permStart w:id="2067675786" w:edGrp="everyone"/>
      <w:r w:rsidRPr="00C55388">
        <w:rPr>
          <w:rFonts w:cs="Arial"/>
        </w:rPr>
        <w:t xml:space="preserve">No, we do not agree. For the sake of keeping the Taxonomy usable, we strongly recommend to limit </w:t>
      </w:r>
      <w:r w:rsidR="002C7225">
        <w:rPr>
          <w:rFonts w:cs="Arial"/>
        </w:rPr>
        <w:t>(</w:t>
      </w:r>
      <w:r w:rsidRPr="00C55388">
        <w:rPr>
          <w:rFonts w:cs="Arial"/>
        </w:rPr>
        <w:t>as it is limited in the Taxonomy Regulation</w:t>
      </w:r>
      <w:r w:rsidR="002C7225">
        <w:rPr>
          <w:rFonts w:cs="Arial"/>
        </w:rPr>
        <w:t>)</w:t>
      </w:r>
      <w:r w:rsidRPr="00C55388">
        <w:rPr>
          <w:rFonts w:cs="Arial"/>
        </w:rPr>
        <w:t xml:space="preserve"> the disclosure to the undertaking’s activities which are associated with economic activities that qualify as environmentally sustainable under the same Regulation. Everything beyond would go beyond the mandate which the EU Taxonomy Regulation delegated on the Commission for the coming delegated act. The undertakings should not be required to report on the economic activities which are not eligible under the Taxonomy and neither they should be required to report on their activities which are not meeting the technical screening criteria.</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0BFE7D97" w14:textId="7BA44082" w:rsidR="00492B3A" w:rsidRDefault="001F1936" w:rsidP="00492B3A">
      <w:permStart w:id="1373325572" w:edGrp="everyone"/>
      <w:r w:rsidRPr="00C55388">
        <w:rPr>
          <w:rFonts w:cs="Arial"/>
        </w:rPr>
        <w:t>Yes, we agree.</w:t>
      </w:r>
      <w:permEnd w:id="1373325572"/>
      <w:r w:rsidR="00492B3A">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lastRenderedPageBreak/>
        <w:t>&lt;ESMA_QUESTION_TRART8_21&gt;</w:t>
      </w:r>
    </w:p>
    <w:p w14:paraId="09B3B559" w14:textId="77777777" w:rsidR="001F1936" w:rsidRPr="00C55388" w:rsidRDefault="001F1936" w:rsidP="001F1936">
      <w:pPr>
        <w:spacing w:line="256" w:lineRule="auto"/>
        <w:cnfStyle w:val="000010000000" w:firstRow="0" w:lastRow="0" w:firstColumn="0" w:lastColumn="0" w:oddVBand="1" w:evenVBand="0" w:oddHBand="0" w:evenHBand="0" w:firstRowFirstColumn="0" w:firstRowLastColumn="0" w:lastRowFirstColumn="0" w:lastRowLastColumn="0"/>
      </w:pPr>
      <w:permStart w:id="1800012995" w:edGrp="everyone"/>
      <w:r w:rsidRPr="00C55388">
        <w:rPr>
          <w:rFonts w:cs="Arial"/>
        </w:rPr>
        <w:t>We want to point out that the assessment for DNSH criteria can be overwhelming and can constitute an excessive burden on the undertakings.  W</w:t>
      </w:r>
      <w:r w:rsidRPr="00C55388">
        <w:t>e find that there are too many criteria included in the technical screening criteria (1</w:t>
      </w:r>
      <w:r w:rsidRPr="00C55388">
        <w:rPr>
          <w:vertAlign w:val="superscript"/>
        </w:rPr>
        <w:t>st</w:t>
      </w:r>
      <w:r w:rsidRPr="00C55388">
        <w:t xml:space="preserve"> delegated regulation), which will increase the reporting burden to a disproportionate extent and make this taxonomy very hard to use for financial and non-financial companies. For example, in the real estate sector, we find that out of around 23 criteria used for 7.1 ; 7.2 and 7.7, only 35% are already reported by listed property companies, which means that they were not already asked by relevant stakeholders, including financial rating agencies. This conclusion is true for the sector which has a dedicated ESG agency (i.e. GRESB) and ESG sectoral reporting guidelines (EPRA Sustainability Best Practices Recommendations Guidelines). </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334104E1" w14:textId="77777777" w:rsidR="00492B3A" w:rsidRDefault="00492B3A" w:rsidP="00492B3A">
      <w:permStart w:id="449525443" w:edGrp="everyone"/>
      <w:r>
        <w:t>TYPE YOUR TEXT HERE</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66209BBA" w:rsidR="00492B3A" w:rsidRDefault="001F1936" w:rsidP="00492B3A">
      <w:permStart w:id="1857751903" w:edGrp="everyone"/>
      <w:r>
        <w:t>No, we do not.</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3A6236CE" w14:textId="76A65898" w:rsidR="00492B3A" w:rsidRDefault="001F1936" w:rsidP="00492B3A">
      <w:permStart w:id="2059688895" w:edGrp="everyone"/>
      <w:r w:rsidRPr="00C55388">
        <w:rPr>
          <w:rFonts w:cs="Arial"/>
        </w:rPr>
        <w:t xml:space="preserve">We should point out that these questions should be addressed as part of the review of the Non-Financial Reporting Directive (NFRD). All information related to the EU Taxonomy should be included in the companies’ non-financial statement close to other non-financial information. Their comparability and presentation should be addressed together – and as part of the work done for the NFRD.   </w:t>
      </w:r>
      <w:permEnd w:id="2059688895"/>
      <w:r w:rsidR="00492B3A">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DFE63E7" w14:textId="44825BA1" w:rsidR="00492B3A" w:rsidRDefault="001F1936" w:rsidP="00492B3A">
      <w:permStart w:id="1618612787" w:edGrp="everyone"/>
      <w:r w:rsidRPr="00C55388">
        <w:rPr>
          <w:rFonts w:cs="Arial"/>
        </w:rPr>
        <w:lastRenderedPageBreak/>
        <w:t xml:space="preserve">We should point out that these questions should be addressed as part of the review of the Non-Financial Reporting Directive (NFRD). All information related to the EU Taxonomy should be included in the companies’ non-financial statement close to other non-financial information. Their comparability and presentation should be addressed together – and as part of the work done for the NFRD.   </w:t>
      </w:r>
      <w:permEnd w:id="1618612787"/>
      <w:r w:rsidR="00492B3A">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6205EFFC" w14:textId="416DE18A" w:rsidR="00492B3A" w:rsidRDefault="001F1936" w:rsidP="00492B3A">
      <w:permStart w:id="300711497" w:edGrp="everyone"/>
      <w:r w:rsidRPr="00C55388">
        <w:rPr>
          <w:rFonts w:cs="Arial"/>
        </w:rPr>
        <w:t xml:space="preserve">We should point out that these questions should be addressed as part of the review of the Non-Financial Reporting Directive (NFRD). All information related to the EU Taxonomy should be included in the companies’ non-financial statement close to other non-financial information. Their comparability and presentation should be addressed together – and as part of the work done for the NFRD.   </w:t>
      </w:r>
      <w:permEnd w:id="300711497"/>
      <w:r w:rsidR="00492B3A">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77777777" w:rsidR="00492B3A" w:rsidRDefault="00492B3A" w:rsidP="00492B3A">
      <w:permStart w:id="1094988904" w:edGrp="everyone"/>
      <w:r>
        <w:t>TYPE YOUR TEXT HERE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77777777" w:rsidR="00492B3A" w:rsidRDefault="00492B3A" w:rsidP="00492B3A">
      <w:permStart w:id="1382092212" w:edGrp="everyone"/>
      <w:r>
        <w:t>TYPE YOUR TEXT HERE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lastRenderedPageBreak/>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7777777" w:rsidR="00492B3A" w:rsidRDefault="00492B3A" w:rsidP="00492B3A">
      <w:permStart w:id="830504005" w:edGrp="everyone"/>
      <w:r>
        <w:t>TYPE YOUR TEXT HERE</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7777777" w:rsidR="00492B3A" w:rsidRDefault="00492B3A" w:rsidP="00492B3A">
      <w:permStart w:id="199520874" w:edGrp="everyone"/>
      <w:r>
        <w:t>TYPE YOUR TEXT HERE</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77777777" w:rsidR="00492B3A" w:rsidRDefault="00492B3A" w:rsidP="00492B3A">
      <w:permStart w:id="2027381222" w:edGrp="everyone"/>
      <w:r>
        <w:t>TYPE YOUR TEXT HERE</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777777" w:rsidR="00492B3A" w:rsidRDefault="00492B3A" w:rsidP="00492B3A">
      <w:permStart w:id="916395240" w:edGrp="everyone"/>
      <w:r>
        <w:t>TYPE YOUR TEXT HERE</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77777777" w:rsidR="00492B3A" w:rsidRDefault="00492B3A" w:rsidP="00492B3A">
      <w:permStart w:id="362230654" w:edGrp="everyone"/>
      <w:r>
        <w:t>TYPE YOUR TEXT HERE</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lastRenderedPageBreak/>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77777777" w:rsidR="00492B3A" w:rsidRDefault="00492B3A" w:rsidP="00492B3A">
      <w:permStart w:id="1610223408" w:edGrp="everyone"/>
      <w:r>
        <w:t>TYPE YOUR TEXT HERE</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lastRenderedPageBreak/>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E4A0B" w14:textId="77777777" w:rsidR="003B53CE" w:rsidRDefault="003B53CE">
      <w:r>
        <w:separator/>
      </w:r>
    </w:p>
    <w:p w14:paraId="470B4969" w14:textId="77777777" w:rsidR="003B53CE" w:rsidRDefault="003B53CE"/>
  </w:endnote>
  <w:endnote w:type="continuationSeparator" w:id="0">
    <w:p w14:paraId="43FE838B" w14:textId="77777777" w:rsidR="003B53CE" w:rsidRDefault="003B53CE">
      <w:r>
        <w:continuationSeparator/>
      </w:r>
    </w:p>
    <w:p w14:paraId="160932AE" w14:textId="77777777" w:rsidR="003B53CE" w:rsidRDefault="003B53CE"/>
  </w:endnote>
  <w:endnote w:type="continuationNotice" w:id="1">
    <w:p w14:paraId="21F97CA0" w14:textId="77777777" w:rsidR="003B53CE" w:rsidRDefault="003B5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C7500" w14:textId="77777777" w:rsidR="003B53CE" w:rsidRDefault="003B53CE">
      <w:r>
        <w:separator/>
      </w:r>
    </w:p>
    <w:p w14:paraId="781154FE" w14:textId="77777777" w:rsidR="003B53CE" w:rsidRDefault="003B53CE"/>
  </w:footnote>
  <w:footnote w:type="continuationSeparator" w:id="0">
    <w:p w14:paraId="4B7A5736" w14:textId="77777777" w:rsidR="003B53CE" w:rsidRDefault="003B53CE">
      <w:r>
        <w:continuationSeparator/>
      </w:r>
    </w:p>
    <w:p w14:paraId="2F7089FC" w14:textId="77777777" w:rsidR="003B53CE" w:rsidRDefault="003B53CE"/>
  </w:footnote>
  <w:footnote w:type="continuationNotice" w:id="1">
    <w:p w14:paraId="0A1C8F59" w14:textId="77777777" w:rsidR="003B53CE" w:rsidRDefault="003B5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1A41700"/>
    <w:multiLevelType w:val="hybridMultilevel"/>
    <w:tmpl w:val="23FE1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3"/>
  </w:num>
  <w:num w:numId="29">
    <w:abstractNumId w:val="5"/>
  </w:num>
  <w:num w:numId="30">
    <w:abstractNumId w:val="2"/>
  </w:num>
  <w:num w:numId="31">
    <w:abstractNumId w:val="23"/>
  </w:num>
  <w:num w:numId="32">
    <w:abstractNumId w:val="22"/>
  </w:num>
  <w:num w:numId="33">
    <w:abstractNumId w:val="39"/>
  </w:num>
  <w:num w:numId="34">
    <w:abstractNumId w:val="38"/>
  </w:num>
  <w:num w:numId="35">
    <w:abstractNumId w:val="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4E73"/>
    <w:rsid w:val="0007609D"/>
    <w:rsid w:val="00077C67"/>
    <w:rsid w:val="00080976"/>
    <w:rsid w:val="00081148"/>
    <w:rsid w:val="00081CEB"/>
    <w:rsid w:val="00081E60"/>
    <w:rsid w:val="00082D8E"/>
    <w:rsid w:val="00082E31"/>
    <w:rsid w:val="000830E0"/>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1936"/>
    <w:rsid w:val="001F3996"/>
    <w:rsid w:val="001F44A4"/>
    <w:rsid w:val="001F579D"/>
    <w:rsid w:val="001F65EF"/>
    <w:rsid w:val="001F697B"/>
    <w:rsid w:val="002005A6"/>
    <w:rsid w:val="00203E6A"/>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225"/>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4FB6"/>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53CE"/>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025"/>
    <w:rsid w:val="00880224"/>
    <w:rsid w:val="00881952"/>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6C3F"/>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43FD"/>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4FF5"/>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Pa4">
    <w:name w:val="Pa4"/>
    <w:basedOn w:val="Default"/>
    <w:next w:val="Default"/>
    <w:uiPriority w:val="99"/>
    <w:rsid w:val="00881952"/>
    <w:pPr>
      <w:spacing w:line="181" w:lineRule="atLeast"/>
    </w:pPr>
    <w:rPr>
      <w:rFonts w:ascii="HelveticaNeueLT Pro 55 Roman" w:hAnsi="HelveticaNeueLT Pro 55 Roman" w:cs="Times New Roman"/>
      <w:color w:val="auto"/>
      <w:lang w:val="en-GB"/>
    </w:rPr>
  </w:style>
  <w:style w:type="character" w:customStyle="1" w:styleId="A4">
    <w:name w:val="A4"/>
    <w:uiPriority w:val="99"/>
    <w:rsid w:val="00881952"/>
    <w:rPr>
      <w:rFonts w:cs="HelveticaNeueLT Pro 55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3553</Words>
  <Characters>20254</Characters>
  <Application>Microsoft Office Word</Application>
  <DocSecurity>8</DocSecurity>
  <Lines>168</Lines>
  <Paragraphs>47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23760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Jana Bour</cp:lastModifiedBy>
  <cp:revision>13</cp:revision>
  <cp:lastPrinted>2015-02-18T11:01:00Z</cp:lastPrinted>
  <dcterms:created xsi:type="dcterms:W3CDTF">2020-12-04T14:41:00Z</dcterms:created>
  <dcterms:modified xsi:type="dcterms:W3CDTF">2020-12-04T15:11:00Z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