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3761EF5C" w:rsidR="00C2094B" w:rsidRPr="00F10D35" w:rsidRDefault="007F79DB" w:rsidP="00AF38AF">
            <w:pPr>
              <w:pStyle w:val="00bDBInfo"/>
              <w:rPr>
                <w:rFonts w:cs="Arial"/>
              </w:rPr>
            </w:pPr>
            <w:r>
              <w:rPr>
                <w:rFonts w:cs="Arial"/>
              </w:rPr>
              <w:t>5</w:t>
            </w:r>
            <w:r w:rsidR="00FE40D3" w:rsidRPr="00FE40D3">
              <w:rPr>
                <w:rFonts w:cs="Arial"/>
              </w:rPr>
              <w:t xml:space="preserve"> November</w:t>
            </w:r>
            <w:r w:rsidR="002C27F9" w:rsidRPr="00FE40D3">
              <w:rPr>
                <w:rFonts w:cs="Arial"/>
              </w:rPr>
              <w:t xml:space="preserve"> 2020</w:t>
            </w:r>
          </w:p>
        </w:tc>
      </w:tr>
    </w:tbl>
    <w:p w14:paraId="031231A1" w14:textId="77777777"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59A50913" w:rsidR="00146A6C" w:rsidRPr="009661B8" w:rsidRDefault="00146A6C" w:rsidP="00146A6C">
            <w:pPr>
              <w:pStyle w:val="01aDBTitle"/>
              <w:jc w:val="left"/>
              <w:rPr>
                <w:sz w:val="32"/>
                <w:szCs w:val="32"/>
              </w:rPr>
            </w:pPr>
            <w:r w:rsidRPr="00146A6C">
              <w:rPr>
                <w:rFonts w:cs="Arial"/>
                <w:sz w:val="32"/>
                <w:szCs w:val="32"/>
              </w:rPr>
              <w:t>Response form for the Consultation Paper on</w:t>
            </w:r>
            <w:r w:rsidRPr="00146A6C">
              <w:rPr>
                <w:sz w:val="32"/>
                <w:szCs w:val="32"/>
              </w:rPr>
              <w:t xml:space="preserve"> </w:t>
            </w:r>
            <w:r w:rsidR="00E258BE">
              <w:rPr>
                <w:sz w:val="32"/>
                <w:szCs w:val="32"/>
              </w:rPr>
              <w:t>the</w:t>
            </w:r>
            <w:r w:rsidR="00E258BE">
              <w:t xml:space="preserve"> </w:t>
            </w:r>
            <w:r w:rsidR="00E258BE" w:rsidRPr="00E258BE">
              <w:rPr>
                <w:sz w:val="32"/>
                <w:szCs w:val="32"/>
              </w:rPr>
              <w:t>Draft advice to European Commission under Article 8 of the Taxonomy Regulation</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3A6AA7F" w:rsidR="00620D7C" w:rsidRPr="004E49B0" w:rsidRDefault="00620D7C" w:rsidP="00FE40D3">
            <w:pPr>
              <w:pStyle w:val="02Date"/>
              <w:jc w:val="right"/>
              <w:rPr>
                <w:rFonts w:cs="Arial"/>
              </w:rPr>
            </w:pPr>
            <w:r w:rsidRPr="00F10D35">
              <w:rPr>
                <w:rFonts w:cs="Arial"/>
              </w:rPr>
              <w:lastRenderedPageBreak/>
              <w:t xml:space="preserve">Date: </w:t>
            </w:r>
            <w:r w:rsidR="007F79DB">
              <w:rPr>
                <w:rFonts w:cs="Arial"/>
              </w:rPr>
              <w:t>5</w:t>
            </w:r>
            <w:r w:rsidR="00FE40D3" w:rsidRPr="00FE40D3">
              <w:rPr>
                <w:rFonts w:cs="Arial"/>
              </w:rPr>
              <w:t xml:space="preserve"> November</w:t>
            </w:r>
            <w:r w:rsidR="002C27F9" w:rsidRPr="00FE40D3">
              <w:rPr>
                <w:rFonts w:cs="Arial"/>
              </w:rPr>
              <w:t xml:space="preserve"> </w:t>
            </w:r>
            <w:r w:rsidR="005738DE" w:rsidRPr="00FE40D3">
              <w:rPr>
                <w:rFonts w:cs="Arial"/>
              </w:rPr>
              <w:t>20</w:t>
            </w:r>
            <w:r w:rsidR="002C27F9" w:rsidRPr="00FE40D3">
              <w:rPr>
                <w:rFonts w:cs="Arial"/>
              </w:rPr>
              <w:t>20</w:t>
            </w:r>
          </w:p>
        </w:tc>
      </w:tr>
    </w:tbl>
    <w:p w14:paraId="3B583CC6" w14:textId="77777777"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B5A7B3D"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Pr="00FE40D3">
        <w:rPr>
          <w:b/>
          <w:bCs/>
          <w:sz w:val="22"/>
          <w:szCs w:val="20"/>
          <w:lang w:eastAsia="en-US"/>
        </w:rPr>
        <w:t>4 December 2020</w:t>
      </w:r>
      <w:r w:rsidRPr="00FE40D3">
        <w:rPr>
          <w:sz w:val="22"/>
          <w:szCs w:val="20"/>
          <w:lang w:eastAsia="en-US"/>
        </w:rPr>
        <w:t>.</w:t>
      </w:r>
    </w:p>
    <w:p w14:paraId="4269A5C4"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p w14:paraId="6A0918C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Instructions</w:t>
      </w:r>
    </w:p>
    <w:p w14:paraId="7A099769"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Insert your responses to the consultation questions in the form “Response form_Consultation Paper on TR Article 8 advice”, available on ESMA’s website alongside the present Consultation Paper (</w:t>
      </w:r>
      <w:hyperlink r:id="rId17" w:history="1">
        <w:r w:rsidRPr="00FE40D3">
          <w:rPr>
            <w:color w:val="0563C1"/>
            <w:sz w:val="22"/>
            <w:szCs w:val="22"/>
            <w:u w:val="single"/>
            <w:lang w:eastAsia="en-GB"/>
          </w:rPr>
          <w:t>www.esma.europa.eu</w:t>
        </w:r>
      </w:hyperlink>
      <w:r w:rsidRPr="00FE40D3">
        <w:rPr>
          <w:sz w:val="22"/>
          <w:szCs w:val="22"/>
          <w:lang w:eastAsia="en-GB"/>
        </w:rPr>
        <w:t xml:space="preserve"> → ‘Your input – Open consultations’ → ‘Consultation on advice under Taxonomy Regulation Article 8’). </w:t>
      </w:r>
    </w:p>
    <w:p w14:paraId="45B49741"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 xml:space="preserve">Please do not remove tags of the type &lt;ESMA_QUESTION_TRART8_1&gt;. Your response to each question has to be framed by the two tags corresponding to the question. </w:t>
      </w:r>
    </w:p>
    <w:p w14:paraId="3C1B6FA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If you do not wish to respond to a given question, please do not delete it but simply leave the text “TYPE YOUR TEXT HERE” between the tags.</w:t>
      </w:r>
    </w:p>
    <w:p w14:paraId="0398429A"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When you have drafted your response, name your response form according to the following convention: ESMA_TRART8_nameofrespondent_RESPONSEFORM. For example, for a respondent named ABCD, the response form would be entitled ESMA_TRART8_ABCD_RESPONSEFORM.</w:t>
      </w:r>
    </w:p>
    <w:p w14:paraId="033FC00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Upload the form containing your responses, in Word format, to ESMA’s website (</w:t>
      </w:r>
      <w:hyperlink r:id="rId18" w:history="1">
        <w:r w:rsidRPr="00FE40D3">
          <w:rPr>
            <w:color w:val="0563C1"/>
            <w:sz w:val="22"/>
            <w:szCs w:val="22"/>
            <w:u w:val="single"/>
            <w:lang w:eastAsia="en-GB"/>
          </w:rPr>
          <w:t>www.esma.europa.eu</w:t>
        </w:r>
      </w:hyperlink>
      <w:r w:rsidRPr="00FE40D3">
        <w:rPr>
          <w:sz w:val="22"/>
          <w:szCs w:val="22"/>
          <w:lang w:eastAsia="en-GB"/>
        </w:rPr>
        <w:t xml:space="preserve"> under the heading ‘Your input – Open consultations’ → ‘Consultation on advice under Taxonomy Regulation Article 8’).</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9"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20"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1BDD19D9" w:rsidR="00332304" w:rsidRPr="001021EF" w:rsidRDefault="00FE40D3" w:rsidP="00FE40D3">
      <w:pPr>
        <w:spacing w:after="240"/>
        <w:jc w:val="both"/>
        <w:rPr>
          <w:b/>
          <w:bCs/>
        </w:rPr>
      </w:pPr>
      <w:r w:rsidRPr="00FE40D3">
        <w:rPr>
          <w:sz w:val="22"/>
          <w:szCs w:val="20"/>
          <w:lang w:eastAsia="en-US"/>
        </w:rPr>
        <w:t>This Consultation Paper may be of particular interest to non-financial undertakings and asset managers covered by Article 8 of Regulation (EU) 2020/852 (the ‘Taxonomy Regulation’) as well as to investors and other users of non-financial information</w:t>
      </w:r>
      <w:r w:rsidR="00332304" w:rsidRPr="001021EF">
        <w:rPr>
          <w:b/>
          <w:bCs/>
        </w:rPr>
        <w:br w:type="page"/>
      </w:r>
    </w:p>
    <w:p w14:paraId="07F9766A" w14:textId="77777777" w:rsidR="00B327E9" w:rsidRPr="00AB6D88" w:rsidRDefault="00B327E9" w:rsidP="00B327E9">
      <w:pPr>
        <w:pStyle w:val="Titre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EC0B01">
        <w:tc>
          <w:tcPr>
            <w:tcW w:w="3929" w:type="dxa"/>
            <w:shd w:val="clear" w:color="auto" w:fill="auto"/>
          </w:tcPr>
          <w:p w14:paraId="2CC52FAD" w14:textId="77777777" w:rsidR="00B327E9" w:rsidRPr="00E40A5C" w:rsidRDefault="00B327E9" w:rsidP="00EC0B01">
            <w:pPr>
              <w:rPr>
                <w:rFonts w:cs="Arial"/>
                <w:sz w:val="22"/>
              </w:rPr>
            </w:pPr>
            <w:r w:rsidRPr="00E40A5C">
              <w:rPr>
                <w:rFonts w:cs="Arial"/>
                <w:sz w:val="22"/>
              </w:rPr>
              <w:t>Name of the company / organisation</w:t>
            </w:r>
          </w:p>
        </w:tc>
        <w:sdt>
          <w:sdtPr>
            <w:rPr>
              <w:rStyle w:val="Textedelespacerserv"/>
              <w:rFonts w:cs="Arial"/>
            </w:rPr>
            <w:id w:val="-1905066999"/>
            <w:text/>
          </w:sdtPr>
          <w:sdtEndPr>
            <w:rPr>
              <w:rStyle w:val="Textedelespacerserv"/>
            </w:rPr>
          </w:sdtEndPr>
          <w:sdtContent>
            <w:permStart w:id="1493633476" w:edGrp="everyone" w:displacedByCustomXml="prev"/>
            <w:tc>
              <w:tcPr>
                <w:tcW w:w="5595" w:type="dxa"/>
                <w:shd w:val="clear" w:color="auto" w:fill="auto"/>
              </w:tcPr>
              <w:p w14:paraId="23C2C921" w14:textId="41BE946E" w:rsidR="00B327E9" w:rsidRPr="00AB6D88" w:rsidRDefault="00D947BE" w:rsidP="00EC0B01">
                <w:pPr>
                  <w:rPr>
                    <w:rStyle w:val="Textedelespacerserv"/>
                    <w:rFonts w:cs="Arial"/>
                  </w:rPr>
                </w:pPr>
                <w:r>
                  <w:rPr>
                    <w:rStyle w:val="Textedelespacerserv"/>
                    <w:rFonts w:cs="Arial"/>
                  </w:rPr>
                  <w:t>EDF</w:t>
                </w:r>
              </w:p>
            </w:tc>
            <w:permEnd w:id="1493633476" w:displacedByCustomXml="next"/>
          </w:sdtContent>
        </w:sdt>
      </w:tr>
      <w:tr w:rsidR="00B327E9" w:rsidRPr="00AB6D88" w14:paraId="0D2401D8" w14:textId="77777777" w:rsidTr="00EC0B01">
        <w:tc>
          <w:tcPr>
            <w:tcW w:w="3929" w:type="dxa"/>
            <w:shd w:val="clear" w:color="auto" w:fill="auto"/>
          </w:tcPr>
          <w:p w14:paraId="6C0EFE39" w14:textId="77777777" w:rsidR="00B327E9" w:rsidRPr="00E40A5C" w:rsidRDefault="00B327E9" w:rsidP="00EC0B01">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703862AE" w:rsidR="00B327E9" w:rsidRPr="00AB6D88" w:rsidRDefault="00F74E42" w:rsidP="00EC0B01">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382325">
                  <w:rPr>
                    <w:rFonts w:cs="Arial"/>
                  </w:rPr>
                  <w:t>Issuer/ Non-Financial Undertaking</w:t>
                </w:r>
              </w:sdtContent>
            </w:sdt>
          </w:p>
        </w:tc>
      </w:tr>
      <w:permEnd w:id="438450997"/>
      <w:tr w:rsidR="00B327E9" w:rsidRPr="00AB6D88" w14:paraId="1A153F17" w14:textId="77777777" w:rsidTr="00EC0B01">
        <w:tc>
          <w:tcPr>
            <w:tcW w:w="3929" w:type="dxa"/>
            <w:shd w:val="clear" w:color="auto" w:fill="auto"/>
          </w:tcPr>
          <w:p w14:paraId="396772EB" w14:textId="77777777" w:rsidR="00B327E9" w:rsidRPr="00E40A5C" w:rsidRDefault="00B327E9" w:rsidP="00EC0B01">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17FEFEC8" w:rsidR="00B327E9" w:rsidRPr="00AB6D88" w:rsidRDefault="00D947BE" w:rsidP="00EC0B01">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EC0B01">
        <w:tc>
          <w:tcPr>
            <w:tcW w:w="3929" w:type="dxa"/>
            <w:shd w:val="clear" w:color="auto" w:fill="auto"/>
          </w:tcPr>
          <w:p w14:paraId="3C221113" w14:textId="77777777" w:rsidR="00B327E9" w:rsidRPr="00E40A5C" w:rsidRDefault="00B327E9" w:rsidP="00EC0B01">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44138232" w:rsidR="00B327E9" w:rsidRPr="00AB6D88" w:rsidRDefault="00D947BE" w:rsidP="00EC0B01">
                <w:pPr>
                  <w:rPr>
                    <w:rFonts w:cs="Arial"/>
                  </w:rPr>
                </w:pPr>
                <w:r>
                  <w:rPr>
                    <w:rFonts w:cs="Arial"/>
                  </w:rPr>
                  <w:t>France</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Titre1"/>
        <w:numPr>
          <w:ilvl w:val="0"/>
          <w:numId w:val="0"/>
        </w:numPr>
        <w:ind w:left="431" w:hanging="431"/>
      </w:pPr>
      <w:r>
        <w:t>Introduction</w:t>
      </w:r>
    </w:p>
    <w:p w14:paraId="3C83C634" w14:textId="77777777" w:rsidR="00B327E9" w:rsidRPr="00E40A5C" w:rsidRDefault="00B327E9" w:rsidP="00FE6577">
      <w:pPr>
        <w:rPr>
          <w:rStyle w:val="Emphaseintense"/>
          <w:sz w:val="22"/>
        </w:rPr>
      </w:pPr>
      <w:r w:rsidRPr="00E40A5C">
        <w:rPr>
          <w:rStyle w:val="Emphaseintense"/>
          <w:sz w:val="22"/>
        </w:rPr>
        <w:t>Please make your introductory comments below, if any:</w:t>
      </w:r>
    </w:p>
    <w:p w14:paraId="26578279" w14:textId="77777777" w:rsidR="00B327E9" w:rsidRPr="00BF28DA" w:rsidRDefault="00B327E9" w:rsidP="00FE6577"/>
    <w:p w14:paraId="06351DAC" w14:textId="357F72B9" w:rsidR="00B327E9" w:rsidRPr="006F4535" w:rsidRDefault="00B327E9" w:rsidP="00FE6577">
      <w:r w:rsidRPr="006F4535">
        <w:t>&lt;ESMA_COMMENT_</w:t>
      </w:r>
      <w:r w:rsidR="00FE6577">
        <w:t>TRART8</w:t>
      </w:r>
      <w:r w:rsidRPr="006F4535">
        <w:t>_1&gt;</w:t>
      </w:r>
    </w:p>
    <w:p w14:paraId="3A21D3D0" w14:textId="77777777" w:rsidR="00AE3194" w:rsidRDefault="00382325" w:rsidP="00382325">
      <w:permStart w:id="44765448" w:edGrp="everyone"/>
      <w:r w:rsidRPr="00382325">
        <w:t xml:space="preserve">As a worldwide global leader in low-carbon energy, the EDF Group is active across the low carbon energy value chain, from generation to retail, from energy efficiency to trading. EDF has adopted in 2020 its </w:t>
      </w:r>
    </w:p>
    <w:p w14:paraId="4A01CEC3" w14:textId="3EC7B518" w:rsidR="00382325" w:rsidRPr="00382325" w:rsidRDefault="00382325" w:rsidP="00382325">
      <w:proofErr w:type="gramStart"/>
      <w:r w:rsidRPr="00382325">
        <w:t>raison</w:t>
      </w:r>
      <w:proofErr w:type="gramEnd"/>
      <w:r w:rsidRPr="00382325">
        <w:t xml:space="preserve"> d’être which is to build a CO2 neutral energy future, by reconciling the preservation of our planet, well-being and development th</w:t>
      </w:r>
      <w:r>
        <w:t>anks to electricity and to inno</w:t>
      </w:r>
      <w:r w:rsidRPr="00382325">
        <w:t xml:space="preserve">vative solutions and services. </w:t>
      </w:r>
    </w:p>
    <w:p w14:paraId="3EC00E6D" w14:textId="2CB147D8" w:rsidR="00B327E9" w:rsidRPr="00382325" w:rsidRDefault="00382325" w:rsidP="00382325">
      <w:pPr>
        <w:rPr>
          <w:lang w:val="en-US"/>
        </w:rPr>
      </w:pPr>
      <w:r w:rsidRPr="00382325">
        <w:t>EDF’s activities are mainly located in Europe accounting for 90 % of its turnover. EDF is the European leader of carbon-free electricity, being t</w:t>
      </w:r>
      <w:r>
        <w:t>he largest EU nuclear and renew</w:t>
      </w:r>
      <w:r w:rsidRPr="00382325">
        <w:t>ables generator</w:t>
      </w:r>
      <w:r w:rsidRPr="00382325">
        <w:rPr>
          <w:rFonts w:ascii="Work Sans" w:hAnsi="Work Sans" w:cs="Work Sans"/>
          <w:color w:val="000000"/>
          <w:sz w:val="22"/>
          <w:szCs w:val="22"/>
          <w:lang w:val="en-US" w:eastAsia="en-GB"/>
        </w:rPr>
        <w:t>.</w:t>
      </w:r>
    </w:p>
    <w:permEnd w:id="44765448"/>
    <w:p w14:paraId="68F63540" w14:textId="7560FACC" w:rsidR="00B327E9" w:rsidRPr="00BF28DA" w:rsidRDefault="00B327E9" w:rsidP="00FE6577">
      <w:r w:rsidRPr="00BF28DA">
        <w:t>&lt;ESMA_COMMENT_</w:t>
      </w:r>
      <w:r w:rsidR="00FE6577">
        <w:t>TRART8</w:t>
      </w:r>
      <w:r w:rsidR="000A58BE">
        <w:t>_</w:t>
      </w:r>
      <w:r w:rsidRPr="00BF28DA">
        <w:t>1&gt;</w:t>
      </w:r>
    </w:p>
    <w:p w14:paraId="4865C74B" w14:textId="77777777" w:rsidR="002E7113" w:rsidRDefault="002E7113" w:rsidP="002E7113">
      <w:pPr>
        <w:pStyle w:val="Titre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3D5C8669" w:rsidR="00492B3A" w:rsidRPr="00492B3A" w:rsidRDefault="00492B3A" w:rsidP="00492B3A">
      <w:pPr>
        <w:pStyle w:val="Questionstyle"/>
        <w:numPr>
          <w:ilvl w:val="0"/>
          <w:numId w:val="49"/>
        </w:numPr>
        <w:rPr>
          <w:rFonts w:ascii="Arial" w:hAnsi="Arial"/>
          <w:szCs w:val="22"/>
        </w:rPr>
      </w:pPr>
      <w:r>
        <w:lastRenderedPageBreak/>
        <w:t>For this KPI, do you agree with the proposed approach to defining turnover (bullet a in the draft advice)?</w:t>
      </w:r>
    </w:p>
    <w:p w14:paraId="7EE00B55" w14:textId="77777777" w:rsidR="00492B3A" w:rsidRDefault="00492B3A" w:rsidP="00492B3A">
      <w:r>
        <w:t>&lt;ESMA_QUESTION_TRART8_1&gt;</w:t>
      </w:r>
    </w:p>
    <w:p w14:paraId="4C0EA3D3" w14:textId="77777777" w:rsidR="007048EB" w:rsidRDefault="007048EB" w:rsidP="00492B3A">
      <w:permStart w:id="1576605906" w:edGrp="everyone"/>
      <w:r>
        <w:t>EDF</w:t>
      </w:r>
      <w:r w:rsidRPr="007048EB">
        <w:t xml:space="preserve"> agree</w:t>
      </w:r>
      <w:r>
        <w:t>s</w:t>
      </w:r>
      <w:r w:rsidRPr="007048EB">
        <w:t xml:space="preserve"> turnover sh</w:t>
      </w:r>
      <w:r>
        <w:t>ould be in line with IFRS </w:t>
      </w:r>
      <w:r w:rsidRPr="007048EB">
        <w:t xml:space="preserve">definition (IFRS 15 and IFRS 16 if applicable). </w:t>
      </w:r>
    </w:p>
    <w:p w14:paraId="381CF8BD" w14:textId="77777777" w:rsidR="007048EB" w:rsidRDefault="007048EB" w:rsidP="00492B3A">
      <w:r w:rsidRPr="007048EB">
        <w:t xml:space="preserve">Nevertheless, the disaggregation of the turnover in accordance with taxonomy is complexed when the </w:t>
      </w:r>
    </w:p>
    <w:p w14:paraId="04B773AF" w14:textId="77777777" w:rsidR="007048EB" w:rsidRDefault="007048EB" w:rsidP="00492B3A">
      <w:proofErr w:type="gramStart"/>
      <w:r w:rsidRPr="007048EB">
        <w:t>production</w:t>
      </w:r>
      <w:proofErr w:type="gramEnd"/>
      <w:r w:rsidRPr="007048EB">
        <w:t xml:space="preserve"> facilities are used in an integrated manner. </w:t>
      </w:r>
    </w:p>
    <w:p w14:paraId="741FADC4" w14:textId="0CDDA8BD" w:rsidR="00492B3A" w:rsidRDefault="007048EB" w:rsidP="00492B3A">
      <w:r w:rsidRPr="007048EB">
        <w:t>They are called</w:t>
      </w:r>
      <w:r>
        <w:t>,</w:t>
      </w:r>
      <w:r w:rsidRPr="007048EB">
        <w:t xml:space="preserve"> based on market conditions and technical availability, and itemized price for each MWh produced is not available.</w:t>
      </w:r>
      <w:permEnd w:id="1576605906"/>
    </w:p>
    <w:p w14:paraId="7E5A3C00" w14:textId="77777777" w:rsidR="00492B3A" w:rsidRDefault="00492B3A" w:rsidP="00492B3A">
      <w:r>
        <w:t>&lt;ESMA_QUESTION_TRART8_1&gt;</w:t>
      </w:r>
    </w:p>
    <w:p w14:paraId="66BCB951" w14:textId="77777777" w:rsidR="00492B3A" w:rsidRDefault="00492B3A" w:rsidP="00492B3A"/>
    <w:p w14:paraId="711E593A" w14:textId="261590F3" w:rsidR="00492B3A" w:rsidRDefault="00492B3A" w:rsidP="00492B3A">
      <w:pPr>
        <w:pStyle w:val="Questionstyle"/>
      </w:pPr>
      <w:r>
        <w:t>For this KPI, do you agree with the proposed approach to when turnover can be counted (bullet b in the draft advice)?</w:t>
      </w:r>
    </w:p>
    <w:p w14:paraId="3451E920" w14:textId="77777777" w:rsidR="00492B3A" w:rsidRDefault="00492B3A" w:rsidP="00492B3A">
      <w:r>
        <w:t>&lt;ESMA_QUESTION_TRART8_2&gt;</w:t>
      </w:r>
    </w:p>
    <w:p w14:paraId="228E27A2" w14:textId="77777777" w:rsidR="007048EB" w:rsidRDefault="007048EB" w:rsidP="00492B3A">
      <w:permStart w:id="1123047147" w:edGrp="everyone"/>
      <w:r>
        <w:t>EDF</w:t>
      </w:r>
      <w:r w:rsidRPr="007048EB">
        <w:t xml:space="preserve"> agree</w:t>
      </w:r>
      <w:r>
        <w:t>s</w:t>
      </w:r>
      <w:r w:rsidRPr="007048EB">
        <w:t xml:space="preserve"> on the proposed scope to take into account corresponding turnover when it meets the 3 </w:t>
      </w:r>
    </w:p>
    <w:p w14:paraId="45694F8F" w14:textId="42933357" w:rsidR="00492B3A" w:rsidRDefault="007048EB" w:rsidP="00492B3A">
      <w:proofErr w:type="gramStart"/>
      <w:r w:rsidRPr="007048EB">
        <w:t>criteria</w:t>
      </w:r>
      <w:proofErr w:type="gramEnd"/>
      <w:r w:rsidRPr="007048EB">
        <w:t xml:space="preserve"> stated in bullet b. Nevertheless, the disaggregation of the turnover in accordance with taxonomy is complexed when the production facilities are used in an integrated manner.</w:t>
      </w:r>
    </w:p>
    <w:permEnd w:id="1123047147"/>
    <w:p w14:paraId="741E001B" w14:textId="77777777" w:rsidR="00492B3A" w:rsidRDefault="00492B3A" w:rsidP="00492B3A">
      <w:r>
        <w:t>&lt;ESMA_QUESTION_TRART8_2&gt;</w:t>
      </w:r>
    </w:p>
    <w:p w14:paraId="3DF6FFDF" w14:textId="77777777" w:rsidR="00492B3A" w:rsidRDefault="00492B3A" w:rsidP="00492B3A"/>
    <w:p w14:paraId="47C2F5CA" w14:textId="0B6775F1" w:rsidR="00492B3A" w:rsidRDefault="00492B3A" w:rsidP="00492B3A">
      <w:pPr>
        <w:pStyle w:val="Questionstyle"/>
      </w:pPr>
      <w:r>
        <w:t>For this KPI, do you agree with the proposed approach to defining CapEx (bullet a in the draft advice)?</w:t>
      </w:r>
    </w:p>
    <w:p w14:paraId="1D5C0FD1" w14:textId="77777777" w:rsidR="00492B3A" w:rsidRDefault="00492B3A" w:rsidP="00492B3A">
      <w:r>
        <w:t>&lt;ESMA_QUESTION_TRART8_3&gt;</w:t>
      </w:r>
    </w:p>
    <w:p w14:paraId="0BAE8C40" w14:textId="542B9C72" w:rsidR="00FB072F" w:rsidRDefault="0065350B" w:rsidP="00FB072F">
      <w:permStart w:id="1823616926" w:edGrp="everyone"/>
      <w:r w:rsidRPr="009C203E">
        <w:t>EDF</w:t>
      </w:r>
      <w:r w:rsidR="00FB072F" w:rsidRPr="009C203E">
        <w:t xml:space="preserve"> support</w:t>
      </w:r>
      <w:r w:rsidRPr="009C203E">
        <w:t>s</w:t>
      </w:r>
      <w:r w:rsidR="00FB072F" w:rsidRPr="009C203E">
        <w:t xml:space="preserve"> the accounting gross approach excluding cash effect</w:t>
      </w:r>
      <w:r w:rsidR="00FB072F">
        <w:t>.</w:t>
      </w:r>
      <w:r>
        <w:t xml:space="preserve"> </w:t>
      </w:r>
      <w:r w:rsidR="00850B50">
        <w:t xml:space="preserve">This </w:t>
      </w:r>
      <w:r w:rsidR="00FB072F">
        <w:t xml:space="preserve">approach would include only the increase of fixed assets. Indeed, the investor are only interested by the investment made. </w:t>
      </w:r>
    </w:p>
    <w:p w14:paraId="0BBB6AB0" w14:textId="77777777" w:rsidR="00850B50" w:rsidRDefault="0065350B" w:rsidP="00FB072F">
      <w:r>
        <w:t>Moreover, EDF’s</w:t>
      </w:r>
      <w:r w:rsidR="00FB072F">
        <w:t xml:space="preserve"> reporting only follow t</w:t>
      </w:r>
      <w:r>
        <w:t xml:space="preserve">he increase of fixed asset. </w:t>
      </w:r>
    </w:p>
    <w:p w14:paraId="7CB294CF" w14:textId="77777777" w:rsidR="00850B50" w:rsidRDefault="0065350B" w:rsidP="00FB072F">
      <w:r>
        <w:t xml:space="preserve">ESMA’s </w:t>
      </w:r>
      <w:r w:rsidR="00FB072F">
        <w:t xml:space="preserve">proposed approach would involve a much boarder scope of work by taking into account </w:t>
      </w:r>
    </w:p>
    <w:p w14:paraId="294B1226" w14:textId="77777777" w:rsidR="00850B50" w:rsidRDefault="00FB072F" w:rsidP="00FB072F">
      <w:proofErr w:type="gramStart"/>
      <w:r>
        <w:t>decrease/amortization/depreciation/foreign</w:t>
      </w:r>
      <w:proofErr w:type="gramEnd"/>
      <w:r>
        <w:t xml:space="preserve"> exchange of fixed asset</w:t>
      </w:r>
      <w:r w:rsidR="00850B50">
        <w:t xml:space="preserve">. More guidance is needed </w:t>
      </w:r>
      <w:r>
        <w:t xml:space="preserve">with </w:t>
      </w:r>
    </w:p>
    <w:p w14:paraId="1C5DA271" w14:textId="4003FDE4" w:rsidR="00FB072F" w:rsidRDefault="00FB072F" w:rsidP="00FB072F">
      <w:proofErr w:type="gramStart"/>
      <w:r>
        <w:t>regards</w:t>
      </w:r>
      <w:proofErr w:type="gramEnd"/>
      <w:r>
        <w:t xml:space="preserve"> to consolidation scope variation, foreign exchange </w:t>
      </w:r>
      <w:r w:rsidR="0065350B">
        <w:t>difference</w:t>
      </w:r>
      <w:r>
        <w:t>.</w:t>
      </w:r>
    </w:p>
    <w:p w14:paraId="4F2D9C85" w14:textId="77777777" w:rsidR="00FB072F" w:rsidRDefault="00FB072F" w:rsidP="00FB072F"/>
    <w:p w14:paraId="0D3C06EC" w14:textId="77777777" w:rsidR="00FB072F" w:rsidRDefault="00FB072F" w:rsidP="00FB072F">
      <w:r>
        <w:t xml:space="preserve">EDF welcomes the proposal to include leased assets in the CAPEX KPI, enabling to take into account </w:t>
      </w:r>
    </w:p>
    <w:p w14:paraId="23DA817F" w14:textId="52E24774" w:rsidR="00FB072F" w:rsidRDefault="00FB072F" w:rsidP="00FB072F">
      <w:proofErr w:type="gramStart"/>
      <w:r>
        <w:t>entities</w:t>
      </w:r>
      <w:proofErr w:type="gramEnd"/>
      <w:r>
        <w:t xml:space="preserve"> effort to promote sustainable whatever the financing mean.  </w:t>
      </w:r>
    </w:p>
    <w:p w14:paraId="4DDBFE10" w14:textId="77777777" w:rsidR="00FB072F" w:rsidRDefault="00FB072F" w:rsidP="00FB072F"/>
    <w:p w14:paraId="6FD778B3" w14:textId="1EA3F727" w:rsidR="00492B3A" w:rsidRDefault="00FB072F" w:rsidP="00FB072F">
      <w:r>
        <w:t xml:space="preserve">The fact that Sustainable capex may or not be part of a plan, should </w:t>
      </w:r>
      <w:r w:rsidRPr="0065350B">
        <w:t xml:space="preserve">not be a criteria in itself to include or not a capex. Moreover, 5 years plan may not correspond to </w:t>
      </w:r>
      <w:r w:rsidR="0065350B" w:rsidRPr="0065350B">
        <w:t xml:space="preserve">company </w:t>
      </w:r>
      <w:r w:rsidRPr="0065350B">
        <w:t>Group perspective,</w:t>
      </w:r>
      <w:r>
        <w:t xml:space="preserve"> and if yes, may not be publicly disclosed because of confidentiality.</w:t>
      </w:r>
    </w:p>
    <w:permEnd w:id="1823616926"/>
    <w:p w14:paraId="383E5893" w14:textId="77777777" w:rsidR="00492B3A" w:rsidRDefault="00492B3A" w:rsidP="00492B3A">
      <w:r>
        <w:t>&lt;ESMA_QUESTION_TRART8_3&gt;</w:t>
      </w:r>
    </w:p>
    <w:p w14:paraId="4AD8C875" w14:textId="77777777" w:rsidR="00492B3A" w:rsidRDefault="00492B3A" w:rsidP="00492B3A"/>
    <w:p w14:paraId="798F0E29" w14:textId="59B6BBDF" w:rsidR="00492B3A" w:rsidRDefault="00492B3A" w:rsidP="00492B3A">
      <w:pPr>
        <w:pStyle w:val="Questionstyle"/>
      </w:pPr>
      <w:r>
        <w:t>For this KPI, do you agree with the proposed approach to when CapEx can be counted, including the definition of ‘plan’ (bullet b in the draft advice)?</w:t>
      </w:r>
    </w:p>
    <w:p w14:paraId="001F3D0D" w14:textId="77777777" w:rsidR="00492B3A" w:rsidRDefault="00492B3A" w:rsidP="00492B3A">
      <w:r>
        <w:t>&lt;ESMA_QUESTION_TRART8_4&gt;</w:t>
      </w:r>
    </w:p>
    <w:p w14:paraId="3F71EAA7" w14:textId="6691954E" w:rsidR="00712D38" w:rsidRDefault="00712D38" w:rsidP="00712D38">
      <w:permStart w:id="910372547" w:edGrp="everyone"/>
      <w:r>
        <w:t xml:space="preserve">EDF agrees on the proposed scope to take into account corresponding Capex when it meets the 3 criteria stated in bullet b. </w:t>
      </w:r>
    </w:p>
    <w:p w14:paraId="66EE0D67" w14:textId="77777777" w:rsidR="00712D38" w:rsidRDefault="00712D38" w:rsidP="00712D38">
      <w:r>
        <w:t xml:space="preserve">However EDF disagrees regarding the definition of plan. For example, </w:t>
      </w:r>
      <w:proofErr w:type="gramStart"/>
      <w:r>
        <w:t>EDF  does</w:t>
      </w:r>
      <w:proofErr w:type="gramEnd"/>
      <w:r>
        <w:t xml:space="preserve"> not agree with the </w:t>
      </w:r>
    </w:p>
    <w:p w14:paraId="6B2D2A37" w14:textId="77777777" w:rsidR="00712D38" w:rsidRDefault="00712D38" w:rsidP="00712D38">
      <w:proofErr w:type="gramStart"/>
      <w:r>
        <w:t>requirement</w:t>
      </w:r>
      <w:proofErr w:type="gramEnd"/>
      <w:r>
        <w:t xml:space="preserve"> that “The plan should be made available to the public e.g. on the undertaking’s website” as there may be strategically sensitive projects that cannot be disclosed prematurely. </w:t>
      </w:r>
    </w:p>
    <w:p w14:paraId="4975BC77" w14:textId="5110E811" w:rsidR="00492B3A" w:rsidRDefault="00712D38" w:rsidP="00712D38">
      <w:r>
        <w:t>One alternative could be to require third-party verification of these investment costs as being part of a plan</w:t>
      </w:r>
    </w:p>
    <w:permEnd w:id="910372547"/>
    <w:p w14:paraId="44CC0988" w14:textId="77777777" w:rsidR="00492B3A" w:rsidRDefault="00492B3A" w:rsidP="00492B3A">
      <w:r>
        <w:t>&lt;ESMA_QUESTION_TRART8_4&gt;</w:t>
      </w:r>
    </w:p>
    <w:p w14:paraId="629688A3" w14:textId="77777777" w:rsidR="00492B3A" w:rsidRDefault="00492B3A" w:rsidP="00492B3A"/>
    <w:p w14:paraId="4404B413" w14:textId="386DAEEB" w:rsidR="00492B3A" w:rsidRDefault="00492B3A" w:rsidP="00492B3A">
      <w:pPr>
        <w:pStyle w:val="Questionstyle"/>
      </w:pPr>
      <w:r>
        <w:t>For this KPI, do you agree with the proposed approach to defining OpEx (bullet a in the draft advice)?</w:t>
      </w:r>
    </w:p>
    <w:p w14:paraId="037D1519" w14:textId="77777777" w:rsidR="00492B3A" w:rsidRDefault="00492B3A" w:rsidP="00492B3A">
      <w:r>
        <w:lastRenderedPageBreak/>
        <w:t>&lt;ESMA_QUESTION_TRART8_5&gt;</w:t>
      </w:r>
    </w:p>
    <w:p w14:paraId="5B4F704B" w14:textId="77777777" w:rsidR="008020FB" w:rsidRDefault="008020FB" w:rsidP="008020FB">
      <w:permStart w:id="1454397300" w:edGrp="everyone"/>
      <w:r>
        <w:t xml:space="preserve"> The proposed </w:t>
      </w:r>
      <w:proofErr w:type="spellStart"/>
      <w:r>
        <w:t>Opex</w:t>
      </w:r>
      <w:proofErr w:type="spellEnd"/>
      <w:r>
        <w:t xml:space="preserve"> definition is based on "Primary Financial Statement" project, which is not endorsed yet. There should be a timing consistency in application of PFS and Taxonomy (</w:t>
      </w:r>
      <w:proofErr w:type="spellStart"/>
      <w:r>
        <w:t>opex</w:t>
      </w:r>
      <w:proofErr w:type="spellEnd"/>
      <w:r>
        <w:t xml:space="preserve">). </w:t>
      </w:r>
    </w:p>
    <w:p w14:paraId="709F0B8A" w14:textId="49029A7A" w:rsidR="00492B3A" w:rsidRDefault="008020FB" w:rsidP="008020FB">
      <w:r>
        <w:t>Beside the difficulty to clearly state what "</w:t>
      </w:r>
      <w:proofErr w:type="spellStart"/>
      <w:r>
        <w:t>opex</w:t>
      </w:r>
      <w:proofErr w:type="spellEnd"/>
      <w:r>
        <w:t xml:space="preserve">" are , it is difficult to determine reliable distribution keys concerning for example general overheads or staff costs or other </w:t>
      </w:r>
      <w:proofErr w:type="spellStart"/>
      <w:r>
        <w:t>opex</w:t>
      </w:r>
      <w:proofErr w:type="spellEnd"/>
      <w:r>
        <w:t xml:space="preserve"> related to several activities (in/out of taxonomy)</w:t>
      </w:r>
    </w:p>
    <w:permEnd w:id="1454397300"/>
    <w:p w14:paraId="208A9476" w14:textId="77777777" w:rsidR="00492B3A" w:rsidRDefault="00492B3A" w:rsidP="00492B3A">
      <w:r>
        <w:t>&lt;ESMA_QUESTION_TRART8_5&gt;</w:t>
      </w:r>
    </w:p>
    <w:p w14:paraId="7F6E38EC" w14:textId="77777777" w:rsidR="00492B3A" w:rsidRDefault="00492B3A" w:rsidP="00492B3A"/>
    <w:p w14:paraId="428AAF91" w14:textId="35434FB5" w:rsidR="00492B3A" w:rsidRDefault="00492B3A" w:rsidP="00492B3A">
      <w:pPr>
        <w:pStyle w:val="Questionstyle"/>
      </w:pPr>
      <w:r>
        <w:t>For this KPI, do you agree with the proposed approach to when OpEx can be counted, including the definition of ‘plan’ (bullet b in the draft advice)? With reference to the TEG’s inclusion of the words “if relevant” in relation to OpEx, in which situations should it be possible to count OpEx as Taxonomy-aligned?</w:t>
      </w:r>
    </w:p>
    <w:p w14:paraId="5D7E3500" w14:textId="77777777" w:rsidR="00492B3A" w:rsidRDefault="00492B3A" w:rsidP="00492B3A">
      <w:r>
        <w:t>&lt;ESMA_QUESTION_TRART8_6&gt;</w:t>
      </w:r>
    </w:p>
    <w:p w14:paraId="0F758D77" w14:textId="47942449" w:rsidR="004D5550" w:rsidRDefault="004D5550" w:rsidP="004D5550">
      <w:permStart w:id="164587406" w:edGrp="everyone"/>
      <w:r>
        <w:t xml:space="preserve">EDF agrees on the proposed scope to take into account corresponding </w:t>
      </w:r>
      <w:proofErr w:type="spellStart"/>
      <w:r>
        <w:t>Opex</w:t>
      </w:r>
      <w:proofErr w:type="spellEnd"/>
      <w:r>
        <w:t xml:space="preserve"> when it meets the 3 criteria stated in bullet b. </w:t>
      </w:r>
    </w:p>
    <w:p w14:paraId="3D688E0B" w14:textId="77777777" w:rsidR="004D5550" w:rsidRDefault="004D5550" w:rsidP="004D5550">
      <w:r>
        <w:t xml:space="preserve">However EDF disagrees regarding the definition of plan. For example, we do not agree with the </w:t>
      </w:r>
    </w:p>
    <w:p w14:paraId="6D082924" w14:textId="77777777" w:rsidR="004D5550" w:rsidRDefault="004D5550" w:rsidP="004D5550">
      <w:proofErr w:type="gramStart"/>
      <w:r>
        <w:t>requirement</w:t>
      </w:r>
      <w:proofErr w:type="gramEnd"/>
      <w:r>
        <w:t xml:space="preserve"> that “The plan should be made available to the public e.g. on the undertaking’s website” as there may be strategically sensitive projects that cannot be disclosed prematurely. </w:t>
      </w:r>
    </w:p>
    <w:p w14:paraId="4DC42D59" w14:textId="2A8E0358" w:rsidR="00492B3A" w:rsidRDefault="004D5550" w:rsidP="00492B3A">
      <w:r>
        <w:t>One alternative could be to require third-party verification of these investment costs as being part of a plan.</w:t>
      </w:r>
    </w:p>
    <w:permEnd w:id="164587406"/>
    <w:p w14:paraId="7A0C7BD5" w14:textId="77777777" w:rsidR="00492B3A" w:rsidRDefault="00492B3A" w:rsidP="00492B3A">
      <w:r>
        <w:t>&lt;ESMA_QUESTION_TRART8_6&gt;</w:t>
      </w:r>
    </w:p>
    <w:p w14:paraId="4BF785AD" w14:textId="77777777" w:rsidR="00492B3A" w:rsidRDefault="00492B3A" w:rsidP="00492B3A"/>
    <w:p w14:paraId="71D01BE1" w14:textId="5A6C64AB" w:rsidR="00492B3A" w:rsidRDefault="00492B3A" w:rsidP="00492B3A">
      <w:pPr>
        <w:pStyle w:val="Questionstyle"/>
      </w:pPr>
      <w:r>
        <w:t>Do you believe that any of the suggested approaches covered in questions 1 to 6 above will impose additional costs on non-financial undertakings? If yes, please specify the type of those costs, including whether they are one-off or ongoing, and provide your best quantitative estimate of their size.</w:t>
      </w:r>
    </w:p>
    <w:p w14:paraId="57CA855E" w14:textId="77777777" w:rsidR="00492B3A" w:rsidRDefault="00492B3A" w:rsidP="00492B3A">
      <w:r>
        <w:t>&lt;ESMA_QUESTION_TRART8_7&gt;</w:t>
      </w:r>
    </w:p>
    <w:p w14:paraId="32583F09" w14:textId="77777777" w:rsidR="004D5550" w:rsidRDefault="004D5550" w:rsidP="00492B3A">
      <w:permStart w:id="1191210126" w:edGrp="everyone"/>
      <w:r w:rsidRPr="004D5550">
        <w:t xml:space="preserve">The implementation of a reporting process would involve important costs as our existing systems do not capture such information. The costs will not only </w:t>
      </w:r>
      <w:r>
        <w:t xml:space="preserve">be </w:t>
      </w:r>
      <w:r w:rsidRPr="004D5550">
        <w:t>incurred at the moment the implementation start</w:t>
      </w:r>
      <w:r>
        <w:t>s</w:t>
      </w:r>
      <w:r w:rsidRPr="004D5550">
        <w:t xml:space="preserve"> but also after in order to</w:t>
      </w:r>
      <w:r>
        <w:t xml:space="preserve"> maintain the reporting process</w:t>
      </w:r>
      <w:r w:rsidRPr="004D5550">
        <w:t>. The cost</w:t>
      </w:r>
      <w:r>
        <w:t xml:space="preserve">s will </w:t>
      </w:r>
      <w:r w:rsidRPr="004D5550">
        <w:t xml:space="preserve">of course </w:t>
      </w:r>
      <w:r>
        <w:t>be more</w:t>
      </w:r>
      <w:r w:rsidRPr="004D5550">
        <w:t xml:space="preserve"> important at the </w:t>
      </w:r>
    </w:p>
    <w:p w14:paraId="0F6B4017" w14:textId="7E76F955" w:rsidR="00492B3A" w:rsidRDefault="004D5550" w:rsidP="00492B3A">
      <w:proofErr w:type="gramStart"/>
      <w:r w:rsidRPr="004D5550">
        <w:t>beginning</w:t>
      </w:r>
      <w:proofErr w:type="gramEnd"/>
      <w:r w:rsidRPr="004D5550">
        <w:t xml:space="preserve"> of the process.</w:t>
      </w:r>
    </w:p>
    <w:permEnd w:id="1191210126"/>
    <w:p w14:paraId="20867D23" w14:textId="77777777" w:rsidR="00492B3A" w:rsidRDefault="00492B3A" w:rsidP="00492B3A">
      <w:r>
        <w:t>&lt;ESMA_QUESTION_TRART8_7&gt;</w:t>
      </w:r>
    </w:p>
    <w:p w14:paraId="627B65D4" w14:textId="77777777" w:rsidR="00492B3A" w:rsidRDefault="00492B3A" w:rsidP="00492B3A"/>
    <w:p w14:paraId="32FE661C" w14:textId="4F9A21D5" w:rsidR="00492B3A" w:rsidRDefault="00492B3A" w:rsidP="00492B3A">
      <w:pPr>
        <w:pStyle w:val="Questionstyle"/>
      </w:pPr>
      <w:r>
        <w:t>Do you agree that sectoral specificities should not be addressed in the advice, as proposed in Section 3.2.3?</w:t>
      </w:r>
    </w:p>
    <w:p w14:paraId="64A00FD2" w14:textId="77777777" w:rsidR="00492B3A" w:rsidRDefault="00492B3A" w:rsidP="00492B3A">
      <w:r>
        <w:t>&lt;ESMA_QUESTION_TRART8_8&gt;</w:t>
      </w:r>
    </w:p>
    <w:p w14:paraId="219D4305" w14:textId="77777777" w:rsidR="004D5550" w:rsidRDefault="004D5550" w:rsidP="00492B3A">
      <w:permStart w:id="21103909" w:edGrp="everyone"/>
      <w:r>
        <w:t>EDF</w:t>
      </w:r>
      <w:r w:rsidRPr="004D5550">
        <w:t xml:space="preserve"> agree</w:t>
      </w:r>
      <w:r>
        <w:t>s</w:t>
      </w:r>
      <w:r w:rsidRPr="004D5550">
        <w:t xml:space="preserve"> on the proposed scope not to take into account sectoral specificities. Guidance should be general without sectoral specificities. Sectoral specificities would not be consistent with the sectoral </w:t>
      </w:r>
    </w:p>
    <w:p w14:paraId="6B8BC859" w14:textId="2920CD11" w:rsidR="00492B3A" w:rsidRDefault="004D5550" w:rsidP="00492B3A">
      <w:proofErr w:type="gramStart"/>
      <w:r w:rsidRPr="004D5550">
        <w:t>information</w:t>
      </w:r>
      <w:proofErr w:type="gramEnd"/>
      <w:r w:rsidRPr="004D5550">
        <w:t xml:space="preserve"> presented in the URD.</w:t>
      </w:r>
    </w:p>
    <w:permEnd w:id="21103909"/>
    <w:p w14:paraId="6C91EF19" w14:textId="77777777" w:rsidR="00492B3A" w:rsidRDefault="00492B3A" w:rsidP="00492B3A">
      <w:r>
        <w:t>&lt;ESMA_QUESTION_TRART8_8&gt;</w:t>
      </w:r>
    </w:p>
    <w:p w14:paraId="358E7A29" w14:textId="77777777" w:rsidR="00492B3A" w:rsidRDefault="00492B3A" w:rsidP="00492B3A"/>
    <w:p w14:paraId="35F135E9" w14:textId="08007B24" w:rsidR="00492B3A" w:rsidRDefault="00492B3A" w:rsidP="00492B3A">
      <w:pPr>
        <w:pStyle w:val="Questionstyle"/>
      </w:pPr>
      <w:r>
        <w:t>Do you agree with the requirements for accompanying information which ESMA has proposed for the three KPIs?</w:t>
      </w:r>
    </w:p>
    <w:p w14:paraId="01ADFC46" w14:textId="77777777" w:rsidR="00492B3A" w:rsidRDefault="00492B3A" w:rsidP="00492B3A">
      <w:r>
        <w:t>&lt;ESMA_QUESTION_TRART8_9&gt;</w:t>
      </w:r>
    </w:p>
    <w:p w14:paraId="0607FBFB" w14:textId="1F41641A" w:rsidR="004D5550" w:rsidRDefault="004D5550" w:rsidP="004D5550">
      <w:permStart w:id="70807355" w:edGrp="everyone"/>
      <w:r>
        <w:t xml:space="preserve">Disclosures should remain general and subject to the judgment of </w:t>
      </w:r>
      <w:r w:rsidR="00382325">
        <w:t xml:space="preserve">each company in order to avoid </w:t>
      </w:r>
      <w:r>
        <w:t xml:space="preserve">having to disclose sensitive information. This information should not be more precise than the level required in the financial statements. </w:t>
      </w:r>
    </w:p>
    <w:p w14:paraId="0AB3A7A1" w14:textId="1479AB1B" w:rsidR="00492B3A" w:rsidRDefault="004D5550" w:rsidP="004D5550">
      <w:r>
        <w:lastRenderedPageBreak/>
        <w:t xml:space="preserve">The only disclosure should concern the principles and accounting methods, narrative explanation of the data and the judgments and estimates applied (allocation rule used). EDF supports the idea </w:t>
      </w:r>
      <w:r w:rsidR="00382325">
        <w:t>that there is further room</w:t>
      </w:r>
      <w:r w:rsidR="00160F4C">
        <w:t xml:space="preserve"> for flexibility about</w:t>
      </w:r>
      <w:r>
        <w:t xml:space="preserve"> what information should be disclosed.</w:t>
      </w:r>
    </w:p>
    <w:permEnd w:id="70807355"/>
    <w:p w14:paraId="293286B0" w14:textId="77777777" w:rsidR="00492B3A" w:rsidRDefault="00492B3A" w:rsidP="00492B3A">
      <w:r>
        <w:t>&lt;ESMA_QUESTION_TRART8_9&gt;</w:t>
      </w:r>
    </w:p>
    <w:p w14:paraId="1265C514" w14:textId="77777777" w:rsidR="00492B3A" w:rsidRDefault="00492B3A" w:rsidP="00492B3A"/>
    <w:p w14:paraId="65464EDE" w14:textId="09C1D542" w:rsidR="00492B3A" w:rsidRDefault="00492B3A" w:rsidP="00492B3A">
      <w:pPr>
        <w:pStyle w:val="Questionstyle"/>
      </w:pPr>
      <w:r>
        <w:t>Do you consider that the requirement to refer to the relevant line item(s) in the financial statements for each KPI ensures sufficient integration between the KPIs and the financial statements?</w:t>
      </w:r>
    </w:p>
    <w:p w14:paraId="554C7E7D" w14:textId="77777777" w:rsidR="00492B3A" w:rsidRDefault="00492B3A" w:rsidP="00492B3A">
      <w:r>
        <w:t>&lt;ESMA_QUESTION_TRART8_10&gt;</w:t>
      </w:r>
    </w:p>
    <w:p w14:paraId="6EEE3D15" w14:textId="77777777" w:rsidR="00850B50" w:rsidRDefault="00B87ACD" w:rsidP="00492B3A">
      <w:permStart w:id="1969951227" w:edGrp="everyone"/>
      <w:r w:rsidRPr="00850B50">
        <w:t>EDF isn’t against</w:t>
      </w:r>
      <w:r w:rsidR="00160F4C" w:rsidRPr="00850B50">
        <w:t xml:space="preserve"> </w:t>
      </w:r>
      <w:r w:rsidRPr="00850B50">
        <w:t xml:space="preserve">making a </w:t>
      </w:r>
      <w:r w:rsidR="00E97128" w:rsidRPr="00850B50">
        <w:t>reference</w:t>
      </w:r>
      <w:r w:rsidRPr="00850B50">
        <w:t xml:space="preserve"> </w:t>
      </w:r>
      <w:r w:rsidR="00160F4C" w:rsidRPr="00850B50">
        <w:t>to</w:t>
      </w:r>
      <w:r w:rsidR="00E97128" w:rsidRPr="00850B50">
        <w:t xml:space="preserve"> financial statements but it m</w:t>
      </w:r>
      <w:r w:rsidRPr="00850B50">
        <w:t xml:space="preserve">ight </w:t>
      </w:r>
      <w:r w:rsidR="00E97128" w:rsidRPr="00850B50">
        <w:t xml:space="preserve">not be relevant </w:t>
      </w:r>
      <w:r w:rsidRPr="00850B50">
        <w:t xml:space="preserve">to add more </w:t>
      </w:r>
    </w:p>
    <w:p w14:paraId="2E3397C3" w14:textId="77777777" w:rsidR="00850B50" w:rsidRDefault="00850B50" w:rsidP="00492B3A">
      <w:r>
        <w:t>Infor</w:t>
      </w:r>
      <w:r w:rsidR="00B87ACD" w:rsidRPr="00850B50">
        <w:t>m</w:t>
      </w:r>
      <w:r>
        <w:t xml:space="preserve">ation </w:t>
      </w:r>
      <w:r w:rsidR="00B87ACD" w:rsidRPr="00850B50">
        <w:t xml:space="preserve">in the URD </w:t>
      </w:r>
      <w:r>
        <w:t>taking into account the fact that those informa</w:t>
      </w:r>
      <w:r w:rsidR="00B87ACD" w:rsidRPr="00850B50">
        <w:t>t</w:t>
      </w:r>
      <w:r>
        <w:t>i</w:t>
      </w:r>
      <w:r w:rsidR="00B87ACD" w:rsidRPr="00850B50">
        <w:t xml:space="preserve">on are already included in </w:t>
      </w:r>
      <w:r>
        <w:t xml:space="preserve">the </w:t>
      </w:r>
    </w:p>
    <w:p w14:paraId="729D6FDA" w14:textId="0E7B2E17" w:rsidR="00492B3A" w:rsidRPr="00850B50" w:rsidRDefault="00850B50" w:rsidP="00492B3A">
      <w:proofErr w:type="gramStart"/>
      <w:r>
        <w:t>accompanyi</w:t>
      </w:r>
      <w:r w:rsidR="00B87ACD" w:rsidRPr="00850B50">
        <w:t>ng</w:t>
      </w:r>
      <w:proofErr w:type="gramEnd"/>
      <w:r w:rsidR="00B87ACD" w:rsidRPr="00850B50">
        <w:t xml:space="preserve"> info</w:t>
      </w:r>
      <w:r>
        <w:t xml:space="preserve">rmation </w:t>
      </w:r>
      <w:r w:rsidR="00B87ACD" w:rsidRPr="00850B50">
        <w:t xml:space="preserve"> (see</w:t>
      </w:r>
      <w:r>
        <w:t xml:space="preserve"> above Q9</w:t>
      </w:r>
      <w:r w:rsidR="00AE3194">
        <w:t>)</w:t>
      </w:r>
    </w:p>
    <w:permEnd w:id="1969951227"/>
    <w:p w14:paraId="1CD8F45C" w14:textId="77777777" w:rsidR="00492B3A" w:rsidRDefault="00492B3A" w:rsidP="00492B3A">
      <w:r>
        <w:t>&lt;ESMA_QUESTION_TRART8_10&gt;</w:t>
      </w:r>
    </w:p>
    <w:p w14:paraId="4A233221" w14:textId="77777777" w:rsidR="00492B3A" w:rsidRDefault="00492B3A" w:rsidP="00492B3A"/>
    <w:p w14:paraId="43470B7B" w14:textId="7E3668E4" w:rsidR="00492B3A" w:rsidRDefault="00492B3A" w:rsidP="00492B3A">
      <w:pPr>
        <w:pStyle w:val="Questionstyle"/>
      </w:pPr>
      <w:r>
        <w:t>Do you agree with ESMA’s suggestion to permit compliance by reference, so that non-financial undertakings may present the accompanying information elsewhere in the non-financial statement than in the immediate vicinity of the KPIs, as long as they provide a hyperlink to the location of the accompanying information?</w:t>
      </w:r>
    </w:p>
    <w:p w14:paraId="17905251" w14:textId="77777777" w:rsidR="00492B3A" w:rsidRDefault="00492B3A" w:rsidP="00492B3A">
      <w:r>
        <w:t>&lt;ESMA_QUESTION_TRART8_11&gt;</w:t>
      </w:r>
    </w:p>
    <w:p w14:paraId="16B29EBB" w14:textId="424D0835" w:rsidR="00492B3A" w:rsidRDefault="0081686F" w:rsidP="00492B3A">
      <w:permStart w:id="947678092" w:edGrp="everyone"/>
      <w:r>
        <w:t xml:space="preserve"> </w:t>
      </w:r>
      <w:r w:rsidRPr="0081686F">
        <w:t>Yes, it should be allowed to permit compliance by ref</w:t>
      </w:r>
      <w:r w:rsidR="00160F4C">
        <w:t xml:space="preserve">erence. A referencing system in cases </w:t>
      </w:r>
      <w:r w:rsidRPr="0081686F">
        <w:t>where the KPIs are disclosed elsewhere e.g. in Annual Report is a prerequisite for ESG reporting to be put on the same footing as for financial reporting.</w:t>
      </w:r>
    </w:p>
    <w:permEnd w:id="947678092"/>
    <w:p w14:paraId="5D803357" w14:textId="77777777" w:rsidR="00492B3A" w:rsidRDefault="00492B3A" w:rsidP="00492B3A">
      <w:r>
        <w:t>&lt;ESMA_QUESTION_TRART8_11&gt;</w:t>
      </w:r>
    </w:p>
    <w:p w14:paraId="1A3E6E6B" w14:textId="77777777" w:rsidR="00492B3A" w:rsidRDefault="00492B3A" w:rsidP="00492B3A"/>
    <w:p w14:paraId="681EC23B" w14:textId="56FB4CB0" w:rsidR="00492B3A" w:rsidRDefault="00492B3A" w:rsidP="00492B3A">
      <w:pPr>
        <w:pStyle w:val="Questionstyle"/>
      </w:pPr>
      <w:r>
        <w:t>Do you consider there are additional topics that should be considered by ESMA in order to specify the content of the three KPIs? If yes, please elaborate and explain the relevance of these topics.</w:t>
      </w:r>
    </w:p>
    <w:p w14:paraId="7F0E3695" w14:textId="77777777" w:rsidR="00492B3A" w:rsidRDefault="00492B3A" w:rsidP="00492B3A">
      <w:r>
        <w:t>&lt;ESMA_QUESTION_TRART8_12&gt;</w:t>
      </w:r>
    </w:p>
    <w:p w14:paraId="1818CFD4" w14:textId="77777777" w:rsidR="0081686F" w:rsidRDefault="0081686F" w:rsidP="0081686F">
      <w:permStart w:id="575285207" w:edGrp="everyone"/>
      <w:r>
        <w:t xml:space="preserve">EDF is concerned regarding the timing of the project (more implementation time should be given to </w:t>
      </w:r>
    </w:p>
    <w:p w14:paraId="5F50FA92" w14:textId="09F65ADA" w:rsidR="00492B3A" w:rsidRDefault="0081686F" w:rsidP="0081686F">
      <w:proofErr w:type="gramStart"/>
      <w:r>
        <w:t>companies</w:t>
      </w:r>
      <w:proofErr w:type="gramEnd"/>
      <w:r>
        <w:t xml:space="preserve"> to provide reliable information and high level of disclosure)</w:t>
      </w:r>
      <w:r w:rsidR="00160F4C">
        <w:t xml:space="preserve"> as well as the level of disclosure</w:t>
      </w:r>
      <w:r>
        <w:t xml:space="preserve"> (the disclosure re</w:t>
      </w:r>
      <w:r w:rsidR="00160F4C">
        <w:t xml:space="preserve">garding the KPIs should allow </w:t>
      </w:r>
      <w:r>
        <w:t>some flexibility).</w:t>
      </w:r>
    </w:p>
    <w:permEnd w:id="575285207"/>
    <w:p w14:paraId="40A9AA66" w14:textId="77777777" w:rsidR="00492B3A" w:rsidRDefault="00492B3A" w:rsidP="00492B3A">
      <w:r>
        <w:t>&lt;ESMA_QUESTION_TRART8_12&gt;</w:t>
      </w:r>
    </w:p>
    <w:p w14:paraId="47FAF275" w14:textId="77777777" w:rsidR="00492B3A" w:rsidRDefault="00492B3A" w:rsidP="00492B3A"/>
    <w:p w14:paraId="01343F76" w14:textId="51762306" w:rsidR="00492B3A" w:rsidRDefault="00492B3A" w:rsidP="00492B3A">
      <w:pPr>
        <w:pStyle w:val="Questionstyle"/>
      </w:pPr>
      <w:r>
        <w:t>Do you believe that providing the suggested accompanying information will impose additional costs on non-financial undertakings? If yes, please specify the type of those costs, including whether they are one-off or on-going, and provide your best quantitative estimate of their size.</w:t>
      </w:r>
    </w:p>
    <w:p w14:paraId="4C7333E2" w14:textId="77777777" w:rsidR="00492B3A" w:rsidRDefault="00492B3A" w:rsidP="00492B3A">
      <w:r>
        <w:t>&lt;ESMA_QUESTION_TRART8_13&gt;</w:t>
      </w:r>
    </w:p>
    <w:p w14:paraId="64723414" w14:textId="61FFE63B" w:rsidR="00733A22" w:rsidRDefault="00733A22" w:rsidP="00492B3A">
      <w:permStart w:id="384379543" w:edGrp="everyone"/>
      <w:r w:rsidRPr="00733A22">
        <w:t>The costs depend among other things on the outcome of the discl</w:t>
      </w:r>
      <w:r w:rsidR="00E44F89">
        <w:t xml:space="preserve">osure requirement and </w:t>
      </w:r>
      <w:r w:rsidR="00FC3BB5">
        <w:t xml:space="preserve">the </w:t>
      </w:r>
      <w:r w:rsidR="00E44F89">
        <w:t>standardis</w:t>
      </w:r>
      <w:r w:rsidRPr="00733A22">
        <w:t xml:space="preserve">ed </w:t>
      </w:r>
    </w:p>
    <w:p w14:paraId="7A9A50C5" w14:textId="0C44DD41" w:rsidR="00492B3A" w:rsidRDefault="00733A22" w:rsidP="00492B3A">
      <w:proofErr w:type="gramStart"/>
      <w:r w:rsidRPr="00733A22">
        <w:t>format</w:t>
      </w:r>
      <w:proofErr w:type="gramEnd"/>
      <w:r w:rsidRPr="00733A22">
        <w:t xml:space="preserve"> of the disclosure. A flexibility in the format of the accompanying information will help in reducing additional costs.</w:t>
      </w:r>
    </w:p>
    <w:permEnd w:id="384379543"/>
    <w:p w14:paraId="0D19A1E9" w14:textId="77777777" w:rsidR="00492B3A" w:rsidRDefault="00492B3A" w:rsidP="00492B3A">
      <w:r>
        <w:t>&lt;ESMA_QUESTION_TRART8_13&gt;</w:t>
      </w:r>
    </w:p>
    <w:p w14:paraId="2B65235D" w14:textId="77777777" w:rsidR="00492B3A" w:rsidRDefault="00492B3A" w:rsidP="00492B3A"/>
    <w:p w14:paraId="620A77B5" w14:textId="464FAA88" w:rsidR="00492B3A" w:rsidRDefault="00492B3A" w:rsidP="00492B3A">
      <w:pPr>
        <w:pStyle w:val="Questionstyle"/>
      </w:pPr>
      <w:r>
        <w:t xml:space="preserve">Do you agree that non-financial undertakings should provide the three KPIs per economic activity and also provide a total of the three KPIs at the level of the undertaking / group? </w:t>
      </w:r>
      <w:r>
        <w:lastRenderedPageBreak/>
        <w:t>If not, please provide your reasons and address the impact of your proposal to financial market participants along the investment chain.</w:t>
      </w:r>
    </w:p>
    <w:p w14:paraId="469F3B30" w14:textId="77777777" w:rsidR="00492B3A" w:rsidRDefault="00492B3A" w:rsidP="00492B3A">
      <w:r>
        <w:t>&lt;ESMA_QUESTION_TRART8_14&gt;</w:t>
      </w:r>
    </w:p>
    <w:p w14:paraId="31305E38" w14:textId="77777777" w:rsidR="00FC3BB5" w:rsidRDefault="000A3BE2" w:rsidP="000A3BE2">
      <w:permStart w:id="1844913490" w:edGrp="everyone"/>
      <w:r>
        <w:t xml:space="preserve">It does not seem appropriate to disclose the 3 KPIs per economic activity. The disaggregation of the KPIs per economic activity is complexed when the production facilities are used in an integrated manner. </w:t>
      </w:r>
    </w:p>
    <w:p w14:paraId="6A0BE12B" w14:textId="77777777" w:rsidR="00FC3BB5" w:rsidRDefault="000A3BE2" w:rsidP="000A3BE2">
      <w:r>
        <w:t>They are called</w:t>
      </w:r>
      <w:r w:rsidR="00FC3BB5">
        <w:t>,</w:t>
      </w:r>
      <w:r>
        <w:t xml:space="preserve"> based on market conditions, </w:t>
      </w:r>
      <w:r w:rsidR="00FC3BB5">
        <w:t xml:space="preserve">as well as </w:t>
      </w:r>
      <w:r>
        <w:t>meteorological condition</w:t>
      </w:r>
      <w:r w:rsidR="00FC3BB5">
        <w:t>s</w:t>
      </w:r>
      <w:r>
        <w:t xml:space="preserve"> and technical </w:t>
      </w:r>
    </w:p>
    <w:p w14:paraId="788BE930" w14:textId="64CA15F2" w:rsidR="000A3BE2" w:rsidRDefault="000A3BE2" w:rsidP="000A3BE2">
      <w:proofErr w:type="gramStart"/>
      <w:r>
        <w:t>availability</w:t>
      </w:r>
      <w:proofErr w:type="gramEnd"/>
      <w:r>
        <w:t xml:space="preserve">, and itemized price for each MWh produced is not available (variable over the year). </w:t>
      </w:r>
    </w:p>
    <w:p w14:paraId="65AE7182" w14:textId="4D6B4922" w:rsidR="00492B3A" w:rsidRDefault="000A3BE2" w:rsidP="000A3BE2">
      <w:r>
        <w:t xml:space="preserve">The notion of economic activity seems to be more precise than the notion of sectorial information </w:t>
      </w:r>
      <w:r w:rsidR="00FC3BB5">
        <w:t>and EDF is</w:t>
      </w:r>
      <w:r>
        <w:t xml:space="preserve"> not in favour </w:t>
      </w:r>
      <w:r w:rsidR="00FC3BB5">
        <w:t>of</w:t>
      </w:r>
      <w:r>
        <w:t xml:space="preserve"> disclosing such detailed information regarding revenue.</w:t>
      </w:r>
    </w:p>
    <w:permEnd w:id="1844913490"/>
    <w:p w14:paraId="70457698" w14:textId="77777777" w:rsidR="00492B3A" w:rsidRDefault="00492B3A" w:rsidP="00492B3A">
      <w:r>
        <w:t>&lt;ESMA_QUESTION_TRART8_14&gt;</w:t>
      </w:r>
    </w:p>
    <w:p w14:paraId="33E3946A" w14:textId="77777777" w:rsidR="00492B3A" w:rsidRDefault="00492B3A" w:rsidP="00492B3A"/>
    <w:p w14:paraId="3CC16F44" w14:textId="4015EA44" w:rsidR="00492B3A" w:rsidRDefault="00492B3A" w:rsidP="00492B3A">
      <w:pPr>
        <w:pStyle w:val="Questionstyle"/>
      </w:pPr>
      <w:r>
        <w:t>Do you agree that where an economic activity contributes to more than one environmental objective, non-financial undertakings should explain how they allocated the turnover / CapEx / OpEx of that activity across environmental objectives and where relevant the reasons for choosing one objective over another?</w:t>
      </w:r>
    </w:p>
    <w:p w14:paraId="63D6457D" w14:textId="77777777" w:rsidR="00492B3A" w:rsidRDefault="00492B3A" w:rsidP="00492B3A">
      <w:r>
        <w:t>&lt;ESMA_QUESTION_TRART8_15&gt;</w:t>
      </w:r>
    </w:p>
    <w:p w14:paraId="27E18A73" w14:textId="77777777" w:rsidR="00FC3BB5" w:rsidRDefault="00B26752" w:rsidP="00492B3A">
      <w:permStart w:id="1403017900" w:edGrp="everyone"/>
      <w:r>
        <w:t>EDF</w:t>
      </w:r>
      <w:r w:rsidRPr="00B26752">
        <w:t xml:space="preserve"> disagree</w:t>
      </w:r>
      <w:r>
        <w:t>s</w:t>
      </w:r>
      <w:r w:rsidRPr="00B26752">
        <w:t xml:space="preserve"> with the necessity to disclose the KPIs by environmental objectives. </w:t>
      </w:r>
    </w:p>
    <w:p w14:paraId="32199D40" w14:textId="7F967452" w:rsidR="00FC3BB5" w:rsidRDefault="00B26752" w:rsidP="00492B3A">
      <w:r w:rsidRPr="00B26752">
        <w:t>The reporting process would be too complicated to imple</w:t>
      </w:r>
      <w:r w:rsidR="00FC3BB5">
        <w:t>ment and not applicable when</w:t>
      </w:r>
      <w:r w:rsidRPr="00B26752">
        <w:t xml:space="preserve"> production </w:t>
      </w:r>
    </w:p>
    <w:p w14:paraId="053A2687" w14:textId="77777777" w:rsidR="00FC3BB5" w:rsidRDefault="00B26752" w:rsidP="00492B3A">
      <w:proofErr w:type="gramStart"/>
      <w:r w:rsidRPr="00B26752">
        <w:t>facilities</w:t>
      </w:r>
      <w:proofErr w:type="gramEnd"/>
      <w:r w:rsidRPr="00B26752">
        <w:t xml:space="preserve"> are u</w:t>
      </w:r>
      <w:r w:rsidR="00FC3BB5">
        <w:t>sed in an integrated manner.  P</w:t>
      </w:r>
      <w:r w:rsidRPr="00B26752">
        <w:t>rovid</w:t>
      </w:r>
      <w:r w:rsidR="00FC3BB5">
        <w:t xml:space="preserve">ing </w:t>
      </w:r>
      <w:r w:rsidRPr="00B26752">
        <w:t>such a level of granularity</w:t>
      </w:r>
      <w:r w:rsidR="00FC3BB5">
        <w:t xml:space="preserve"> is going to be far too </w:t>
      </w:r>
    </w:p>
    <w:p w14:paraId="2E34B8AF" w14:textId="22E4B87A" w:rsidR="00492B3A" w:rsidRDefault="00FC3BB5" w:rsidP="00492B3A">
      <w:proofErr w:type="gramStart"/>
      <w:r>
        <w:t>difficult</w:t>
      </w:r>
      <w:proofErr w:type="gramEnd"/>
      <w:r w:rsidR="00B26752" w:rsidRPr="00B26752">
        <w:t>.</w:t>
      </w:r>
    </w:p>
    <w:permEnd w:id="1403017900"/>
    <w:p w14:paraId="379DD71C" w14:textId="77777777" w:rsidR="00492B3A" w:rsidRDefault="00492B3A" w:rsidP="00492B3A">
      <w:r>
        <w:t>&lt;ESMA_QUESTION_TRART8_15&gt;</w:t>
      </w:r>
    </w:p>
    <w:p w14:paraId="3D52163A" w14:textId="77777777" w:rsidR="00492B3A" w:rsidRDefault="00492B3A" w:rsidP="00492B3A"/>
    <w:p w14:paraId="112B8CBC" w14:textId="727487DB" w:rsidR="00492B3A" w:rsidRDefault="00492B3A" w:rsidP="00492B3A">
      <w:pPr>
        <w:pStyle w:val="Questionstyle"/>
      </w:pPr>
      <w:r>
        <w:t>Do you agree that non-financial undertakings should provide information on enabling and transitional activities?</w:t>
      </w:r>
    </w:p>
    <w:p w14:paraId="4EC2BDB8" w14:textId="77777777" w:rsidR="00492B3A" w:rsidRDefault="00492B3A" w:rsidP="00492B3A">
      <w:r>
        <w:t>&lt;ESMA_QUESTION_TRART8_16&gt;</w:t>
      </w:r>
    </w:p>
    <w:p w14:paraId="1539FDCA" w14:textId="77777777" w:rsidR="00B26752" w:rsidRDefault="00B26752" w:rsidP="00B26752">
      <w:permStart w:id="1046510351" w:edGrp="everyone"/>
      <w:r>
        <w:t xml:space="preserve">EDF doesn't agree on providing information on enabling and transitional activities. </w:t>
      </w:r>
    </w:p>
    <w:p w14:paraId="609A12FC" w14:textId="5CFD5955" w:rsidR="00FC3BB5" w:rsidRDefault="00D75832" w:rsidP="00B26752">
      <w:r>
        <w:t>Providing such</w:t>
      </w:r>
      <w:r w:rsidR="00B26752">
        <w:t xml:space="preserve"> information would be burdens</w:t>
      </w:r>
      <w:r w:rsidR="00FC3BB5">
        <w:t>ome to implement and not</w:t>
      </w:r>
      <w:r w:rsidR="00B26752">
        <w:t xml:space="preserve"> relevant </w:t>
      </w:r>
      <w:r w:rsidR="00FC3BB5">
        <w:t xml:space="preserve">as </w:t>
      </w:r>
      <w:r w:rsidR="00B26752">
        <w:t xml:space="preserve">transitional </w:t>
      </w:r>
    </w:p>
    <w:p w14:paraId="16A16996" w14:textId="676141CC" w:rsidR="00B26752" w:rsidRDefault="00B26752" w:rsidP="00B26752">
      <w:proofErr w:type="gramStart"/>
      <w:r>
        <w:t>activities</w:t>
      </w:r>
      <w:proofErr w:type="gramEnd"/>
      <w:r>
        <w:t xml:space="preserve"> </w:t>
      </w:r>
      <w:r w:rsidR="00FC3BB5">
        <w:t xml:space="preserve">may </w:t>
      </w:r>
      <w:r>
        <w:t xml:space="preserve">change categories </w:t>
      </w:r>
      <w:r w:rsidR="00FC3BB5">
        <w:t xml:space="preserve">over time making </w:t>
      </w:r>
      <w:r>
        <w:t>investors reading more difficult.</w:t>
      </w:r>
    </w:p>
    <w:p w14:paraId="1FF5293E" w14:textId="4D728752" w:rsidR="00492B3A" w:rsidRDefault="00B26752" w:rsidP="00B26752">
      <w:r>
        <w:t>Qualitative information may be added on this respect.</w:t>
      </w:r>
    </w:p>
    <w:permEnd w:id="1046510351"/>
    <w:p w14:paraId="1B3BEA7F" w14:textId="77777777" w:rsidR="00492B3A" w:rsidRDefault="00492B3A" w:rsidP="00492B3A">
      <w:r>
        <w:t>&lt;ESMA_QUESTION_TRART8_16&gt;</w:t>
      </w:r>
    </w:p>
    <w:p w14:paraId="649FBBBD" w14:textId="77777777" w:rsidR="00492B3A" w:rsidRDefault="00492B3A" w:rsidP="00492B3A"/>
    <w:p w14:paraId="5EF224F0" w14:textId="645A4977" w:rsidR="00492B3A" w:rsidRDefault="00492B3A" w:rsidP="00492B3A">
      <w:pPr>
        <w:pStyle w:val="Questionstyle"/>
      </w:pPr>
      <w:r>
        <w:t>Do you agree that the three KPIs should be provided per environmental objective as well as a total at undertaking or group level across all objectives? If not, please provide your reasons and address the impact of your proposal to financial market participants along the investment chain.</w:t>
      </w:r>
    </w:p>
    <w:p w14:paraId="0A7FFEE1" w14:textId="77777777" w:rsidR="00492B3A" w:rsidRDefault="00492B3A" w:rsidP="00492B3A">
      <w:r>
        <w:t>&lt;ESMA_QUESTION_TRART8_17&gt;</w:t>
      </w:r>
    </w:p>
    <w:p w14:paraId="4F567131" w14:textId="48143ED5" w:rsidR="004B15B2" w:rsidRDefault="004B15B2" w:rsidP="004B15B2">
      <w:permStart w:id="1692017174" w:edGrp="everyone"/>
      <w:r>
        <w:t>EDF disagrees</w:t>
      </w:r>
      <w:r w:rsidR="00D75832">
        <w:t xml:space="preserve"> on</w:t>
      </w:r>
      <w:r>
        <w:t xml:space="preserve"> the ne</w:t>
      </w:r>
      <w:r w:rsidR="00D75832">
        <w:t>ed</w:t>
      </w:r>
      <w:r>
        <w:t xml:space="preserve"> to disclose the KPIs by environmental objectives. </w:t>
      </w:r>
    </w:p>
    <w:p w14:paraId="5EE9EA45" w14:textId="77777777" w:rsidR="004B15B2" w:rsidRDefault="004B15B2" w:rsidP="004B15B2">
      <w:r>
        <w:t xml:space="preserve">The reporting process would be too complicated to implement and not applicable when the production </w:t>
      </w:r>
    </w:p>
    <w:p w14:paraId="40ACDD29" w14:textId="77777777" w:rsidR="004B15B2" w:rsidRDefault="004B15B2" w:rsidP="004B15B2">
      <w:proofErr w:type="gramStart"/>
      <w:r>
        <w:t>facilities</w:t>
      </w:r>
      <w:proofErr w:type="gramEnd"/>
      <w:r>
        <w:t xml:space="preserve"> are used in an integrated manner. Providing such a level of granularity is too complex. </w:t>
      </w:r>
    </w:p>
    <w:p w14:paraId="13AFA329" w14:textId="42AD463C" w:rsidR="004B15B2" w:rsidRDefault="004B15B2" w:rsidP="004B15B2">
      <w:r>
        <w:t>For investors it should be sufficient to see if the activity is Taxonomy-aligned.</w:t>
      </w:r>
    </w:p>
    <w:p w14:paraId="6B61C298" w14:textId="0C6C4B8F" w:rsidR="00492B3A" w:rsidRDefault="004B15B2" w:rsidP="004B15B2">
      <w:r>
        <w:t>Qualitative information may be added.</w:t>
      </w:r>
    </w:p>
    <w:permEnd w:id="1692017174"/>
    <w:p w14:paraId="20733EA7" w14:textId="77777777" w:rsidR="00492B3A" w:rsidRDefault="00492B3A" w:rsidP="00492B3A">
      <w:r>
        <w:t>&lt;ESMA_QUESTION_TRART8_17&gt;</w:t>
      </w:r>
    </w:p>
    <w:p w14:paraId="003742D8" w14:textId="77777777" w:rsidR="00492B3A" w:rsidRDefault="00492B3A" w:rsidP="00492B3A"/>
    <w:p w14:paraId="630C1875" w14:textId="71E26F90" w:rsidR="00492B3A" w:rsidRDefault="00492B3A" w:rsidP="00492B3A">
      <w:pPr>
        <w:pStyle w:val="Questionstyle"/>
      </w:pPr>
      <w:r>
        <w:t>Do you agree that non-financial undertakings should be required to provide the three KPIs for economic activities which are covered by the Taxonomy, economic activities which are covered by the Taxonomy but for which the relevant criteria are not met and therefore are not Taxonomy-aligned as well as for economic activities which are not covered by the Taxonomy?</w:t>
      </w:r>
    </w:p>
    <w:p w14:paraId="62131EFD" w14:textId="77777777" w:rsidR="00492B3A" w:rsidRDefault="00492B3A" w:rsidP="00492B3A">
      <w:r>
        <w:lastRenderedPageBreak/>
        <w:t>&lt;ESMA_QUESTION_TRART8_18&gt;</w:t>
      </w:r>
    </w:p>
    <w:p w14:paraId="1298BA03" w14:textId="38ACA1B6" w:rsidR="00492B3A" w:rsidRDefault="00A73F70" w:rsidP="00492B3A">
      <w:permStart w:id="2067675786" w:edGrp="everyone"/>
      <w:r>
        <w:t>Beside the fact that EDF isn’t in favour of</w:t>
      </w:r>
      <w:r w:rsidRPr="00A73F70">
        <w:t xml:space="preserve"> e</w:t>
      </w:r>
      <w:r>
        <w:t>conomic activity disclosure, EDF doesn’t believe</w:t>
      </w:r>
      <w:r w:rsidRPr="00A73F70">
        <w:t xml:space="preserve"> </w:t>
      </w:r>
      <w:r w:rsidR="00C35795">
        <w:t>either</w:t>
      </w:r>
      <w:r>
        <w:t xml:space="preserve"> </w:t>
      </w:r>
      <w:r w:rsidRPr="00A73F70">
        <w:t>it</w:t>
      </w:r>
      <w:r>
        <w:t xml:space="preserve"> </w:t>
      </w:r>
      <w:r w:rsidR="00D75832">
        <w:t xml:space="preserve">would be relevant </w:t>
      </w:r>
      <w:r>
        <w:t>to provide</w:t>
      </w:r>
      <w:r w:rsidRPr="00A73F70">
        <w:t xml:space="preserve"> economic activity related information </w:t>
      </w:r>
      <w:r w:rsidR="00D75832">
        <w:t xml:space="preserve">when </w:t>
      </w:r>
      <w:r w:rsidR="00B87ACD">
        <w:t>not Taxonomy-aligned or not covered by the latter.</w:t>
      </w:r>
    </w:p>
    <w:permEnd w:id="2067675786"/>
    <w:p w14:paraId="0824C05D" w14:textId="77777777" w:rsidR="00492B3A" w:rsidRDefault="00492B3A" w:rsidP="00492B3A">
      <w:r>
        <w:t>&lt;ESMA_QUESTION_TRART8_18&gt;</w:t>
      </w:r>
    </w:p>
    <w:p w14:paraId="04F456E7" w14:textId="77777777" w:rsidR="00492B3A" w:rsidRDefault="00492B3A" w:rsidP="00492B3A"/>
    <w:p w14:paraId="2CB6885A" w14:textId="000888D8" w:rsidR="00492B3A" w:rsidRDefault="00492B3A" w:rsidP="00492B3A">
      <w:pPr>
        <w:pStyle w:val="Questionstyle"/>
      </w:pPr>
      <w:r>
        <w:t>Do you agree with the proposal not to require retroactive disclosure concerning the four environmental objectives relating to the financial year 2021?</w:t>
      </w:r>
    </w:p>
    <w:p w14:paraId="7199B384" w14:textId="77777777" w:rsidR="00492B3A" w:rsidRDefault="00492B3A" w:rsidP="00492B3A">
      <w:r>
        <w:t>&lt;ESMA_QUESTION_TRART8_19&gt;</w:t>
      </w:r>
    </w:p>
    <w:p w14:paraId="5112DAF7" w14:textId="5BD8A700" w:rsidR="00C94A00" w:rsidRDefault="00C94A00" w:rsidP="00C94A00">
      <w:permStart w:id="1373325572" w:edGrp="everyone"/>
      <w:r>
        <w:t xml:space="preserve">EDF agrees on the proposed scope </w:t>
      </w:r>
      <w:r w:rsidR="00D75832">
        <w:t>for the non-</w:t>
      </w:r>
      <w:r>
        <w:t>require</w:t>
      </w:r>
      <w:r w:rsidR="00D75832">
        <w:t xml:space="preserve">ment of </w:t>
      </w:r>
      <w:r>
        <w:t xml:space="preserve">retroactive disclosure. </w:t>
      </w:r>
    </w:p>
    <w:p w14:paraId="46CD0964" w14:textId="05710A3C" w:rsidR="00C94A00" w:rsidRDefault="00C94A00" w:rsidP="00C94A00">
      <w:r>
        <w:t xml:space="preserve">Even though a retroactive process could be useful to improve the quality of the disclosure, a retroactive disclosure for 2021 is too difficult to implement </w:t>
      </w:r>
      <w:r w:rsidR="00F2696D">
        <w:t>in such short notice</w:t>
      </w:r>
      <w:r>
        <w:t xml:space="preserve">. </w:t>
      </w:r>
      <w:r w:rsidR="00F2696D">
        <w:t xml:space="preserve">Generally speaking, </w:t>
      </w:r>
      <w:r>
        <w:t xml:space="preserve">EDF </w:t>
      </w:r>
      <w:r w:rsidR="00F2696D">
        <w:t>is</w:t>
      </w:r>
      <w:r w:rsidR="00D75832">
        <w:t xml:space="preserve"> concerned about</w:t>
      </w:r>
      <w:r w:rsidR="00B87ACD">
        <w:t xml:space="preserve"> the timing of the whole process</w:t>
      </w:r>
      <w:r>
        <w:t xml:space="preserve">. </w:t>
      </w:r>
    </w:p>
    <w:p w14:paraId="3088D274" w14:textId="77A261B7" w:rsidR="00492B3A" w:rsidRDefault="00C94A00" w:rsidP="00C94A00">
      <w:r>
        <w:t xml:space="preserve">Retroactive disclosure </w:t>
      </w:r>
      <w:r w:rsidR="00F2696D">
        <w:t xml:space="preserve">is also problematic because </w:t>
      </w:r>
      <w:r>
        <w:t xml:space="preserve">Taxonomy is </w:t>
      </w:r>
      <w:r w:rsidR="00D75832">
        <w:t xml:space="preserve">a </w:t>
      </w:r>
      <w:r>
        <w:t xml:space="preserve">dynamic </w:t>
      </w:r>
      <w:r w:rsidR="00D75832">
        <w:t xml:space="preserve">process </w:t>
      </w:r>
      <w:r>
        <w:t xml:space="preserve">(an asset could exceed a threshold a year and not the following year) and </w:t>
      </w:r>
      <w:r w:rsidR="00F2696D">
        <w:t xml:space="preserve">it could result in a </w:t>
      </w:r>
      <w:r>
        <w:t>retroactive adjustment every year over the previous year.</w:t>
      </w:r>
    </w:p>
    <w:permEnd w:id="1373325572"/>
    <w:p w14:paraId="0BFE7D97" w14:textId="77777777" w:rsidR="00492B3A" w:rsidRDefault="00492B3A" w:rsidP="00492B3A">
      <w:r>
        <w:t>&lt;ESMA_QUESTION_TRART8_19&gt;</w:t>
      </w:r>
    </w:p>
    <w:p w14:paraId="3D24CE57" w14:textId="77777777" w:rsidR="00492B3A" w:rsidRDefault="00492B3A" w:rsidP="00492B3A"/>
    <w:p w14:paraId="480CBA32" w14:textId="73EF4494" w:rsidR="00492B3A" w:rsidRDefault="00492B3A" w:rsidP="00492B3A">
      <w:pPr>
        <w:pStyle w:val="Questionstyle"/>
      </w:pPr>
      <w:r>
        <w:t>Do you consider that there are specific elements in ESMA’s draft advice which are not in line with the information needed by financial market participants in order to comply with their own obligations under the Taxonomy Regulation and the SFDR? If yes, please specify in your answer.</w:t>
      </w:r>
    </w:p>
    <w:p w14:paraId="2B4FDACB" w14:textId="77777777" w:rsidR="00492B3A" w:rsidRDefault="00492B3A" w:rsidP="00492B3A">
      <w:r>
        <w:t>&lt;ESMA_QUESTION_TRART8_20&gt;</w:t>
      </w:r>
    </w:p>
    <w:p w14:paraId="2211B861" w14:textId="440A6E76" w:rsidR="00906169" w:rsidRDefault="00EC0B01" w:rsidP="00906169">
      <w:permStart w:id="1139373962" w:edGrp="everyone"/>
      <w:r>
        <w:t xml:space="preserve">There is no need </w:t>
      </w:r>
      <w:r w:rsidR="00906169">
        <w:t xml:space="preserve">to disclose so much accuracy on each KPI including the reconciliation with the financial statements, the split of KPI by economic activities or by environmental objectives. </w:t>
      </w:r>
    </w:p>
    <w:p w14:paraId="3189744A" w14:textId="7C1B7A4B" w:rsidR="00492B3A" w:rsidRDefault="00906169" w:rsidP="00906169">
      <w:r>
        <w:t xml:space="preserve">Moreover, the </w:t>
      </w:r>
      <w:r w:rsidR="00EC0B01">
        <w:t xml:space="preserve">proposed draft format appears to be very </w:t>
      </w:r>
      <w:r>
        <w:t>complex without</w:t>
      </w:r>
      <w:r w:rsidR="00EC0B01">
        <w:t xml:space="preserve"> sound </w:t>
      </w:r>
      <w:r>
        <w:t>justifi</w:t>
      </w:r>
      <w:r w:rsidR="00EC0B01">
        <w:t>cation</w:t>
      </w:r>
      <w:r>
        <w:t>.</w:t>
      </w:r>
    </w:p>
    <w:permEnd w:id="1139373962"/>
    <w:p w14:paraId="013F0CDC" w14:textId="77777777" w:rsidR="00492B3A" w:rsidRDefault="00492B3A" w:rsidP="00492B3A">
      <w:r>
        <w:t>&lt;ESMA_QUESTION_TRART8_20&gt;</w:t>
      </w:r>
    </w:p>
    <w:p w14:paraId="6ADCFC75" w14:textId="77777777" w:rsidR="00492B3A" w:rsidRDefault="00492B3A" w:rsidP="00492B3A"/>
    <w:p w14:paraId="3ACDF89C" w14:textId="1758DD30" w:rsidR="00492B3A" w:rsidRDefault="00492B3A" w:rsidP="00492B3A">
      <w:pPr>
        <w:pStyle w:val="Questionstyle"/>
      </w:pPr>
      <w:r>
        <w:t>Are there points that should be addressed in ESMA’s advice in order to facilitate compliance of financial market participants across the investment chain? If yes, please specify.</w:t>
      </w:r>
    </w:p>
    <w:p w14:paraId="0AC75177" w14:textId="77777777" w:rsidR="00492B3A" w:rsidRDefault="00492B3A" w:rsidP="00492B3A">
      <w:r>
        <w:t>&lt;ESMA_QUESTION_TRART8_21&gt;</w:t>
      </w:r>
    </w:p>
    <w:p w14:paraId="00A01EE1" w14:textId="77777777" w:rsidR="00A44BA7" w:rsidRDefault="0033640D" w:rsidP="00492B3A">
      <w:permStart w:id="1800012995" w:edGrp="everyone"/>
      <w:r w:rsidRPr="0033640D">
        <w:t xml:space="preserve">The </w:t>
      </w:r>
      <w:r w:rsidRPr="00A44BA7">
        <w:t xml:space="preserve">implementation </w:t>
      </w:r>
      <w:r w:rsidR="00B87ACD" w:rsidRPr="00A44BA7">
        <w:t>timing</w:t>
      </w:r>
      <w:r w:rsidR="00B87ACD">
        <w:t xml:space="preserve"> and process appear</w:t>
      </w:r>
      <w:r w:rsidR="00EC0B01">
        <w:t xml:space="preserve"> to be too fast and</w:t>
      </w:r>
      <w:r w:rsidRPr="0033640D">
        <w:t xml:space="preserve"> complex to </w:t>
      </w:r>
      <w:r w:rsidR="00EC0B01">
        <w:t>ease</w:t>
      </w:r>
      <w:r w:rsidRPr="0033640D">
        <w:t xml:space="preserve"> compliance of financial marke</w:t>
      </w:r>
      <w:r w:rsidR="00EC0B01">
        <w:t>t participants. It may</w:t>
      </w:r>
      <w:r w:rsidRPr="0033640D">
        <w:t xml:space="preserve"> be necessary to consider a phasing-in approach</w:t>
      </w:r>
      <w:r w:rsidR="00EC0B01">
        <w:t>,</w:t>
      </w:r>
      <w:r w:rsidRPr="0033640D">
        <w:t xml:space="preserve"> giving time to learn from </w:t>
      </w:r>
    </w:p>
    <w:p w14:paraId="1B8CFF13" w14:textId="19CD599C" w:rsidR="00492B3A" w:rsidRDefault="0033640D" w:rsidP="00492B3A">
      <w:proofErr w:type="gramStart"/>
      <w:r w:rsidRPr="0033640D">
        <w:t>experience</w:t>
      </w:r>
      <w:proofErr w:type="gramEnd"/>
      <w:r w:rsidRPr="0033640D">
        <w:t>.</w:t>
      </w:r>
    </w:p>
    <w:permEnd w:id="1800012995"/>
    <w:p w14:paraId="0B224243" w14:textId="77777777" w:rsidR="00492B3A" w:rsidRDefault="00492B3A" w:rsidP="00492B3A">
      <w:r>
        <w:t>&lt;ESMA_QUESTION_TRART8_21&gt;</w:t>
      </w:r>
    </w:p>
    <w:p w14:paraId="3C54CD52" w14:textId="77777777" w:rsidR="00492B3A" w:rsidRDefault="00492B3A" w:rsidP="00492B3A"/>
    <w:p w14:paraId="1C55997C" w14:textId="3797E289" w:rsidR="00492B3A" w:rsidRDefault="00492B3A" w:rsidP="00492B3A">
      <w:pPr>
        <w:pStyle w:val="Questionstyle"/>
      </w:pPr>
      <w:r>
        <w:t>Do you believe that ESMA’s detailed proposals under Section 3.3 will impose additional costs on non-financial undertakings? If yes, please specify the type of those costs, to which specific proposal they relate including whether they are one-off or on-going, and provide your best quantitative estimate of their size.</w:t>
      </w:r>
    </w:p>
    <w:p w14:paraId="1AEDE398" w14:textId="77777777" w:rsidR="00492B3A" w:rsidRDefault="00492B3A" w:rsidP="00492B3A">
      <w:r>
        <w:t>&lt;ESMA_QUESTION_TRART8_22&gt;</w:t>
      </w:r>
    </w:p>
    <w:p w14:paraId="334104E1" w14:textId="18184B8B" w:rsidR="00492B3A" w:rsidRDefault="00EC0B01" w:rsidP="00492B3A">
      <w:permStart w:id="449525443" w:edGrp="everyone"/>
      <w:r>
        <w:t>The level of details required does</w:t>
      </w:r>
      <w:r w:rsidR="00CF5CC3" w:rsidRPr="00CF5CC3">
        <w:t xml:space="preserve"> not correlate with the actual reporting, so it will be very burdensome and expensive.</w:t>
      </w:r>
    </w:p>
    <w:permEnd w:id="449525443"/>
    <w:p w14:paraId="6064EA3A" w14:textId="77777777" w:rsidR="00492B3A" w:rsidRDefault="00492B3A" w:rsidP="00492B3A">
      <w:r>
        <w:t>&lt;ESMA_QUESTION_TRART8_22&gt;</w:t>
      </w:r>
    </w:p>
    <w:p w14:paraId="1A7A9FA5" w14:textId="77777777" w:rsidR="00492B3A" w:rsidRDefault="00492B3A" w:rsidP="00492B3A"/>
    <w:p w14:paraId="6D4B37FC" w14:textId="4EF0566C" w:rsidR="00492B3A" w:rsidRDefault="00492B3A" w:rsidP="00492B3A">
      <w:pPr>
        <w:pStyle w:val="Questionstyle"/>
      </w:pPr>
      <w:r>
        <w:lastRenderedPageBreak/>
        <w:t>Do you consider there are additional topics that should be considered by ESMA in order to specify the methodology that non-financial undertakings should follow? If yes, please elaborate and explain the relevance of these topics.</w:t>
      </w:r>
    </w:p>
    <w:p w14:paraId="79AF9D7A" w14:textId="77777777" w:rsidR="00492B3A" w:rsidRDefault="00492B3A" w:rsidP="00492B3A">
      <w:r>
        <w:t>&lt;ESMA_QUESTION_TRART8_23&gt;</w:t>
      </w:r>
    </w:p>
    <w:p w14:paraId="613956EA" w14:textId="643995D5" w:rsidR="00492B3A" w:rsidRDefault="00AE5BA4" w:rsidP="00155475">
      <w:permStart w:id="1857751903" w:edGrp="everyone"/>
      <w:r>
        <w:t>EDF notes that n</w:t>
      </w:r>
      <w:r w:rsidR="00155475">
        <w:t>o information is given by ESMA concerning the methodology of the associate companies, that may represent significant part of th</w:t>
      </w:r>
      <w:r>
        <w:t xml:space="preserve">e taxonomy-aligned </w:t>
      </w:r>
      <w:proofErr w:type="gramStart"/>
      <w:r>
        <w:t>activities ;</w:t>
      </w:r>
      <w:proofErr w:type="gramEnd"/>
      <w:r>
        <w:t xml:space="preserve"> and neither any </w:t>
      </w:r>
      <w:r w:rsidR="00155475">
        <w:t>guidance regarding the level of certification/audit required</w:t>
      </w:r>
      <w:r>
        <w:t xml:space="preserve">. </w:t>
      </w:r>
    </w:p>
    <w:permEnd w:id="1857751903"/>
    <w:p w14:paraId="6FC84A1D" w14:textId="77777777" w:rsidR="00492B3A" w:rsidRDefault="00492B3A" w:rsidP="00492B3A">
      <w:r>
        <w:t>&lt;ESMA_QUESTION_TRART8_23&gt;</w:t>
      </w:r>
    </w:p>
    <w:p w14:paraId="71D02515" w14:textId="77777777" w:rsidR="00492B3A" w:rsidRDefault="00492B3A" w:rsidP="00492B3A"/>
    <w:p w14:paraId="592B7BDB" w14:textId="5B007498" w:rsidR="00492B3A" w:rsidRDefault="00492B3A" w:rsidP="00492B3A">
      <w:pPr>
        <w:pStyle w:val="Questionstyle"/>
      </w:pPr>
      <w:r>
        <w:t>Do you agree that in order to ensure the comparability of the information disclosed under Article 8(2) of the Taxonomy Regulation and as such facilitate its usage, ESMA should propose the use of a standardised table?</w:t>
      </w:r>
    </w:p>
    <w:p w14:paraId="743B69AE" w14:textId="77777777" w:rsidR="00492B3A" w:rsidRDefault="00492B3A" w:rsidP="00492B3A">
      <w:r>
        <w:t>&lt;ESMA_QUESTION_TRART8_24&gt;</w:t>
      </w:r>
    </w:p>
    <w:p w14:paraId="26523259" w14:textId="40158D8B" w:rsidR="00492B3A" w:rsidRDefault="00925834" w:rsidP="00492B3A">
      <w:permStart w:id="2059688895" w:edGrp="everyone"/>
      <w:r>
        <w:t>The use of a standardis</w:t>
      </w:r>
      <w:r w:rsidRPr="00925834">
        <w:t xml:space="preserve">ed table </w:t>
      </w:r>
      <w:r w:rsidR="00E27DBD">
        <w:t xml:space="preserve">as such </w:t>
      </w:r>
      <w:r>
        <w:t>could be a solution in view of the harmonis</w:t>
      </w:r>
      <w:r w:rsidRPr="00925834">
        <w:t xml:space="preserve">ation of disclosures and </w:t>
      </w:r>
      <w:r>
        <w:t xml:space="preserve">for a better </w:t>
      </w:r>
      <w:r w:rsidRPr="00925834">
        <w:t>comparability of information</w:t>
      </w:r>
      <w:r w:rsidR="00EC0B01">
        <w:t xml:space="preserve"> provided</w:t>
      </w:r>
      <w:r w:rsidRPr="00925834">
        <w:t>.</w:t>
      </w:r>
    </w:p>
    <w:permEnd w:id="2059688895"/>
    <w:p w14:paraId="3A6236CE" w14:textId="77777777" w:rsidR="00492B3A" w:rsidRDefault="00492B3A" w:rsidP="00492B3A">
      <w:r>
        <w:t>&lt;ESMA_QUESTION_TRART8_24&gt;</w:t>
      </w:r>
    </w:p>
    <w:p w14:paraId="64DD58B2" w14:textId="77777777" w:rsidR="00492B3A" w:rsidRDefault="00492B3A" w:rsidP="00492B3A"/>
    <w:p w14:paraId="1AA09908" w14:textId="0936C4AE" w:rsidR="00492B3A" w:rsidRDefault="00492B3A" w:rsidP="00492B3A">
      <w:pPr>
        <w:pStyle w:val="Questionstyle"/>
      </w:pPr>
      <w:r>
        <w:t>Do you consider that the standard table provided in Annex III of this Consultation Paper is fit for purpose? Do you think the standard table provides the right information, taking into account the burden on non-financial undertakings of compiling the data versus the benefit to users of receiving the data? If not, please explain and provide alternative suggestions to promote the standardisation of the disclosure obligations pursuant to Article 8 of the Taxonomy Regulation.</w:t>
      </w:r>
    </w:p>
    <w:p w14:paraId="1E1B7EC2" w14:textId="77777777" w:rsidR="00492B3A" w:rsidRDefault="00492B3A" w:rsidP="00492B3A">
      <w:r>
        <w:t>&lt;ESMA_QUESTION_TRART8_25&gt;</w:t>
      </w:r>
    </w:p>
    <w:p w14:paraId="2CC91E4C" w14:textId="0FB6E1EF" w:rsidR="00E72A7B" w:rsidRDefault="00E72A7B" w:rsidP="00E27DBD">
      <w:permStart w:id="1618612787" w:edGrp="everyone"/>
      <w:r>
        <w:t xml:space="preserve">EDF </w:t>
      </w:r>
      <w:r w:rsidR="00EC0B01">
        <w:t>finds</w:t>
      </w:r>
      <w:r>
        <w:t xml:space="preserve"> t</w:t>
      </w:r>
      <w:r w:rsidR="00E27DBD">
        <w:t>he proposed table in Annex I</w:t>
      </w:r>
      <w:r w:rsidR="00EC0B01">
        <w:t>II</w:t>
      </w:r>
      <w:r w:rsidR="00E27DBD">
        <w:t xml:space="preserve"> </w:t>
      </w:r>
      <w:r>
        <w:t xml:space="preserve">far </w:t>
      </w:r>
      <w:r w:rsidR="00E27DBD">
        <w:t>too detailed (</w:t>
      </w:r>
      <w:r>
        <w:t xml:space="preserve">especially when it comes to activities, </w:t>
      </w:r>
    </w:p>
    <w:p w14:paraId="335CF004" w14:textId="77777777" w:rsidR="00A44BA7" w:rsidRPr="00A44BA7" w:rsidRDefault="00E72A7B" w:rsidP="00E27DBD">
      <w:proofErr w:type="gramStart"/>
      <w:r w:rsidRPr="00A44BA7">
        <w:t>environmental</w:t>
      </w:r>
      <w:proofErr w:type="gramEnd"/>
      <w:r w:rsidRPr="00A44BA7">
        <w:t xml:space="preserve"> criteria, </w:t>
      </w:r>
      <w:r w:rsidR="00E27DBD" w:rsidRPr="00A44BA7">
        <w:t>transitional activity</w:t>
      </w:r>
      <w:r w:rsidRPr="00A44BA7">
        <w:t>…</w:t>
      </w:r>
      <w:r w:rsidR="00E27DBD" w:rsidRPr="00A44BA7">
        <w:t>)</w:t>
      </w:r>
      <w:r w:rsidRPr="00A44BA7">
        <w:t xml:space="preserve"> and urges ESMA to consider</w:t>
      </w:r>
      <w:r w:rsidR="00E27DBD" w:rsidRPr="00A44BA7">
        <w:t xml:space="preserve"> flexibility in format</w:t>
      </w:r>
      <w:r w:rsidRPr="00A44BA7">
        <w:t xml:space="preserve"> choices</w:t>
      </w:r>
      <w:r w:rsidR="00A44BA7" w:rsidRPr="00A44BA7">
        <w:t xml:space="preserve"> </w:t>
      </w:r>
    </w:p>
    <w:p w14:paraId="1FDA8A75" w14:textId="0A9D3F77" w:rsidR="00492B3A" w:rsidRDefault="00A44BA7" w:rsidP="00E27DBD">
      <w:r w:rsidRPr="00A44BA7">
        <w:t>(</w:t>
      </w:r>
      <w:proofErr w:type="gramStart"/>
      <w:r w:rsidR="00E27DBD" w:rsidRPr="00A44BA7">
        <w:t>standard</w:t>
      </w:r>
      <w:proofErr w:type="gramEnd"/>
      <w:r w:rsidR="00E27DBD" w:rsidRPr="00A44BA7">
        <w:t xml:space="preserve"> tables </w:t>
      </w:r>
      <w:r w:rsidRPr="00A44BA7">
        <w:t>may be accessible through alternative formats in</w:t>
      </w:r>
      <w:r w:rsidR="00E27DBD" w:rsidRPr="00A44BA7">
        <w:t xml:space="preserve"> annex</w:t>
      </w:r>
      <w:r w:rsidRPr="00A44BA7">
        <w:t xml:space="preserve">es, </w:t>
      </w:r>
      <w:r w:rsidR="00E27DBD" w:rsidRPr="00A44BA7">
        <w:t>link</w:t>
      </w:r>
      <w:r w:rsidRPr="00A44BA7">
        <w:t xml:space="preserve">s, or </w:t>
      </w:r>
      <w:r w:rsidR="00E27DBD" w:rsidRPr="00A44BA7">
        <w:t>central platform</w:t>
      </w:r>
      <w:r w:rsidRPr="00A44BA7">
        <w:t>s).</w:t>
      </w:r>
      <w:r w:rsidR="00E72A7B">
        <w:t xml:space="preserve"> The suggested standard </w:t>
      </w:r>
      <w:r w:rsidR="0042488F">
        <w:t>should be taken rather as an illustration and should be limited to the disclosure of</w:t>
      </w:r>
      <w:r w:rsidR="00E27DBD">
        <w:t xml:space="preserve"> KPIs Revenue/</w:t>
      </w:r>
      <w:proofErr w:type="spellStart"/>
      <w:r w:rsidR="00E27DBD">
        <w:t>Opex</w:t>
      </w:r>
      <w:proofErr w:type="spellEnd"/>
      <w:r w:rsidR="00E27DBD">
        <w:t>/Capex taxonomy-compliant</w:t>
      </w:r>
      <w:r w:rsidR="0042488F">
        <w:t xml:space="preserve"> data only</w:t>
      </w:r>
      <w:r w:rsidR="00E27DBD">
        <w:t>.</w:t>
      </w:r>
    </w:p>
    <w:permEnd w:id="1618612787"/>
    <w:p w14:paraId="1DFE63E7" w14:textId="77777777" w:rsidR="00492B3A" w:rsidRDefault="00492B3A" w:rsidP="00492B3A">
      <w:r>
        <w:t>&lt;ESMA_QUESTION_TRART8_25&gt;</w:t>
      </w:r>
    </w:p>
    <w:p w14:paraId="434B4DA4" w14:textId="77777777" w:rsidR="00492B3A" w:rsidRDefault="00492B3A" w:rsidP="00492B3A"/>
    <w:p w14:paraId="3AEE5350" w14:textId="1252AAF1" w:rsidR="00492B3A" w:rsidRDefault="00492B3A" w:rsidP="00492B3A">
      <w:pPr>
        <w:pStyle w:val="Questionstyle"/>
      </w:pPr>
      <w:r>
        <w:t>Do you agree that the disclosure in the three standard tables should comply with the formatting rules mentioned in Table 5?</w:t>
      </w:r>
    </w:p>
    <w:p w14:paraId="63FEE985" w14:textId="77777777" w:rsidR="00492B3A" w:rsidRDefault="00492B3A" w:rsidP="00492B3A">
      <w:r>
        <w:t>&lt;ESMA_QUESTION_TRART8_26&gt;</w:t>
      </w:r>
    </w:p>
    <w:p w14:paraId="45517BC4" w14:textId="442AF35D" w:rsidR="00492B3A" w:rsidRDefault="00AF43F1" w:rsidP="00492B3A">
      <w:permStart w:id="300711497" w:edGrp="everyone"/>
      <w:proofErr w:type="gramStart"/>
      <w:r>
        <w:t>EDF  welcomes</w:t>
      </w:r>
      <w:proofErr w:type="gramEnd"/>
      <w:r>
        <w:t xml:space="preserve"> this approach.</w:t>
      </w:r>
    </w:p>
    <w:permEnd w:id="300711497"/>
    <w:p w14:paraId="6205EFFC" w14:textId="77777777" w:rsidR="00492B3A" w:rsidRDefault="00492B3A" w:rsidP="00492B3A">
      <w:r>
        <w:t>&lt;ESMA_QUESTION_TRART8_26&gt;</w:t>
      </w:r>
    </w:p>
    <w:p w14:paraId="18D471F6" w14:textId="77777777" w:rsidR="00492B3A" w:rsidRDefault="00492B3A" w:rsidP="00492B3A"/>
    <w:p w14:paraId="2924B4EC" w14:textId="7E5E2100" w:rsidR="00492B3A" w:rsidRDefault="00492B3A" w:rsidP="00492B3A">
      <w:pPr>
        <w:pStyle w:val="Questionstyle"/>
      </w:pPr>
      <w:r>
        <w:t>Do you believe that ESMA’s detailed proposals under Section 3.4 will impose additional costs on non-financial undertakings? If yes, please specify the type of those costs, to which specific proposal they relate including whether they are one-off or on-going, and provide your best quantitative estimate of their size.</w:t>
      </w:r>
    </w:p>
    <w:p w14:paraId="003D9150" w14:textId="77777777" w:rsidR="00492B3A" w:rsidRDefault="00492B3A" w:rsidP="00492B3A">
      <w:r>
        <w:t>&lt;ESMA_QUESTION_TRART8_27&gt;</w:t>
      </w:r>
    </w:p>
    <w:p w14:paraId="26A3F010" w14:textId="77777777" w:rsidR="00AE3194" w:rsidRDefault="00AF43F1" w:rsidP="00492B3A">
      <w:permStart w:id="1094988904" w:edGrp="everyone"/>
      <w:r w:rsidRPr="00AF43F1">
        <w:t xml:space="preserve">The additional costs will </w:t>
      </w:r>
      <w:r>
        <w:t>depend on the level of precision</w:t>
      </w:r>
      <w:r w:rsidRPr="00AF43F1">
        <w:t xml:space="preserve"> (HR</w:t>
      </w:r>
      <w:r>
        <w:t xml:space="preserve">, IT, certification) and if the disclosure has to be fully auditable and </w:t>
      </w:r>
      <w:r w:rsidRPr="00AF43F1">
        <w:t xml:space="preserve">directly available in the consolidation process or not. </w:t>
      </w:r>
    </w:p>
    <w:permEnd w:id="1094988904"/>
    <w:p w14:paraId="700D8F45" w14:textId="7A3D6921" w:rsidR="00492B3A" w:rsidRDefault="00492B3A" w:rsidP="00492B3A">
      <w:r>
        <w:t>&lt;ESMA_QUESTION_TRART8_27&gt;</w:t>
      </w:r>
    </w:p>
    <w:p w14:paraId="533E4014" w14:textId="77777777" w:rsidR="00492B3A" w:rsidRDefault="00492B3A" w:rsidP="00492B3A"/>
    <w:p w14:paraId="162D1C68" w14:textId="318E4B96" w:rsidR="00492B3A" w:rsidRDefault="00492B3A" w:rsidP="00492B3A">
      <w:pPr>
        <w:pStyle w:val="Questionstyle"/>
      </w:pPr>
      <w:r>
        <w:t>Do you agree that a share of investments is an appropriate KPI for asset managers? If you do not, what other KPI could be appropriate, please justify.</w:t>
      </w:r>
    </w:p>
    <w:p w14:paraId="5BA76CCA" w14:textId="77777777" w:rsidR="00492B3A" w:rsidRDefault="00492B3A" w:rsidP="00492B3A">
      <w:r>
        <w:t>&lt;ESMA_QUESTION_TRART8_28&gt;</w:t>
      </w:r>
    </w:p>
    <w:p w14:paraId="41056543" w14:textId="0FF631F1" w:rsidR="00492B3A" w:rsidRDefault="00A77533" w:rsidP="00492B3A">
      <w:permStart w:id="1382092212" w:edGrp="everyone"/>
      <w:r>
        <w:t>EDF agrees.</w:t>
      </w:r>
    </w:p>
    <w:permEnd w:id="1382092212"/>
    <w:p w14:paraId="070A9A0E" w14:textId="77777777" w:rsidR="00492B3A" w:rsidRDefault="00492B3A" w:rsidP="00492B3A">
      <w:r>
        <w:t>&lt;ESMA_QUESTION_TRART8_28&gt;</w:t>
      </w:r>
    </w:p>
    <w:p w14:paraId="3CC4AEFA" w14:textId="77777777" w:rsidR="00492B3A" w:rsidRDefault="00492B3A" w:rsidP="00492B3A"/>
    <w:p w14:paraId="607986E2" w14:textId="2125AE0D" w:rsidR="00492B3A" w:rsidRDefault="00492B3A" w:rsidP="00492B3A">
      <w:pPr>
        <w:pStyle w:val="Questionstyle"/>
      </w:pPr>
      <w:r>
        <w:t>This advice focuses on the collective portfolio management activities of asset managers. Should this advice also cover potentially any other activities that asset managers may have a license for, such as individual portfolio management, investment advice, safekeeping and administration or reception and transmission of orders (‘RTO’)?</w:t>
      </w:r>
    </w:p>
    <w:p w14:paraId="313872AE" w14:textId="77777777" w:rsidR="00492B3A" w:rsidRDefault="00492B3A" w:rsidP="00492B3A">
      <w:r>
        <w:t>&lt;ESMA_QUESTION_TRART8_29&gt;</w:t>
      </w:r>
    </w:p>
    <w:p w14:paraId="5D944A3C" w14:textId="59488A07" w:rsidR="00492B3A" w:rsidRDefault="00AE3194" w:rsidP="00492B3A">
      <w:permStart w:id="1069877549" w:edGrp="everyone"/>
      <w:r>
        <w:t>The scope the advice</w:t>
      </w:r>
      <w:r w:rsidR="00A77533">
        <w:t xml:space="preserve"> focuses on is the right one. </w:t>
      </w:r>
    </w:p>
    <w:permEnd w:id="1069877549"/>
    <w:p w14:paraId="1CF0D583" w14:textId="77777777" w:rsidR="00492B3A" w:rsidRDefault="00492B3A" w:rsidP="00492B3A">
      <w:r>
        <w:t>&lt;ESMA_QUESTION_TRART8_29&gt;</w:t>
      </w:r>
    </w:p>
    <w:p w14:paraId="5E3BC3C7" w14:textId="77777777" w:rsidR="00492B3A" w:rsidRDefault="00492B3A" w:rsidP="00492B3A"/>
    <w:p w14:paraId="35D2842F" w14:textId="4A71B005" w:rsidR="00492B3A" w:rsidRDefault="00492B3A" w:rsidP="00492B3A">
      <w:pPr>
        <w:pStyle w:val="Questionstyle"/>
      </w:pPr>
      <w:r>
        <w:t>Do you agree that for the numerator of the KPI the asset manager should consider a weighted average of the investments exposed to investee companies based on the share of turnover derived from Taxonomy-aligned activities of the investee companies? If not please propose and justify an alternative.</w:t>
      </w:r>
    </w:p>
    <w:p w14:paraId="6825BF36" w14:textId="77777777" w:rsidR="00492B3A" w:rsidRDefault="00492B3A" w:rsidP="00492B3A">
      <w:r>
        <w:t>&lt;ESMA_QUESTION_TRART8_30&gt;</w:t>
      </w:r>
    </w:p>
    <w:p w14:paraId="0B25670B" w14:textId="1D47C798" w:rsidR="00492B3A" w:rsidRDefault="00A77533" w:rsidP="00492B3A">
      <w:permStart w:id="1684879065" w:edGrp="everyone"/>
      <w:r>
        <w:t>Yes, although please note our prior comments pertaining to taxonomy-eligible activities and the DNSH, and the applicability of various accounting standar</w:t>
      </w:r>
      <w:r w:rsidR="00AE3194">
        <w:t>ds such as IFRS and GAAP (cf. Q)</w:t>
      </w:r>
    </w:p>
    <w:permEnd w:id="1684879065"/>
    <w:p w14:paraId="34EEBE1B" w14:textId="77777777" w:rsidR="00492B3A" w:rsidRDefault="00492B3A" w:rsidP="00492B3A">
      <w:r>
        <w:t>&lt;ESMA_QUESTION_TRART8_30&gt;</w:t>
      </w:r>
    </w:p>
    <w:p w14:paraId="45FFD29F" w14:textId="77777777" w:rsidR="00492B3A" w:rsidRDefault="00492B3A" w:rsidP="00492B3A"/>
    <w:p w14:paraId="023FFC2D" w14:textId="27C5EF45" w:rsidR="00492B3A" w:rsidRDefault="00492B3A" w:rsidP="00492B3A">
      <w:pPr>
        <w:pStyle w:val="Questionstyle"/>
      </w:pPr>
      <w:r>
        <w:t>Do you agree that in addition to a main turnover-derived Taxonomy-alignment KPI, there is merit in requiring the disclosure of CapEx and OpEx-derived figures for Taxonomy-alignment of an asset managers’ investments?</w:t>
      </w:r>
    </w:p>
    <w:p w14:paraId="6BB9F8BA" w14:textId="77777777" w:rsidR="00492B3A" w:rsidRDefault="00492B3A" w:rsidP="00492B3A">
      <w:r>
        <w:t>&lt;ESMA_QUESTION_TRART8_31&gt;</w:t>
      </w:r>
    </w:p>
    <w:p w14:paraId="349BA296" w14:textId="5FCFD691" w:rsidR="00A77533" w:rsidRDefault="00A77533" w:rsidP="00A77533">
      <w:permStart w:id="830504005" w:edGrp="everyone"/>
      <w:r>
        <w:t>Please see our foregoing comments on the definition of Capex in questions no. 3 and 4.</w:t>
      </w:r>
    </w:p>
    <w:p w14:paraId="4D98724D" w14:textId="77777777" w:rsidR="00A44BA7" w:rsidRDefault="00A77533" w:rsidP="00492B3A">
      <w:r>
        <w:t xml:space="preserve">As regards </w:t>
      </w:r>
      <w:proofErr w:type="spellStart"/>
      <w:r>
        <w:t>Opex</w:t>
      </w:r>
      <w:proofErr w:type="spellEnd"/>
      <w:r>
        <w:t xml:space="preserve">, again, as EDF understands it, </w:t>
      </w:r>
      <w:r w:rsidRPr="001E6266">
        <w:t xml:space="preserve">that the proposed </w:t>
      </w:r>
      <w:proofErr w:type="spellStart"/>
      <w:r w:rsidRPr="001E6266">
        <w:t>Opex</w:t>
      </w:r>
      <w:proofErr w:type="spellEnd"/>
      <w:r w:rsidRPr="001E6266">
        <w:t xml:space="preserve"> definition is based on "Primary Financial Statement" project, which is not endorsed yet. There should be a timing consistency in </w:t>
      </w:r>
    </w:p>
    <w:p w14:paraId="5887E21F" w14:textId="6C65C50B" w:rsidR="00492B3A" w:rsidRDefault="00A77533" w:rsidP="00492B3A">
      <w:proofErr w:type="gramStart"/>
      <w:r w:rsidRPr="001E6266">
        <w:t>application</w:t>
      </w:r>
      <w:proofErr w:type="gramEnd"/>
      <w:r w:rsidRPr="001E6266">
        <w:t xml:space="preserve"> of PFS and Taxonomy (</w:t>
      </w:r>
      <w:r>
        <w:t>OPEX</w:t>
      </w:r>
      <w:r w:rsidRPr="001E6266">
        <w:t>).</w:t>
      </w:r>
    </w:p>
    <w:permEnd w:id="830504005"/>
    <w:p w14:paraId="6FFA950D" w14:textId="77777777" w:rsidR="00492B3A" w:rsidRDefault="00492B3A" w:rsidP="00492B3A">
      <w:r>
        <w:t>&lt;ESMA_QUESTION_TRART8_31&gt;</w:t>
      </w:r>
    </w:p>
    <w:p w14:paraId="7B351319" w14:textId="77777777" w:rsidR="00492B3A" w:rsidRDefault="00492B3A" w:rsidP="00492B3A"/>
    <w:p w14:paraId="3E2A9E31" w14:textId="10AEABEC" w:rsidR="00492B3A" w:rsidRDefault="00492B3A" w:rsidP="00492B3A">
      <w:pPr>
        <w:pStyle w:val="Questionstyle"/>
      </w:pPr>
      <w:r>
        <w:t>Do you think sovereign exposures, such as sovereign bonds (but excluding green bonds complying with the EU Green Bond Standard) should be considered eligible investments and if so under what methodology?</w:t>
      </w:r>
    </w:p>
    <w:p w14:paraId="04039E3D" w14:textId="77777777" w:rsidR="00492B3A" w:rsidRDefault="00492B3A" w:rsidP="00492B3A">
      <w:r>
        <w:t>&lt;ESMA_QUESTION_TRART8_32&gt;</w:t>
      </w:r>
    </w:p>
    <w:p w14:paraId="19DA34DF" w14:textId="0FC1B2DE" w:rsidR="00492B3A" w:rsidRDefault="00A77533" w:rsidP="00492B3A">
      <w:permStart w:id="199520874" w:edGrp="everyone"/>
      <w:r w:rsidRPr="00A44BA7">
        <w:t>Yes, this could be possible. The emphasis should be the CO2 emissions or sovereign climate risk of a given country. Robust methodologies (for example, the FTSE Russell Climate Risk-Adjusted Government Bond Index Series) have recently been proposed in this regard</w:t>
      </w:r>
    </w:p>
    <w:permEnd w:id="199520874"/>
    <w:p w14:paraId="632B1704" w14:textId="77777777" w:rsidR="00492B3A" w:rsidRDefault="00492B3A" w:rsidP="00492B3A">
      <w:r>
        <w:t>&lt;ESMA_QUESTION_TRART8_32&gt;</w:t>
      </w:r>
    </w:p>
    <w:p w14:paraId="071EE3A7" w14:textId="77777777" w:rsidR="00492B3A" w:rsidRDefault="00492B3A" w:rsidP="00492B3A"/>
    <w:p w14:paraId="4710200F" w14:textId="4137D07F" w:rsidR="00492B3A" w:rsidRDefault="00492B3A" w:rsidP="00492B3A">
      <w:pPr>
        <w:pStyle w:val="Questionstyle"/>
      </w:pPr>
      <w:r>
        <w:lastRenderedPageBreak/>
        <w:t>Do you agree that the denominator should consist of the value of eligible investments in the funds managed by the asset manager or should it be simply the value of all assets in the funds managed by the asset manager?</w:t>
      </w:r>
    </w:p>
    <w:p w14:paraId="50AAC799" w14:textId="77777777" w:rsidR="00492B3A" w:rsidRDefault="00492B3A" w:rsidP="00492B3A">
      <w:r>
        <w:t>&lt;ESMA_QUESTION_TRART8_33&gt;</w:t>
      </w:r>
    </w:p>
    <w:p w14:paraId="42B824DB" w14:textId="17576A06" w:rsidR="00492B3A" w:rsidRDefault="00A77533" w:rsidP="00492B3A">
      <w:permStart w:id="2027381222" w:edGrp="everyone"/>
      <w:r>
        <w:t>It may be necessary to publish both.</w:t>
      </w:r>
    </w:p>
    <w:permEnd w:id="2027381222"/>
    <w:p w14:paraId="2D6AAB18" w14:textId="77777777" w:rsidR="00492B3A" w:rsidRDefault="00492B3A" w:rsidP="00492B3A">
      <w:r>
        <w:t>&lt;ESMA_QUESTION_TRART8_33&gt;</w:t>
      </w:r>
    </w:p>
    <w:p w14:paraId="703280C5" w14:textId="77777777" w:rsidR="00492B3A" w:rsidRDefault="00492B3A" w:rsidP="00492B3A"/>
    <w:p w14:paraId="5C830997" w14:textId="48BDAA71" w:rsidR="00492B3A" w:rsidRDefault="00492B3A" w:rsidP="00492B3A">
      <w:pPr>
        <w:pStyle w:val="Questionstyle"/>
      </w:pPr>
      <w:r>
        <w:t>Do you support restricting the denominator to funds managed by the asset manager with sustainability characteristics or objectives (i.e. governed by Article 8 or 9 of Regulation (EU) 2019/2088)? What are the benefits and drawbacks of such an approach?</w:t>
      </w:r>
    </w:p>
    <w:p w14:paraId="2A13C1CB" w14:textId="77777777" w:rsidR="00492B3A" w:rsidRDefault="00492B3A" w:rsidP="00492B3A">
      <w:r>
        <w:t>&lt;ESMA_QUESTION_TRART8_34&gt;</w:t>
      </w:r>
    </w:p>
    <w:p w14:paraId="52FE5DB7" w14:textId="0FF2B16C" w:rsidR="00492B3A" w:rsidRDefault="00A77533" w:rsidP="00492B3A">
      <w:permStart w:id="916395240" w:edGrp="everyone"/>
      <w:r>
        <w:t>It depends on the final form of the regulation. Using this as a reference for eligible investments would be consistent, but we have concerns about the definition of eligible activities (</w:t>
      </w:r>
      <w:proofErr w:type="spellStart"/>
      <w:r>
        <w:t>cf</w:t>
      </w:r>
      <w:proofErr w:type="spellEnd"/>
      <w:r>
        <w:t xml:space="preserve"> prior comments). In any case asset managers should retain the freedom and flexibility to report in parallel on sustainability criteria that they deem pertinent</w:t>
      </w:r>
    </w:p>
    <w:permEnd w:id="916395240"/>
    <w:p w14:paraId="035E0E93" w14:textId="77777777" w:rsidR="00492B3A" w:rsidRDefault="00492B3A" w:rsidP="00492B3A">
      <w:r>
        <w:t>&lt;ESMA_QUESTION_TRART8_34&gt;</w:t>
      </w:r>
    </w:p>
    <w:p w14:paraId="4A61CFC1" w14:textId="77777777" w:rsidR="00492B3A" w:rsidRDefault="00492B3A" w:rsidP="00492B3A"/>
    <w:p w14:paraId="256BFB5A" w14:textId="5C5C04A2" w:rsidR="00492B3A" w:rsidRDefault="00492B3A" w:rsidP="00492B3A">
      <w:pPr>
        <w:pStyle w:val="Questionstyle"/>
      </w:pPr>
      <w:r>
        <w:t>Is it appropriate to combine equity and fixed income investments in the KPI, bearing in mind that these funding tools are used for different purposes by investee companies? If not, what alternative would you propose?</w:t>
      </w:r>
    </w:p>
    <w:p w14:paraId="3A96762D" w14:textId="77777777" w:rsidR="00492B3A" w:rsidRDefault="00492B3A" w:rsidP="00492B3A">
      <w:r>
        <w:t>&lt;ESMA_QUESTION_TRART8_35&gt;</w:t>
      </w:r>
    </w:p>
    <w:p w14:paraId="394064F4" w14:textId="5E11A031" w:rsidR="00492B3A" w:rsidRDefault="00A77533" w:rsidP="00492B3A">
      <w:permStart w:id="1014574023" w:edGrp="everyone"/>
      <w:r>
        <w:t>Yes, this is an appropriate approach</w:t>
      </w:r>
      <w:r w:rsidR="001007E4">
        <w:t>.</w:t>
      </w:r>
    </w:p>
    <w:permEnd w:id="1014574023"/>
    <w:p w14:paraId="766DBEDA" w14:textId="77777777" w:rsidR="00492B3A" w:rsidRDefault="00492B3A" w:rsidP="00492B3A">
      <w:r>
        <w:t>&lt;ESMA_QUESTION_TRART8_35&gt;</w:t>
      </w:r>
    </w:p>
    <w:p w14:paraId="6B3FA5B5" w14:textId="77777777" w:rsidR="00492B3A" w:rsidRDefault="00492B3A" w:rsidP="00492B3A"/>
    <w:p w14:paraId="03C4FBFB" w14:textId="6C7CBA9B" w:rsidR="00492B3A" w:rsidRDefault="00492B3A" w:rsidP="00492B3A">
      <w:pPr>
        <w:pStyle w:val="Questionstyle"/>
      </w:pPr>
      <w:r>
        <w:t>Do you believe the proposed advice will impose additional costs on asset managers? Please specify the type of those costs, to which specific proposal they relate including whether they are one-off or on-going, and provide your best quantitative estimate of their size.</w:t>
      </w:r>
    </w:p>
    <w:p w14:paraId="37037CF6" w14:textId="77777777" w:rsidR="00492B3A" w:rsidRDefault="00492B3A" w:rsidP="00492B3A">
      <w:r>
        <w:t>&lt;ESMA_QUESTION_TRART8_36&gt;</w:t>
      </w:r>
    </w:p>
    <w:p w14:paraId="1BDDCCBA" w14:textId="1764A850" w:rsidR="00492B3A" w:rsidRPr="001007E4" w:rsidRDefault="001007E4" w:rsidP="00492B3A">
      <w:permStart w:id="362230654" w:edGrp="everyone"/>
      <w:r w:rsidRPr="001007E4">
        <w:t xml:space="preserve">Yes, this will necessarily involve additional costs. These costs will involve additional expenses relating </w:t>
      </w:r>
      <w:proofErr w:type="gramStart"/>
      <w:r w:rsidRPr="001007E4">
        <w:t>to</w:t>
      </w:r>
      <w:r>
        <w:t xml:space="preserve"> </w:t>
      </w:r>
      <w:r w:rsidRPr="001007E4">
        <w:t xml:space="preserve"> reporting</w:t>
      </w:r>
      <w:proofErr w:type="gramEnd"/>
      <w:r w:rsidRPr="001007E4">
        <w:t xml:space="preserve"> and analyzing the taxonomy-eligibility of differen</w:t>
      </w:r>
      <w:r>
        <w:t>t activities and investments. EDF</w:t>
      </w:r>
      <w:r w:rsidRPr="001007E4">
        <w:t xml:space="preserve"> expect</w:t>
      </w:r>
      <w:r>
        <w:t>s</w:t>
      </w:r>
      <w:r w:rsidRPr="001007E4">
        <w:t xml:space="preserve"> that these costs will be ongoing on an annual basis. Flexibility in the format of the accompanying information will help in reducing additional costs.</w:t>
      </w:r>
    </w:p>
    <w:permEnd w:id="362230654"/>
    <w:p w14:paraId="2703A981" w14:textId="77777777" w:rsidR="00492B3A" w:rsidRDefault="00492B3A" w:rsidP="00492B3A">
      <w:r>
        <w:t>&lt;ESMA_QUESTION_TRART8_36&gt;</w:t>
      </w:r>
    </w:p>
    <w:p w14:paraId="528A7A9A" w14:textId="77777777" w:rsidR="00492B3A" w:rsidRDefault="00492B3A" w:rsidP="00492B3A"/>
    <w:p w14:paraId="258E3D63" w14:textId="5CF83F72" w:rsidR="00492B3A" w:rsidRDefault="00492B3A" w:rsidP="00492B3A">
      <w:pPr>
        <w:pStyle w:val="Questionstyle"/>
      </w:pPr>
      <w:r>
        <w:t>What are the benefits and drawbacks of limiting Taxonomy-aligned activities to those reported by Non-Financial Reporting Directive companies?</w:t>
      </w:r>
    </w:p>
    <w:p w14:paraId="5CD5D7D4" w14:textId="77777777" w:rsidR="00492B3A" w:rsidRDefault="00492B3A" w:rsidP="00492B3A">
      <w:r>
        <w:t>&lt;ESMA_QUESTION_TRART8_37&gt;</w:t>
      </w:r>
    </w:p>
    <w:p w14:paraId="13BC2640" w14:textId="02ADFE61" w:rsidR="009C203E" w:rsidRDefault="009C203E" w:rsidP="00492B3A">
      <w:permStart w:id="419981059" w:edGrp="everyone"/>
      <w:r>
        <w:t>It is a question of global coherence</w:t>
      </w:r>
      <w:r w:rsidR="003D5DBA">
        <w:t>, workload</w:t>
      </w:r>
      <w:r>
        <w:t xml:space="preserve"> and of providing useful information to investors.</w:t>
      </w:r>
    </w:p>
    <w:permEnd w:id="419981059"/>
    <w:p w14:paraId="48EA7C0A" w14:textId="77777777" w:rsidR="00492B3A" w:rsidRDefault="00492B3A" w:rsidP="00492B3A">
      <w:r>
        <w:t>&lt;ESMA_QUESTION_TRART8_37&gt;</w:t>
      </w:r>
      <w:bookmarkStart w:id="0" w:name="_GoBack"/>
      <w:bookmarkEnd w:id="0"/>
    </w:p>
    <w:p w14:paraId="66A554FC" w14:textId="77777777" w:rsidR="00492B3A" w:rsidRDefault="00492B3A" w:rsidP="00492B3A"/>
    <w:p w14:paraId="6FBA4114" w14:textId="2D9D709F" w:rsidR="00492B3A" w:rsidRDefault="00492B3A" w:rsidP="00492B3A">
      <w:pPr>
        <w:pStyle w:val="Questionstyle"/>
      </w:pPr>
      <w:r>
        <w:t>Do you agree with ESMA’s recommendation that the Commission develop a methodology to allow a sector-coefficient to be assigned for non-reporting investee companies?</w:t>
      </w:r>
    </w:p>
    <w:p w14:paraId="575F8DEE" w14:textId="77777777" w:rsidR="00492B3A" w:rsidRDefault="00492B3A" w:rsidP="00492B3A">
      <w:r>
        <w:t>&lt;ESMA_QUESTION_TRART8_38&gt;</w:t>
      </w:r>
    </w:p>
    <w:p w14:paraId="29A98B64" w14:textId="77777777" w:rsidR="00206498" w:rsidRDefault="001007E4" w:rsidP="00492B3A">
      <w:permStart w:id="1610223408" w:edGrp="everyone"/>
      <w:r>
        <w:lastRenderedPageBreak/>
        <w:t xml:space="preserve">It is difficult to imagine how this might otherwise be calculated. On the other hand, we are mindful of the complexities involved with sectoral reporting and the fact that ESMA is otherwise taking </w:t>
      </w:r>
      <w:r w:rsidRPr="00454686">
        <w:t xml:space="preserve">a cautious </w:t>
      </w:r>
    </w:p>
    <w:p w14:paraId="07D4D26F" w14:textId="685553BE" w:rsidR="00492B3A" w:rsidRDefault="001007E4" w:rsidP="00492B3A">
      <w:proofErr w:type="gramStart"/>
      <w:r w:rsidRPr="00454686">
        <w:t>approach</w:t>
      </w:r>
      <w:proofErr w:type="gramEnd"/>
      <w:r w:rsidRPr="00454686">
        <w:t xml:space="preserve"> in </w:t>
      </w:r>
      <w:r>
        <w:t xml:space="preserve">not proposing to </w:t>
      </w:r>
      <w:r w:rsidRPr="00454686">
        <w:t xml:space="preserve">differentiate </w:t>
      </w:r>
      <w:r>
        <w:t xml:space="preserve">the disclosure of </w:t>
      </w:r>
      <w:r w:rsidRPr="00454686">
        <w:t>KPIs on the basis of sectoral considerations</w:t>
      </w:r>
      <w:r>
        <w:t xml:space="preserve"> for non-financial concerns. Thus the development of sectoral coefficients may prove complex.</w:t>
      </w:r>
    </w:p>
    <w:permEnd w:id="1610223408"/>
    <w:p w14:paraId="0A99A02E" w14:textId="77777777" w:rsidR="00492B3A" w:rsidRDefault="00492B3A" w:rsidP="00492B3A">
      <w:r>
        <w:t>&lt;ESMA_QUESTION_TRART8_38&gt;</w:t>
      </w:r>
    </w:p>
    <w:p w14:paraId="42A2AC7F" w14:textId="77777777" w:rsidR="00492B3A" w:rsidRDefault="00492B3A" w:rsidP="00492B3A"/>
    <w:p w14:paraId="75C06F48" w14:textId="043E1C76" w:rsidR="00492B3A" w:rsidRDefault="00492B3A" w:rsidP="00492B3A">
      <w:pPr>
        <w:pStyle w:val="Questionstyle"/>
      </w:pPr>
      <w:r>
        <w:t>Should netting be allowed, on the lines of Article 3 of the Short-Selling Regulation?</w:t>
      </w:r>
    </w:p>
    <w:p w14:paraId="727A139D" w14:textId="77777777" w:rsidR="00492B3A" w:rsidRDefault="00492B3A" w:rsidP="00492B3A">
      <w:r>
        <w:t>&lt;ESMA_QUESTION_TRART8_39&gt;</w:t>
      </w:r>
    </w:p>
    <w:p w14:paraId="504F74FB" w14:textId="006E8768" w:rsidR="00492B3A" w:rsidRDefault="00206498" w:rsidP="00492B3A">
      <w:permStart w:id="341070213" w:edGrp="everyone"/>
      <w:r>
        <w:t>Yes</w:t>
      </w:r>
    </w:p>
    <w:permEnd w:id="341070213"/>
    <w:p w14:paraId="1347A045" w14:textId="77777777" w:rsidR="00492B3A" w:rsidRDefault="00492B3A" w:rsidP="00492B3A">
      <w:r>
        <w:t>&lt;ESMA_QUESTION_TRART8_39&gt;</w:t>
      </w:r>
    </w:p>
    <w:p w14:paraId="3DDC3DCD" w14:textId="77777777" w:rsidR="00492B3A" w:rsidRDefault="00492B3A" w:rsidP="00492B3A"/>
    <w:p w14:paraId="453BA6EE" w14:textId="0825D9EA" w:rsidR="00492B3A" w:rsidRDefault="00492B3A" w:rsidP="00492B3A">
      <w:pPr>
        <w:pStyle w:val="Questionstyle"/>
      </w:pPr>
      <w:r>
        <w:t>How should derivatives be treated for the calculation purposes? Should futures be considered as potential Taxonomy-aligned investments?</w:t>
      </w:r>
    </w:p>
    <w:p w14:paraId="1C7FE0EA" w14:textId="77777777" w:rsidR="00492B3A" w:rsidRDefault="00492B3A" w:rsidP="00492B3A">
      <w:r>
        <w:t>&lt;ESMA_QUESTION_TRART8_40&gt;</w:t>
      </w:r>
    </w:p>
    <w:p w14:paraId="70E42C6C" w14:textId="31877DB3" w:rsidR="00492B3A" w:rsidRDefault="00206498" w:rsidP="00492B3A">
      <w:permStart w:id="1390944062" w:edGrp="everyone"/>
      <w:r w:rsidRPr="008D73EA">
        <w:rPr>
          <w:rFonts w:ascii="Segoe UI" w:hAnsi="Segoe UI" w:cs="Segoe UI"/>
          <w:color w:val="000000"/>
          <w:szCs w:val="20"/>
          <w:lang w:val="en-US" w:eastAsia="en-GB"/>
        </w:rPr>
        <w:t>Futures and derivatives should be looked at in the same manner as their underlying securities</w:t>
      </w:r>
      <w:r>
        <w:rPr>
          <w:rFonts w:ascii="Segoe UI" w:hAnsi="Segoe UI" w:cs="Segoe UI"/>
          <w:color w:val="000000"/>
          <w:szCs w:val="20"/>
          <w:lang w:val="en-US" w:eastAsia="en-GB"/>
        </w:rPr>
        <w:t>.</w:t>
      </w:r>
    </w:p>
    <w:permEnd w:id="1390944062"/>
    <w:p w14:paraId="7C892D02" w14:textId="77777777" w:rsidR="00492B3A" w:rsidRDefault="00492B3A" w:rsidP="00492B3A">
      <w:r>
        <w:t>&lt;ESMA_QUESTION_TRART8_40&gt;</w:t>
      </w:r>
    </w:p>
    <w:p w14:paraId="359096A5" w14:textId="77777777" w:rsidR="00492B3A" w:rsidRDefault="00492B3A" w:rsidP="00492B3A"/>
    <w:p w14:paraId="06F00798" w14:textId="531BBD96" w:rsidR="00492B3A" w:rsidRDefault="00492B3A" w:rsidP="00492B3A">
      <w:pPr>
        <w:pStyle w:val="Questionstyle"/>
      </w:pPr>
      <w:r>
        <w:t>What are the costs and benefits associated with the different options for non-reported activity coverage, netting and derivatives treatment presented above? Please provide a quantitative estimate for each option, distinguishing between one-off and on-going costs.</w:t>
      </w:r>
    </w:p>
    <w:p w14:paraId="416008EB" w14:textId="77777777" w:rsidR="00492B3A" w:rsidRDefault="00492B3A" w:rsidP="00492B3A">
      <w:r>
        <w:t>&lt;ESMA_QUESTION_TRART8_41&gt;</w:t>
      </w:r>
    </w:p>
    <w:p w14:paraId="1C42E9C7" w14:textId="10E3CF4F" w:rsidR="00492B3A" w:rsidRDefault="00206498" w:rsidP="00492B3A">
      <w:permStart w:id="702374025" w:edGrp="everyone"/>
      <w:r>
        <w:t>N/A</w:t>
      </w:r>
    </w:p>
    <w:permEnd w:id="702374025"/>
    <w:p w14:paraId="4E0F38EE" w14:textId="77777777" w:rsidR="00492B3A" w:rsidRDefault="00492B3A" w:rsidP="00492B3A">
      <w:r>
        <w:t>&lt;ESMA_QUESTION_TRART8_41&gt;</w:t>
      </w:r>
    </w:p>
    <w:p w14:paraId="3907E0CC" w14:textId="77777777" w:rsidR="00492B3A" w:rsidRDefault="00492B3A" w:rsidP="00492B3A"/>
    <w:p w14:paraId="7E47BFE2" w14:textId="737B1A44" w:rsidR="00492B3A" w:rsidRDefault="00492B3A" w:rsidP="00492B3A">
      <w:pPr>
        <w:pStyle w:val="Questionstyle"/>
      </w:pPr>
      <w:r>
        <w:t>Do you have any views on the proposed advice recommending a standardised table for presentation of the KPI for asset managers in Annex IV?</w:t>
      </w:r>
    </w:p>
    <w:p w14:paraId="21992FC6" w14:textId="77777777" w:rsidR="00492B3A" w:rsidRDefault="00492B3A" w:rsidP="00492B3A">
      <w:r>
        <w:t>&lt;ESMA_QUESTION_TRART8_42&gt;</w:t>
      </w:r>
    </w:p>
    <w:p w14:paraId="3925B77F" w14:textId="77777777" w:rsidR="00206498" w:rsidRDefault="00206498" w:rsidP="00206498">
      <w:permStart w:id="2130857204" w:edGrp="everyone"/>
      <w:r>
        <w:t xml:space="preserve">Please note our comments to question 16. EDF doesn't agree on providing information on enabling and transitional activities. Giving this type of information would be burdensome to implement and would not be relevant because, over time, transitional activities can change categories and make the reading of </w:t>
      </w:r>
    </w:p>
    <w:p w14:paraId="50F0D063" w14:textId="177B972E" w:rsidR="00206498" w:rsidRDefault="00206498" w:rsidP="00206498">
      <w:proofErr w:type="gramStart"/>
      <w:r>
        <w:t>investors</w:t>
      </w:r>
      <w:proofErr w:type="gramEnd"/>
      <w:r>
        <w:t xml:space="preserve"> more difficult. Qualitative information is the most pertinent in this regard. </w:t>
      </w:r>
    </w:p>
    <w:p w14:paraId="4177359D" w14:textId="77777777" w:rsidR="00206498" w:rsidRDefault="00206498" w:rsidP="00206498"/>
    <w:p w14:paraId="1550A519" w14:textId="66E75545" w:rsidR="00206498" w:rsidRDefault="00206498" w:rsidP="00206498">
      <w:r>
        <w:t>Moreover, EDF</w:t>
      </w:r>
      <w:r w:rsidRPr="00B0442D">
        <w:t xml:space="preserve"> disagree</w:t>
      </w:r>
      <w:r>
        <w:t>s with the need</w:t>
      </w:r>
      <w:r w:rsidRPr="00B0442D">
        <w:t xml:space="preserve"> to disclose the KPIs by environmental objectives. The reporting process would be too complicated </w:t>
      </w:r>
      <w:r>
        <w:t xml:space="preserve">to implement and not applicable, especially for electricity producers for whom </w:t>
      </w:r>
      <w:r w:rsidRPr="00B0442D">
        <w:t xml:space="preserve">the production facilities are used in an integrated manner.  It will be complex to be able to provide such a level of granularity. </w:t>
      </w:r>
    </w:p>
    <w:p w14:paraId="51DA7A7C" w14:textId="77777777" w:rsidR="00206498" w:rsidRDefault="00206498" w:rsidP="00206498"/>
    <w:p w14:paraId="0CCA7D59" w14:textId="53BF1D98" w:rsidR="00492B3A" w:rsidRDefault="00206498" w:rsidP="00492B3A">
      <w:r w:rsidRPr="00B0442D">
        <w:t>For investors it should be sufficient to see if the activity is Taxonomy-aligned..</w:t>
      </w:r>
      <w:r>
        <w:t>.</w:t>
      </w:r>
    </w:p>
    <w:permEnd w:id="2130857204"/>
    <w:p w14:paraId="4F377E92" w14:textId="77777777" w:rsidR="00492B3A" w:rsidRDefault="00492B3A" w:rsidP="00492B3A">
      <w:r>
        <w:t>&lt;ESMA_QUESTION_TRART8_42&gt;</w:t>
      </w:r>
    </w:p>
    <w:p w14:paraId="1EFF8C92" w14:textId="77777777" w:rsidR="00492B3A" w:rsidRDefault="00492B3A" w:rsidP="00492B3A"/>
    <w:p w14:paraId="4CC0753C" w14:textId="533D0200" w:rsidR="00492B3A" w:rsidRDefault="00492B3A" w:rsidP="00492B3A">
      <w:pPr>
        <w:pStyle w:val="Questionstyle"/>
      </w:pPr>
      <w:r>
        <w:t>Do you agree with presenting accompanying information in the vicinity of the standard table?</w:t>
      </w:r>
    </w:p>
    <w:p w14:paraId="0E5E617B" w14:textId="77777777" w:rsidR="00492B3A" w:rsidRDefault="00492B3A" w:rsidP="00492B3A">
      <w:r>
        <w:t>&lt;ESMA_QUESTION_TRART8_43&gt;</w:t>
      </w:r>
    </w:p>
    <w:p w14:paraId="2C98FD7B" w14:textId="77777777" w:rsidR="00206498" w:rsidRDefault="00206498" w:rsidP="00492B3A">
      <w:permStart w:id="1901090400" w:edGrp="everyone"/>
      <w:r w:rsidRPr="00206498">
        <w:t xml:space="preserve">It seems logical to include pertinent accompanying information in the same location as the standard </w:t>
      </w:r>
    </w:p>
    <w:p w14:paraId="55CE67A0" w14:textId="04413187" w:rsidR="00492B3A" w:rsidRPr="00206498" w:rsidRDefault="00206498" w:rsidP="00492B3A">
      <w:proofErr w:type="gramStart"/>
      <w:r w:rsidRPr="00206498">
        <w:t>disclosures</w:t>
      </w:r>
      <w:proofErr w:type="gramEnd"/>
      <w:r w:rsidRPr="00206498">
        <w:t>.</w:t>
      </w:r>
    </w:p>
    <w:permEnd w:id="1901090400"/>
    <w:p w14:paraId="6A6A4AF3" w14:textId="77777777" w:rsidR="00492B3A" w:rsidRDefault="00492B3A" w:rsidP="00492B3A">
      <w:r>
        <w:t>&lt;ESMA_QUESTION_TRART8_43&gt;</w:t>
      </w:r>
    </w:p>
    <w:p w14:paraId="0ACA46B7" w14:textId="77777777" w:rsidR="00492B3A" w:rsidRDefault="00492B3A" w:rsidP="00492B3A"/>
    <w:p w14:paraId="0D078651" w14:textId="3DA76BA9" w:rsidR="00492B3A" w:rsidRDefault="00492B3A" w:rsidP="00492B3A">
      <w:pPr>
        <w:pStyle w:val="Questionstyle"/>
      </w:pPr>
      <w:r>
        <w:lastRenderedPageBreak/>
        <w:t>Do you agree that there would be merit in including in the accompanying information a link, if relevant, to an asset managers’ entity-level disclosures on principal adverse impacts of investment decisions on sustainability factors?</w:t>
      </w:r>
    </w:p>
    <w:p w14:paraId="74B88EDD" w14:textId="77777777" w:rsidR="00492B3A" w:rsidRDefault="00492B3A" w:rsidP="00492B3A">
      <w:r>
        <w:t>&lt;ESMA_QUESTION_TRART8_44&gt;</w:t>
      </w:r>
    </w:p>
    <w:p w14:paraId="674DB263" w14:textId="5D293622" w:rsidR="00492B3A" w:rsidRDefault="00206498" w:rsidP="00492B3A">
      <w:permStart w:id="788030558" w:edGrp="everyone"/>
      <w:r>
        <w:t>N/A</w:t>
      </w:r>
    </w:p>
    <w:permEnd w:id="788030558"/>
    <w:p w14:paraId="2AC174C8" w14:textId="77777777" w:rsidR="00492B3A" w:rsidRDefault="00492B3A" w:rsidP="00492B3A">
      <w:r>
        <w:t>&lt;ESMA_QUESTION_TRART8_44&gt;</w:t>
      </w:r>
    </w:p>
    <w:p w14:paraId="5AA9D6F3" w14:textId="77777777" w:rsidR="00492B3A" w:rsidRDefault="00492B3A" w:rsidP="00492B3A"/>
    <w:p w14:paraId="40A80E41" w14:textId="7AFD00FD" w:rsidR="00492B3A" w:rsidRDefault="00492B3A" w:rsidP="00492B3A">
      <w:pPr>
        <w:pStyle w:val="Questionstyle"/>
      </w:pPr>
      <w:r>
        <w:t>Do you agree with adopting the same formatting criteria as presented in Section 3.4.2 for the asset manager KPI disclosure?</w:t>
      </w:r>
    </w:p>
    <w:p w14:paraId="0A37B5A0" w14:textId="77777777" w:rsidR="00492B3A" w:rsidRDefault="00492B3A" w:rsidP="00492B3A">
      <w:r>
        <w:t>&lt;ESMA_QUESTION_TRART8_45&gt;</w:t>
      </w:r>
    </w:p>
    <w:p w14:paraId="163F5EB8" w14:textId="090449FE" w:rsidR="00492B3A" w:rsidRDefault="00206498" w:rsidP="00492B3A">
      <w:permStart w:id="658905723" w:edGrp="everyone"/>
      <w:r w:rsidRPr="008D73EA">
        <w:rPr>
          <w:rFonts w:ascii="Segoe UI" w:hAnsi="Segoe UI" w:cs="Segoe UI"/>
          <w:color w:val="000000"/>
          <w:szCs w:val="20"/>
          <w:lang w:val="en-US" w:eastAsia="en-GB"/>
        </w:rPr>
        <w:t>Yes, standardized formatting makes sense</w:t>
      </w:r>
      <w:r>
        <w:rPr>
          <w:rFonts w:ascii="Segoe UI" w:hAnsi="Segoe UI" w:cs="Segoe UI"/>
          <w:color w:val="000000"/>
          <w:szCs w:val="20"/>
          <w:lang w:val="en-US" w:eastAsia="en-GB"/>
        </w:rPr>
        <w:t>.</w:t>
      </w:r>
    </w:p>
    <w:permEnd w:id="658905723"/>
    <w:p w14:paraId="18217709" w14:textId="77777777" w:rsidR="00492B3A" w:rsidRDefault="00492B3A" w:rsidP="00492B3A">
      <w:r>
        <w:t>&lt;ESMA_QUESTION_TRART8_45&gt;</w:t>
      </w:r>
    </w:p>
    <w:p w14:paraId="56E064F7" w14:textId="77777777" w:rsidR="00492B3A" w:rsidRDefault="00492B3A" w:rsidP="00492B3A"/>
    <w:p w14:paraId="798E499E" w14:textId="6697B958" w:rsidR="00492B3A" w:rsidRDefault="00492B3A" w:rsidP="00492B3A">
      <w:pPr>
        <w:pStyle w:val="Questionstyle"/>
      </w:pPr>
      <w:r>
        <w:t>What are the one-off and on-going costs of setting up the reporting and disclosure under this obligation? Please clarify the type of costs incurred and provide a quantitative estimation where possible.</w:t>
      </w:r>
    </w:p>
    <w:p w14:paraId="62AB3632" w14:textId="77777777" w:rsidR="00492B3A" w:rsidRDefault="00492B3A" w:rsidP="00492B3A">
      <w:r>
        <w:t>&lt;ESMA_QUESTION_TRART8_46&gt;</w:t>
      </w:r>
    </w:p>
    <w:p w14:paraId="2347DA41" w14:textId="77777777" w:rsidR="00D43E20" w:rsidRDefault="00D43E20" w:rsidP="00D43E20">
      <w:permStart w:id="2002145458" w:edGrp="everyone"/>
      <w:r>
        <w:t>EDF</w:t>
      </w:r>
      <w:r w:rsidRPr="00B0442D">
        <w:t xml:space="preserve"> expect</w:t>
      </w:r>
      <w:r>
        <w:t>s</w:t>
      </w:r>
      <w:r w:rsidRPr="00B0442D">
        <w:t xml:space="preserve"> that these costs will be ongoing on an annual basis. Flexibility in the format of the </w:t>
      </w:r>
    </w:p>
    <w:p w14:paraId="5D4B097C" w14:textId="0D9E507E" w:rsidR="00492B3A" w:rsidRDefault="00D43E20" w:rsidP="00492B3A">
      <w:proofErr w:type="gramStart"/>
      <w:r>
        <w:t>accompany</w:t>
      </w:r>
      <w:r w:rsidRPr="00B0442D">
        <w:t>ing</w:t>
      </w:r>
      <w:proofErr w:type="gramEnd"/>
      <w:r w:rsidRPr="00B0442D">
        <w:t xml:space="preserve"> information will help in reducing additional costs </w:t>
      </w:r>
    </w:p>
    <w:permEnd w:id="2002145458"/>
    <w:p w14:paraId="22B7B46A" w14:textId="77777777" w:rsidR="00492B3A" w:rsidRDefault="00492B3A" w:rsidP="00492B3A">
      <w:r>
        <w:t>&lt;ESMA_QUESTION_TRART8_46&gt;</w:t>
      </w:r>
    </w:p>
    <w:p w14:paraId="7C90FC3A" w14:textId="77777777" w:rsidR="00492B3A" w:rsidRDefault="00492B3A" w:rsidP="00492B3A"/>
    <w:p w14:paraId="61294656"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0221C" w14:textId="77777777" w:rsidR="00F74E42" w:rsidRDefault="00F74E42">
      <w:r>
        <w:separator/>
      </w:r>
    </w:p>
    <w:p w14:paraId="3EE95AD9" w14:textId="77777777" w:rsidR="00F74E42" w:rsidRDefault="00F74E42"/>
  </w:endnote>
  <w:endnote w:type="continuationSeparator" w:id="0">
    <w:p w14:paraId="07A73A86" w14:textId="77777777" w:rsidR="00F74E42" w:rsidRDefault="00F74E42">
      <w:r>
        <w:continuationSeparator/>
      </w:r>
    </w:p>
    <w:p w14:paraId="357CE373" w14:textId="77777777" w:rsidR="00F74E42" w:rsidRDefault="00F74E42"/>
  </w:endnote>
  <w:endnote w:type="continuationNotice" w:id="1">
    <w:p w14:paraId="77DEA8B8" w14:textId="77777777" w:rsidR="00F74E42" w:rsidRDefault="00F74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ork Sans">
    <w:panose1 w:val="000005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C0B01" w:rsidRPr="00616B9B" w14:paraId="5517B000" w14:textId="77777777" w:rsidTr="00315E96">
      <w:trPr>
        <w:trHeight w:val="284"/>
      </w:trPr>
      <w:tc>
        <w:tcPr>
          <w:tcW w:w="8460" w:type="dxa"/>
        </w:tcPr>
        <w:p w14:paraId="4C959F65" w14:textId="77777777" w:rsidR="00EC0B01" w:rsidRPr="00315E96" w:rsidRDefault="00EC0B01" w:rsidP="00315E96">
          <w:pPr>
            <w:pStyle w:val="00Footer"/>
            <w:rPr>
              <w:lang w:val="fr-FR"/>
            </w:rPr>
          </w:pPr>
        </w:p>
      </w:tc>
      <w:tc>
        <w:tcPr>
          <w:tcW w:w="952" w:type="dxa"/>
        </w:tcPr>
        <w:p w14:paraId="2310C30E" w14:textId="77777777" w:rsidR="00EC0B01" w:rsidRPr="00616B9B" w:rsidRDefault="00EC0B0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E3194">
            <w:rPr>
              <w:rFonts w:cs="Arial"/>
              <w:noProof/>
              <w:sz w:val="22"/>
              <w:szCs w:val="22"/>
            </w:rPr>
            <w:t>14</w:t>
          </w:r>
          <w:r w:rsidRPr="00616B9B">
            <w:rPr>
              <w:rFonts w:cs="Arial"/>
              <w:noProof/>
              <w:sz w:val="22"/>
              <w:szCs w:val="22"/>
            </w:rPr>
            <w:fldChar w:fldCharType="end"/>
          </w:r>
        </w:p>
      </w:tc>
    </w:tr>
  </w:tbl>
  <w:p w14:paraId="08C7C785" w14:textId="77777777" w:rsidR="00EC0B01" w:rsidRDefault="00EC0B0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F6AEC" w14:textId="77777777" w:rsidR="00EC0B01" w:rsidRDefault="00EC0B0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0747E" w14:textId="77777777" w:rsidR="00F74E42" w:rsidRDefault="00F74E42">
      <w:r>
        <w:separator/>
      </w:r>
    </w:p>
    <w:p w14:paraId="2891CBAF" w14:textId="77777777" w:rsidR="00F74E42" w:rsidRDefault="00F74E42"/>
  </w:footnote>
  <w:footnote w:type="continuationSeparator" w:id="0">
    <w:p w14:paraId="346D013A" w14:textId="77777777" w:rsidR="00F74E42" w:rsidRDefault="00F74E42">
      <w:r>
        <w:continuationSeparator/>
      </w:r>
    </w:p>
    <w:p w14:paraId="54D4EBCE" w14:textId="77777777" w:rsidR="00F74E42" w:rsidRDefault="00F74E42"/>
  </w:footnote>
  <w:footnote w:type="continuationNotice" w:id="1">
    <w:p w14:paraId="1A5A2A22" w14:textId="77777777" w:rsidR="00F74E42" w:rsidRDefault="00F74E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3FC29" w14:textId="77777777" w:rsidR="00EC0B01" w:rsidRDefault="00EC0B01">
    <w:pPr>
      <w:pStyle w:val="En-tte"/>
    </w:pPr>
    <w:r>
      <w:rPr>
        <w:noProof/>
        <w:lang w:val="fr-FR" w:eastAsia="fr-FR"/>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FA1AF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7EF13" w14:textId="77777777" w:rsidR="00EC0B01" w:rsidRDefault="00EC0B01" w:rsidP="00013CCE">
    <w:pPr>
      <w:pStyle w:val="En-tte"/>
      <w:jc w:val="right"/>
    </w:pPr>
    <w:r>
      <w:rPr>
        <w:noProof/>
        <w:lang w:val="fr-FR" w:eastAsia="fr-FR"/>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14387" w14:textId="77777777" w:rsidR="00EC0B01" w:rsidRDefault="00EC0B0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C0B01" w:rsidRPr="002F4496" w14:paraId="5849CEB8" w14:textId="77777777" w:rsidTr="000C06C9">
      <w:trPr>
        <w:trHeight w:val="284"/>
      </w:trPr>
      <w:tc>
        <w:tcPr>
          <w:tcW w:w="8460" w:type="dxa"/>
        </w:tcPr>
        <w:p w14:paraId="2B1CC9DC" w14:textId="77777777" w:rsidR="00EC0B01" w:rsidRPr="000C3B6D" w:rsidRDefault="00EC0B01" w:rsidP="000C06C9">
          <w:pPr>
            <w:pStyle w:val="00Footer"/>
            <w:rPr>
              <w:lang w:val="fr-FR"/>
            </w:rPr>
          </w:pPr>
        </w:p>
      </w:tc>
      <w:tc>
        <w:tcPr>
          <w:tcW w:w="952" w:type="dxa"/>
        </w:tcPr>
        <w:p w14:paraId="0A78D32B" w14:textId="77777777" w:rsidR="00EC0B01" w:rsidRPr="00146B34" w:rsidRDefault="00EC0B01" w:rsidP="000C06C9">
          <w:pPr>
            <w:pStyle w:val="00aPagenumber"/>
            <w:rPr>
              <w:lang w:val="fr-FR"/>
            </w:rPr>
          </w:pPr>
        </w:p>
      </w:tc>
    </w:tr>
  </w:tbl>
  <w:p w14:paraId="228C483B" w14:textId="77777777" w:rsidR="00EC0B01" w:rsidRPr="00DB46C3" w:rsidRDefault="00EC0B01">
    <w:pPr>
      <w:rPr>
        <w:lang w:val="fr-FR"/>
      </w:rPr>
    </w:pPr>
  </w:p>
  <w:p w14:paraId="7ABBBBAC" w14:textId="77777777" w:rsidR="00EC0B01" w:rsidRPr="002F4496" w:rsidRDefault="00EC0B01">
    <w:pPr>
      <w:pStyle w:val="En-tte"/>
      <w:rPr>
        <w:lang w:val="fr-FR"/>
      </w:rPr>
    </w:pPr>
  </w:p>
  <w:p w14:paraId="0F1BB730" w14:textId="77777777" w:rsidR="00EC0B01" w:rsidRPr="002F4496" w:rsidRDefault="00EC0B01" w:rsidP="000C06C9">
    <w:pPr>
      <w:pStyle w:val="En-tte"/>
      <w:tabs>
        <w:tab w:val="clear" w:pos="4536"/>
        <w:tab w:val="clear" w:pos="9072"/>
        <w:tab w:val="left" w:pos="8227"/>
      </w:tabs>
      <w:rPr>
        <w:lang w:val="fr-FR"/>
      </w:rPr>
    </w:pPr>
  </w:p>
  <w:p w14:paraId="354F7019" w14:textId="77777777" w:rsidR="00EC0B01" w:rsidRPr="002F4496" w:rsidRDefault="00EC0B01" w:rsidP="000C06C9">
    <w:pPr>
      <w:pStyle w:val="En-tte"/>
      <w:tabs>
        <w:tab w:val="clear" w:pos="4536"/>
        <w:tab w:val="clear" w:pos="9072"/>
        <w:tab w:val="left" w:pos="8227"/>
      </w:tabs>
      <w:rPr>
        <w:lang w:val="fr-FR"/>
      </w:rPr>
    </w:pPr>
  </w:p>
  <w:p w14:paraId="438C49BF" w14:textId="77777777" w:rsidR="00EC0B01" w:rsidRPr="002F4496" w:rsidRDefault="00EC0B01">
    <w:pPr>
      <w:pStyle w:val="En-tte"/>
      <w:rPr>
        <w:lang w:val="fr-FR"/>
      </w:rPr>
    </w:pPr>
  </w:p>
  <w:p w14:paraId="77F5F5FB" w14:textId="77777777" w:rsidR="00EC0B01" w:rsidRPr="002F4496" w:rsidRDefault="00EC0B01">
    <w:pPr>
      <w:pStyle w:val="En-tte"/>
      <w:rPr>
        <w:lang w:val="fr-FR"/>
      </w:rPr>
    </w:pPr>
  </w:p>
  <w:p w14:paraId="31EA96F8" w14:textId="77777777" w:rsidR="00EC0B01" w:rsidRPr="002F4496" w:rsidRDefault="00EC0B01">
    <w:pPr>
      <w:pStyle w:val="En-tte"/>
      <w:rPr>
        <w:lang w:val="fr-FR"/>
      </w:rPr>
    </w:pPr>
  </w:p>
  <w:p w14:paraId="0FAE7A71" w14:textId="77777777" w:rsidR="00EC0B01" w:rsidRPr="002F4496" w:rsidRDefault="00EC0B01">
    <w:pPr>
      <w:pStyle w:val="En-tte"/>
      <w:rPr>
        <w:lang w:val="fr-FR"/>
      </w:rPr>
    </w:pPr>
  </w:p>
  <w:p w14:paraId="339C0C6E" w14:textId="77777777" w:rsidR="00EC0B01" w:rsidRPr="002F4496" w:rsidRDefault="00EC0B01">
    <w:pPr>
      <w:pStyle w:val="En-tte"/>
      <w:rPr>
        <w:highlight w:val="yellow"/>
        <w:lang w:val="fr-FR"/>
      </w:rPr>
    </w:pPr>
  </w:p>
  <w:p w14:paraId="0495A777" w14:textId="77777777" w:rsidR="00EC0B01" w:rsidRDefault="00EC0B01">
    <w:pPr>
      <w:pStyle w:val="En-tte"/>
    </w:pPr>
    <w:r>
      <w:rPr>
        <w:noProof/>
        <w:lang w:val="fr-FR" w:eastAsia="fr-FR"/>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333CF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val="fr-FR" w:eastAsia="fr-FR"/>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DA24552C"/>
    <w:lvl w:ilvl="0" w:tplc="0D303B1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9"/>
  </w:num>
  <w:num w:numId="22">
    <w:abstractNumId w:val="26"/>
  </w:num>
  <w:num w:numId="23">
    <w:abstractNumId w:val="7"/>
  </w:num>
  <w:num w:numId="24">
    <w:abstractNumId w:val="31"/>
  </w:num>
  <w:num w:numId="25">
    <w:abstractNumId w:val="30"/>
  </w:num>
  <w:num w:numId="26">
    <w:abstractNumId w:val="20"/>
  </w:num>
  <w:num w:numId="27">
    <w:abstractNumId w:val="35"/>
  </w:num>
  <w:num w:numId="28">
    <w:abstractNumId w:val="42"/>
  </w:num>
  <w:num w:numId="29">
    <w:abstractNumId w:val="5"/>
  </w:num>
  <w:num w:numId="30">
    <w:abstractNumId w:val="2"/>
  </w:num>
  <w:num w:numId="31">
    <w:abstractNumId w:val="22"/>
  </w:num>
  <w:num w:numId="32">
    <w:abstractNumId w:val="21"/>
  </w:num>
  <w:num w:numId="33">
    <w:abstractNumId w:val="38"/>
  </w:num>
  <w:num w:numId="34">
    <w:abstractNumId w:val="37"/>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 w:numId="41">
    <w:abstractNumId w:val="13"/>
  </w:num>
  <w:num w:numId="42">
    <w:abstractNumId w:val="41"/>
  </w:num>
  <w:num w:numId="43">
    <w:abstractNumId w:val="36"/>
  </w:num>
  <w:num w:numId="44">
    <w:abstractNumId w:val="13"/>
    <w:lvlOverride w:ilvl="0">
      <w:startOverride w:val="1"/>
    </w:lvlOverride>
  </w:num>
  <w:num w:numId="45">
    <w:abstractNumId w:val="13"/>
    <w:lvlOverride w:ilvl="0">
      <w:startOverride w:val="1"/>
    </w:lvlOverride>
  </w:num>
  <w:num w:numId="46">
    <w:abstractNumId w:val="13"/>
  </w:num>
  <w:num w:numId="47">
    <w:abstractNumId w:val="33"/>
  </w:num>
  <w:num w:numId="48">
    <w:abstractNumId w:val="13"/>
    <w:lvlOverride w:ilvl="0">
      <w:startOverride w:val="1"/>
    </w:lvlOverride>
  </w:num>
  <w:num w:numId="49">
    <w:abstractNumId w:val="13"/>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278qUfKmVsVwIUUEqx8iXuk9MyFVaSsIHMtcv57M68y7I6aelYzMoyjiUjJf3rdCEhJbZgCL/vDx2rV8YKdQ==" w:salt="n+J4hrjSTj4f7XM7Qe6Cg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6A5C"/>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3BE2"/>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07E4"/>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475"/>
    <w:rsid w:val="00155FAB"/>
    <w:rsid w:val="001567A1"/>
    <w:rsid w:val="00156857"/>
    <w:rsid w:val="00157E79"/>
    <w:rsid w:val="00157EED"/>
    <w:rsid w:val="0016087A"/>
    <w:rsid w:val="00160A5C"/>
    <w:rsid w:val="00160F4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498"/>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40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2325"/>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5DBA"/>
    <w:rsid w:val="003D605E"/>
    <w:rsid w:val="003D61D1"/>
    <w:rsid w:val="003D6780"/>
    <w:rsid w:val="003D6FCB"/>
    <w:rsid w:val="003D7C66"/>
    <w:rsid w:val="003E0F84"/>
    <w:rsid w:val="003E1FF3"/>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488F"/>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5B2"/>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550"/>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040"/>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50B"/>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1834"/>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8EB"/>
    <w:rsid w:val="00704D25"/>
    <w:rsid w:val="00710519"/>
    <w:rsid w:val="00710F6E"/>
    <w:rsid w:val="00711663"/>
    <w:rsid w:val="007116B4"/>
    <w:rsid w:val="00712580"/>
    <w:rsid w:val="00712D38"/>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A22"/>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0FB"/>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1686F"/>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50"/>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16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834"/>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03E"/>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4BA7"/>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3F70"/>
    <w:rsid w:val="00A74F9F"/>
    <w:rsid w:val="00A750B3"/>
    <w:rsid w:val="00A75559"/>
    <w:rsid w:val="00A7623D"/>
    <w:rsid w:val="00A77533"/>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194"/>
    <w:rsid w:val="00AE3BC6"/>
    <w:rsid w:val="00AE3E2F"/>
    <w:rsid w:val="00AE4D4F"/>
    <w:rsid w:val="00AE5BA4"/>
    <w:rsid w:val="00AE627C"/>
    <w:rsid w:val="00AE62B0"/>
    <w:rsid w:val="00AE68A2"/>
    <w:rsid w:val="00AF0029"/>
    <w:rsid w:val="00AF0354"/>
    <w:rsid w:val="00AF1236"/>
    <w:rsid w:val="00AF38AF"/>
    <w:rsid w:val="00AF3C29"/>
    <w:rsid w:val="00AF43F1"/>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752"/>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FBD"/>
    <w:rsid w:val="00B87AC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37E"/>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5795"/>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A00"/>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CC3"/>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E20"/>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832"/>
    <w:rsid w:val="00D75FEE"/>
    <w:rsid w:val="00D76933"/>
    <w:rsid w:val="00D76D88"/>
    <w:rsid w:val="00D77CC9"/>
    <w:rsid w:val="00D83D4B"/>
    <w:rsid w:val="00D871C6"/>
    <w:rsid w:val="00D91010"/>
    <w:rsid w:val="00D947BE"/>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6D71"/>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27DBD"/>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4F89"/>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A7B"/>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128"/>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0B01"/>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C26"/>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06FC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019"/>
    <w:rsid w:val="00F24E6F"/>
    <w:rsid w:val="00F26069"/>
    <w:rsid w:val="00F2696D"/>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4E42"/>
    <w:rsid w:val="00F77D43"/>
    <w:rsid w:val="00F80953"/>
    <w:rsid w:val="00F81312"/>
    <w:rsid w:val="00F81B90"/>
    <w:rsid w:val="00F81E6F"/>
    <w:rsid w:val="00F82F25"/>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72F"/>
    <w:rsid w:val="00FB0816"/>
    <w:rsid w:val="00FB08C2"/>
    <w:rsid w:val="00FB3DD1"/>
    <w:rsid w:val="00FB51FD"/>
    <w:rsid w:val="00FB5667"/>
    <w:rsid w:val="00FB7A97"/>
    <w:rsid w:val="00FC1B9B"/>
    <w:rsid w:val="00FC318D"/>
    <w:rsid w:val="00FC36CF"/>
    <w:rsid w:val="00FC3BB5"/>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1A2"/>
    <w:rPr>
      <w:rFonts w:ascii="Arial" w:hAnsi="Arial"/>
      <w:szCs w:val="24"/>
      <w:lang w:eastAsia="de-DE"/>
    </w:rPr>
  </w:style>
  <w:style w:type="paragraph" w:styleId="Titre1">
    <w:name w:val="heading 1"/>
    <w:basedOn w:val="Normal"/>
    <w:next w:val="Normal"/>
    <w:link w:val="Titre1Car"/>
    <w:qFormat/>
    <w:rsid w:val="009E7724"/>
    <w:pPr>
      <w:keepNext/>
      <w:numPr>
        <w:numId w:val="5"/>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3"/>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Cha"/>
    <w:basedOn w:val="Normal"/>
    <w:link w:val="NotedebasdepageCar"/>
    <w:qFormat/>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qFormat/>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8"/>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Arial" w:hAnsi="Arial"/>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Text,Diskret betoning"/>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Policepardfau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mphaseintense">
    <w:name w:val="Intense Emphasis"/>
    <w:basedOn w:val="Policepardfaut"/>
    <w:uiPriority w:val="21"/>
    <w:qFormat/>
    <w:rsid w:val="00D34282"/>
    <w:rPr>
      <w:b/>
      <w:bCs/>
      <w:i/>
      <w:iCs/>
    </w:rPr>
  </w:style>
  <w:style w:type="character" w:customStyle="1" w:styleId="CPTitle1Char">
    <w:name w:val="CP_Title1 Char"/>
    <w:basedOn w:val="Policepardfaut"/>
    <w:link w:val="CPTitle1"/>
    <w:locked/>
    <w:rsid w:val="00D34282"/>
    <w:rPr>
      <w:rFonts w:asciiTheme="majorHAnsi" w:eastAsiaTheme="majorEastAsia" w:hAnsiTheme="majorHAnsi" w:cstheme="majorHAnsi"/>
      <w:b/>
      <w:sz w:val="32"/>
      <w:szCs w:val="32"/>
    </w:rPr>
  </w:style>
  <w:style w:type="paragraph" w:customStyle="1" w:styleId="CPTitle1">
    <w:name w:val="CP_Title1"/>
    <w:basedOn w:val="Titre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re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Policepardfau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492B3A"/>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Policepardfaut"/>
    <w:link w:val="Questionstyle"/>
    <w:rsid w:val="00492B3A"/>
    <w:rPr>
      <w:rFonts w:asciiTheme="minorHAnsi" w:eastAsiaTheme="minorEastAsia" w:hAnsiTheme="minorHAnsi" w:cstheme="minorBidi"/>
      <w:b/>
      <w:sz w:val="22"/>
      <w:lang w:eastAsia="en-US"/>
    </w:rPr>
  </w:style>
  <w:style w:type="paragraph" w:styleId="Sous-titre">
    <w:name w:val="Subtitle"/>
    <w:basedOn w:val="Normal"/>
    <w:next w:val="Normal"/>
    <w:link w:val="Sous-titreC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ous-titreCar">
    <w:name w:val="Sous-titre Car"/>
    <w:basedOn w:val="Policepardfaut"/>
    <w:link w:val="Sous-titr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Paragraphedelist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Policepardfau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Policepardfau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e038d8b-eef4-4a8e-96f8-403daa5a894a">ESMA30-379-337</_dlc_DocId>
    <_dlc_DocIdUrl xmlns="9e038d8b-eef4-4a8e-96f8-403daa5a894a">
      <Url>https://sherpa.esma.europa.eu/sites/INI/_layouts/15/DocIdRedir.aspx?ID=ESMA30-379-337</Url>
      <Description>ESMA30-379-337</Description>
    </_dlc_DocIdUrl>
    <TaxCatchAll xmlns="9e038d8b-eef4-4a8e-96f8-403daa5a894a">
      <Value>180</Value>
      <Value>136</Value>
      <Value>177</Value>
      <Value>211</Value>
      <Value>70</Value>
    </TaxCatchAll>
    <MeetingDate xmlns="9e038d8b-eef4-4a8e-96f8-403daa5a894a">2020-11-04T23:00:00+00:00</MeetingDate>
    <Year xmlns="9e038d8b-eef4-4a8e-96f8-403daa5a894a">2020</Year>
    <nfe595ebf4f64c1a822a9d342b7a0235 xmlns="9e038d8b-eef4-4a8e-96f8-403daa5a894a">
      <Terms xmlns="http://schemas.microsoft.com/office/infopath/2007/PartnerControls"/>
    </nfe595ebf4f64c1a822a9d342b7a0235>
    <f45995dbc5e34702a4907d9c19e24ff1 xmlns="9e038d8b-eef4-4a8e-96f8-403daa5a894a">
      <Terms xmlns="http://schemas.microsoft.com/office/infopath/2007/PartnerControls"/>
    </f45995dbc5e34702a4907d9c19e24ff1>
    <m24acd4774c94f0eb085e90918c19a7d xmlns="9e038d8b-eef4-4a8e-96f8-403daa5a894a">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f1a00f3c2bf7480bac6c55a336d088f1>
    <k24506574ead4431a8e2f3258e83a0fd xmlns="9e038d8b-eef4-4a8e-96f8-403daa5a894a">
      <Terms xmlns="http://schemas.microsoft.com/office/infopath/2007/PartnerControls"/>
    </k24506574ead4431a8e2f3258e83a0fd>
    <j1c2ab7cf6ed4bf9abdb70bc5711bad2 xmlns="9e038d8b-eef4-4a8e-96f8-403daa5a894a">
      <Terms xmlns="http://schemas.microsoft.com/office/infopath/2007/PartnerControls"/>
    </j1c2ab7cf6ed4bf9abdb70bc5711bad2>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e098e4de435d4a6084770929094063cb>
    <o40bb6b0fc4c43308119e5e44558f97d xmlns="9e038d8b-eef4-4a8e-96f8-403daa5a894a">
      <Terms xmlns="http://schemas.microsoft.com/office/infopath/2007/PartnerControls">
        <TermInfo xmlns="http://schemas.microsoft.com/office/infopath/2007/PartnerControls">
          <TermName xmlns="http://schemas.microsoft.com/office/infopath/2007/PartnerControls">ESAs</TermName>
          <TermId xmlns="http://schemas.microsoft.com/office/infopath/2007/PartnerControls">fa72426c-f4c1-4de0-83a0-2806812bd296</TermId>
        </TermInfo>
      </Terms>
    </o40bb6b0fc4c43308119e5e44558f97d>
    <g9c428d748e64a40afddd0217f2fd433 xmlns="9e038d8b-eef4-4a8e-96f8-403daa5a894a">
      <Terms xmlns="http://schemas.microsoft.com/office/infopath/2007/PartnerControls">
        <TermInfo xmlns="http://schemas.microsoft.com/office/infopath/2007/PartnerControls">
          <TermName xmlns="http://schemas.microsoft.com/office/infopath/2007/PartnerControls">Cooperations</TermName>
          <TermId xmlns="http://schemas.microsoft.com/office/infopath/2007/PartnerControls">1f032687-c036-4dea-8dd1-b89a6de9f112</TermId>
        </TermInfo>
      </Terms>
    </g9c428d748e64a40afddd0217f2fd433>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ustainable Finance Coordination Document" ma:contentTypeID="0x0101008326B20E91D8724BBD209C9C2DA77BE3020100751FD0C8B37D344B92D0EFC36999C743" ma:contentTypeVersion="14" ma:contentTypeDescription="" ma:contentTypeScope="" ma:versionID="6d49beb5c8dd869e6db531c0d4a70b70">
  <xsd:schema xmlns:xsd="http://www.w3.org/2001/XMLSchema" xmlns:xs="http://www.w3.org/2001/XMLSchema" xmlns:p="http://schemas.microsoft.com/office/2006/metadata/properties" xmlns:ns2="9e038d8b-eef4-4a8e-96f8-403daa5a894a" targetNamespace="http://schemas.microsoft.com/office/2006/metadata/properties" ma:root="true" ma:fieldsID="5693f1fd22a6bea6aac0cbeb048b3b7c"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e098e4de435d4a6084770929094063cb" minOccurs="0"/>
                <xsd:element ref="ns2:f1a00f3c2bf7480bac6c55a336d088f1" minOccurs="0"/>
                <xsd:element ref="ns2:TaxCatchAll" minOccurs="0"/>
                <xsd:element ref="ns2:TaxCatchAllLabel" minOccurs="0"/>
                <xsd:element ref="ns2:_dlc_DocIdPersistId" minOccurs="0"/>
                <xsd:element ref="ns2:g9c428d748e64a40afddd0217f2fd433" minOccurs="0"/>
                <xsd:element ref="ns2:m24acd4774c94f0eb085e90918c19a7d" minOccurs="0"/>
                <xsd:element ref="ns2:j1c2ab7cf6ed4bf9abdb70bc5711bad2" minOccurs="0"/>
                <xsd:element ref="ns2:k24506574ead4431a8e2f3258e83a0fd" minOccurs="0"/>
                <xsd:element ref="ns2:o40bb6b0fc4c43308119e5e44558f97d" minOccurs="0"/>
                <xsd:element ref="ns2:nfe595ebf4f64c1a822a9d342b7a0235" minOccurs="0"/>
                <xsd:element ref="ns2:f45995dbc5e34702a4907d9c19e24ff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9" ma:displayName="Year" ma:internalName="Year" ma:readOnly="false">
      <xsd:simpleType>
        <xsd:restriction base="dms:Text">
          <xsd:maxLength value="4"/>
        </xsd:restriction>
      </xsd:simpleType>
    </xsd:element>
    <xsd:element name="MeetingDate" ma:index="11" nillable="true" ma:displayName="Meeting Date" ma:format="DateOnly" ma:internalName="MeetingDate" ma:readOnly="false">
      <xsd:simpleType>
        <xsd:restriction base="dms:DateTime"/>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1;#Note|b9e1c92e-303a-4555-86f0-5c711c65937e"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f1a00f3c2bf7480bac6c55a336d088f1" ma:index="16" ma:taxonomy="true" ma:internalName="f1a00f3c2bf7480bac6c55a336d088f1" ma:taxonomyFieldName="ConfidentialityLevel" ma:displayName="Confidentiality Level" ma:readOnly="false" ma:default="-1;#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g9c428d748e64a40afddd0217f2fd433" ma:index="21" ma:taxonomy="true" ma:internalName="g9c428d748e64a40afddd0217f2fd433" ma:taxonomyFieldName="TeamName" ma:displayName="Team Name" ma:readOnly="false" ma:default="-1;#Cooperations|1f032687-c036-4dea-8dd1-b89a6de9f112" ma:fieldId="{09c428d7-48e6-4a40-afdd-d0217f2fd43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m24acd4774c94f0eb085e90918c19a7d" ma:index="23" ma:taxonomy="true" ma:internalName="m24acd4774c94f0eb085e90918c19a7d" ma:taxonomyFieldName="Topic" ma:displayName="Topic" ma:readOnly="false" ma:default="177;#Sustainable Finance|2b3d71a9-35a3-4434-9d75-bd09a37940bf" ma:fieldId="{624acd47-74c9-4f0e-b085-e90918c19a7d}" ma:sspId="0ac1876e-32bf-4158-94e7-cdbcd053a335" ma:termSetId="9c4ed9b0-103f-46e9-b59c-fb2fef37ec77" ma:anchorId="00000000-0000-0000-0000-000000000000" ma:open="false" ma:isKeyword="false">
      <xsd:complexType>
        <xsd:sequence>
          <xsd:element ref="pc:Terms" minOccurs="0" maxOccurs="1"/>
        </xsd:sequence>
      </xsd:complexType>
    </xsd:element>
    <xsd:element name="j1c2ab7cf6ed4bf9abdb70bc5711bad2" ma:index="25" nillable="true" ma:taxonomy="true" ma:internalName="j1c2ab7cf6ed4bf9abdb70bc5711bad2" ma:taxonomyFieldName="StatusOfLegislation" ma:displayName="Status of legislation" ma:readOnly="false" ma:fieldId="{31c2ab7c-f6ed-4bf9-abdb-70bc5711bad2}" ma:sspId="0ac1876e-32bf-4158-94e7-cdbcd053a335" ma:termSetId="55a61bda-d82a-4e03-a226-1844979fbfa7" ma:anchorId="00000000-0000-0000-0000-000000000000" ma:open="false" ma:isKeyword="false">
      <xsd:complexType>
        <xsd:sequence>
          <xsd:element ref="pc:Terms" minOccurs="0" maxOccurs="1"/>
        </xsd:sequence>
      </xsd:complexType>
    </xsd:element>
    <xsd:element name="k24506574ead4431a8e2f3258e83a0fd" ma:index="26" nillable="true" ma:taxonomy="true" ma:internalName="k24506574ead4431a8e2f3258e83a0fd" ma:taxonomyFieldName="EsmaAudience" ma:displayName="Audience" ma:readOnly="false"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40bb6b0fc4c43308119e5e44558f97d" ma:index="27" ma:taxonomy="true" ma:internalName="o40bb6b0fc4c43308119e5e44558f97d" ma:taxonomyFieldName="SubTopic" ma:displayName="Sub Topic" ma:readOnly="false" ma:default="" ma:fieldId="{840bb6b0-fc4c-4330-8119-e5e44558f97d}" ma:sspId="0ac1876e-32bf-4158-94e7-cdbcd053a335" ma:termSetId="56663939-ed86-4408-b26f-5b4a9652e0ac" ma:anchorId="00000000-0000-0000-0000-000000000000" ma:open="false" ma:isKeyword="false">
      <xsd:complexType>
        <xsd:sequence>
          <xsd:element ref="pc:Terms" minOccurs="0" maxOccurs="1"/>
        </xsd:sequence>
      </xsd:complexType>
    </xsd:element>
    <xsd:element name="nfe595ebf4f64c1a822a9d342b7a0235" ma:index="29" nillable="true" ma:taxonomy="true" ma:internalName="nfe595ebf4f64c1a822a9d342b7a0235" ma:taxonomyFieldName="InternalStakeholders" ma:displayName="Internal stakeholders" ma:readOnly="false" ma:fieldId="{7fe595eb-f4f6-4c1a-822a-9d342b7a0235}" ma:taxonomyMulti="true" ma:sspId="0ac1876e-32bf-4158-94e7-cdbcd053a335" ma:termSetId="6a0dc695-f023-47a5-a2e3-8f2aa0ae239e" ma:anchorId="00000000-0000-0000-0000-000000000000" ma:open="false" ma:isKeyword="false">
      <xsd:complexType>
        <xsd:sequence>
          <xsd:element ref="pc:Terms" minOccurs="0" maxOccurs="1"/>
        </xsd:sequence>
      </xsd:complexType>
    </xsd:element>
    <xsd:element name="f45995dbc5e34702a4907d9c19e24ff1" ma:index="31" nillable="true" ma:taxonomy="true" ma:internalName="f45995dbc5e34702a4907d9c19e24ff1" ma:taxonomyFieldName="ExternalStakeholders" ma:displayName="External stakeholders" ma:readOnly="false" ma:fieldId="{f45995db-c5e3-4702-a490-7d9c19e24ff1}" ma:taxonomyMulti="true" ma:sspId="0ac1876e-32bf-4158-94e7-cdbcd053a335" ma:termSetId="ed1b14a0-d3be-4f81-be4d-6bdb2bb667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99F3CE27-9AB0-4090-8605-5615D655E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90EFD7-5408-4EAB-B4BD-8C6A718E1671}">
  <ds:schemaRefs>
    <ds:schemaRef ds:uri="http://schemas.openxmlformats.org/officeDocument/2006/bibliography"/>
  </ds:schemaRefs>
</ds:datastoreItem>
</file>

<file path=customXml/itemProps6.xml><?xml version="1.0" encoding="utf-8"?>
<ds:datastoreItem xmlns:ds="http://schemas.openxmlformats.org/officeDocument/2006/customXml" ds:itemID="{30136DE9-05A0-40FE-8531-142F9E99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4485</Words>
  <Characters>24673</Characters>
  <Application>Microsoft Office Word</Application>
  <DocSecurity>8</DocSecurity>
  <Lines>205</Lines>
  <Paragraphs>58</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29100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EGLIE-RICHTERS Anne-Claire</cp:lastModifiedBy>
  <cp:revision>3</cp:revision>
  <cp:lastPrinted>2015-02-18T11:01:00Z</cp:lastPrinted>
  <dcterms:created xsi:type="dcterms:W3CDTF">2020-12-04T10:39:00Z</dcterms:created>
  <dcterms:modified xsi:type="dcterms:W3CDTF">2020-12-04T10:47:00Z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0x0101008326B20E91D8724BBD209C9C2DA77BE3020100751FD0C8B37D344B92D0EFC36999C743</vt:lpwstr>
  </property>
  <property fmtid="{D5CDD505-2E9C-101B-9397-08002B2CF9AE}" pid="3" name="EsmaAudience">
    <vt:lpwstr/>
  </property>
  <property fmtid="{D5CDD505-2E9C-101B-9397-08002B2CF9AE}" pid="4" name="TeamName">
    <vt:lpwstr>180;#Cooperations|1f032687-c036-4dea-8dd1-b89a6de9f112</vt:lpwstr>
  </property>
  <property fmtid="{D5CDD505-2E9C-101B-9397-08002B2CF9AE}" pid="5" name="Topic">
    <vt:lpwstr>177;#Sustainable Finance|2b3d71a9-35a3-4434-9d75-bd09a37940bf</vt:lpwstr>
  </property>
  <property fmtid="{D5CDD505-2E9C-101B-9397-08002B2CF9AE}" pid="6" name="SubTopic">
    <vt:lpwstr>211;#ESAs|fa72426c-f4c1-4de0-83a0-2806812bd296</vt:lpwstr>
  </property>
  <property fmtid="{D5CDD505-2E9C-101B-9397-08002B2CF9AE}" pid="7" name="DocumentType">
    <vt:lpwstr>136;#Questionnaire|a849d609-a31c-415e-a1a8-503bcc16b083</vt:lpwstr>
  </property>
  <property fmtid="{D5CDD505-2E9C-101B-9397-08002B2CF9AE}" pid="8" name="ConfidentialityLevel">
    <vt:lpwstr>70;#Public|a0c619ff-bd46-48f0-b213-6b7c03fe156d</vt:lpwstr>
  </property>
  <property fmtid="{D5CDD505-2E9C-101B-9397-08002B2CF9AE}" pid="9" name="_dlc_DocIdItemGuid">
    <vt:lpwstr>7892f057-f62e-4910-a4d6-e988f9c968f9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ies>
</file>