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berschrift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9623D8">
        <w:tc>
          <w:tcPr>
            <w:tcW w:w="3929" w:type="dxa"/>
            <w:shd w:val="clear" w:color="auto" w:fill="auto"/>
          </w:tcPr>
          <w:p w14:paraId="2CC52FAD" w14:textId="77777777" w:rsidR="00B327E9" w:rsidRPr="00E40A5C" w:rsidRDefault="00B327E9" w:rsidP="009623D8">
            <w:pPr>
              <w:rPr>
                <w:rFonts w:cs="Arial"/>
                <w:sz w:val="22"/>
              </w:rPr>
            </w:pPr>
            <w:r w:rsidRPr="00E40A5C">
              <w:rPr>
                <w:rFonts w:cs="Arial"/>
                <w:sz w:val="22"/>
              </w:rPr>
              <w:t>Name of the company / organisation</w:t>
            </w:r>
          </w:p>
        </w:tc>
        <w:sdt>
          <w:sdtPr>
            <w:rPr>
              <w:rStyle w:val="Platzhaltertext"/>
              <w:rFonts w:cs="Arial"/>
            </w:rPr>
            <w:id w:val="-1905066999"/>
            <w:text/>
          </w:sdtPr>
          <w:sdtEndPr>
            <w:rPr>
              <w:rStyle w:val="Platzhaltertext"/>
            </w:rPr>
          </w:sdtEndPr>
          <w:sdtContent>
            <w:permStart w:id="1493633476" w:edGrp="everyone" w:displacedByCustomXml="prev"/>
            <w:tc>
              <w:tcPr>
                <w:tcW w:w="5595" w:type="dxa"/>
                <w:shd w:val="clear" w:color="auto" w:fill="auto"/>
              </w:tcPr>
              <w:p w14:paraId="23C2C921" w14:textId="0F683378" w:rsidR="00B327E9" w:rsidRPr="00AB6D88" w:rsidRDefault="007360D3" w:rsidP="009623D8">
                <w:pPr>
                  <w:rPr>
                    <w:rStyle w:val="Platzhaltertext"/>
                    <w:rFonts w:cs="Arial"/>
                  </w:rPr>
                </w:pPr>
                <w:r>
                  <w:rPr>
                    <w:rStyle w:val="Platzhaltertext"/>
                    <w:rFonts w:cs="Arial"/>
                  </w:rPr>
                  <w:t xml:space="preserve">BMW </w:t>
                </w:r>
                <w:r w:rsidR="000B388D">
                  <w:rPr>
                    <w:rStyle w:val="Platzhaltertext"/>
                    <w:rFonts w:cs="Arial"/>
                  </w:rPr>
                  <w:t>Group</w:t>
                </w:r>
              </w:p>
            </w:tc>
            <w:permEnd w:id="1493633476" w:displacedByCustomXml="next"/>
          </w:sdtContent>
        </w:sdt>
      </w:tr>
      <w:tr w:rsidR="00B327E9" w:rsidRPr="00AB6D88" w14:paraId="0D2401D8" w14:textId="77777777" w:rsidTr="009623D8">
        <w:tc>
          <w:tcPr>
            <w:tcW w:w="3929" w:type="dxa"/>
            <w:shd w:val="clear" w:color="auto" w:fill="auto"/>
          </w:tcPr>
          <w:p w14:paraId="6C0EFE39" w14:textId="77777777" w:rsidR="00B327E9" w:rsidRPr="00E40A5C" w:rsidRDefault="00B327E9" w:rsidP="009623D8">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343F849D" w:rsidR="00B327E9" w:rsidRPr="00AB6D88" w:rsidRDefault="000B388D" w:rsidP="009623D8">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7360D3">
                  <w:rPr>
                    <w:rFonts w:cs="Arial"/>
                  </w:rPr>
                  <w:t>Issuer/ Non-Financial Undertaking</w:t>
                </w:r>
              </w:sdtContent>
            </w:sdt>
          </w:p>
        </w:tc>
      </w:tr>
      <w:permEnd w:id="438450997"/>
      <w:tr w:rsidR="00B327E9" w:rsidRPr="00AB6D88" w14:paraId="1A153F17" w14:textId="77777777" w:rsidTr="009623D8">
        <w:tc>
          <w:tcPr>
            <w:tcW w:w="3929" w:type="dxa"/>
            <w:shd w:val="clear" w:color="auto" w:fill="auto"/>
          </w:tcPr>
          <w:p w14:paraId="396772EB" w14:textId="77777777" w:rsidR="00B327E9" w:rsidRPr="00E40A5C" w:rsidRDefault="00B327E9" w:rsidP="009623D8">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4A2D5770" w:rsidR="00B327E9" w:rsidRPr="00AB6D88" w:rsidRDefault="007360D3" w:rsidP="009623D8">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9623D8">
        <w:tc>
          <w:tcPr>
            <w:tcW w:w="3929" w:type="dxa"/>
            <w:shd w:val="clear" w:color="auto" w:fill="auto"/>
          </w:tcPr>
          <w:p w14:paraId="3C221113" w14:textId="77777777" w:rsidR="00B327E9" w:rsidRPr="00E40A5C" w:rsidRDefault="00B327E9" w:rsidP="009623D8">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CDBDDA8" w:rsidR="00B327E9" w:rsidRPr="00AB6D88" w:rsidRDefault="007360D3" w:rsidP="009623D8">
                <w:pPr>
                  <w:rPr>
                    <w:rFonts w:cs="Arial"/>
                  </w:rPr>
                </w:pPr>
                <w:r>
                  <w:rPr>
                    <w:rFonts w:cs="Arial"/>
                  </w:rPr>
                  <w:t>Germany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berschrift1"/>
        <w:numPr>
          <w:ilvl w:val="0"/>
          <w:numId w:val="0"/>
        </w:numPr>
        <w:ind w:left="431" w:hanging="431"/>
      </w:pPr>
      <w:r>
        <w:t>Introduction</w:t>
      </w:r>
    </w:p>
    <w:p w14:paraId="3C83C634" w14:textId="77777777" w:rsidR="00B327E9" w:rsidRPr="00E40A5C" w:rsidRDefault="00B327E9" w:rsidP="00FE6577">
      <w:pPr>
        <w:rPr>
          <w:rStyle w:val="IntensiveHervorhebung"/>
          <w:sz w:val="22"/>
        </w:rPr>
      </w:pPr>
      <w:r w:rsidRPr="00E40A5C">
        <w:rPr>
          <w:rStyle w:val="IntensiveHervorhebung"/>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433EB201" w14:textId="7632C9E5" w:rsidR="00870B96" w:rsidRDefault="00870B96" w:rsidP="00870B96">
      <w:pPr>
        <w:spacing w:after="160" w:line="259" w:lineRule="auto"/>
        <w:jc w:val="both"/>
        <w:rPr>
          <w:color w:val="00B050"/>
        </w:rPr>
      </w:pPr>
      <w:permStart w:id="44765448" w:edGrp="everyone"/>
      <w:r>
        <w:t xml:space="preserve">BMW </w:t>
      </w:r>
      <w:r w:rsidRPr="00713135">
        <w:t xml:space="preserve">welcomes ESMA's consultation on reporting requirements as regards </w:t>
      </w:r>
      <w:r w:rsidR="005448E8">
        <w:t>A</w:t>
      </w:r>
      <w:r w:rsidRPr="00713135">
        <w:t xml:space="preserve">rt. 8 of the taxonomy regulation. However, we would like to stress that </w:t>
      </w:r>
      <w:r>
        <w:t>preparers face</w:t>
      </w:r>
      <w:r w:rsidRPr="00713135">
        <w:t xml:space="preserve"> an </w:t>
      </w:r>
      <w:r w:rsidRPr="007F772F">
        <w:rPr>
          <w:b/>
        </w:rPr>
        <w:t>extremely tight schedule for the application of the new reporting requirements</w:t>
      </w:r>
      <w:r>
        <w:t xml:space="preserve"> under the taxonomy regulation. T</w:t>
      </w:r>
      <w:r w:rsidRPr="00713135">
        <w:t xml:space="preserve">he new disclosure requirements </w:t>
      </w:r>
      <w:r>
        <w:t xml:space="preserve">for the three KPI </w:t>
      </w:r>
      <w:r w:rsidR="004B3D9C">
        <w:t xml:space="preserve">sustainable </w:t>
      </w:r>
      <w:r>
        <w:t xml:space="preserve">turnover, </w:t>
      </w:r>
      <w:proofErr w:type="spellStart"/>
      <w:r>
        <w:t>CapEx</w:t>
      </w:r>
      <w:proofErr w:type="spellEnd"/>
      <w:r>
        <w:t xml:space="preserve"> and </w:t>
      </w:r>
      <w:proofErr w:type="spellStart"/>
      <w:r>
        <w:t>OpEx</w:t>
      </w:r>
      <w:proofErr w:type="spellEnd"/>
      <w:r>
        <w:t xml:space="preserve"> </w:t>
      </w:r>
      <w:r w:rsidRPr="00713135">
        <w:t xml:space="preserve">will have to be applied for the first time in 2022 with regard to the financial year </w:t>
      </w:r>
      <w:r>
        <w:t xml:space="preserve">2021. As the delegated act will only be adopted </w:t>
      </w:r>
      <w:r w:rsidRPr="00713135">
        <w:t xml:space="preserve">by 1 June 2021, </w:t>
      </w:r>
      <w:r w:rsidRPr="007F772F">
        <w:rPr>
          <w:b/>
        </w:rPr>
        <w:t xml:space="preserve">companies will </w:t>
      </w:r>
      <w:r w:rsidR="00E96906" w:rsidRPr="007F772F">
        <w:rPr>
          <w:b/>
          <w:color w:val="000000" w:themeColor="text1"/>
        </w:rPr>
        <w:t xml:space="preserve">have to apply these requirements retrospectively to the first five months of 2021 and will </w:t>
      </w:r>
      <w:r w:rsidRPr="007F772F">
        <w:rPr>
          <w:b/>
          <w:color w:val="000000" w:themeColor="text1"/>
        </w:rPr>
        <w:t>only have 7 months to implement the new requirements</w:t>
      </w:r>
      <w:r w:rsidRPr="007F772F">
        <w:rPr>
          <w:color w:val="000000" w:themeColor="text1"/>
        </w:rPr>
        <w:t>.</w:t>
      </w:r>
      <w:r w:rsidR="003C3570" w:rsidRPr="007F772F">
        <w:rPr>
          <w:color w:val="000000" w:themeColor="text1"/>
        </w:rPr>
        <w:t xml:space="preserve"> Within this very limited period of time, preparers need to identify the economic activ</w:t>
      </w:r>
      <w:r w:rsidR="00DC3BBE" w:rsidRPr="007F772F">
        <w:rPr>
          <w:color w:val="000000" w:themeColor="text1"/>
        </w:rPr>
        <w:t>ities that are taxonomy-aligned and gather the relevant data on the three</w:t>
      </w:r>
      <w:r w:rsidR="003C3570" w:rsidRPr="007F772F">
        <w:rPr>
          <w:color w:val="000000" w:themeColor="text1"/>
        </w:rPr>
        <w:t xml:space="preserve"> KPI </w:t>
      </w:r>
      <w:r w:rsidR="00DC3BBE" w:rsidRPr="007F772F">
        <w:rPr>
          <w:color w:val="000000" w:themeColor="text1"/>
        </w:rPr>
        <w:t xml:space="preserve">based on adjusted internal reporting systems to be able to report the data for the financial year 2021. This </w:t>
      </w:r>
      <w:r w:rsidR="003C3570" w:rsidRPr="007F772F">
        <w:rPr>
          <w:color w:val="000000" w:themeColor="text1"/>
        </w:rPr>
        <w:t xml:space="preserve">requires </w:t>
      </w:r>
      <w:r w:rsidR="00DC3BBE" w:rsidRPr="007F772F">
        <w:rPr>
          <w:color w:val="000000" w:themeColor="text1"/>
        </w:rPr>
        <w:t>high investments into IT systems and personnel.</w:t>
      </w:r>
      <w:r w:rsidR="00651DB2" w:rsidRPr="007F772F">
        <w:rPr>
          <w:color w:val="000000" w:themeColor="text1"/>
        </w:rPr>
        <w:t xml:space="preserve"> </w:t>
      </w:r>
      <w:r w:rsidR="00DC3BBE" w:rsidRPr="007F772F">
        <w:rPr>
          <w:color w:val="000000" w:themeColor="text1"/>
        </w:rPr>
        <w:t>Any delay of the legal process would cause additional problems for preparers.</w:t>
      </w:r>
      <w:r w:rsidR="00926C2C" w:rsidRPr="007F772F">
        <w:rPr>
          <w:color w:val="000000" w:themeColor="text1"/>
        </w:rPr>
        <w:t xml:space="preserve"> Usually, preparers have considerably more time to implement new legal frameworks and adjust internal systems and processes.</w:t>
      </w:r>
      <w:r w:rsidRPr="007F772F">
        <w:rPr>
          <w:color w:val="000000" w:themeColor="text1"/>
        </w:rPr>
        <w:t xml:space="preserve"> </w:t>
      </w:r>
    </w:p>
    <w:p w14:paraId="3EFC8DC0" w14:textId="4BE1D31D" w:rsidR="007F772F" w:rsidRPr="00870B96" w:rsidRDefault="007F772F" w:rsidP="007F772F">
      <w:pPr>
        <w:spacing w:after="160" w:line="259" w:lineRule="auto"/>
        <w:jc w:val="both"/>
      </w:pPr>
      <w:r w:rsidRPr="007F772F">
        <w:rPr>
          <w:b/>
        </w:rPr>
        <w:t>We strongly oppose the</w:t>
      </w:r>
      <w:r>
        <w:t xml:space="preserve"> </w:t>
      </w:r>
      <w:r w:rsidRPr="001F03A5">
        <w:rPr>
          <w:b/>
        </w:rPr>
        <w:t>proposed level of disclosure</w:t>
      </w:r>
      <w:r w:rsidRPr="00870B96">
        <w:t xml:space="preserve"> (see Examples in Annex III, page 90ff)</w:t>
      </w:r>
      <w:r>
        <w:t>. T</w:t>
      </w:r>
      <w:r w:rsidR="00C111F5">
        <w:t>he very high level of detail</w:t>
      </w:r>
      <w:r w:rsidRPr="00870B96">
        <w:t xml:space="preserve"> will create a </w:t>
      </w:r>
      <w:r w:rsidRPr="007F772F">
        <w:rPr>
          <w:b/>
        </w:rPr>
        <w:t xml:space="preserve">high administrative burden for companies, forcing them to disclose business sensitive information and create an information overflow for investors </w:t>
      </w:r>
      <w:r w:rsidRPr="00870B96">
        <w:t>and user</w:t>
      </w:r>
      <w:r w:rsidR="00C111F5">
        <w:t>s</w:t>
      </w:r>
      <w:r w:rsidRPr="00870B96">
        <w:t xml:space="preserve"> of the taxonomy reporting.</w:t>
      </w:r>
      <w:r>
        <w:t xml:space="preserve"> Preparers should be granted a high-level of flexibility on how to report on the three KPI</w:t>
      </w:r>
      <w:r w:rsidRPr="003C3570">
        <w:t>s</w:t>
      </w:r>
      <w:r>
        <w:t xml:space="preserve"> </w:t>
      </w:r>
      <w:r w:rsidRPr="007F772F">
        <w:rPr>
          <w:color w:val="000000" w:themeColor="text1"/>
        </w:rPr>
        <w:t xml:space="preserve">(e.g. structure of the report, format etc.). </w:t>
      </w:r>
      <w:r>
        <w:t xml:space="preserve">A standardized table does not take into account the peculiarities of each preparer. We would also request to conduct a cost-benefit analysis for each data point </w:t>
      </w:r>
      <w:r w:rsidRPr="003C3570">
        <w:t>to</w:t>
      </w:r>
      <w:r>
        <w:t xml:space="preserve"> be reported. It should only be included if it is proven that the costs for the preparer are outweighed by the benefits for the financial market participants.</w:t>
      </w:r>
    </w:p>
    <w:p w14:paraId="1D35F706" w14:textId="44831345" w:rsidR="00870B96" w:rsidRPr="00870B96" w:rsidRDefault="00870B96" w:rsidP="00870B96">
      <w:pPr>
        <w:spacing w:after="160" w:line="259" w:lineRule="auto"/>
        <w:jc w:val="both"/>
        <w:rPr>
          <w:lang w:val="en-US"/>
        </w:rPr>
      </w:pPr>
      <w:r w:rsidRPr="00870B96">
        <w:rPr>
          <w:lang w:val="en-US"/>
        </w:rPr>
        <w:t xml:space="preserve">To enable investors/capital market players to holistically assess a company’s mid- and long-term performance, </w:t>
      </w:r>
      <w:r w:rsidRPr="00870B96">
        <w:rPr>
          <w:b/>
          <w:lang w:val="en-US"/>
        </w:rPr>
        <w:t xml:space="preserve">consistent and coherent definitions of the KPIs (turnover, Capex, </w:t>
      </w:r>
      <w:proofErr w:type="spellStart"/>
      <w:r w:rsidRPr="00870B96">
        <w:rPr>
          <w:b/>
          <w:lang w:val="en-US"/>
        </w:rPr>
        <w:t>Opex</w:t>
      </w:r>
      <w:proofErr w:type="spellEnd"/>
      <w:r w:rsidRPr="00870B96">
        <w:rPr>
          <w:b/>
          <w:lang w:val="en-US"/>
        </w:rPr>
        <w:t>)</w:t>
      </w:r>
      <w:r w:rsidRPr="00870B96">
        <w:rPr>
          <w:lang w:val="en-US"/>
        </w:rPr>
        <w:t xml:space="preserve"> are needed. </w:t>
      </w:r>
      <w:r w:rsidR="001F03A5">
        <w:rPr>
          <w:lang w:val="en-US"/>
        </w:rPr>
        <w:t xml:space="preserve">Not all </w:t>
      </w:r>
      <w:r w:rsidRPr="00870B96">
        <w:rPr>
          <w:lang w:val="en-US"/>
        </w:rPr>
        <w:t xml:space="preserve">current definitions fulfill these fundamental pre-requisites, since they are not or only partially aligned with </w:t>
      </w:r>
      <w:proofErr w:type="gramStart"/>
      <w:r w:rsidRPr="00870B96">
        <w:rPr>
          <w:lang w:val="en-US"/>
        </w:rPr>
        <w:t>internationally</w:t>
      </w:r>
      <w:proofErr w:type="gramEnd"/>
      <w:r w:rsidRPr="00870B96">
        <w:rPr>
          <w:lang w:val="en-US"/>
        </w:rPr>
        <w:t xml:space="preserve"> acknowledged</w:t>
      </w:r>
      <w:r w:rsidRPr="007F772F">
        <w:rPr>
          <w:color w:val="000000" w:themeColor="text1"/>
          <w:lang w:val="en-US"/>
        </w:rPr>
        <w:t xml:space="preserve"> </w:t>
      </w:r>
      <w:r w:rsidR="00926C2C" w:rsidRPr="007F772F">
        <w:rPr>
          <w:color w:val="000000" w:themeColor="text1"/>
          <w:lang w:val="en-US"/>
        </w:rPr>
        <w:t xml:space="preserve">financial </w:t>
      </w:r>
      <w:r w:rsidRPr="00870B96">
        <w:rPr>
          <w:lang w:val="en-US"/>
        </w:rPr>
        <w:t xml:space="preserve">reporting standards like IFRS. To provide for comparability of the reported KPI (sustainable) turnover, </w:t>
      </w:r>
      <w:proofErr w:type="spellStart"/>
      <w:r w:rsidRPr="00870B96">
        <w:rPr>
          <w:lang w:val="en-US"/>
        </w:rPr>
        <w:t>CapEx</w:t>
      </w:r>
      <w:proofErr w:type="spellEnd"/>
      <w:r w:rsidRPr="00870B96">
        <w:rPr>
          <w:lang w:val="en-US"/>
        </w:rPr>
        <w:t xml:space="preserve"> and </w:t>
      </w:r>
      <w:proofErr w:type="spellStart"/>
      <w:r w:rsidRPr="00870B96">
        <w:rPr>
          <w:lang w:val="en-US"/>
        </w:rPr>
        <w:t>OpEx</w:t>
      </w:r>
      <w:proofErr w:type="spellEnd"/>
      <w:r w:rsidRPr="00870B96">
        <w:rPr>
          <w:lang w:val="en-US"/>
        </w:rPr>
        <w:t xml:space="preserve"> clear and unambiguous definitions are needed. The definitions should be </w:t>
      </w:r>
      <w:r w:rsidR="00651DB2">
        <w:rPr>
          <w:lang w:val="en-US"/>
        </w:rPr>
        <w:t>derived by</w:t>
      </w:r>
      <w:r w:rsidRPr="00870B96">
        <w:rPr>
          <w:lang w:val="en-US"/>
        </w:rPr>
        <w:t xml:space="preserve"> on IFRS. </w:t>
      </w:r>
    </w:p>
    <w:p w14:paraId="3A525435" w14:textId="47D3529C" w:rsidR="00870B96" w:rsidRPr="00870B96" w:rsidRDefault="00870B96" w:rsidP="001F03A5">
      <w:pPr>
        <w:spacing w:after="160" w:line="259" w:lineRule="auto"/>
        <w:jc w:val="both"/>
      </w:pPr>
      <w:r w:rsidRPr="001F03A5">
        <w:rPr>
          <w:lang w:val="en-US"/>
        </w:rPr>
        <w:t>The obligation</w:t>
      </w:r>
      <w:r w:rsidR="00B37276">
        <w:rPr>
          <w:lang w:val="en-US"/>
        </w:rPr>
        <w:t xml:space="preserve"> to publish a</w:t>
      </w:r>
      <w:r w:rsidRPr="001F03A5">
        <w:rPr>
          <w:b/>
          <w:lang w:val="en-US"/>
        </w:rPr>
        <w:t xml:space="preserve"> plan for both </w:t>
      </w:r>
      <w:proofErr w:type="spellStart"/>
      <w:r w:rsidRPr="001F03A5">
        <w:rPr>
          <w:b/>
          <w:lang w:val="en-US"/>
        </w:rPr>
        <w:t>CapEx</w:t>
      </w:r>
      <w:proofErr w:type="spellEnd"/>
      <w:r w:rsidRPr="001F03A5">
        <w:rPr>
          <w:b/>
          <w:lang w:val="en-US"/>
        </w:rPr>
        <w:t xml:space="preserve"> and </w:t>
      </w:r>
      <w:proofErr w:type="spellStart"/>
      <w:r w:rsidRPr="001F03A5">
        <w:rPr>
          <w:b/>
          <w:lang w:val="en-US"/>
        </w:rPr>
        <w:t>OpEx</w:t>
      </w:r>
      <w:proofErr w:type="spellEnd"/>
      <w:r w:rsidRPr="001F03A5">
        <w:rPr>
          <w:lang w:val="en-US"/>
        </w:rPr>
        <w:t xml:space="preserve"> could potentially have a negative impact on the competitiveness of EU companies. The proposed level of transparency would force companies to disclose business details for individual economic activities which would allow competitors to analyze European companies’ business str</w:t>
      </w:r>
      <w:r w:rsidR="003C3570">
        <w:rPr>
          <w:lang w:val="en-US"/>
        </w:rPr>
        <w:t>ategies/results and make use of</w:t>
      </w:r>
      <w:r w:rsidRPr="003C3570">
        <w:rPr>
          <w:lang w:val="en-US"/>
        </w:rPr>
        <w:t xml:space="preserve"> </w:t>
      </w:r>
      <w:r w:rsidR="009212AB" w:rsidRPr="003C3570">
        <w:rPr>
          <w:lang w:val="en-US"/>
        </w:rPr>
        <w:t xml:space="preserve">this </w:t>
      </w:r>
      <w:r w:rsidRPr="001F03A5">
        <w:rPr>
          <w:lang w:val="en-US"/>
        </w:rPr>
        <w:t xml:space="preserve">sensitive information. Competitors that are based outside the EU would not have to provide this information. </w:t>
      </w:r>
      <w:r w:rsidR="001F03A5">
        <w:rPr>
          <w:lang w:val="en-US"/>
        </w:rPr>
        <w:t xml:space="preserve">Additionally, </w:t>
      </w:r>
      <w:r w:rsidR="001F03A5" w:rsidRPr="001F03A5">
        <w:rPr>
          <w:b/>
          <w:lang w:val="en-US"/>
        </w:rPr>
        <w:t>the time horizons of the plans should not be limited to 5 years.</w:t>
      </w:r>
      <w:r w:rsidR="001F03A5">
        <w:rPr>
          <w:lang w:val="en-US"/>
        </w:rPr>
        <w:t xml:space="preserve"> Industry investments</w:t>
      </w:r>
      <w:r w:rsidR="003C3570">
        <w:rPr>
          <w:lang w:val="en-US"/>
        </w:rPr>
        <w:t xml:space="preserve"> </w:t>
      </w:r>
      <w:r w:rsidR="003C3570" w:rsidRPr="007F772F">
        <w:rPr>
          <w:color w:val="000000" w:themeColor="text1"/>
          <w:lang w:val="en-US"/>
        </w:rPr>
        <w:t>in the automotive industry</w:t>
      </w:r>
      <w:r w:rsidR="001F03A5" w:rsidRPr="007F772F">
        <w:rPr>
          <w:color w:val="000000" w:themeColor="text1"/>
          <w:lang w:val="en-US"/>
        </w:rPr>
        <w:t xml:space="preserve"> (for example R&amp;D) are part of longer plans of at least 10 years.</w:t>
      </w:r>
      <w:r w:rsidR="003C3570" w:rsidRPr="007F772F">
        <w:rPr>
          <w:color w:val="000000" w:themeColor="text1"/>
          <w:lang w:val="en-US"/>
        </w:rPr>
        <w:t xml:space="preserve"> This may also hold true for other industries.</w:t>
      </w:r>
      <w:r w:rsidR="009212AB" w:rsidRPr="007F772F">
        <w:rPr>
          <w:color w:val="000000" w:themeColor="text1"/>
          <w:lang w:val="en-US"/>
        </w:rPr>
        <w:t xml:space="preserve"> </w:t>
      </w:r>
    </w:p>
    <w:p w14:paraId="5E9A41AA" w14:textId="398DAA5B" w:rsidR="00870B96" w:rsidRDefault="00870B96" w:rsidP="001F03A5">
      <w:pPr>
        <w:spacing w:after="160" w:line="259" w:lineRule="auto"/>
        <w:jc w:val="both"/>
        <w:rPr>
          <w:color w:val="FF0000"/>
        </w:rPr>
      </w:pPr>
      <w:r w:rsidRPr="00870B96">
        <w:t xml:space="preserve">For turnover, ESMA proposes to provide for a comparison with the previous year. This would create a huge administrative effort especially against the backdrop of the level of details that needs to be reported. In addition, as proposed by ESMA, the requirement for a previous year comparison should only start to apply </w:t>
      </w:r>
      <w:r w:rsidRPr="00870B96">
        <w:lastRenderedPageBreak/>
        <w:t>in the second year of reporting (first comparison would be in 2023 for the report year 2022; comparison 2022 with 2021). It should not apply for the first year of application of the taxonomy regulation as we would have to calculate the turnover re</w:t>
      </w:r>
      <w:r>
        <w:t>trospectively for 2020 as well.</w:t>
      </w:r>
      <w:r w:rsidR="00E96906" w:rsidRPr="00E96906">
        <w:rPr>
          <w:color w:val="FF0000"/>
        </w:rPr>
        <w:t xml:space="preserve"> </w:t>
      </w:r>
    </w:p>
    <w:p w14:paraId="239817BB" w14:textId="0D5EF0D3" w:rsidR="003F098A" w:rsidRPr="007F772F" w:rsidRDefault="003F098A" w:rsidP="003F098A">
      <w:pPr>
        <w:spacing w:after="160" w:line="259" w:lineRule="auto"/>
        <w:jc w:val="both"/>
        <w:rPr>
          <w:color w:val="000000" w:themeColor="text1"/>
        </w:rPr>
      </w:pPr>
      <w:r w:rsidRPr="007F772F">
        <w:rPr>
          <w:color w:val="000000" w:themeColor="text1"/>
        </w:rPr>
        <w:t xml:space="preserve">BMW strongly supports a global set of internationally recognized sustainability reporting standards. This would allow businesses to build public trust through greater transparency of their sustainability initiatives, which will be helpful to investors and an even broader audience. Companies would only need to use a single trusted set of standards which lowers their cost of capital and reduces international and local reporting and audit costs. </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berschrift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0"/>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6661B010" w14:textId="1054AFCB" w:rsidR="006B2BA8" w:rsidRPr="006B2BA8" w:rsidRDefault="00432FFE" w:rsidP="006B2BA8">
      <w:pPr>
        <w:pStyle w:val="Default"/>
        <w:rPr>
          <w:rFonts w:ascii="Arial" w:hAnsi="Arial" w:cs="Times New Roman"/>
          <w:color w:val="auto"/>
          <w:sz w:val="20"/>
          <w:lang w:val="en-GB" w:eastAsia="de-DE"/>
        </w:rPr>
      </w:pPr>
      <w:permStart w:id="1576605906" w:edGrp="everyone"/>
      <w:r w:rsidRPr="006B2BA8">
        <w:rPr>
          <w:rFonts w:ascii="Arial" w:hAnsi="Arial" w:cs="Times New Roman"/>
          <w:color w:val="auto"/>
          <w:sz w:val="20"/>
          <w:lang w:val="en-GB" w:eastAsia="de-DE"/>
        </w:rPr>
        <w:t xml:space="preserve">We agree with the proposed approach of defining turnover based on </w:t>
      </w:r>
      <w:r w:rsidR="005448E8">
        <w:rPr>
          <w:rFonts w:ascii="Arial" w:hAnsi="Arial" w:cs="Times New Roman"/>
          <w:color w:val="auto"/>
          <w:sz w:val="20"/>
          <w:lang w:val="en-GB" w:eastAsia="de-DE"/>
        </w:rPr>
        <w:t>A</w:t>
      </w:r>
      <w:r w:rsidRPr="006B2BA8">
        <w:rPr>
          <w:rFonts w:ascii="Arial" w:hAnsi="Arial" w:cs="Times New Roman"/>
          <w:color w:val="auto"/>
          <w:sz w:val="20"/>
          <w:lang w:val="en-GB" w:eastAsia="de-DE"/>
        </w:rPr>
        <w:t xml:space="preserve">rt. 2 (5) of the EU Accounting Directive. For companies using IFRS, the amounts accounted for under </w:t>
      </w:r>
      <w:r w:rsidR="00942A43">
        <w:rPr>
          <w:rFonts w:ascii="Arial" w:hAnsi="Arial" w:cs="Times New Roman"/>
          <w:color w:val="auto"/>
          <w:sz w:val="20"/>
          <w:lang w:val="en-GB" w:eastAsia="de-DE"/>
        </w:rPr>
        <w:t>I</w:t>
      </w:r>
      <w:r w:rsidRPr="006B2BA8">
        <w:rPr>
          <w:rFonts w:ascii="Arial" w:hAnsi="Arial" w:cs="Times New Roman"/>
          <w:color w:val="auto"/>
          <w:sz w:val="20"/>
          <w:lang w:val="en-GB" w:eastAsia="de-DE"/>
        </w:rPr>
        <w:t xml:space="preserve">FRS 15 and </w:t>
      </w:r>
      <w:r w:rsidR="00942A43">
        <w:rPr>
          <w:rFonts w:ascii="Arial" w:hAnsi="Arial" w:cs="Times New Roman"/>
          <w:color w:val="auto"/>
          <w:sz w:val="20"/>
          <w:lang w:val="en-GB" w:eastAsia="de-DE"/>
        </w:rPr>
        <w:t xml:space="preserve">IFRS </w:t>
      </w:r>
      <w:r w:rsidRPr="006B2BA8">
        <w:rPr>
          <w:rFonts w:ascii="Arial" w:hAnsi="Arial" w:cs="Times New Roman"/>
          <w:color w:val="auto"/>
          <w:sz w:val="20"/>
          <w:lang w:val="en-GB" w:eastAsia="de-DE"/>
        </w:rPr>
        <w:t>16 should be counted.</w:t>
      </w:r>
      <w:r w:rsidR="006B2BA8" w:rsidRPr="006B2BA8">
        <w:rPr>
          <w:rFonts w:ascii="Arial" w:hAnsi="Arial" w:cs="Times New Roman"/>
          <w:color w:val="auto"/>
          <w:sz w:val="20"/>
          <w:lang w:val="en-GB" w:eastAsia="de-DE"/>
        </w:rPr>
        <w:t xml:space="preserve"> </w:t>
      </w:r>
    </w:p>
    <w:p w14:paraId="13A6D22B" w14:textId="0F25DB6F" w:rsidR="00492B3A" w:rsidRDefault="006B2BA8" w:rsidP="00492B3A">
      <w:r w:rsidRPr="006B2BA8">
        <w:t xml:space="preserve">By applying this approach, </w:t>
      </w:r>
      <w:r>
        <w:t>companies</w:t>
      </w:r>
      <w:r w:rsidRPr="006B2BA8">
        <w:t xml:space="preserve"> applying IFRS will include turnover covering all amounts derived from the sale of products and the provision of services in the course of their ordinary activities</w:t>
      </w:r>
      <w:r w:rsidRPr="007F772F">
        <w:rPr>
          <w:rFonts w:cs="Arial"/>
          <w:color w:val="000000" w:themeColor="text1"/>
          <w:sz w:val="22"/>
          <w:szCs w:val="22"/>
          <w:lang w:val="en-US" w:eastAsia="en-GB"/>
        </w:rPr>
        <w:t>.</w:t>
      </w:r>
      <w:r w:rsidR="00E96906" w:rsidRPr="007F772F">
        <w:rPr>
          <w:rFonts w:cs="Arial"/>
          <w:color w:val="000000" w:themeColor="text1"/>
          <w:sz w:val="22"/>
          <w:szCs w:val="22"/>
          <w:lang w:val="en-US" w:eastAsia="en-GB"/>
        </w:rPr>
        <w:t xml:space="preserve"> </w:t>
      </w:r>
      <w:r w:rsidR="00926C2C" w:rsidRPr="007F772F">
        <w:rPr>
          <w:rFonts w:cs="Arial"/>
          <w:color w:val="000000" w:themeColor="text1"/>
          <w:szCs w:val="20"/>
          <w:lang w:val="en-US" w:eastAsia="en-GB"/>
        </w:rPr>
        <w:t xml:space="preserve">However, not all the consolidations happen at transaction level. </w:t>
      </w:r>
      <w:r w:rsidR="00E96906" w:rsidRPr="007F772F">
        <w:rPr>
          <w:rFonts w:cs="Arial"/>
          <w:color w:val="000000" w:themeColor="text1"/>
          <w:szCs w:val="20"/>
          <w:lang w:val="en-US" w:eastAsia="en-GB"/>
        </w:rPr>
        <w:t>The turnover shall also include income accounted for under other standards when such income qualifies as arising from an entity’s ordina</w:t>
      </w:r>
      <w:r w:rsidR="007F772F" w:rsidRPr="007F772F">
        <w:rPr>
          <w:rFonts w:cs="Arial"/>
          <w:color w:val="000000" w:themeColor="text1"/>
          <w:szCs w:val="20"/>
          <w:lang w:val="en-US" w:eastAsia="en-GB"/>
        </w:rPr>
        <w:t>ry activities</w:t>
      </w:r>
      <w:r w:rsidR="00CE1E91" w:rsidRPr="007F772F">
        <w:rPr>
          <w:rFonts w:cs="Arial"/>
          <w:color w:val="000000" w:themeColor="text1"/>
          <w:szCs w:val="20"/>
          <w:lang w:val="en-US" w:eastAsia="en-GB"/>
        </w:rPr>
        <w:t>.</w:t>
      </w:r>
      <w:r w:rsidR="00926C2C" w:rsidRPr="007F772F">
        <w:rPr>
          <w:rFonts w:cs="Arial"/>
          <w:color w:val="000000" w:themeColor="text1"/>
          <w:szCs w:val="20"/>
          <w:lang w:val="en-US" w:eastAsia="en-GB"/>
        </w:rPr>
        <w:t xml:space="preserve"> </w:t>
      </w:r>
      <w:r w:rsidR="00CE1E91" w:rsidRPr="007F772F">
        <w:rPr>
          <w:rFonts w:cs="Arial"/>
          <w:color w:val="000000" w:themeColor="text1"/>
          <w:szCs w:val="20"/>
          <w:lang w:val="en-US" w:eastAsia="en-GB"/>
        </w:rPr>
        <w:t xml:space="preserve"> We assume that the Taxonomy-related turnover has to be calculated only for the group but not for each and every business activity. The latter would be extremely cumbersome and cost-intensive.</w:t>
      </w:r>
      <w:r w:rsidRPr="007F772F">
        <w:rPr>
          <w:rFonts w:cs="Arial"/>
          <w:color w:val="000000" w:themeColor="text1"/>
          <w:sz w:val="22"/>
          <w:szCs w:val="22"/>
          <w:lang w:val="en-US" w:eastAsia="en-GB"/>
        </w:rPr>
        <w:t xml:space="preserve"> </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7A38E964" w14:textId="77777777" w:rsidR="002E7C63" w:rsidRDefault="006B2BA8" w:rsidP="00492B3A">
      <w:permStart w:id="1123047147" w:edGrp="everyone"/>
      <w:r>
        <w:t xml:space="preserve">We </w:t>
      </w:r>
      <w:r w:rsidR="00716C25">
        <w:t xml:space="preserve">agree </w:t>
      </w:r>
      <w:r>
        <w:t>with the proposed approach</w:t>
      </w:r>
      <w:r w:rsidR="00716C25">
        <w:t xml:space="preserve"> that</w:t>
      </w:r>
      <w:r w:rsidR="002E7C63">
        <w:t xml:space="preserve"> all turnover can be counted</w:t>
      </w:r>
      <w:r w:rsidR="00716C25">
        <w:t xml:space="preserve"> </w:t>
      </w:r>
      <w:r>
        <w:t xml:space="preserve">for the environmental objectives climate change mitigation, sustainable use and protection of water and marine resources, transition to a circular, pollution prevention and control and protection and </w:t>
      </w:r>
      <w:r w:rsidR="00716C25">
        <w:t xml:space="preserve">restoration of </w:t>
      </w:r>
      <w:r w:rsidR="002E7C63">
        <w:t xml:space="preserve">biodiversity and ecosystems if the criterion of making a substantial contribution, the DNSH criteria and the minimum safeguards are met. We also agree with </w:t>
      </w:r>
      <w:r w:rsidRPr="006B2BA8">
        <w:t>ESMA</w:t>
      </w:r>
      <w:r>
        <w:t>’s</w:t>
      </w:r>
      <w:r w:rsidRPr="006B2BA8">
        <w:t xml:space="preserve"> suggest</w:t>
      </w:r>
      <w:r>
        <w:t>ion</w:t>
      </w:r>
      <w:r w:rsidRPr="006B2BA8">
        <w:t xml:space="preserve"> </w:t>
      </w:r>
      <w:r w:rsidR="002E7C63">
        <w:t xml:space="preserve">for the environmental objective climate change adaptation that only turnover can be counted where the activity enables other activities to undergo climate change adaptation. </w:t>
      </w:r>
    </w:p>
    <w:permEnd w:id="1123047147"/>
    <w:p w14:paraId="741E001B" w14:textId="745EAD3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14DB21E5" w14:textId="2CDD4861" w:rsidR="00DE655E" w:rsidRPr="00E570B3" w:rsidRDefault="00541AE5" w:rsidP="00492B3A">
      <w:permStart w:id="1823616926" w:edGrp="everyone"/>
      <w:r w:rsidRPr="00713135">
        <w:t xml:space="preserve">We agree with the clarification to define </w:t>
      </w:r>
      <w:proofErr w:type="spellStart"/>
      <w:r w:rsidRPr="00713135">
        <w:t>CapEx</w:t>
      </w:r>
      <w:proofErr w:type="spellEnd"/>
      <w:r w:rsidRPr="00713135">
        <w:t xml:space="preserve"> in accordance with applied IFRS. We also agree that investments made and </w:t>
      </w:r>
      <w:r w:rsidRPr="000807B8">
        <w:rPr>
          <w:highlight w:val="red"/>
        </w:rPr>
        <w:t xml:space="preserve">accounted for under IAS 16, </w:t>
      </w:r>
      <w:r w:rsidR="00942A43">
        <w:rPr>
          <w:highlight w:val="red"/>
        </w:rPr>
        <w:t xml:space="preserve">IAS </w:t>
      </w:r>
      <w:r w:rsidRPr="000807B8">
        <w:rPr>
          <w:highlight w:val="red"/>
        </w:rPr>
        <w:t xml:space="preserve">38 and </w:t>
      </w:r>
      <w:r w:rsidR="00942A43">
        <w:rPr>
          <w:highlight w:val="red"/>
        </w:rPr>
        <w:t xml:space="preserve">IAS </w:t>
      </w:r>
      <w:r w:rsidRPr="000807B8">
        <w:rPr>
          <w:highlight w:val="red"/>
        </w:rPr>
        <w:t xml:space="preserve">40 would qualify as </w:t>
      </w:r>
      <w:proofErr w:type="spellStart"/>
      <w:r w:rsidRPr="000807B8">
        <w:rPr>
          <w:highlight w:val="red"/>
        </w:rPr>
        <w:t>CapEx</w:t>
      </w:r>
      <w:proofErr w:type="spellEnd"/>
      <w:r w:rsidRPr="000807B8">
        <w:rPr>
          <w:highlight w:val="red"/>
        </w:rPr>
        <w:t xml:space="preserve">. </w:t>
      </w:r>
      <w:r w:rsidR="00963CD8" w:rsidRPr="000807B8">
        <w:rPr>
          <w:highlight w:val="red"/>
        </w:rPr>
        <w:t xml:space="preserve">From our perspective, fixed leased assets (e.g. right-of-use assets and related depreciation in accordance with IFRS 16 Leases) should be considered as part of </w:t>
      </w:r>
      <w:proofErr w:type="spellStart"/>
      <w:r w:rsidR="00963CD8" w:rsidRPr="008932B8">
        <w:rPr>
          <w:highlight w:val="red"/>
        </w:rPr>
        <w:t>CapEx</w:t>
      </w:r>
      <w:proofErr w:type="spellEnd"/>
      <w:r w:rsidR="00D73587" w:rsidRPr="008932B8">
        <w:rPr>
          <w:highlight w:val="red"/>
        </w:rPr>
        <w:t xml:space="preserve"> in order to ensure consistency with the figures included in the financial statements. As peers tend to draw up their accounts based on the same accounting framework comparability is supposed to be ensured</w:t>
      </w:r>
      <w:r w:rsidR="00963CD8" w:rsidRPr="008932B8">
        <w:rPr>
          <w:highlight w:val="red"/>
        </w:rPr>
        <w:t>.</w:t>
      </w:r>
      <w:r w:rsidR="00963CD8" w:rsidRPr="000807B8">
        <w:rPr>
          <w:highlight w:val="red"/>
        </w:rPr>
        <w:t xml:space="preserve"> </w:t>
      </w:r>
      <w:r w:rsidR="008606FC" w:rsidRPr="007F772F">
        <w:rPr>
          <w:color w:val="000000" w:themeColor="text1"/>
          <w:highlight w:val="red"/>
        </w:rPr>
        <w:t xml:space="preserve">ESMA should define </w:t>
      </w:r>
      <w:r w:rsidR="00B01752" w:rsidRPr="007F772F">
        <w:rPr>
          <w:color w:val="000000" w:themeColor="text1"/>
          <w:highlight w:val="red"/>
        </w:rPr>
        <w:t xml:space="preserve">clearly </w:t>
      </w:r>
      <w:r w:rsidR="008606FC" w:rsidRPr="007F772F">
        <w:rPr>
          <w:color w:val="000000" w:themeColor="text1"/>
          <w:highlight w:val="red"/>
        </w:rPr>
        <w:t>how to handle</w:t>
      </w:r>
      <w:r w:rsidR="00963CD8" w:rsidRPr="007F772F">
        <w:rPr>
          <w:color w:val="000000" w:themeColor="text1"/>
          <w:highlight w:val="red"/>
        </w:rPr>
        <w:t xml:space="preserve"> capital disposals, acquisitions through business combinations, revaluations and impairments </w:t>
      </w:r>
      <w:r w:rsidR="008606FC" w:rsidRPr="007F772F">
        <w:rPr>
          <w:color w:val="000000" w:themeColor="text1"/>
          <w:highlight w:val="red"/>
        </w:rPr>
        <w:t xml:space="preserve">in the </w:t>
      </w:r>
      <w:proofErr w:type="spellStart"/>
      <w:r w:rsidR="008606FC" w:rsidRPr="007F772F">
        <w:rPr>
          <w:color w:val="000000" w:themeColor="text1"/>
          <w:highlight w:val="red"/>
        </w:rPr>
        <w:t>CapEx</w:t>
      </w:r>
      <w:proofErr w:type="spellEnd"/>
      <w:r w:rsidR="008606FC" w:rsidRPr="007F772F">
        <w:rPr>
          <w:color w:val="000000" w:themeColor="text1"/>
          <w:highlight w:val="red"/>
        </w:rPr>
        <w:t xml:space="preserve"> calculation </w:t>
      </w:r>
      <w:r w:rsidR="00963CD8" w:rsidRPr="007F772F">
        <w:rPr>
          <w:color w:val="000000" w:themeColor="text1"/>
          <w:highlight w:val="red"/>
        </w:rPr>
        <w:t xml:space="preserve">as they have an impact in explaining the year-on-year variation of </w:t>
      </w:r>
      <w:proofErr w:type="spellStart"/>
      <w:r w:rsidR="00963CD8" w:rsidRPr="007F772F">
        <w:rPr>
          <w:color w:val="000000" w:themeColor="text1"/>
          <w:highlight w:val="red"/>
        </w:rPr>
        <w:t>CapEx</w:t>
      </w:r>
      <w:proofErr w:type="spellEnd"/>
      <w:r w:rsidRPr="007F772F">
        <w:rPr>
          <w:color w:val="000000" w:themeColor="text1"/>
          <w:highlight w:val="red"/>
        </w:rPr>
        <w:t>.</w:t>
      </w:r>
      <w:r w:rsidR="00DE655E" w:rsidRPr="007F772F">
        <w:rPr>
          <w:color w:val="000000" w:themeColor="text1"/>
        </w:rPr>
        <w:t xml:space="preserve"> We support ESMA’s proposal that </w:t>
      </w:r>
      <w:r w:rsidR="00DE655E" w:rsidRPr="007F772F">
        <w:rPr>
          <w:color w:val="000000" w:themeColor="text1"/>
          <w:highlight w:val="red"/>
        </w:rPr>
        <w:t xml:space="preserve">preparers apply their best judgement of how to split </w:t>
      </w:r>
      <w:proofErr w:type="spellStart"/>
      <w:r w:rsidR="00DE655E" w:rsidRPr="007F772F">
        <w:rPr>
          <w:color w:val="000000" w:themeColor="text1"/>
          <w:highlight w:val="red"/>
        </w:rPr>
        <w:t>CapEx</w:t>
      </w:r>
      <w:proofErr w:type="spellEnd"/>
      <w:r w:rsidR="00DE655E" w:rsidRPr="007F772F">
        <w:rPr>
          <w:color w:val="000000" w:themeColor="text1"/>
          <w:highlight w:val="red"/>
        </w:rPr>
        <w:t xml:space="preserve"> across their activities and avoid doing so in a way which unduly inflates the </w:t>
      </w:r>
      <w:proofErr w:type="spellStart"/>
      <w:r w:rsidR="00DE655E" w:rsidRPr="007F772F">
        <w:rPr>
          <w:color w:val="000000" w:themeColor="text1"/>
          <w:highlight w:val="red"/>
        </w:rPr>
        <w:t>CapEx</w:t>
      </w:r>
      <w:proofErr w:type="spellEnd"/>
      <w:r w:rsidR="00DE655E" w:rsidRPr="007F772F">
        <w:rPr>
          <w:color w:val="000000" w:themeColor="text1"/>
          <w:highlight w:val="red"/>
        </w:rPr>
        <w:t xml:space="preserve"> related to Taxonomy-aligned activities. Some guidance/examples on how to split would be welcome.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1C67AA29" w14:textId="6DFE6ED6" w:rsidR="002D6E6C" w:rsidRDefault="00D21E12" w:rsidP="00492B3A">
      <w:permStart w:id="910372547" w:edGrp="everyone"/>
      <w:r>
        <w:t>We oppose the</w:t>
      </w:r>
      <w:r w:rsidR="00963CD8">
        <w:t xml:space="preserve"> limitation of the plan to a time horizon of only </w:t>
      </w:r>
      <w:r w:rsidR="002D6E6C">
        <w:t xml:space="preserve">5 </w:t>
      </w:r>
      <w:r>
        <w:t>years</w:t>
      </w:r>
      <w:r w:rsidR="00963CD8">
        <w:t xml:space="preserve">. Some projects (especially with the 2030 climate target in mind) have longer time horizons. This holds true for example for the </w:t>
      </w:r>
      <w:r w:rsidR="00E570B3">
        <w:t xml:space="preserve">R&amp;D costs related to new vehicles (time horizon of up to 10 years). Therefore, </w:t>
      </w:r>
      <w:proofErr w:type="spellStart"/>
      <w:r w:rsidR="00963CD8">
        <w:t>CapEx</w:t>
      </w:r>
      <w:proofErr w:type="spellEnd"/>
      <w:r w:rsidR="00963CD8">
        <w:t xml:space="preserve"> related to projects with longer timeframes should be </w:t>
      </w:r>
      <w:r w:rsidR="00963CD8" w:rsidRPr="00CE1E91">
        <w:rPr>
          <w:color w:val="000000" w:themeColor="text1"/>
        </w:rPr>
        <w:t>counted</w:t>
      </w:r>
      <w:r w:rsidR="00963CD8">
        <w:t xml:space="preserve"> as well. </w:t>
      </w:r>
    </w:p>
    <w:p w14:paraId="4975BC77" w14:textId="08E8C97B" w:rsidR="00492B3A" w:rsidRDefault="002D6E6C" w:rsidP="00492B3A">
      <w:r>
        <w:lastRenderedPageBreak/>
        <w:t>With regards to the public disclosure of the plan, it would be helpful to have a defined level of detail set out in the delegated act.</w:t>
      </w:r>
      <w:r w:rsidR="00E570B3">
        <w:t xml:space="preserve"> </w:t>
      </w:r>
      <w:r>
        <w:t>It should also be noted that</w:t>
      </w:r>
      <w:r w:rsidR="00963CD8" w:rsidRPr="00713135">
        <w:t xml:space="preserve"> there might be sensitive information </w:t>
      </w:r>
      <w:r>
        <w:t xml:space="preserve">included in the plan that could be </w:t>
      </w:r>
      <w:r w:rsidR="00963CD8" w:rsidRPr="00713135">
        <w:t xml:space="preserve">relevant from a competitor's perspective. </w:t>
      </w:r>
      <w:r>
        <w:t xml:space="preserve">There should be an option not to disclose </w:t>
      </w:r>
      <w:r w:rsidR="00E570B3">
        <w:t>pub</w:t>
      </w:r>
      <w:r>
        <w:t xml:space="preserve">licly certain information if it is business </w:t>
      </w:r>
      <w:r w:rsidR="000807B8">
        <w:t>sensitive</w:t>
      </w:r>
      <w:r>
        <w:t>.</w:t>
      </w:r>
      <w:r w:rsidR="00C66EC2">
        <w:t xml:space="preserve"> </w:t>
      </w:r>
    </w:p>
    <w:p w14:paraId="555DC203" w14:textId="0908624B" w:rsidR="00C66EC2" w:rsidRPr="007F772F" w:rsidRDefault="00C66EC2" w:rsidP="00492B3A">
      <w:pPr>
        <w:rPr>
          <w:color w:val="000000" w:themeColor="text1"/>
        </w:rPr>
      </w:pPr>
      <w:r w:rsidRPr="007F772F">
        <w:rPr>
          <w:color w:val="000000" w:themeColor="text1"/>
        </w:rPr>
        <w:t>Generally, preparers are facing a trade-off. Information/data needs to be detailed enough to allow for a confirmation</w:t>
      </w:r>
      <w:r w:rsidR="009D5347" w:rsidRPr="007F772F">
        <w:rPr>
          <w:color w:val="000000" w:themeColor="text1"/>
        </w:rPr>
        <w:t>/assurance</w:t>
      </w:r>
      <w:r w:rsidRPr="007F772F">
        <w:rPr>
          <w:color w:val="000000" w:themeColor="text1"/>
        </w:rPr>
        <w:t xml:space="preserve"> by an independent third party. However, too much information would force preparers to disclose sensitive information.</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2F6D808" w:rsidR="00492B3A" w:rsidRDefault="00E570B3" w:rsidP="00492B3A">
      <w:permStart w:id="1454397300" w:edGrp="everyone"/>
      <w:r w:rsidRPr="00713135">
        <w:t xml:space="preserve">We generally agree with linking </w:t>
      </w:r>
      <w:proofErr w:type="spellStart"/>
      <w:r w:rsidRPr="00713135">
        <w:t>OpEx</w:t>
      </w:r>
      <w:proofErr w:type="spellEnd"/>
      <w:r w:rsidRPr="00713135">
        <w:t xml:space="preserve"> to the entity's main business activities. </w:t>
      </w:r>
      <w:r w:rsidRPr="00E570B3">
        <w:t xml:space="preserve">The </w:t>
      </w:r>
      <w:r>
        <w:t xml:space="preserve">EU </w:t>
      </w:r>
      <w:r w:rsidRPr="00E570B3">
        <w:t xml:space="preserve">Accounting Directive provides some examples </w:t>
      </w:r>
      <w:r>
        <w:t xml:space="preserve">for </w:t>
      </w:r>
      <w:r w:rsidRPr="00713135">
        <w:t>eligible line items of the P&amp;L statement</w:t>
      </w:r>
      <w:r w:rsidRPr="00E570B3">
        <w:t xml:space="preserve"> </w:t>
      </w:r>
      <w:r>
        <w:t>(see</w:t>
      </w:r>
      <w:r w:rsidRPr="00E570B3">
        <w:t xml:space="preserve"> Annex V of that Directive</w:t>
      </w:r>
      <w:r>
        <w:t xml:space="preserve">). The Directive defines </w:t>
      </w:r>
      <w:r w:rsidRPr="00E570B3">
        <w:t xml:space="preserve">a number of items of costs and expenses before referring to ‘other operating expenses’, therefore implicitly indicating that all such items are to be considered as operating expenses. For a profit and loss statement that is presented by nature of expense, these include: staff costs, raw materials and consumables, value adjustments in respect of formation expenses and of tangible and intangible fixed assets (amortisation and depreciation) and value adjustments in respect of current assets, to the extent that they exceed the amount of value adjustments which are normal in the undertaking concerned. For a profit and loss statement presented by function, the relevant items are cost </w:t>
      </w:r>
      <w:r w:rsidR="00F214D6">
        <w:t>of sales (including value adjust</w:t>
      </w:r>
      <w:r w:rsidRPr="00E570B3">
        <w:t>ments), distribution costs (including value adjustments) and administrative expenses (including value adjustments)</w:t>
      </w:r>
      <w:r>
        <w:t xml:space="preserve">. </w:t>
      </w:r>
      <w:r w:rsidR="00CE1E91" w:rsidRPr="007F772F">
        <w:rPr>
          <w:color w:val="000000" w:themeColor="text1"/>
        </w:rPr>
        <w:t xml:space="preserve">Attributable marketing costs (e.g. launch campaigns for </w:t>
      </w:r>
      <w:r w:rsidR="00F214D6">
        <w:rPr>
          <w:color w:val="000000" w:themeColor="text1"/>
        </w:rPr>
        <w:t>ve</w:t>
      </w:r>
      <w:r w:rsidR="005448E8">
        <w:rPr>
          <w:color w:val="000000" w:themeColor="text1"/>
        </w:rPr>
        <w:t>hicles</w:t>
      </w:r>
      <w:r w:rsidR="00CE1E91" w:rsidRPr="007F772F">
        <w:rPr>
          <w:color w:val="000000" w:themeColor="text1"/>
        </w:rPr>
        <w:t xml:space="preserve">) should be accounted for as well. </w:t>
      </w:r>
      <w:r w:rsidRPr="007F772F">
        <w:rPr>
          <w:color w:val="000000" w:themeColor="text1"/>
        </w:rPr>
        <w:t xml:space="preserve">Furthermore, non-capitalized R&amp;D expenditures should be included in the calculation of </w:t>
      </w:r>
      <w:proofErr w:type="spellStart"/>
      <w:r w:rsidRPr="007F772F">
        <w:rPr>
          <w:color w:val="000000" w:themeColor="text1"/>
        </w:rPr>
        <w:t>OpEx</w:t>
      </w:r>
      <w:proofErr w:type="spellEnd"/>
      <w:r w:rsidR="00D21E12" w:rsidRPr="00D21E12">
        <w:rPr>
          <w:color w:val="000000" w:themeColor="text1"/>
        </w:rPr>
        <w:t xml:space="preserve">. </w:t>
      </w:r>
      <w:r w:rsidR="009D5347" w:rsidRPr="007F772F">
        <w:rPr>
          <w:color w:val="000000" w:themeColor="text1"/>
        </w:rPr>
        <w:t xml:space="preserve">ESMA should consider to include depreciation and amortization related to investments which have been initiated before the first year of adoption in the calculation of </w:t>
      </w:r>
      <w:proofErr w:type="spellStart"/>
      <w:r w:rsidR="009D5347" w:rsidRPr="007F772F">
        <w:rPr>
          <w:color w:val="000000" w:themeColor="text1"/>
        </w:rPr>
        <w:t>OpEx</w:t>
      </w:r>
      <w:proofErr w:type="spellEnd"/>
      <w:r w:rsidR="009D5347" w:rsidRPr="007F772F">
        <w:rPr>
          <w:color w:val="000000" w:themeColor="text1"/>
        </w:rPr>
        <w:t>. Companies that have invested a lot in green economic activities could have a disadvantage in comparison to competitors that will invest massively in green economic activities after adoption of the legal framework.</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B4F9101" w14:textId="5A23367D" w:rsidR="005470A6" w:rsidRPr="007F772F" w:rsidRDefault="00D21E12" w:rsidP="005470A6">
      <w:pPr>
        <w:rPr>
          <w:color w:val="000000" w:themeColor="text1"/>
        </w:rPr>
      </w:pPr>
      <w:permStart w:id="164587406" w:edGrp="everyone"/>
      <w:r w:rsidRPr="00D21E12">
        <w:rPr>
          <w:color w:val="000000" w:themeColor="text1"/>
        </w:rPr>
        <w:t>We oppose the</w:t>
      </w:r>
      <w:r w:rsidR="005470A6" w:rsidRPr="00D21E12">
        <w:rPr>
          <w:color w:val="000000" w:themeColor="text1"/>
        </w:rPr>
        <w:t xml:space="preserve"> limitation of the plan to</w:t>
      </w:r>
      <w:r w:rsidRPr="00D21E12">
        <w:rPr>
          <w:color w:val="000000" w:themeColor="text1"/>
        </w:rPr>
        <w:t xml:space="preserve"> a time horizon of only 5 years</w:t>
      </w:r>
      <w:r w:rsidR="005470A6" w:rsidRPr="00D21E12">
        <w:rPr>
          <w:color w:val="000000" w:themeColor="text1"/>
        </w:rPr>
        <w:t xml:space="preserve">. Some projects (especially with the 2030 climate target in mind) have longer time horizons. Therefore, </w:t>
      </w:r>
      <w:proofErr w:type="spellStart"/>
      <w:r w:rsidR="005470A6" w:rsidRPr="00D21E12">
        <w:rPr>
          <w:color w:val="000000" w:themeColor="text1"/>
        </w:rPr>
        <w:t>OpEx</w:t>
      </w:r>
      <w:proofErr w:type="spellEnd"/>
      <w:r w:rsidR="005470A6" w:rsidRPr="00D21E12">
        <w:rPr>
          <w:color w:val="000000" w:themeColor="text1"/>
        </w:rPr>
        <w:t xml:space="preserve"> related to projects with longer timeframes should be counted as well. It should also be clarified that operating expenditures are eligible if they relate to taxonomy aligned </w:t>
      </w:r>
      <w:r w:rsidR="005470A6" w:rsidRPr="007F772F">
        <w:rPr>
          <w:color w:val="000000" w:themeColor="text1"/>
        </w:rPr>
        <w:t xml:space="preserve">economic activities. “Part of a plan” could potentially suggest that </w:t>
      </w:r>
      <w:proofErr w:type="spellStart"/>
      <w:r w:rsidR="005470A6" w:rsidRPr="007F772F">
        <w:rPr>
          <w:color w:val="000000" w:themeColor="text1"/>
        </w:rPr>
        <w:t>OpEx</w:t>
      </w:r>
      <w:proofErr w:type="spellEnd"/>
      <w:r w:rsidR="005470A6" w:rsidRPr="007F772F">
        <w:rPr>
          <w:color w:val="000000" w:themeColor="text1"/>
        </w:rPr>
        <w:t xml:space="preserve"> can only be counted if the underlying activity is not yet eligible but will be within five years’ time.</w:t>
      </w:r>
      <w:r w:rsidR="00FA07B6" w:rsidRPr="007F772F">
        <w:rPr>
          <w:color w:val="000000" w:themeColor="text1"/>
        </w:rPr>
        <w:t xml:space="preserve"> It should be clarified by ESMA that </w:t>
      </w:r>
      <w:proofErr w:type="spellStart"/>
      <w:r w:rsidR="00FA07B6" w:rsidRPr="007F772F">
        <w:rPr>
          <w:color w:val="000000" w:themeColor="text1"/>
        </w:rPr>
        <w:t>OpEx</w:t>
      </w:r>
      <w:proofErr w:type="spellEnd"/>
      <w:r w:rsidR="00FA07B6" w:rsidRPr="007F772F">
        <w:rPr>
          <w:color w:val="000000" w:themeColor="text1"/>
        </w:rPr>
        <w:t xml:space="preserve"> can be counted if the plan meets the taxonomy requirements.</w:t>
      </w:r>
      <w:r w:rsidR="005470A6" w:rsidRPr="007F772F">
        <w:rPr>
          <w:color w:val="000000" w:themeColor="text1"/>
        </w:rPr>
        <w:t xml:space="preserve"> </w:t>
      </w:r>
    </w:p>
    <w:p w14:paraId="79780BB0" w14:textId="3262C566" w:rsidR="00E570B3" w:rsidRDefault="005470A6" w:rsidP="00E570B3">
      <w:r w:rsidRPr="007F772F">
        <w:rPr>
          <w:color w:val="000000" w:themeColor="text1"/>
        </w:rPr>
        <w:t xml:space="preserve">With regards to the public disclosure of the plan, it would be helpful to have </w:t>
      </w:r>
      <w:r w:rsidRPr="00D21E12">
        <w:rPr>
          <w:color w:val="000000" w:themeColor="text1"/>
        </w:rPr>
        <w:t xml:space="preserve">a defined level of detail set out in the delegated act. It should also be noted that there might be sensitive information included in the plan that could be relevant from a competitor's perspective. There should be an option not to disclose publicly certain information if it is business </w:t>
      </w:r>
      <w:r w:rsidR="000807B8" w:rsidRPr="00D21E12">
        <w:rPr>
          <w:color w:val="000000" w:themeColor="text1"/>
        </w:rPr>
        <w:t>sensitive</w:t>
      </w:r>
      <w:r w:rsidRPr="00D21E12">
        <w:rPr>
          <w:color w:val="000000" w:themeColor="text1"/>
        </w:rPr>
        <w:t>.</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lastRenderedPageBreak/>
        <w:t>&lt;ESMA_QUESTION_TRART8_7&gt;</w:t>
      </w:r>
    </w:p>
    <w:p w14:paraId="74A249EB" w14:textId="1B576290" w:rsidR="005470A6" w:rsidRDefault="002D6E6C" w:rsidP="005470A6">
      <w:permStart w:id="1191210126" w:edGrp="everyone"/>
      <w:r>
        <w:t>The calculation of the three KPI and their disclosure including the required level of detail will undoubtedly cause</w:t>
      </w:r>
      <w:r w:rsidRPr="00713135">
        <w:t xml:space="preserve"> additional costs for preparers due to </w:t>
      </w:r>
      <w:r>
        <w:t xml:space="preserve">the establishment of new </w:t>
      </w:r>
      <w:r w:rsidRPr="00713135">
        <w:t>reporting processes</w:t>
      </w:r>
      <w:r w:rsidR="005470A6">
        <w:t>,</w:t>
      </w:r>
      <w:r>
        <w:t xml:space="preserve"> the implementation/</w:t>
      </w:r>
      <w:r w:rsidRPr="007F772F">
        <w:rPr>
          <w:color w:val="000000" w:themeColor="text1"/>
        </w:rPr>
        <w:t xml:space="preserve">adjustments of </w:t>
      </w:r>
      <w:r w:rsidR="009D5347" w:rsidRPr="007F772F">
        <w:rPr>
          <w:color w:val="000000" w:themeColor="text1"/>
        </w:rPr>
        <w:t xml:space="preserve">(new) processes together with corresponding changes to worldwide IT systems </w:t>
      </w:r>
      <w:r w:rsidRPr="007F772F">
        <w:rPr>
          <w:color w:val="000000" w:themeColor="text1"/>
        </w:rPr>
        <w:t>and reporting structures</w:t>
      </w:r>
      <w:r w:rsidR="005470A6" w:rsidRPr="007F772F">
        <w:rPr>
          <w:color w:val="000000" w:themeColor="text1"/>
        </w:rPr>
        <w:t>, training of the staff, additional personnel costs etc.</w:t>
      </w:r>
      <w:r w:rsidRPr="007F772F">
        <w:rPr>
          <w:color w:val="000000" w:themeColor="text1"/>
        </w:rPr>
        <w:t xml:space="preserve"> Collecting and compiling the data </w:t>
      </w:r>
      <w:r w:rsidR="005470A6" w:rsidRPr="007F772F">
        <w:rPr>
          <w:color w:val="000000" w:themeColor="text1"/>
        </w:rPr>
        <w:t xml:space="preserve">for the three KPI, setting up the data model </w:t>
      </w:r>
      <w:r w:rsidRPr="007F772F">
        <w:rPr>
          <w:color w:val="000000" w:themeColor="text1"/>
        </w:rPr>
        <w:t>as well as the determination of the new allocation methodology will generate additional costs and work.</w:t>
      </w:r>
      <w:r w:rsidR="00CE1E91" w:rsidRPr="007F772F">
        <w:rPr>
          <w:color w:val="000000" w:themeColor="text1"/>
        </w:rPr>
        <w:t xml:space="preserve"> Additionally, we will have to set up internal control steps that will have to be carried out on a regular basis in order to safeguard data quality and reliability.</w:t>
      </w:r>
      <w:r w:rsidRPr="007F772F">
        <w:rPr>
          <w:color w:val="000000" w:themeColor="text1"/>
        </w:rPr>
        <w:t xml:space="preserve"> Since the</w:t>
      </w:r>
      <w:r w:rsidR="00B06B3F" w:rsidRPr="007F772F">
        <w:rPr>
          <w:color w:val="000000" w:themeColor="text1"/>
        </w:rPr>
        <w:t>se</w:t>
      </w:r>
      <w:r w:rsidRPr="007F772F">
        <w:rPr>
          <w:color w:val="000000" w:themeColor="text1"/>
        </w:rPr>
        <w:t xml:space="preserve"> KPIs are included in the non-financial statement, this will also generate additional verification costs </w:t>
      </w:r>
      <w:r w:rsidR="005470A6" w:rsidRPr="007F772F">
        <w:rPr>
          <w:color w:val="000000" w:themeColor="text1"/>
        </w:rPr>
        <w:t>as we</w:t>
      </w:r>
      <w:r w:rsidRPr="007F772F">
        <w:rPr>
          <w:color w:val="000000" w:themeColor="text1"/>
        </w:rPr>
        <w:t xml:space="preserve"> are </w:t>
      </w:r>
      <w:r w:rsidR="005470A6" w:rsidRPr="007F772F">
        <w:rPr>
          <w:color w:val="000000" w:themeColor="text1"/>
        </w:rPr>
        <w:t>required</w:t>
      </w:r>
      <w:r w:rsidR="003047E2" w:rsidRPr="007F772F">
        <w:rPr>
          <w:color w:val="000000" w:themeColor="text1"/>
        </w:rPr>
        <w:t xml:space="preserve"> by our stakeholders</w:t>
      </w:r>
      <w:r w:rsidR="005470A6" w:rsidRPr="007F772F">
        <w:rPr>
          <w:color w:val="000000" w:themeColor="text1"/>
        </w:rPr>
        <w:t>, as of today, to have our</w:t>
      </w:r>
      <w:r w:rsidRPr="007F772F">
        <w:rPr>
          <w:color w:val="000000" w:themeColor="text1"/>
        </w:rPr>
        <w:t xml:space="preserve"> non-financial statement verified by an independent assurance services provider</w:t>
      </w:r>
      <w:r w:rsidRPr="00713135">
        <w:t xml:space="preserve">. </w:t>
      </w:r>
    </w:p>
    <w:p w14:paraId="1EDA4483" w14:textId="77777777" w:rsidR="00762192" w:rsidRDefault="005470A6" w:rsidP="00492B3A">
      <w:r>
        <w:t>Generally</w:t>
      </w:r>
      <w:r w:rsidRPr="00713135">
        <w:t>, technical screening criteri</w:t>
      </w:r>
      <w:r>
        <w:t>a and environmental objectives m</w:t>
      </w:r>
      <w:r w:rsidRPr="00713135">
        <w:t>ay change and evolve over time forcing companies to adapt and modify their methodology and organisation. This will generate maintenance and/or updating costs</w:t>
      </w:r>
    </w:p>
    <w:p w14:paraId="1634F818" w14:textId="3DBFFDD5" w:rsidR="000807B8" w:rsidRPr="00CE1E91" w:rsidRDefault="00762192" w:rsidP="00492B3A">
      <w:r w:rsidRPr="00CE1E91">
        <w:t>We estimate our additional costs to be a high one-digit million euro sum.</w:t>
      </w:r>
    </w:p>
    <w:permEnd w:id="1191210126"/>
    <w:p w14:paraId="20867D23" w14:textId="091E5CB5"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1CDF02FD" w14:textId="25D0DCC2" w:rsidR="00B06B3F" w:rsidRPr="00B06B3F" w:rsidRDefault="00B06B3F" w:rsidP="00B06B3F">
      <w:pPr>
        <w:pStyle w:val="Default"/>
        <w:rPr>
          <w:rFonts w:ascii="Arial" w:hAnsi="Arial" w:cs="Times New Roman"/>
          <w:color w:val="auto"/>
          <w:sz w:val="20"/>
          <w:lang w:val="en-GB" w:eastAsia="de-DE"/>
        </w:rPr>
      </w:pPr>
      <w:permStart w:id="21103909" w:edGrp="everyone"/>
      <w:r w:rsidRPr="00B06B3F">
        <w:rPr>
          <w:rFonts w:ascii="Arial" w:hAnsi="Arial" w:cs="Times New Roman"/>
          <w:color w:val="auto"/>
          <w:sz w:val="20"/>
          <w:lang w:val="en-GB" w:eastAsia="de-DE"/>
        </w:rPr>
        <w:t xml:space="preserve">We support ESMA’s cautious </w:t>
      </w:r>
      <w:r w:rsidR="00762192">
        <w:rPr>
          <w:rFonts w:ascii="Arial" w:hAnsi="Arial" w:cs="Times New Roman"/>
          <w:color w:val="auto"/>
          <w:sz w:val="20"/>
          <w:lang w:val="en-GB" w:eastAsia="de-DE"/>
        </w:rPr>
        <w:t xml:space="preserve">approach and </w:t>
      </w:r>
      <w:r w:rsidR="00762192" w:rsidRPr="00762192">
        <w:rPr>
          <w:rFonts w:ascii="Arial" w:hAnsi="Arial" w:cs="Times New Roman"/>
          <w:color w:val="auto"/>
          <w:sz w:val="20"/>
          <w:lang w:val="en-GB" w:eastAsia="de-DE"/>
        </w:rPr>
        <w:t>agree that the KPIs should be disclosed irrespective of the sectoral classification of the economic activities of an entity. However, we believe that ESMA should provide in its advice to the EU Commission more sectoral specific guidance as regards details of the respective KPIs, e.g. what revenue, what kind of investments should be included in the KPIs.</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257004D3" w14:textId="6FC26ED3" w:rsidR="000400D4" w:rsidRPr="007F772F" w:rsidRDefault="00B06B3F" w:rsidP="000400D4">
      <w:pPr>
        <w:rPr>
          <w:color w:val="000000" w:themeColor="text1"/>
        </w:rPr>
      </w:pPr>
      <w:permStart w:id="70807355" w:edGrp="everyone"/>
      <w:r w:rsidRPr="00713135">
        <w:t xml:space="preserve">We do not agree to the planned reconciliation of </w:t>
      </w:r>
      <w:proofErr w:type="spellStart"/>
      <w:r w:rsidRPr="00713135">
        <w:t>CapEx</w:t>
      </w:r>
      <w:proofErr w:type="spellEnd"/>
      <w:r w:rsidR="00A946A3">
        <w:t xml:space="preserve"> (referred to </w:t>
      </w:r>
      <w:r w:rsidR="00A946A3" w:rsidRPr="00A946A3">
        <w:t>disposals and acquisitions of fixed assets, impairments, revaluations, any other valuation adjustments, depreciation and amortisation</w:t>
      </w:r>
      <w:r w:rsidR="00A946A3">
        <w:t>)</w:t>
      </w:r>
      <w:r w:rsidRPr="00713135">
        <w:t xml:space="preserve"> to explain changes in the KPI year over year. This is </w:t>
      </w:r>
      <w:r w:rsidR="00A946A3">
        <w:t xml:space="preserve">very </w:t>
      </w:r>
      <w:r w:rsidRPr="00713135">
        <w:t>burdensome and costly</w:t>
      </w:r>
      <w:r w:rsidR="00A946A3">
        <w:t xml:space="preserve"> for the preparer</w:t>
      </w:r>
      <w:r w:rsidRPr="00713135">
        <w:t>.</w:t>
      </w:r>
      <w:r w:rsidR="00A946A3">
        <w:t xml:space="preserve"> Additionally, there is </w:t>
      </w:r>
      <w:r w:rsidR="00CB6769">
        <w:t>limited</w:t>
      </w:r>
      <w:r w:rsidR="00A946A3">
        <w:t xml:space="preserve"> value-</w:t>
      </w:r>
      <w:r w:rsidR="00A946A3" w:rsidRPr="007F772F">
        <w:rPr>
          <w:color w:val="000000" w:themeColor="text1"/>
        </w:rPr>
        <w:t xml:space="preserve">added for the user of the report if the preparer used the reconciliation of </w:t>
      </w:r>
      <w:proofErr w:type="spellStart"/>
      <w:r w:rsidR="00A946A3" w:rsidRPr="007F772F">
        <w:rPr>
          <w:color w:val="000000" w:themeColor="text1"/>
        </w:rPr>
        <w:t>CapEx</w:t>
      </w:r>
      <w:proofErr w:type="spellEnd"/>
      <w:r w:rsidR="00A946A3" w:rsidRPr="007F772F">
        <w:rPr>
          <w:color w:val="000000" w:themeColor="text1"/>
        </w:rPr>
        <w:t xml:space="preserve"> to explain changes in the KP</w:t>
      </w:r>
      <w:r w:rsidR="00563328" w:rsidRPr="007F772F">
        <w:rPr>
          <w:color w:val="000000" w:themeColor="text1"/>
        </w:rPr>
        <w:t>I in comparison to qualitative information on the changes</w:t>
      </w:r>
      <w:r w:rsidR="00A946A3" w:rsidRPr="007F772F">
        <w:rPr>
          <w:color w:val="000000" w:themeColor="text1"/>
        </w:rPr>
        <w:t xml:space="preserve">. </w:t>
      </w:r>
      <w:r w:rsidR="00CB6769" w:rsidRPr="007F772F">
        <w:rPr>
          <w:color w:val="000000" w:themeColor="text1"/>
        </w:rPr>
        <w:t xml:space="preserve">It is doubtful that the </w:t>
      </w:r>
      <w:r w:rsidR="005448E8">
        <w:rPr>
          <w:color w:val="000000" w:themeColor="text1"/>
        </w:rPr>
        <w:t>investor</w:t>
      </w:r>
      <w:r w:rsidR="00CB6769" w:rsidRPr="007F772F">
        <w:rPr>
          <w:color w:val="000000" w:themeColor="text1"/>
        </w:rPr>
        <w:t xml:space="preserve"> of the </w:t>
      </w:r>
      <w:r w:rsidR="005448E8">
        <w:rPr>
          <w:color w:val="000000" w:themeColor="text1"/>
        </w:rPr>
        <w:t>company</w:t>
      </w:r>
      <w:r w:rsidR="00CB6769" w:rsidRPr="007F772F">
        <w:rPr>
          <w:color w:val="000000" w:themeColor="text1"/>
        </w:rPr>
        <w:t xml:space="preserve"> uses the change rates based on the reconciliation of </w:t>
      </w:r>
      <w:proofErr w:type="spellStart"/>
      <w:r w:rsidR="00CB6769" w:rsidRPr="007F772F">
        <w:rPr>
          <w:color w:val="000000" w:themeColor="text1"/>
        </w:rPr>
        <w:t>CapEx</w:t>
      </w:r>
      <w:proofErr w:type="spellEnd"/>
      <w:r w:rsidR="00CB6769" w:rsidRPr="007F772F">
        <w:rPr>
          <w:color w:val="000000" w:themeColor="text1"/>
        </w:rPr>
        <w:t xml:space="preserve"> for </w:t>
      </w:r>
      <w:r w:rsidR="005448E8">
        <w:rPr>
          <w:color w:val="000000" w:themeColor="text1"/>
        </w:rPr>
        <w:t xml:space="preserve">his </w:t>
      </w:r>
      <w:r w:rsidR="00CB6769" w:rsidRPr="007F772F">
        <w:rPr>
          <w:color w:val="000000" w:themeColor="text1"/>
        </w:rPr>
        <w:t xml:space="preserve">valuation model of the preparer. </w:t>
      </w:r>
      <w:r w:rsidR="000400D4" w:rsidRPr="007F772F">
        <w:rPr>
          <w:color w:val="000000" w:themeColor="text1"/>
        </w:rPr>
        <w:t xml:space="preserve">A qualitative analysis of the changes is absolutely sufficient from our perspective. </w:t>
      </w:r>
    </w:p>
    <w:p w14:paraId="33501664" w14:textId="7C94B3D1" w:rsidR="00CB6769" w:rsidRPr="007F772F" w:rsidRDefault="000400D4" w:rsidP="00492B3A">
      <w:pPr>
        <w:rPr>
          <w:color w:val="000000" w:themeColor="text1"/>
        </w:rPr>
      </w:pPr>
      <w:r w:rsidRPr="007F772F">
        <w:rPr>
          <w:color w:val="000000" w:themeColor="text1"/>
        </w:rPr>
        <w:t>Additionally, i</w:t>
      </w:r>
      <w:r w:rsidR="003047E2" w:rsidRPr="007F772F">
        <w:rPr>
          <w:color w:val="000000" w:themeColor="text1"/>
        </w:rPr>
        <w:t>t should be noted that investors/users will be faced with huge number of new KPI and data in general. We see a high risk of information overload on the investor’s side. The reporting should focus on the most relevant KPI/topics.</w:t>
      </w:r>
    </w:p>
    <w:permEnd w:id="70807355"/>
    <w:p w14:paraId="293286B0" w14:textId="35D03DDE"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10BAEDAD" w14:textId="77777777" w:rsidR="00EA5B5C" w:rsidRDefault="00CB6769" w:rsidP="00492B3A">
      <w:permStart w:id="1969951227" w:edGrp="everyone"/>
      <w:r>
        <w:t xml:space="preserve">We agree that the requirement to refer to the relevant line item(s) in the financial statements for each KPI ensures sufficient integration between the KPIs and the financial statements. Generally, the preparer should </w:t>
      </w:r>
      <w:r w:rsidR="00EA5B5C">
        <w:t>have a maximum grade of flexibility in reporting the KPI and linking the statements on the KPI to the financial statement.</w:t>
      </w:r>
    </w:p>
    <w:permEnd w:id="1969951227"/>
    <w:p w14:paraId="1CD8F45C" w14:textId="6E3CC4A3"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lastRenderedPageBreak/>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7CAB446A" w14:textId="112296A8" w:rsidR="00A946A3" w:rsidRDefault="00B06B3F" w:rsidP="00492B3A">
      <w:permStart w:id="947678092" w:edGrp="everyone"/>
      <w:r>
        <w:t xml:space="preserve">Preparers should have as much </w:t>
      </w:r>
      <w:r w:rsidRPr="00C111F5">
        <w:rPr>
          <w:color w:val="000000" w:themeColor="text1"/>
        </w:rPr>
        <w:t xml:space="preserve">flexibility as possible </w:t>
      </w:r>
      <w:r w:rsidR="00A946A3" w:rsidRPr="00C111F5">
        <w:rPr>
          <w:color w:val="000000" w:themeColor="text1"/>
        </w:rPr>
        <w:t>in</w:t>
      </w:r>
      <w:r w:rsidR="00563328" w:rsidRPr="00C111F5">
        <w:rPr>
          <w:color w:val="000000" w:themeColor="text1"/>
        </w:rPr>
        <w:t xml:space="preserve"> </w:t>
      </w:r>
      <w:r w:rsidR="00563328" w:rsidRPr="00C111F5">
        <w:rPr>
          <w:color w:val="000000" w:themeColor="text1"/>
          <w:lang w:val="en-US"/>
        </w:rPr>
        <w:t>deciding where to place the KPIs and accompanying information</w:t>
      </w:r>
      <w:r w:rsidR="00D21E12">
        <w:rPr>
          <w:color w:val="000000" w:themeColor="text1"/>
          <w:lang w:val="en-US"/>
        </w:rPr>
        <w:t xml:space="preserve"> in the corporate reports</w:t>
      </w:r>
      <w:r w:rsidRPr="00C111F5">
        <w:rPr>
          <w:color w:val="000000" w:themeColor="text1"/>
        </w:rPr>
        <w:t xml:space="preserve">. We </w:t>
      </w:r>
      <w:r>
        <w:t>therefore support ESMA’s suggestion that preparers are allowed to present the accompanying information to the three KPI elsewhere in the non-financial statement</w:t>
      </w:r>
      <w:r w:rsidR="00066F5B">
        <w:t xml:space="preserve"> an</w:t>
      </w:r>
      <w:r w:rsidR="005448E8">
        <w:t>d</w:t>
      </w:r>
      <w:r w:rsidR="00066F5B">
        <w:t xml:space="preserve"> use appropriate tools (for example hyperlinks) to connect the information with the KPIs</w:t>
      </w:r>
      <w:r w:rsidR="00A946A3">
        <w:t>.</w:t>
      </w:r>
    </w:p>
    <w:permEnd w:id="947678092"/>
    <w:p w14:paraId="5D803357" w14:textId="516CA026"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4F85C0FA" w14:textId="2D2DF29C" w:rsidR="00D66951" w:rsidRPr="00C111F5" w:rsidRDefault="003047E2" w:rsidP="00492B3A">
      <w:pPr>
        <w:rPr>
          <w:color w:val="000000" w:themeColor="text1"/>
        </w:rPr>
      </w:pPr>
      <w:permStart w:id="384379543" w:edGrp="everyone"/>
      <w:r w:rsidRPr="00C111F5">
        <w:rPr>
          <w:color w:val="000000" w:themeColor="text1"/>
        </w:rPr>
        <w:t xml:space="preserve">The main </w:t>
      </w:r>
      <w:r w:rsidR="00C111F5">
        <w:rPr>
          <w:color w:val="000000" w:themeColor="text1"/>
        </w:rPr>
        <w:t>in</w:t>
      </w:r>
      <w:r w:rsidR="00D21E12">
        <w:rPr>
          <w:color w:val="000000" w:themeColor="text1"/>
        </w:rPr>
        <w:t>i</w:t>
      </w:r>
      <w:r w:rsidR="00C111F5">
        <w:rPr>
          <w:color w:val="000000" w:themeColor="text1"/>
        </w:rPr>
        <w:t xml:space="preserve">tial </w:t>
      </w:r>
      <w:r w:rsidRPr="00C111F5">
        <w:rPr>
          <w:color w:val="000000" w:themeColor="text1"/>
        </w:rPr>
        <w:t xml:space="preserve">burden for non-financial undertakings will be the identification of the economic activities, the assessment of their taxonomy-alignment and identification of the assets and </w:t>
      </w:r>
      <w:proofErr w:type="spellStart"/>
      <w:r w:rsidRPr="00C111F5">
        <w:rPr>
          <w:color w:val="000000" w:themeColor="text1"/>
        </w:rPr>
        <w:t>OpEx</w:t>
      </w:r>
      <w:proofErr w:type="spellEnd"/>
      <w:r w:rsidRPr="00C111F5">
        <w:rPr>
          <w:color w:val="000000" w:themeColor="text1"/>
        </w:rPr>
        <w:t xml:space="preserve">. Especially </w:t>
      </w:r>
      <w:proofErr w:type="gramStart"/>
      <w:r w:rsidR="00D21E12">
        <w:rPr>
          <w:color w:val="000000" w:themeColor="text1"/>
        </w:rPr>
        <w:t xml:space="preserve">against </w:t>
      </w:r>
      <w:r w:rsidRPr="00C111F5">
        <w:rPr>
          <w:color w:val="000000" w:themeColor="text1"/>
        </w:rPr>
        <w:t xml:space="preserve"> the</w:t>
      </w:r>
      <w:proofErr w:type="gramEnd"/>
      <w:r w:rsidRPr="00C111F5">
        <w:rPr>
          <w:color w:val="000000" w:themeColor="text1"/>
        </w:rPr>
        <w:t xml:space="preserve"> background that the legal definitions for the calculation are unclear and not thoroughly defined. </w:t>
      </w:r>
      <w:r w:rsidR="00D66951" w:rsidRPr="00C111F5">
        <w:rPr>
          <w:color w:val="000000" w:themeColor="text1"/>
        </w:rPr>
        <w:t>Because of the very limited timeframe for implementation and the missing definitions, the process will be manual at least for the financial year 2021 as the adjustment and implementation of IT systems takes time and needs legal certainty</w:t>
      </w:r>
      <w:r w:rsidR="000400D4" w:rsidRPr="00C111F5">
        <w:rPr>
          <w:color w:val="000000" w:themeColor="text1"/>
        </w:rPr>
        <w:t xml:space="preserve"> about the definitions of the KPI</w:t>
      </w:r>
      <w:r w:rsidR="00D66951" w:rsidRPr="00C111F5">
        <w:rPr>
          <w:color w:val="000000" w:themeColor="text1"/>
        </w:rPr>
        <w:t>. This adds massively to the implementation costs.</w:t>
      </w:r>
    </w:p>
    <w:p w14:paraId="6424E8A6" w14:textId="77777777" w:rsidR="00D66951" w:rsidRDefault="00A946A3" w:rsidP="00492B3A">
      <w:r w:rsidRPr="00C111F5">
        <w:rPr>
          <w:color w:val="000000" w:themeColor="text1"/>
        </w:rPr>
        <w:t xml:space="preserve">The planned reconciliation </w:t>
      </w:r>
      <w:r w:rsidRPr="00713135">
        <w:t xml:space="preserve">of </w:t>
      </w:r>
      <w:proofErr w:type="spellStart"/>
      <w:r w:rsidRPr="00713135">
        <w:t>CapEx</w:t>
      </w:r>
      <w:proofErr w:type="spellEnd"/>
      <w:r>
        <w:t xml:space="preserve"> (referred to </w:t>
      </w:r>
      <w:r w:rsidRPr="00A946A3">
        <w:t>disposals and acquisitions of fixed assets, impairments, revaluations, any other valuation adjustments, depreciation and amortisation</w:t>
      </w:r>
      <w:r>
        <w:t>)</w:t>
      </w:r>
      <w:r w:rsidRPr="00713135">
        <w:t xml:space="preserve"> to explain changes in the KPI year over year</w:t>
      </w:r>
      <w:r>
        <w:t xml:space="preserve"> will </w:t>
      </w:r>
      <w:r w:rsidR="00D66951">
        <w:t xml:space="preserve">also </w:t>
      </w:r>
      <w:r>
        <w:t xml:space="preserve">impose </w:t>
      </w:r>
      <w:r w:rsidRPr="00CE1E91">
        <w:t>high additional costs due to the establishment of new reporting processes, the implementation/adjustments of (new) IT systems</w:t>
      </w:r>
      <w:r w:rsidR="00066F5B" w:rsidRPr="00CE1E91">
        <w:t xml:space="preserve"> and reporting structures and </w:t>
      </w:r>
      <w:r w:rsidRPr="00CE1E91">
        <w:t>additional personnel costs etc.</w:t>
      </w:r>
      <w:r w:rsidR="00066F5B" w:rsidRPr="00CE1E91">
        <w:t xml:space="preserve"> </w:t>
      </w:r>
    </w:p>
    <w:p w14:paraId="045E06BA" w14:textId="76FE1C11" w:rsidR="00A946A3" w:rsidRDefault="00066F5B" w:rsidP="00492B3A">
      <w:r w:rsidRPr="00CE1E91">
        <w:t>The costs are one-off and ongoing. To give an example: adjustments of IT systems are mostly one-off costs but the maintenance costs of the IT systems are ongoing costs. Also personnel costs are ongoing costs.</w:t>
      </w:r>
    </w:p>
    <w:permEnd w:id="384379543"/>
    <w:p w14:paraId="0D19A1E9" w14:textId="2634D32E"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11809969" w:rsidR="00492B3A" w:rsidRDefault="00A946A3" w:rsidP="00492B3A">
      <w:permStart w:id="1844913490" w:edGrp="everyone"/>
      <w:r>
        <w:lastRenderedPageBreak/>
        <w:t xml:space="preserve">Preparers should provide the three KPIs at the level of the undertaking/group as the users/investors will be strongly focussing on </w:t>
      </w:r>
      <w:r w:rsidRPr="00713135">
        <w:t xml:space="preserve">how much of the turnover, </w:t>
      </w:r>
      <w:proofErr w:type="spellStart"/>
      <w:r w:rsidRPr="00713135">
        <w:t>CapEx</w:t>
      </w:r>
      <w:proofErr w:type="spellEnd"/>
      <w:r w:rsidRPr="00713135">
        <w:t xml:space="preserve"> and </w:t>
      </w:r>
      <w:proofErr w:type="spellStart"/>
      <w:r w:rsidRPr="00713135">
        <w:t>OpEx</w:t>
      </w:r>
      <w:proofErr w:type="spellEnd"/>
      <w:r w:rsidRPr="00713135">
        <w:t xml:space="preserve"> is attributable to sustainable activities</w:t>
      </w:r>
      <w:r>
        <w:t xml:space="preserve">. Providing the three KPIs per economic activity would be very burdensome and would incur additional costs for the preparer. </w:t>
      </w:r>
      <w:r w:rsidR="00066F5B">
        <w:t xml:space="preserve">It will also be difficult for the investor to </w:t>
      </w:r>
      <w:r w:rsidR="008B76C3">
        <w:t>extract the most relevant data from the report if the preparer reports on too many details</w:t>
      </w:r>
      <w:r w:rsidR="00066F5B" w:rsidRPr="000807B8">
        <w:rPr>
          <w:color w:val="FF0000"/>
        </w:rPr>
        <w:t>.</w:t>
      </w:r>
      <w:r w:rsidR="00CE1E91">
        <w:rPr>
          <w:color w:val="FF0000"/>
        </w:rPr>
        <w:t xml:space="preserve"> </w:t>
      </w:r>
      <w:r w:rsidR="00B22A59" w:rsidRPr="00C111F5">
        <w:rPr>
          <w:color w:val="000000" w:themeColor="text1"/>
        </w:rPr>
        <w:t xml:space="preserve">Such a great level of detail adds to the information overflow caused by financial and non-financial reports </w:t>
      </w:r>
      <w:r w:rsidR="0022486D" w:rsidRPr="00C111F5">
        <w:rPr>
          <w:color w:val="000000" w:themeColor="text1"/>
        </w:rPr>
        <w:t xml:space="preserve">and obscures the focus on the most important information. </w:t>
      </w:r>
      <w:r w:rsidR="00CE1E91" w:rsidRPr="00C111F5">
        <w:rPr>
          <w:color w:val="000000" w:themeColor="text1"/>
        </w:rPr>
        <w:t xml:space="preserve">We very much doubt that the added-value for the investor would overcompensate the additional costs for the preparer if this was to be reported per economic activity. </w:t>
      </w:r>
      <w:r w:rsidR="0022486D" w:rsidRPr="00C111F5">
        <w:rPr>
          <w:color w:val="000000" w:themeColor="text1"/>
        </w:rPr>
        <w:t xml:space="preserve">Reporting the three KPIs on undertaking/group level together with some additional explanation will be of great benefit for users but the obligation to prepare and disclose a table as illustrated in Annex III of the ESMA Consultation for each KPI is </w:t>
      </w:r>
      <w:r w:rsidR="00205C74" w:rsidRPr="00C111F5">
        <w:rPr>
          <w:color w:val="000000" w:themeColor="text1"/>
        </w:rPr>
        <w:t>neither adequate nor reasonable from a cost-benefit-perspective.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7FE0B50E" w14:textId="763FDC1C" w:rsidR="00AD628F" w:rsidRPr="000807B8" w:rsidRDefault="008B76C3" w:rsidP="00492B3A">
      <w:pPr>
        <w:rPr>
          <w:color w:val="FF0000"/>
        </w:rPr>
      </w:pPr>
      <w:permStart w:id="1403017900" w:edGrp="everyone"/>
      <w:r w:rsidRPr="00837544">
        <w:t>If an economic activity fulfils the criteria as set out in the Taxonomy regulation (substantial contribution to the environmental objective incl. fulfilling the technical screening criteria, criterion of doing no significant harm to any other environmental objective, criterion of minimum safeguards), the three KPI should be counted as taxonomy-aligned</w:t>
      </w:r>
      <w:r w:rsidRPr="00C111F5">
        <w:rPr>
          <w:color w:val="000000" w:themeColor="text1"/>
        </w:rPr>
        <w:t xml:space="preserve">. If the economic activity fulfils the criteria of more than one environmental objective this should be </w:t>
      </w:r>
      <w:r w:rsidR="00D13DDF" w:rsidRPr="00C111F5">
        <w:rPr>
          <w:color w:val="000000" w:themeColor="text1"/>
        </w:rPr>
        <w:t>disclosed</w:t>
      </w:r>
      <w:r w:rsidRPr="00C111F5">
        <w:rPr>
          <w:color w:val="000000" w:themeColor="text1"/>
        </w:rPr>
        <w:t xml:space="preserve"> by the preparer</w:t>
      </w:r>
      <w:r w:rsidRPr="000807B8">
        <w:rPr>
          <w:color w:val="FF0000"/>
        </w:rPr>
        <w:t xml:space="preserve">. </w:t>
      </w:r>
    </w:p>
    <w:p w14:paraId="700E4BFF" w14:textId="586B8436" w:rsidR="008B76C3" w:rsidRPr="00837544" w:rsidRDefault="008B76C3" w:rsidP="00492B3A">
      <w:r w:rsidRPr="00837544">
        <w:t xml:space="preserve">However, it doesn’t make sense to artificially allocate the turnover / </w:t>
      </w:r>
      <w:proofErr w:type="spellStart"/>
      <w:r w:rsidRPr="00837544">
        <w:t>CapEx</w:t>
      </w:r>
      <w:proofErr w:type="spellEnd"/>
      <w:r w:rsidRPr="00837544">
        <w:t xml:space="preserve"> / </w:t>
      </w:r>
      <w:proofErr w:type="spellStart"/>
      <w:r w:rsidRPr="00837544">
        <w:t>OpEx</w:t>
      </w:r>
      <w:proofErr w:type="spellEnd"/>
      <w:r w:rsidRPr="00837544">
        <w:t xml:space="preserve"> of that activity across the environmental objectives</w:t>
      </w:r>
      <w:r w:rsidR="00AD628F" w:rsidRPr="00837544">
        <w:t xml:space="preserve"> in case the activity fulfils the criteria of several environmental objectives</w:t>
      </w:r>
      <w:r w:rsidRPr="00837544">
        <w:t xml:space="preserve">. </w:t>
      </w:r>
      <w:r w:rsidR="00AD628F" w:rsidRPr="00837544">
        <w:t xml:space="preserve">It will be difficult for auditors to verify the allocation of the preparer as the allocation does not follow any guidelines or rules and to give an assurance for the reported information. The users will have difficulties in comparing the reported data with data reported by other companies as each company will make its own allocation and no common rules for the allocation are defined. </w:t>
      </w:r>
    </w:p>
    <w:permEnd w:id="1403017900"/>
    <w:p w14:paraId="379DD71C" w14:textId="138371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06A9B562" w14:textId="1E70FDCE" w:rsidR="00DA26D9" w:rsidRDefault="009A4825" w:rsidP="00492B3A">
      <w:permStart w:id="1046510351" w:edGrp="everyone"/>
      <w:r>
        <w:t>Preparers should provide information on enabling and transitional activities</w:t>
      </w:r>
      <w:r w:rsidR="009623D8">
        <w:t xml:space="preserve"> in the accompanying information. The preparer s</w:t>
      </w:r>
      <w:r w:rsidR="00DA26D9">
        <w:t>hould have as much flexibility a</w:t>
      </w:r>
      <w:r w:rsidR="009623D8">
        <w:t xml:space="preserve">s possible in reporting on enabling and transitional activities. There should be no standardized table </w:t>
      </w:r>
      <w:r w:rsidR="00DA26D9">
        <w:t xml:space="preserve">(see Annex III) </w:t>
      </w:r>
      <w:r w:rsidR="009623D8">
        <w:t>with regards to these activities.</w:t>
      </w:r>
      <w:r>
        <w:t xml:space="preserve"> </w:t>
      </w:r>
    </w:p>
    <w:permEnd w:id="1046510351"/>
    <w:p w14:paraId="1B3BEA7F" w14:textId="37A026DA"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A3C90B6" w14:textId="77777777" w:rsidR="00C111F5" w:rsidRDefault="00243DC2" w:rsidP="00492B3A">
      <w:pPr>
        <w:rPr>
          <w:color w:val="FF0000"/>
        </w:rPr>
      </w:pPr>
      <w:permStart w:id="1692017174" w:edGrp="everyone"/>
      <w:r>
        <w:t xml:space="preserve">Preparers should provide the three KPIs at the level of the undertaking/group as the users/investors will be strongly focussing on </w:t>
      </w:r>
      <w:r w:rsidRPr="00713135">
        <w:t xml:space="preserve">how much of the turnover, </w:t>
      </w:r>
      <w:proofErr w:type="spellStart"/>
      <w:r w:rsidRPr="00713135">
        <w:t>CapEx</w:t>
      </w:r>
      <w:proofErr w:type="spellEnd"/>
      <w:r w:rsidRPr="00713135">
        <w:t xml:space="preserve"> and </w:t>
      </w:r>
      <w:proofErr w:type="spellStart"/>
      <w:r w:rsidRPr="00713135">
        <w:t>OpEx</w:t>
      </w:r>
      <w:proofErr w:type="spellEnd"/>
      <w:r w:rsidRPr="00713135">
        <w:t xml:space="preserve"> is attributable to sustainable activities</w:t>
      </w:r>
      <w:r>
        <w:t xml:space="preserve">. Providing the three KPIs per environmental objective would be very burdensome and would incur additional costs for the </w:t>
      </w:r>
      <w:r w:rsidRPr="00C111F5">
        <w:rPr>
          <w:color w:val="000000" w:themeColor="text1"/>
        </w:rPr>
        <w:t>preparer.</w:t>
      </w:r>
      <w:r w:rsidR="00FA07B6" w:rsidRPr="00C111F5">
        <w:rPr>
          <w:color w:val="000000" w:themeColor="text1"/>
        </w:rPr>
        <w:t xml:space="preserve"> </w:t>
      </w:r>
      <w:r w:rsidR="0022486D" w:rsidRPr="00C111F5">
        <w:rPr>
          <w:color w:val="000000" w:themeColor="text1"/>
        </w:rPr>
        <w:t>Such a great level of detail adds to the information overflow caused by financial and non-financial reports and obscures the focus on the most important information</w:t>
      </w:r>
      <w:r w:rsidR="0022486D">
        <w:rPr>
          <w:color w:val="FF0000"/>
        </w:rPr>
        <w:t xml:space="preserve">. </w:t>
      </w:r>
      <w:r w:rsidR="00FA07B6" w:rsidRPr="00C111F5">
        <w:rPr>
          <w:color w:val="000000" w:themeColor="text1"/>
        </w:rPr>
        <w:t xml:space="preserve">We very </w:t>
      </w:r>
      <w:r w:rsidR="00FA07B6" w:rsidRPr="00C111F5">
        <w:rPr>
          <w:color w:val="000000" w:themeColor="text1"/>
        </w:rPr>
        <w:lastRenderedPageBreak/>
        <w:t xml:space="preserve">much doubt that the added-value for the investor would overcompensate the additional costs for the preparer if this was to be reported per economic activity. </w:t>
      </w:r>
      <w:r w:rsidR="00205C74" w:rsidRPr="00C111F5">
        <w:rPr>
          <w:color w:val="000000" w:themeColor="text1"/>
        </w:rPr>
        <w:t>Reporting the three KPIs on undertaking/group level together with some additional explanation will be of great benefit for users but the obligation to prepare and disclose a table as illustrated in Annex III of the ESMA Consultation for each KPI is neither adequate nor reasonable from a cost-benefit-perspective.</w:t>
      </w:r>
      <w:r w:rsidR="00205C74">
        <w:rPr>
          <w:color w:val="FF0000"/>
        </w:rPr>
        <w:t xml:space="preserve"> </w:t>
      </w:r>
    </w:p>
    <w:permEnd w:id="1692017174"/>
    <w:p w14:paraId="20733EA7" w14:textId="30888AB6"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6FC59D67" w:rsidR="00492B3A" w:rsidRPr="00205C74" w:rsidRDefault="00AD628F" w:rsidP="00492B3A">
      <w:pPr>
        <w:rPr>
          <w:color w:val="FF0000"/>
        </w:rPr>
      </w:pPr>
      <w:permStart w:id="2067675786" w:edGrp="everyone"/>
      <w:r>
        <w:t>The preparers should focus on reporting the</w:t>
      </w:r>
      <w:r w:rsidRPr="00713135">
        <w:t xml:space="preserve"> KPIs for taxonomy aligned activities</w:t>
      </w:r>
      <w:r>
        <w:t xml:space="preserve"> as this is the information most sought after by financial market participants</w:t>
      </w:r>
      <w:r w:rsidRPr="00713135">
        <w:t xml:space="preserve">. </w:t>
      </w:r>
      <w:r>
        <w:t>We deem</w:t>
      </w:r>
      <w:r w:rsidRPr="00FA07B6">
        <w:t xml:space="preserve"> </w:t>
      </w:r>
      <w:r w:rsidR="009212AB" w:rsidRPr="00FA07B6">
        <w:t xml:space="preserve">it </w:t>
      </w:r>
      <w:r>
        <w:t xml:space="preserve">useful if the preparer highlights </w:t>
      </w:r>
      <w:r w:rsidRPr="00713135">
        <w:t>activities that are not yet covered by the taxon</w:t>
      </w:r>
      <w:r>
        <w:t>omy as this has an impact on the investor’s judgement. Additionally the preparer should be allowed</w:t>
      </w:r>
      <w:r w:rsidR="00DA26D9">
        <w:t xml:space="preserve"> to</w:t>
      </w:r>
      <w:r>
        <w:t xml:space="preserve"> disclose information on these activities to underscore its measure to make these activities sustainable and to give additional valuable information to the investor. </w:t>
      </w:r>
      <w:r w:rsidR="00E96E7E">
        <w:t>However, there should be no obligatory requirements for preparers with regards to disclosing additional information</w:t>
      </w:r>
      <w:r w:rsidRPr="00713135">
        <w:t>.</w:t>
      </w:r>
      <w:r w:rsidR="00205C74">
        <w:t xml:space="preserve"> </w:t>
      </w:r>
      <w:r w:rsidR="00205C74" w:rsidRPr="00C111F5">
        <w:rPr>
          <w:color w:val="000000" w:themeColor="text1"/>
        </w:rPr>
        <w:t>As outlined above, the obligation to prepare and disclose a table as illustrated in Annex III of the ESMA Consultation for each KPI is neither adequate nor reasonable from a cost-benefit-perspective.</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154129AB" w14:textId="15F18019" w:rsidR="00FA628E" w:rsidRPr="00837544" w:rsidRDefault="00FA628E" w:rsidP="00492B3A">
      <w:pPr>
        <w:rPr>
          <w:lang w:val="en-US"/>
        </w:rPr>
      </w:pPr>
      <w:permStart w:id="1373325572" w:edGrp="everyone"/>
      <w:r>
        <w:t>Yes, we completely agree. A</w:t>
      </w:r>
      <w:r w:rsidRPr="00B16540">
        <w:rPr>
          <w:lang w:val="en-US"/>
        </w:rPr>
        <w:t xml:space="preserve"> </w:t>
      </w:r>
      <w:r w:rsidRPr="00FA628E">
        <w:rPr>
          <w:lang w:val="en-US"/>
        </w:rPr>
        <w:t>comparison with the previous year</w:t>
      </w:r>
      <w:r w:rsidRPr="00B16540">
        <w:rPr>
          <w:lang w:val="en-US"/>
        </w:rPr>
        <w:t xml:space="preserve"> would create a huge administrative effort especially against the backdrop of the level of detail that needs to be reported. In addition, as proposed by ESMA, the requirement for a previous year comparison should only start to apply in the second year of reporting </w:t>
      </w:r>
      <w:r>
        <w:rPr>
          <w:lang w:val="en-US"/>
        </w:rPr>
        <w:t xml:space="preserve">on the respective environmental objective or KPI </w:t>
      </w:r>
      <w:r w:rsidRPr="00B16540">
        <w:rPr>
          <w:lang w:val="en-US"/>
        </w:rPr>
        <w:t xml:space="preserve">(first </w:t>
      </w:r>
      <w:r>
        <w:rPr>
          <w:lang w:val="en-US"/>
        </w:rPr>
        <w:t xml:space="preserve">previous year </w:t>
      </w:r>
      <w:r w:rsidRPr="00B16540">
        <w:rPr>
          <w:lang w:val="en-US"/>
        </w:rPr>
        <w:t xml:space="preserve">comparison </w:t>
      </w:r>
      <w:r>
        <w:rPr>
          <w:lang w:val="en-US"/>
        </w:rPr>
        <w:t xml:space="preserve">for the four additional environmental objectives </w:t>
      </w:r>
      <w:r w:rsidRPr="00B16540">
        <w:rPr>
          <w:lang w:val="en-US"/>
        </w:rPr>
        <w:t xml:space="preserve">would be in </w:t>
      </w:r>
      <w:r>
        <w:rPr>
          <w:lang w:val="en-US"/>
        </w:rPr>
        <w:t xml:space="preserve">the financial year </w:t>
      </w:r>
      <w:r w:rsidRPr="00B16540">
        <w:rPr>
          <w:lang w:val="en-US"/>
        </w:rPr>
        <w:t xml:space="preserve">2023; </w:t>
      </w:r>
      <w:r w:rsidRPr="00837544">
        <w:rPr>
          <w:lang w:val="en-US"/>
        </w:rPr>
        <w:t>for the first two environmental objectives it would</w:t>
      </w:r>
      <w:r w:rsidR="00E96E7E" w:rsidRPr="00837544">
        <w:rPr>
          <w:lang w:val="en-US"/>
        </w:rPr>
        <w:t xml:space="preserve"> be</w:t>
      </w:r>
      <w:r w:rsidRPr="00837544">
        <w:rPr>
          <w:lang w:val="en-US"/>
        </w:rPr>
        <w:t xml:space="preserve"> the financial year 2022).</w:t>
      </w:r>
    </w:p>
    <w:permEnd w:id="1373325572"/>
    <w:p w14:paraId="0BFE7D97" w14:textId="7FE84315"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lastRenderedPageBreak/>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3C2A303" w:rsidR="00492B3A" w:rsidRDefault="00FA628E" w:rsidP="00492B3A">
      <w:permStart w:id="449525443" w:edGrp="everyone"/>
      <w:r>
        <w:t>Yes, we fully agree that the detailed proposals under Section 3.3 will impose addition</w:t>
      </w:r>
      <w:r w:rsidR="00DA26D9">
        <w:t xml:space="preserve">al costs on preparers. We </w:t>
      </w:r>
      <w:r>
        <w:t xml:space="preserve">strongly support a cost-benefit analysis before introducing </w:t>
      </w:r>
      <w:r w:rsidR="005E5717">
        <w:t>the mentioned re</w:t>
      </w:r>
      <w:r w:rsidR="00E96E7E">
        <w:t xml:space="preserve">quirements for the methodology. </w:t>
      </w:r>
    </w:p>
    <w:p w14:paraId="374D2D9E" w14:textId="7C4CF287" w:rsidR="00E96E7E" w:rsidRDefault="00E96E7E" w:rsidP="00492B3A">
      <w:r>
        <w:t>The calculation of the three KPI and their disclosure including the required level of detail will undoubtedly cause</w:t>
      </w:r>
      <w:r w:rsidRPr="00713135">
        <w:t xml:space="preserve"> additional costs for preparers due to </w:t>
      </w:r>
      <w:r>
        <w:t xml:space="preserve">the establishment of new </w:t>
      </w:r>
      <w:r w:rsidRPr="00713135">
        <w:t>reporting processes</w:t>
      </w:r>
      <w:r>
        <w:t xml:space="preserve">, the implementation/adjustments of (new) </w:t>
      </w:r>
      <w:r w:rsidRPr="00713135">
        <w:t>IT systems</w:t>
      </w:r>
      <w:r>
        <w:t xml:space="preserve"> and reporting structures, training of the staff, additional personnel costs etc.</w:t>
      </w:r>
      <w:r w:rsidRPr="00713135">
        <w:t xml:space="preserve"> </w:t>
      </w:r>
      <w:r>
        <w:t>C</w:t>
      </w:r>
      <w:r w:rsidRPr="00713135">
        <w:t xml:space="preserve">ollecting and compiling </w:t>
      </w:r>
      <w:r>
        <w:t xml:space="preserve">the data for the three KPI, setting up the data model as well as the determination of the new allocation methodology </w:t>
      </w:r>
      <w:r w:rsidRPr="00713135">
        <w:t xml:space="preserve">will generate additional </w:t>
      </w:r>
      <w:r>
        <w:t xml:space="preserve">costs and </w:t>
      </w:r>
      <w:r w:rsidRPr="00713135">
        <w:t>work. Since the</w:t>
      </w:r>
      <w:r>
        <w:t>se</w:t>
      </w:r>
      <w:r w:rsidRPr="00713135">
        <w:t xml:space="preserve"> KPIs are included in the non-financial statement, this will also generate additional verification costs </w:t>
      </w:r>
      <w:r>
        <w:t>as we</w:t>
      </w:r>
      <w:r w:rsidRPr="00713135">
        <w:t xml:space="preserve"> are </w:t>
      </w:r>
      <w:r>
        <w:t>required</w:t>
      </w:r>
      <w:r w:rsidR="000400D4">
        <w:t xml:space="preserve"> </w:t>
      </w:r>
      <w:r w:rsidR="000400D4" w:rsidRPr="00C111F5">
        <w:rPr>
          <w:color w:val="000000" w:themeColor="text1"/>
        </w:rPr>
        <w:t>by our stakeholders</w:t>
      </w:r>
      <w:r w:rsidRPr="00C111F5">
        <w:rPr>
          <w:color w:val="000000" w:themeColor="text1"/>
        </w:rPr>
        <w:t xml:space="preserve">, </w:t>
      </w:r>
      <w:r>
        <w:t>as of today, to have our</w:t>
      </w:r>
      <w:r w:rsidRPr="00713135">
        <w:t xml:space="preserve"> non-financial statement verified by an independent assurance services provider</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0C587B52" w:rsidR="00492B3A" w:rsidRPr="00C111F5" w:rsidRDefault="00C111F5" w:rsidP="00492B3A">
      <w:pPr>
        <w:rPr>
          <w:color w:val="000000" w:themeColor="text1"/>
        </w:rPr>
      </w:pPr>
      <w:permStart w:id="1857751903" w:edGrp="everyone"/>
      <w:r>
        <w:t xml:space="preserve">BMW </w:t>
      </w:r>
      <w:r w:rsidRPr="00713135">
        <w:t xml:space="preserve">welcomes ESMA's </w:t>
      </w:r>
      <w:r w:rsidRPr="00C111F5">
        <w:t>consultation on rep</w:t>
      </w:r>
      <w:r w:rsidR="00374FF2">
        <w:t>orting requirements as regards A</w:t>
      </w:r>
      <w:r w:rsidRPr="00C111F5">
        <w:t xml:space="preserve">rt. 8 of the taxonomy regulation. However, we would like to stress that preparers face an extremely tight schedule for the application of the new reporting requirements under the taxonomy regulation. The new disclosure requirements for the three KPI turnover, </w:t>
      </w:r>
      <w:proofErr w:type="spellStart"/>
      <w:r w:rsidRPr="00C111F5">
        <w:t>CapEx</w:t>
      </w:r>
      <w:proofErr w:type="spellEnd"/>
      <w:r w:rsidRPr="00C111F5">
        <w:t xml:space="preserve"> and </w:t>
      </w:r>
      <w:proofErr w:type="spellStart"/>
      <w:r w:rsidRPr="00C111F5">
        <w:t>OpEx</w:t>
      </w:r>
      <w:proofErr w:type="spellEnd"/>
      <w:r w:rsidRPr="00C111F5">
        <w:t xml:space="preserve"> will have to be applied for the first time in 2022 with regard to the financial year 2021. As the delegated act will only be adopted by 1 June 2021, companies will </w:t>
      </w:r>
      <w:r w:rsidRPr="00C111F5">
        <w:rPr>
          <w:color w:val="000000" w:themeColor="text1"/>
        </w:rPr>
        <w:t>have to apply these requirements retrospectively to the first five months of 2021 and will only have 7 months to implement the new requirements. Within this very limited period of time, preparers need to identify the economic activities that are taxonomy-aligned and gather the relevant data on the three KPI based on a</w:t>
      </w:r>
      <w:r w:rsidRPr="007F772F">
        <w:rPr>
          <w:color w:val="000000" w:themeColor="text1"/>
        </w:rPr>
        <w:t>djusted internal reporting systems to be able to report the data for the financial year 2021.</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1CF6722F" w14:textId="21EB23FA" w:rsidR="00C111F5" w:rsidRDefault="006E4509" w:rsidP="00492B3A">
      <w:pPr>
        <w:rPr>
          <w:rFonts w:cs="Arial"/>
          <w:color w:val="FF0000"/>
          <w:szCs w:val="20"/>
          <w:lang w:val="en-US"/>
        </w:rPr>
      </w:pPr>
      <w:permStart w:id="2059688895" w:edGrp="everyone"/>
      <w:r>
        <w:rPr>
          <w:rFonts w:cs="Arial"/>
          <w:color w:val="000000"/>
          <w:szCs w:val="20"/>
          <w:lang w:val="en-US"/>
        </w:rPr>
        <w:t xml:space="preserve">Companies should have flexibility with regards to the format of the disclosed information. Preparers are in the best position to choose a format that best fits the information needs of stakeholders. Each company’s approach to the reporting format will take into account its own specific reporting structure, its overarching strategy and </w:t>
      </w:r>
      <w:r w:rsidR="00FD5AE0">
        <w:rPr>
          <w:rFonts w:cs="Arial"/>
          <w:color w:val="000000"/>
          <w:szCs w:val="20"/>
          <w:lang w:val="en-US"/>
        </w:rPr>
        <w:t xml:space="preserve">the needs of </w:t>
      </w:r>
      <w:r>
        <w:rPr>
          <w:rFonts w:cs="Arial"/>
          <w:color w:val="000000"/>
          <w:szCs w:val="20"/>
          <w:lang w:val="en-US"/>
        </w:rPr>
        <w:t>(sector-specific) stakeholder</w:t>
      </w:r>
      <w:r w:rsidR="00FD5AE0">
        <w:rPr>
          <w:rFonts w:cs="Arial"/>
          <w:color w:val="000000"/>
          <w:szCs w:val="20"/>
          <w:lang w:val="en-US"/>
        </w:rPr>
        <w:t>s</w:t>
      </w:r>
      <w:r>
        <w:rPr>
          <w:rFonts w:cs="Arial"/>
          <w:color w:val="000000"/>
          <w:szCs w:val="20"/>
          <w:lang w:val="en-US"/>
        </w:rPr>
        <w:t>. ESMA should not propose the use of a standardized table for the disclosed information</w:t>
      </w:r>
      <w:r w:rsidR="00DA26D9">
        <w:rPr>
          <w:rFonts w:cs="Arial"/>
          <w:color w:val="000000"/>
          <w:szCs w:val="20"/>
          <w:lang w:val="en-US"/>
        </w:rPr>
        <w:t xml:space="preserve"> as in Annex III</w:t>
      </w:r>
      <w:r>
        <w:rPr>
          <w:rFonts w:cs="Arial"/>
          <w:color w:val="000000"/>
          <w:szCs w:val="20"/>
          <w:lang w:val="en-US"/>
        </w:rPr>
        <w:t>.</w:t>
      </w:r>
      <w:r w:rsidR="00DA26D9">
        <w:rPr>
          <w:rFonts w:cs="Arial"/>
          <w:color w:val="000000"/>
          <w:szCs w:val="20"/>
          <w:lang w:val="en-US"/>
        </w:rPr>
        <w:t xml:space="preserve"> This is too burdensome for preparers and yields only very limited value for the users. However,</w:t>
      </w:r>
      <w:r>
        <w:rPr>
          <w:rFonts w:cs="Arial"/>
          <w:color w:val="000000"/>
          <w:szCs w:val="20"/>
          <w:lang w:val="en-US"/>
        </w:rPr>
        <w:t xml:space="preserve"> </w:t>
      </w:r>
      <w:r w:rsidR="0074085B">
        <w:rPr>
          <w:rFonts w:cs="Arial"/>
          <w:color w:val="000000"/>
          <w:szCs w:val="20"/>
          <w:lang w:val="en-US"/>
        </w:rPr>
        <w:t>ESMA could propose</w:t>
      </w:r>
      <w:r w:rsidRPr="00713135">
        <w:rPr>
          <w:rFonts w:cs="Arial"/>
          <w:color w:val="000000"/>
          <w:szCs w:val="20"/>
          <w:lang w:val="en-US"/>
        </w:rPr>
        <w:t xml:space="preserve"> non-binding example</w:t>
      </w:r>
      <w:r w:rsidR="0074085B">
        <w:rPr>
          <w:rFonts w:cs="Arial"/>
          <w:color w:val="000000"/>
          <w:szCs w:val="20"/>
          <w:lang w:val="en-US"/>
        </w:rPr>
        <w:t>s.</w:t>
      </w:r>
      <w:r w:rsidR="006C7E10">
        <w:rPr>
          <w:rFonts w:cs="Arial"/>
          <w:color w:val="FF0000"/>
          <w:szCs w:val="20"/>
          <w:lang w:val="en-US"/>
        </w:rPr>
        <w:t xml:space="preserve"> </w:t>
      </w:r>
    </w:p>
    <w:permEnd w:id="2059688895"/>
    <w:p w14:paraId="3A6236CE" w14:textId="35872DA5"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 xml:space="preserve">Do you consider that the standard table provided in Annex III of this Consultation Paper is fit for purpose? Do you think the standard table provides the right information, taking into account the burden on non-financial undertakings of compiling the data versus the benefit to </w:t>
      </w:r>
      <w:r>
        <w:lastRenderedPageBreak/>
        <w:t>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5AE2E025" w:rsidR="00492B3A" w:rsidRDefault="00C111F5" w:rsidP="00492B3A">
      <w:permStart w:id="1618612787" w:edGrp="everyone"/>
      <w:r>
        <w:rPr>
          <w:rFonts w:cs="Arial"/>
          <w:color w:val="000000"/>
          <w:szCs w:val="20"/>
          <w:lang w:val="en-US"/>
        </w:rPr>
        <w:t>We strongly oppose</w:t>
      </w:r>
      <w:r w:rsidR="002A6F9C">
        <w:rPr>
          <w:rFonts w:cs="Arial"/>
          <w:color w:val="000000"/>
          <w:szCs w:val="20"/>
          <w:lang w:val="en-US"/>
        </w:rPr>
        <w:t xml:space="preserve"> the use </w:t>
      </w:r>
      <w:r w:rsidR="002A6F9C" w:rsidRPr="00C111F5">
        <w:rPr>
          <w:rFonts w:cs="Arial"/>
          <w:color w:val="000000" w:themeColor="text1"/>
          <w:szCs w:val="20"/>
          <w:lang w:val="en-US"/>
        </w:rPr>
        <w:t>of a standardized table for the disclosed information.</w:t>
      </w:r>
      <w:r w:rsidR="006C7E10" w:rsidRPr="00C111F5">
        <w:rPr>
          <w:rFonts w:cs="Arial"/>
          <w:color w:val="000000" w:themeColor="text1"/>
          <w:szCs w:val="20"/>
          <w:lang w:val="en-US"/>
        </w:rPr>
        <w:t xml:space="preserve"> As pointed out above, the level of detail required in the standardi</w:t>
      </w:r>
      <w:r w:rsidR="006B59A7">
        <w:rPr>
          <w:rFonts w:cs="Arial"/>
          <w:color w:val="000000" w:themeColor="text1"/>
          <w:szCs w:val="20"/>
          <w:lang w:val="en-US"/>
        </w:rPr>
        <w:t>z</w:t>
      </w:r>
      <w:r w:rsidR="006C7E10" w:rsidRPr="00C111F5">
        <w:rPr>
          <w:rFonts w:cs="Arial"/>
          <w:color w:val="000000" w:themeColor="text1"/>
          <w:szCs w:val="20"/>
          <w:lang w:val="en-US"/>
        </w:rPr>
        <w:t xml:space="preserve">ed table in </w:t>
      </w:r>
      <w:r w:rsidR="006C7E10" w:rsidRPr="00C111F5">
        <w:rPr>
          <w:color w:val="000000" w:themeColor="text1"/>
        </w:rPr>
        <w:t>Annex III for each KPI is far too high and is neither adequate nor reasonable from a cost-benefit-perspective. Instead,</w:t>
      </w:r>
      <w:r w:rsidR="006B59A7">
        <w:rPr>
          <w:color w:val="000000" w:themeColor="text1"/>
        </w:rPr>
        <w:t xml:space="preserve"> we would appreciate if</w:t>
      </w:r>
      <w:r w:rsidR="002A6F9C" w:rsidRPr="00C111F5">
        <w:rPr>
          <w:rFonts w:cs="Arial"/>
          <w:color w:val="000000" w:themeColor="text1"/>
          <w:szCs w:val="20"/>
          <w:lang w:val="en-US"/>
        </w:rPr>
        <w:t xml:space="preserve"> ESMA could propose non-binding examples</w:t>
      </w:r>
      <w:r w:rsidR="002A6F9C" w:rsidRPr="00C111F5">
        <w:rPr>
          <w:color w:val="000000" w:themeColor="text1"/>
        </w:rPr>
        <w:t xml:space="preserve">. Each company should have the flexibility to report </w:t>
      </w:r>
      <w:r w:rsidR="002A6F9C">
        <w:t xml:space="preserve">based on its own reporting format. See also answer to Q24. </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37E843C7" w14:textId="05A8C1B2" w:rsidR="002A6F9C" w:rsidRDefault="002A6F9C" w:rsidP="00492B3A">
      <w:permStart w:id="300711497" w:edGrp="everyone"/>
      <w:r w:rsidRPr="00713135">
        <w:t>Flexibility should be granted to companies to allow them to ensure consistency with their reporting format and practices.</w:t>
      </w:r>
      <w:r>
        <w:t xml:space="preserve"> </w:t>
      </w:r>
      <w:r w:rsidR="00FD5AE0" w:rsidRPr="00837544">
        <w:t>ESMA should consider a reduction of the number of KPIs that would ha</w:t>
      </w:r>
      <w:r w:rsidR="00D66444" w:rsidRPr="00837544">
        <w:t>ve to be reported by preparers based on a thorough cost-benefit analysis (as for example in the case of IFRS standards). It must be proven that the additional costs for preparers are overcompensated by the additional value added for financial market participants. To tag non-financial information and render it in a machine-readable format would cause high additional costs for the preparer. This should be avoided.</w:t>
      </w:r>
    </w:p>
    <w:permEnd w:id="300711497"/>
    <w:p w14:paraId="6205EFFC" w14:textId="647D08AD"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3AECCCE8" w14:textId="77777777" w:rsidR="00FC3E96" w:rsidRDefault="00EC78DC" w:rsidP="00492B3A">
      <w:pPr>
        <w:rPr>
          <w:rFonts w:cs="Arial"/>
          <w:sz w:val="22"/>
          <w:szCs w:val="22"/>
          <w:lang w:val="en-US"/>
        </w:rPr>
      </w:pPr>
      <w:permStart w:id="1094988904" w:edGrp="everyone"/>
      <w:r w:rsidRPr="00837544">
        <w:t xml:space="preserve">Yes, ESMA’s detailed proposals under Section 3.4 will impose </w:t>
      </w:r>
      <w:r w:rsidR="00C111F5">
        <w:t xml:space="preserve">high </w:t>
      </w:r>
      <w:r w:rsidRPr="00837544">
        <w:t>additional costs on preparers. Providing information in a standardized table which is not aligned with the usual reporting structure of a pre</w:t>
      </w:r>
      <w:r w:rsidR="006C7E10">
        <w:t>p</w:t>
      </w:r>
      <w:r w:rsidRPr="00837544">
        <w:t>arer increase</w:t>
      </w:r>
      <w:r w:rsidR="006C7E10">
        <w:t>s</w:t>
      </w:r>
      <w:r w:rsidRPr="00837544">
        <w:t xml:space="preserve"> the costs of adaptation of the reporting.</w:t>
      </w:r>
      <w:r w:rsidR="00C111F5">
        <w:t xml:space="preserve"> We also oppos</w:t>
      </w:r>
      <w:r w:rsidR="00FC3E96">
        <w:t>e the high level of detail</w:t>
      </w:r>
      <w:r w:rsidR="00C111F5">
        <w:t xml:space="preserve"> that has to be reported. </w:t>
      </w:r>
      <w:r w:rsidRPr="00837544">
        <w:t>While we agree that some basic rules in relation to the format of the KPI disclosure have to be set, preparers should be given flexibilities to report based on their reporting format and structure.</w:t>
      </w:r>
      <w:r w:rsidR="00870B96" w:rsidRPr="00837544">
        <w:t xml:space="preserve"> We agree that coherence and consistency of the reported data has to be ensured</w:t>
      </w:r>
      <w:r w:rsidRPr="00837544">
        <w:rPr>
          <w:rFonts w:cs="Arial"/>
          <w:sz w:val="22"/>
          <w:szCs w:val="22"/>
          <w:lang w:val="en-US"/>
        </w:rPr>
        <w:t xml:space="preserve">. </w:t>
      </w:r>
    </w:p>
    <w:permEnd w:id="1094988904"/>
    <w:p w14:paraId="700D8F45" w14:textId="297DB58D"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lastRenderedPageBreak/>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lastRenderedPageBreak/>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lastRenderedPageBreak/>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0263A" w16cid:durableId="2374E0DD"/>
  <w16cid:commentId w16cid:paraId="613A12A8" w16cid:durableId="2374E173"/>
  <w16cid:commentId w16cid:paraId="55FD582B" w16cid:durableId="2374E2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195FB" w14:textId="77777777" w:rsidR="009623D8" w:rsidRDefault="009623D8">
      <w:r>
        <w:separator/>
      </w:r>
    </w:p>
    <w:p w14:paraId="5483B971" w14:textId="77777777" w:rsidR="009623D8" w:rsidRDefault="009623D8"/>
  </w:endnote>
  <w:endnote w:type="continuationSeparator" w:id="0">
    <w:p w14:paraId="0189D2D3" w14:textId="77777777" w:rsidR="009623D8" w:rsidRDefault="009623D8">
      <w:r>
        <w:continuationSeparator/>
      </w:r>
    </w:p>
    <w:p w14:paraId="1F699E27" w14:textId="77777777" w:rsidR="009623D8" w:rsidRDefault="009623D8"/>
  </w:endnote>
  <w:endnote w:type="continuationNotice" w:id="1">
    <w:p w14:paraId="3B10B656" w14:textId="77777777" w:rsidR="009623D8" w:rsidRDefault="00962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623D8" w:rsidRPr="00616B9B" w14:paraId="5517B000" w14:textId="77777777" w:rsidTr="00315E96">
      <w:trPr>
        <w:trHeight w:val="284"/>
      </w:trPr>
      <w:tc>
        <w:tcPr>
          <w:tcW w:w="8460" w:type="dxa"/>
        </w:tcPr>
        <w:p w14:paraId="4C959F65" w14:textId="77777777" w:rsidR="009623D8" w:rsidRPr="00315E96" w:rsidRDefault="009623D8" w:rsidP="00315E96">
          <w:pPr>
            <w:pStyle w:val="00Footer"/>
            <w:rPr>
              <w:lang w:val="fr-FR"/>
            </w:rPr>
          </w:pPr>
        </w:p>
      </w:tc>
      <w:tc>
        <w:tcPr>
          <w:tcW w:w="952" w:type="dxa"/>
        </w:tcPr>
        <w:p w14:paraId="2310C30E" w14:textId="77777777" w:rsidR="009623D8" w:rsidRPr="00616B9B" w:rsidRDefault="009623D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B388D">
            <w:rPr>
              <w:rFonts w:cs="Arial"/>
              <w:noProof/>
              <w:sz w:val="22"/>
              <w:szCs w:val="22"/>
            </w:rPr>
            <w:t>3</w:t>
          </w:r>
          <w:r w:rsidRPr="00616B9B">
            <w:rPr>
              <w:rFonts w:cs="Arial"/>
              <w:noProof/>
              <w:sz w:val="22"/>
              <w:szCs w:val="22"/>
            </w:rPr>
            <w:fldChar w:fldCharType="end"/>
          </w:r>
        </w:p>
      </w:tc>
    </w:tr>
  </w:tbl>
  <w:p w14:paraId="08C7C785" w14:textId="77777777" w:rsidR="009623D8" w:rsidRDefault="009623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6AEC" w14:textId="77777777" w:rsidR="009623D8" w:rsidRDefault="009623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8E4F" w14:textId="77777777" w:rsidR="009623D8" w:rsidRDefault="009623D8">
      <w:r>
        <w:separator/>
      </w:r>
    </w:p>
    <w:p w14:paraId="5FC51F93" w14:textId="77777777" w:rsidR="009623D8" w:rsidRDefault="009623D8"/>
  </w:footnote>
  <w:footnote w:type="continuationSeparator" w:id="0">
    <w:p w14:paraId="00BBBA16" w14:textId="77777777" w:rsidR="009623D8" w:rsidRDefault="009623D8">
      <w:r>
        <w:continuationSeparator/>
      </w:r>
    </w:p>
    <w:p w14:paraId="3CDE82DC" w14:textId="77777777" w:rsidR="009623D8" w:rsidRDefault="009623D8"/>
  </w:footnote>
  <w:footnote w:type="continuationNotice" w:id="1">
    <w:p w14:paraId="52DFBEE0" w14:textId="77777777" w:rsidR="009623D8" w:rsidRDefault="009623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FC29" w14:textId="77777777" w:rsidR="009623D8" w:rsidRDefault="009623D8">
    <w:pPr>
      <w:pStyle w:val="Kopfzeile"/>
    </w:pPr>
    <w:r>
      <w:rPr>
        <w:noProof/>
        <w:lang w:val="de-DE"/>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EF13" w14:textId="77777777" w:rsidR="009623D8" w:rsidRDefault="009623D8" w:rsidP="00013CCE">
    <w:pPr>
      <w:pStyle w:val="Kopfzeile"/>
      <w:jc w:val="right"/>
    </w:pPr>
    <w:r>
      <w:rPr>
        <w:noProof/>
        <w:lang w:val="de-DE"/>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4387" w14:textId="77777777" w:rsidR="009623D8" w:rsidRDefault="009623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623D8" w:rsidRPr="002F4496" w14:paraId="5849CEB8" w14:textId="77777777" w:rsidTr="000C06C9">
      <w:trPr>
        <w:trHeight w:val="284"/>
      </w:trPr>
      <w:tc>
        <w:tcPr>
          <w:tcW w:w="8460" w:type="dxa"/>
        </w:tcPr>
        <w:p w14:paraId="2B1CC9DC" w14:textId="77777777" w:rsidR="009623D8" w:rsidRPr="000C3B6D" w:rsidRDefault="009623D8" w:rsidP="000C06C9">
          <w:pPr>
            <w:pStyle w:val="00Footer"/>
            <w:rPr>
              <w:lang w:val="fr-FR"/>
            </w:rPr>
          </w:pPr>
        </w:p>
      </w:tc>
      <w:tc>
        <w:tcPr>
          <w:tcW w:w="952" w:type="dxa"/>
        </w:tcPr>
        <w:p w14:paraId="0A78D32B" w14:textId="77777777" w:rsidR="009623D8" w:rsidRPr="00146B34" w:rsidRDefault="009623D8" w:rsidP="000C06C9">
          <w:pPr>
            <w:pStyle w:val="00aPagenumber"/>
            <w:rPr>
              <w:lang w:val="fr-FR"/>
            </w:rPr>
          </w:pPr>
        </w:p>
      </w:tc>
    </w:tr>
  </w:tbl>
  <w:p w14:paraId="228C483B" w14:textId="77777777" w:rsidR="009623D8" w:rsidRPr="00DB46C3" w:rsidRDefault="009623D8">
    <w:pPr>
      <w:rPr>
        <w:lang w:val="fr-FR"/>
      </w:rPr>
    </w:pPr>
  </w:p>
  <w:p w14:paraId="7ABBBBAC" w14:textId="77777777" w:rsidR="009623D8" w:rsidRPr="002F4496" w:rsidRDefault="009623D8">
    <w:pPr>
      <w:pStyle w:val="Kopfzeile"/>
      <w:rPr>
        <w:lang w:val="fr-FR"/>
      </w:rPr>
    </w:pPr>
  </w:p>
  <w:p w14:paraId="0F1BB730" w14:textId="77777777" w:rsidR="009623D8" w:rsidRPr="002F4496" w:rsidRDefault="009623D8" w:rsidP="000C06C9">
    <w:pPr>
      <w:pStyle w:val="Kopfzeile"/>
      <w:tabs>
        <w:tab w:val="clear" w:pos="4536"/>
        <w:tab w:val="clear" w:pos="9072"/>
        <w:tab w:val="left" w:pos="8227"/>
      </w:tabs>
      <w:rPr>
        <w:lang w:val="fr-FR"/>
      </w:rPr>
    </w:pPr>
  </w:p>
  <w:p w14:paraId="354F7019" w14:textId="77777777" w:rsidR="009623D8" w:rsidRPr="002F4496" w:rsidRDefault="009623D8" w:rsidP="000C06C9">
    <w:pPr>
      <w:pStyle w:val="Kopfzeile"/>
      <w:tabs>
        <w:tab w:val="clear" w:pos="4536"/>
        <w:tab w:val="clear" w:pos="9072"/>
        <w:tab w:val="left" w:pos="8227"/>
      </w:tabs>
      <w:rPr>
        <w:lang w:val="fr-FR"/>
      </w:rPr>
    </w:pPr>
  </w:p>
  <w:p w14:paraId="438C49BF" w14:textId="77777777" w:rsidR="009623D8" w:rsidRPr="002F4496" w:rsidRDefault="009623D8">
    <w:pPr>
      <w:pStyle w:val="Kopfzeile"/>
      <w:rPr>
        <w:lang w:val="fr-FR"/>
      </w:rPr>
    </w:pPr>
  </w:p>
  <w:p w14:paraId="77F5F5FB" w14:textId="77777777" w:rsidR="009623D8" w:rsidRPr="002F4496" w:rsidRDefault="009623D8">
    <w:pPr>
      <w:pStyle w:val="Kopfzeile"/>
      <w:rPr>
        <w:lang w:val="fr-FR"/>
      </w:rPr>
    </w:pPr>
  </w:p>
  <w:p w14:paraId="31EA96F8" w14:textId="77777777" w:rsidR="009623D8" w:rsidRPr="002F4496" w:rsidRDefault="009623D8">
    <w:pPr>
      <w:pStyle w:val="Kopfzeile"/>
      <w:rPr>
        <w:lang w:val="fr-FR"/>
      </w:rPr>
    </w:pPr>
  </w:p>
  <w:p w14:paraId="0FAE7A71" w14:textId="77777777" w:rsidR="009623D8" w:rsidRPr="002F4496" w:rsidRDefault="009623D8">
    <w:pPr>
      <w:pStyle w:val="Kopfzeile"/>
      <w:rPr>
        <w:lang w:val="fr-FR"/>
      </w:rPr>
    </w:pPr>
  </w:p>
  <w:p w14:paraId="339C0C6E" w14:textId="77777777" w:rsidR="009623D8" w:rsidRPr="002F4496" w:rsidRDefault="009623D8">
    <w:pPr>
      <w:pStyle w:val="Kopfzeile"/>
      <w:rPr>
        <w:highlight w:val="yellow"/>
        <w:lang w:val="fr-FR"/>
      </w:rPr>
    </w:pPr>
  </w:p>
  <w:p w14:paraId="0495A777" w14:textId="77777777" w:rsidR="009623D8" w:rsidRDefault="009623D8">
    <w:pPr>
      <w:pStyle w:val="Kopfzeile"/>
    </w:pPr>
    <w:r>
      <w:rPr>
        <w:noProof/>
        <w:lang w:val="de-DE"/>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3AF5724"/>
    <w:multiLevelType w:val="hybridMultilevel"/>
    <w:tmpl w:val="DC1E06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A833C3"/>
    <w:multiLevelType w:val="multilevel"/>
    <w:tmpl w:val="E4065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A8A7A3D"/>
    <w:multiLevelType w:val="hybridMultilevel"/>
    <w:tmpl w:val="7730E5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8"/>
  </w:num>
  <w:num w:numId="3">
    <w:abstractNumId w:val="10"/>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3"/>
  </w:num>
  <w:num w:numId="18">
    <w:abstractNumId w:val="14"/>
  </w:num>
  <w:num w:numId="19">
    <w:abstractNumId w:val="16"/>
  </w:num>
  <w:num w:numId="20">
    <w:abstractNumId w:val="27"/>
  </w:num>
  <w:num w:numId="21">
    <w:abstractNumId w:val="38"/>
  </w:num>
  <w:num w:numId="22">
    <w:abstractNumId w:val="25"/>
  </w:num>
  <w:num w:numId="23">
    <w:abstractNumId w:val="7"/>
  </w:num>
  <w:num w:numId="24">
    <w:abstractNumId w:val="30"/>
  </w:num>
  <w:num w:numId="25">
    <w:abstractNumId w:val="29"/>
  </w:num>
  <w:num w:numId="26">
    <w:abstractNumId w:val="19"/>
  </w:num>
  <w:num w:numId="27">
    <w:abstractNumId w:val="34"/>
  </w:num>
  <w:num w:numId="28">
    <w:abstractNumId w:val="40"/>
  </w:num>
  <w:num w:numId="29">
    <w:abstractNumId w:val="5"/>
  </w:num>
  <w:num w:numId="30">
    <w:abstractNumId w:val="2"/>
  </w:num>
  <w:num w:numId="31">
    <w:abstractNumId w:val="21"/>
  </w:num>
  <w:num w:numId="32">
    <w:abstractNumId w:val="20"/>
  </w:num>
  <w:num w:numId="33">
    <w:abstractNumId w:val="37"/>
  </w:num>
  <w:num w:numId="34">
    <w:abstractNumId w:val="36"/>
  </w:num>
  <w:num w:numId="35">
    <w:abstractNumId w:val="9"/>
  </w:num>
  <w:num w:numId="36">
    <w:abstractNumId w:val="11"/>
  </w:num>
  <w:num w:numId="37">
    <w:abstractNumId w:val="32"/>
  </w:num>
  <w:num w:numId="38">
    <w:abstractNumId w:val="11"/>
    <w:lvlOverride w:ilvl="0">
      <w:startOverride w:val="1"/>
    </w:lvlOverride>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532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00D4"/>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5B"/>
    <w:rsid w:val="00066F6B"/>
    <w:rsid w:val="0006723C"/>
    <w:rsid w:val="00070376"/>
    <w:rsid w:val="00070974"/>
    <w:rsid w:val="00071EAD"/>
    <w:rsid w:val="00071F4E"/>
    <w:rsid w:val="00072271"/>
    <w:rsid w:val="00072B54"/>
    <w:rsid w:val="0007463D"/>
    <w:rsid w:val="000749F0"/>
    <w:rsid w:val="0007609D"/>
    <w:rsid w:val="00077C67"/>
    <w:rsid w:val="000807B8"/>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388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013"/>
    <w:rsid w:val="000E0223"/>
    <w:rsid w:val="000E0CF3"/>
    <w:rsid w:val="000E18A8"/>
    <w:rsid w:val="000E1AEC"/>
    <w:rsid w:val="000E3937"/>
    <w:rsid w:val="000E4926"/>
    <w:rsid w:val="000E4AC1"/>
    <w:rsid w:val="000E4D8B"/>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3D3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0EA9"/>
    <w:rsid w:val="001E407D"/>
    <w:rsid w:val="001E40FB"/>
    <w:rsid w:val="001E66EC"/>
    <w:rsid w:val="001E68C5"/>
    <w:rsid w:val="001F03A5"/>
    <w:rsid w:val="001F0F63"/>
    <w:rsid w:val="001F3996"/>
    <w:rsid w:val="001F44A4"/>
    <w:rsid w:val="001F579D"/>
    <w:rsid w:val="001F65EF"/>
    <w:rsid w:val="001F697B"/>
    <w:rsid w:val="002005A6"/>
    <w:rsid w:val="00204CBC"/>
    <w:rsid w:val="002051F1"/>
    <w:rsid w:val="00205C74"/>
    <w:rsid w:val="00206151"/>
    <w:rsid w:val="002067BA"/>
    <w:rsid w:val="0021058D"/>
    <w:rsid w:val="00211E2F"/>
    <w:rsid w:val="00211E9E"/>
    <w:rsid w:val="00214FB4"/>
    <w:rsid w:val="00215940"/>
    <w:rsid w:val="00217C23"/>
    <w:rsid w:val="00220561"/>
    <w:rsid w:val="00220CE4"/>
    <w:rsid w:val="00222D9B"/>
    <w:rsid w:val="00223788"/>
    <w:rsid w:val="00223D11"/>
    <w:rsid w:val="002242D3"/>
    <w:rsid w:val="0022486D"/>
    <w:rsid w:val="002301E6"/>
    <w:rsid w:val="00230776"/>
    <w:rsid w:val="00232F90"/>
    <w:rsid w:val="00233B08"/>
    <w:rsid w:val="00233C3B"/>
    <w:rsid w:val="0023499C"/>
    <w:rsid w:val="00235CE3"/>
    <w:rsid w:val="0023636A"/>
    <w:rsid w:val="00236F34"/>
    <w:rsid w:val="002372F7"/>
    <w:rsid w:val="00240651"/>
    <w:rsid w:val="00240803"/>
    <w:rsid w:val="00243DC2"/>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A6F9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6E6C"/>
    <w:rsid w:val="002E036D"/>
    <w:rsid w:val="002E1517"/>
    <w:rsid w:val="002E1B22"/>
    <w:rsid w:val="002E30BB"/>
    <w:rsid w:val="002E387F"/>
    <w:rsid w:val="002E5D63"/>
    <w:rsid w:val="002E7113"/>
    <w:rsid w:val="002E7C63"/>
    <w:rsid w:val="002E7F4B"/>
    <w:rsid w:val="002E7FB3"/>
    <w:rsid w:val="002F0C91"/>
    <w:rsid w:val="002F0E3E"/>
    <w:rsid w:val="002F1B19"/>
    <w:rsid w:val="002F1FBF"/>
    <w:rsid w:val="002F4139"/>
    <w:rsid w:val="00300624"/>
    <w:rsid w:val="00300F56"/>
    <w:rsid w:val="00301006"/>
    <w:rsid w:val="00303565"/>
    <w:rsid w:val="003047E2"/>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4FF2"/>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97508"/>
    <w:rsid w:val="003A0A78"/>
    <w:rsid w:val="003A5DAC"/>
    <w:rsid w:val="003A6591"/>
    <w:rsid w:val="003A6E9A"/>
    <w:rsid w:val="003B08C8"/>
    <w:rsid w:val="003B1EF2"/>
    <w:rsid w:val="003B2567"/>
    <w:rsid w:val="003B381A"/>
    <w:rsid w:val="003B4976"/>
    <w:rsid w:val="003B4B3F"/>
    <w:rsid w:val="003B6258"/>
    <w:rsid w:val="003B7A99"/>
    <w:rsid w:val="003C0343"/>
    <w:rsid w:val="003C0E87"/>
    <w:rsid w:val="003C1C32"/>
    <w:rsid w:val="003C3570"/>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098A"/>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0E04"/>
    <w:rsid w:val="00412253"/>
    <w:rsid w:val="004142ED"/>
    <w:rsid w:val="0041634D"/>
    <w:rsid w:val="00417EF7"/>
    <w:rsid w:val="00422A7D"/>
    <w:rsid w:val="00422BFC"/>
    <w:rsid w:val="00424642"/>
    <w:rsid w:val="00424D79"/>
    <w:rsid w:val="0042504C"/>
    <w:rsid w:val="00425ABB"/>
    <w:rsid w:val="00425BB6"/>
    <w:rsid w:val="004261A0"/>
    <w:rsid w:val="004265AA"/>
    <w:rsid w:val="00426BC3"/>
    <w:rsid w:val="00426CE1"/>
    <w:rsid w:val="00427D52"/>
    <w:rsid w:val="00430412"/>
    <w:rsid w:val="00430497"/>
    <w:rsid w:val="0043173B"/>
    <w:rsid w:val="00432A91"/>
    <w:rsid w:val="00432FFE"/>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3D9C"/>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AE5"/>
    <w:rsid w:val="00541F27"/>
    <w:rsid w:val="00541F47"/>
    <w:rsid w:val="00542297"/>
    <w:rsid w:val="005424BC"/>
    <w:rsid w:val="00542A28"/>
    <w:rsid w:val="005441D4"/>
    <w:rsid w:val="005448E8"/>
    <w:rsid w:val="0054672D"/>
    <w:rsid w:val="005470A6"/>
    <w:rsid w:val="00550F4E"/>
    <w:rsid w:val="005532B5"/>
    <w:rsid w:val="00554A05"/>
    <w:rsid w:val="00555849"/>
    <w:rsid w:val="005559A8"/>
    <w:rsid w:val="00557048"/>
    <w:rsid w:val="00557FB5"/>
    <w:rsid w:val="00561AED"/>
    <w:rsid w:val="00563328"/>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5717"/>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1DB2"/>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BA8"/>
    <w:rsid w:val="006B2D40"/>
    <w:rsid w:val="006B34DF"/>
    <w:rsid w:val="006B39B2"/>
    <w:rsid w:val="006B3AF9"/>
    <w:rsid w:val="006B45A0"/>
    <w:rsid w:val="006B5668"/>
    <w:rsid w:val="006B59A7"/>
    <w:rsid w:val="006B5F71"/>
    <w:rsid w:val="006B6E44"/>
    <w:rsid w:val="006B7059"/>
    <w:rsid w:val="006B7287"/>
    <w:rsid w:val="006B7F2E"/>
    <w:rsid w:val="006C0BF8"/>
    <w:rsid w:val="006C2253"/>
    <w:rsid w:val="006C2CCB"/>
    <w:rsid w:val="006C4334"/>
    <w:rsid w:val="006C4B0F"/>
    <w:rsid w:val="006C5E96"/>
    <w:rsid w:val="006C7E10"/>
    <w:rsid w:val="006D399F"/>
    <w:rsid w:val="006D4F0C"/>
    <w:rsid w:val="006D5645"/>
    <w:rsid w:val="006E0A4F"/>
    <w:rsid w:val="006E0C8A"/>
    <w:rsid w:val="006E2A23"/>
    <w:rsid w:val="006E35E5"/>
    <w:rsid w:val="006E3C72"/>
    <w:rsid w:val="006E4509"/>
    <w:rsid w:val="006E4F20"/>
    <w:rsid w:val="006E649A"/>
    <w:rsid w:val="006F08DC"/>
    <w:rsid w:val="006F1D42"/>
    <w:rsid w:val="006F3948"/>
    <w:rsid w:val="006F4403"/>
    <w:rsid w:val="006F4535"/>
    <w:rsid w:val="006F45EC"/>
    <w:rsid w:val="006F47B8"/>
    <w:rsid w:val="006F47D2"/>
    <w:rsid w:val="006F48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6C25"/>
    <w:rsid w:val="007209DD"/>
    <w:rsid w:val="00722E49"/>
    <w:rsid w:val="00723A08"/>
    <w:rsid w:val="00723B5C"/>
    <w:rsid w:val="00724391"/>
    <w:rsid w:val="00724C18"/>
    <w:rsid w:val="00726630"/>
    <w:rsid w:val="00727F73"/>
    <w:rsid w:val="00730705"/>
    <w:rsid w:val="00730944"/>
    <w:rsid w:val="0073248E"/>
    <w:rsid w:val="00733EE9"/>
    <w:rsid w:val="00735B8E"/>
    <w:rsid w:val="007360D3"/>
    <w:rsid w:val="0073673C"/>
    <w:rsid w:val="00736935"/>
    <w:rsid w:val="0074085B"/>
    <w:rsid w:val="00740DB1"/>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57D6E"/>
    <w:rsid w:val="00760041"/>
    <w:rsid w:val="007605C7"/>
    <w:rsid w:val="00760B08"/>
    <w:rsid w:val="00760EDA"/>
    <w:rsid w:val="00761F4E"/>
    <w:rsid w:val="00762150"/>
    <w:rsid w:val="00762192"/>
    <w:rsid w:val="00762621"/>
    <w:rsid w:val="00763F36"/>
    <w:rsid w:val="007648A0"/>
    <w:rsid w:val="00765431"/>
    <w:rsid w:val="00766F4D"/>
    <w:rsid w:val="00770268"/>
    <w:rsid w:val="007706B9"/>
    <w:rsid w:val="007707ED"/>
    <w:rsid w:val="00771C3B"/>
    <w:rsid w:val="007726F9"/>
    <w:rsid w:val="0077308D"/>
    <w:rsid w:val="00773B94"/>
    <w:rsid w:val="00773C65"/>
    <w:rsid w:val="00775937"/>
    <w:rsid w:val="00776C11"/>
    <w:rsid w:val="00777046"/>
    <w:rsid w:val="007770DA"/>
    <w:rsid w:val="007805B9"/>
    <w:rsid w:val="00780C3A"/>
    <w:rsid w:val="007834A1"/>
    <w:rsid w:val="00784B12"/>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72F"/>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37544"/>
    <w:rsid w:val="00840477"/>
    <w:rsid w:val="0084121D"/>
    <w:rsid w:val="008419C1"/>
    <w:rsid w:val="00844515"/>
    <w:rsid w:val="0084465A"/>
    <w:rsid w:val="00844DFF"/>
    <w:rsid w:val="00845D87"/>
    <w:rsid w:val="00846635"/>
    <w:rsid w:val="00846785"/>
    <w:rsid w:val="00846C3A"/>
    <w:rsid w:val="008477BF"/>
    <w:rsid w:val="008503DA"/>
    <w:rsid w:val="00850B68"/>
    <w:rsid w:val="00850E82"/>
    <w:rsid w:val="0085122D"/>
    <w:rsid w:val="008519E8"/>
    <w:rsid w:val="008525FF"/>
    <w:rsid w:val="00852C03"/>
    <w:rsid w:val="0085590C"/>
    <w:rsid w:val="008575EB"/>
    <w:rsid w:val="008606FC"/>
    <w:rsid w:val="00862DDD"/>
    <w:rsid w:val="0086326D"/>
    <w:rsid w:val="00863CC1"/>
    <w:rsid w:val="00865B01"/>
    <w:rsid w:val="00866D7A"/>
    <w:rsid w:val="00866EE3"/>
    <w:rsid w:val="008701E5"/>
    <w:rsid w:val="008706C5"/>
    <w:rsid w:val="00870B96"/>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2B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B76C3"/>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2AB"/>
    <w:rsid w:val="009217B1"/>
    <w:rsid w:val="00921A42"/>
    <w:rsid w:val="009223BB"/>
    <w:rsid w:val="00922491"/>
    <w:rsid w:val="00923BCF"/>
    <w:rsid w:val="009252EC"/>
    <w:rsid w:val="00925AEC"/>
    <w:rsid w:val="00926C2C"/>
    <w:rsid w:val="0092751A"/>
    <w:rsid w:val="009305C4"/>
    <w:rsid w:val="00931FAF"/>
    <w:rsid w:val="009360F6"/>
    <w:rsid w:val="009371DC"/>
    <w:rsid w:val="0093759D"/>
    <w:rsid w:val="00940239"/>
    <w:rsid w:val="00942A43"/>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3D8"/>
    <w:rsid w:val="00962CEF"/>
    <w:rsid w:val="00963766"/>
    <w:rsid w:val="00963CD8"/>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09C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825"/>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347"/>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945"/>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46A3"/>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02D"/>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171"/>
    <w:rsid w:val="00AD3B43"/>
    <w:rsid w:val="00AD4FF2"/>
    <w:rsid w:val="00AD506C"/>
    <w:rsid w:val="00AD628F"/>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1752"/>
    <w:rsid w:val="00B03CE2"/>
    <w:rsid w:val="00B059A9"/>
    <w:rsid w:val="00B06544"/>
    <w:rsid w:val="00B06B3F"/>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2A59"/>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276"/>
    <w:rsid w:val="00B37C73"/>
    <w:rsid w:val="00B4009B"/>
    <w:rsid w:val="00B400A1"/>
    <w:rsid w:val="00B4077F"/>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2C6"/>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1F5"/>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6EC2"/>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6769"/>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91"/>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3DDF"/>
    <w:rsid w:val="00D1519E"/>
    <w:rsid w:val="00D152B7"/>
    <w:rsid w:val="00D16EDC"/>
    <w:rsid w:val="00D17FDE"/>
    <w:rsid w:val="00D201CB"/>
    <w:rsid w:val="00D21E12"/>
    <w:rsid w:val="00D22786"/>
    <w:rsid w:val="00D228B4"/>
    <w:rsid w:val="00D25AC4"/>
    <w:rsid w:val="00D305F6"/>
    <w:rsid w:val="00D30B25"/>
    <w:rsid w:val="00D3175A"/>
    <w:rsid w:val="00D31A00"/>
    <w:rsid w:val="00D323E4"/>
    <w:rsid w:val="00D32871"/>
    <w:rsid w:val="00D337B5"/>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6444"/>
    <w:rsid w:val="00D66951"/>
    <w:rsid w:val="00D67101"/>
    <w:rsid w:val="00D7106D"/>
    <w:rsid w:val="00D71B45"/>
    <w:rsid w:val="00D71F8A"/>
    <w:rsid w:val="00D73587"/>
    <w:rsid w:val="00D75603"/>
    <w:rsid w:val="00D75FEE"/>
    <w:rsid w:val="00D76933"/>
    <w:rsid w:val="00D76D88"/>
    <w:rsid w:val="00D77CC9"/>
    <w:rsid w:val="00D82519"/>
    <w:rsid w:val="00D83D4B"/>
    <w:rsid w:val="00D871C6"/>
    <w:rsid w:val="00D91010"/>
    <w:rsid w:val="00DA0FA7"/>
    <w:rsid w:val="00DA12B0"/>
    <w:rsid w:val="00DA26D9"/>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BBE"/>
    <w:rsid w:val="00DC4D68"/>
    <w:rsid w:val="00DC6463"/>
    <w:rsid w:val="00DC7822"/>
    <w:rsid w:val="00DC7AF1"/>
    <w:rsid w:val="00DD2D92"/>
    <w:rsid w:val="00DD3026"/>
    <w:rsid w:val="00DD33DC"/>
    <w:rsid w:val="00DD3BB0"/>
    <w:rsid w:val="00DD4A46"/>
    <w:rsid w:val="00DD61F5"/>
    <w:rsid w:val="00DE2FC2"/>
    <w:rsid w:val="00DE3223"/>
    <w:rsid w:val="00DE64A6"/>
    <w:rsid w:val="00DE655E"/>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0B3"/>
    <w:rsid w:val="00E57F8E"/>
    <w:rsid w:val="00E611C8"/>
    <w:rsid w:val="00E63256"/>
    <w:rsid w:val="00E6344A"/>
    <w:rsid w:val="00E6445E"/>
    <w:rsid w:val="00E64E69"/>
    <w:rsid w:val="00E64FB7"/>
    <w:rsid w:val="00E669A1"/>
    <w:rsid w:val="00E679BA"/>
    <w:rsid w:val="00E70243"/>
    <w:rsid w:val="00E7048E"/>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6906"/>
    <w:rsid w:val="00E96E7E"/>
    <w:rsid w:val="00E97E2B"/>
    <w:rsid w:val="00EA08CA"/>
    <w:rsid w:val="00EA0C0C"/>
    <w:rsid w:val="00EA2AEA"/>
    <w:rsid w:val="00EA332B"/>
    <w:rsid w:val="00EA3D36"/>
    <w:rsid w:val="00EA40AA"/>
    <w:rsid w:val="00EA57E2"/>
    <w:rsid w:val="00EA5B5C"/>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8DC"/>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4D6"/>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4ED"/>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7B6"/>
    <w:rsid w:val="00FA0B60"/>
    <w:rsid w:val="00FA2528"/>
    <w:rsid w:val="00FA5535"/>
    <w:rsid w:val="00FA628E"/>
    <w:rsid w:val="00FA7206"/>
    <w:rsid w:val="00FA7E01"/>
    <w:rsid w:val="00FA7EFB"/>
    <w:rsid w:val="00FB0816"/>
    <w:rsid w:val="00FB08C2"/>
    <w:rsid w:val="00FB3DD1"/>
    <w:rsid w:val="00FB51FD"/>
    <w:rsid w:val="00FB5667"/>
    <w:rsid w:val="00FB7A97"/>
    <w:rsid w:val="00FC1B9B"/>
    <w:rsid w:val="00FC318D"/>
    <w:rsid w:val="00FC36CF"/>
    <w:rsid w:val="00FC3E96"/>
    <w:rsid w:val="00FC40BC"/>
    <w:rsid w:val="00FC41FC"/>
    <w:rsid w:val="00FC4F6E"/>
    <w:rsid w:val="00FC506C"/>
    <w:rsid w:val="00FC578C"/>
    <w:rsid w:val="00FC5A37"/>
    <w:rsid w:val="00FC7223"/>
    <w:rsid w:val="00FD0F60"/>
    <w:rsid w:val="00FD13EA"/>
    <w:rsid w:val="00FD5AE0"/>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31A2"/>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492B3A"/>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492B3A"/>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e038d8b-eef4-4a8e-96f8-403daa5a894a"/>
    <ds:schemaRef ds:uri="http://www.w3.org/XML/1998/namespace"/>
    <ds:schemaRef ds:uri="http://purl.org/dc/dcmityp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5CF82E94-03B1-4B0A-A561-10F9D6936353}">
  <ds:schemaRefs>
    <ds:schemaRef ds:uri="http://schemas.openxmlformats.org/officeDocument/2006/bibliography"/>
  </ds:schemaRefs>
</ds:datastoreItem>
</file>

<file path=customXml/itemProps6.xml><?xml version="1.0" encoding="utf-8"?>
<ds:datastoreItem xmlns:ds="http://schemas.openxmlformats.org/officeDocument/2006/customXml" ds:itemID="{F5A30277-FE2B-434C-85B8-AAE3FFBD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6022</Words>
  <Characters>34580</Characters>
  <Application>Microsoft Office Word</Application>
  <DocSecurity>8</DocSecurity>
  <Lines>288</Lines>
  <Paragraphs>81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40521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Unsoeld Maurus, FR-34</cp:lastModifiedBy>
  <cp:revision>8</cp:revision>
  <cp:lastPrinted>2015-02-18T11:01:00Z</cp:lastPrinted>
  <dcterms:created xsi:type="dcterms:W3CDTF">2020-12-04T14:52:00Z</dcterms:created>
  <dcterms:modified xsi:type="dcterms:W3CDTF">2020-12-04T16:06:00Z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_DocHome">
    <vt:i4>76014239</vt:i4>
  </property>
</Properties>
</file>