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BC4EAE">
        <w:tc>
          <w:tcPr>
            <w:tcW w:w="3929" w:type="dxa"/>
            <w:shd w:val="clear" w:color="auto" w:fill="auto"/>
          </w:tcPr>
          <w:p w14:paraId="2CC52FAD" w14:textId="77777777" w:rsidR="00B327E9" w:rsidRPr="00E40A5C" w:rsidRDefault="00B327E9" w:rsidP="00BC4EAE">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5D49810F" w:rsidR="00B327E9" w:rsidRPr="00AB6D88" w:rsidRDefault="00E16542" w:rsidP="00BC4EAE">
                <w:pPr>
                  <w:rPr>
                    <w:rStyle w:val="PlaceholderText"/>
                    <w:rFonts w:cs="Arial"/>
                  </w:rPr>
                </w:pPr>
                <w:r>
                  <w:rPr>
                    <w:rStyle w:val="PlaceholderText"/>
                    <w:rFonts w:cs="Arial"/>
                  </w:rPr>
                  <w:t>Bloomberg L.P.</w:t>
                </w:r>
              </w:p>
            </w:tc>
            <w:permEnd w:id="1493633476" w:displacedByCustomXml="next"/>
          </w:sdtContent>
        </w:sdt>
      </w:tr>
      <w:tr w:rsidR="00B327E9" w:rsidRPr="00AB6D88" w14:paraId="0D2401D8" w14:textId="77777777" w:rsidTr="00BC4EAE">
        <w:tc>
          <w:tcPr>
            <w:tcW w:w="3929" w:type="dxa"/>
            <w:shd w:val="clear" w:color="auto" w:fill="auto"/>
          </w:tcPr>
          <w:p w14:paraId="6C0EFE39" w14:textId="77777777" w:rsidR="00B327E9" w:rsidRPr="00E40A5C" w:rsidRDefault="00B327E9" w:rsidP="00BC4EAE">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210D2E89" w:rsidR="00B327E9" w:rsidRPr="00AB6D88" w:rsidRDefault="0087259A" w:rsidP="00BC4EAE">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E16542">
                  <w:rPr>
                    <w:rFonts w:cs="Arial"/>
                  </w:rPr>
                  <w:t>Other</w:t>
                </w:r>
              </w:sdtContent>
            </w:sdt>
          </w:p>
        </w:tc>
      </w:tr>
      <w:permEnd w:id="438450997"/>
      <w:tr w:rsidR="00B327E9" w:rsidRPr="00AB6D88" w14:paraId="1A153F17" w14:textId="77777777" w:rsidTr="00BC4EAE">
        <w:tc>
          <w:tcPr>
            <w:tcW w:w="3929" w:type="dxa"/>
            <w:shd w:val="clear" w:color="auto" w:fill="auto"/>
          </w:tcPr>
          <w:p w14:paraId="396772EB" w14:textId="77777777" w:rsidR="00B327E9" w:rsidRPr="00E40A5C" w:rsidRDefault="00B327E9" w:rsidP="00BC4EAE">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46A43276" w:rsidR="00B327E9" w:rsidRPr="00AB6D88" w:rsidRDefault="00E16542" w:rsidP="00BC4EAE">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BC4EAE">
        <w:tc>
          <w:tcPr>
            <w:tcW w:w="3929" w:type="dxa"/>
            <w:shd w:val="clear" w:color="auto" w:fill="auto"/>
          </w:tcPr>
          <w:p w14:paraId="3C221113" w14:textId="77777777" w:rsidR="00B327E9" w:rsidRPr="00E40A5C" w:rsidRDefault="00B327E9" w:rsidP="00BC4EAE">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09ECDDC1" w:rsidR="00B327E9" w:rsidRPr="00AB6D88" w:rsidRDefault="00E16542" w:rsidP="00BC4EAE">
                <w:pPr>
                  <w:rPr>
                    <w:rFonts w:cs="Arial"/>
                  </w:rPr>
                </w:pPr>
                <w:r>
                  <w:rPr>
                    <w:rFonts w:cs="Arial"/>
                  </w:rPr>
                  <w:t>UK</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28074E58" w14:textId="334AC827" w:rsidR="00A95876" w:rsidRPr="00A95876" w:rsidRDefault="00A95876" w:rsidP="002E1588">
      <w:pPr>
        <w:jc w:val="both"/>
      </w:pPr>
      <w:permStart w:id="44765448" w:edGrp="everyone"/>
      <w:r w:rsidRPr="00A95876">
        <w:t>Bloomberg welcomes the opportunity to contribute to ESMA’s consultation paper including draft advice to the European Commission</w:t>
      </w:r>
      <w:r w:rsidR="00D76CC1">
        <w:t xml:space="preserve"> (EC) under A</w:t>
      </w:r>
      <w:r w:rsidRPr="00A95876">
        <w:t>rticle 8 of the Taxonomy Regulation. We believe ESMA closely aligned its technical advice with the</w:t>
      </w:r>
      <w:r w:rsidR="003C7962">
        <w:t xml:space="preserve"> recommendations of the</w:t>
      </w:r>
      <w:r w:rsidRPr="00A95876">
        <w:t xml:space="preserve"> EC’s Technical Expert Group</w:t>
      </w:r>
      <w:r w:rsidR="003C7962">
        <w:t xml:space="preserve"> on Sustainable Finance (TEG)</w:t>
      </w:r>
      <w:r w:rsidRPr="00A95876">
        <w:t>. We would therefore like to share our suggestions to improve the quality</w:t>
      </w:r>
      <w:r w:rsidR="00431EF5">
        <w:t xml:space="preserve"> and usability</w:t>
      </w:r>
      <w:r w:rsidRPr="00A95876">
        <w:t xml:space="preserve"> of the proposed reporting framework and ensure it is adjusted to the type of activities in scope. </w:t>
      </w:r>
    </w:p>
    <w:p w14:paraId="3B55570B" w14:textId="77777777" w:rsidR="00A95876" w:rsidRPr="00A95876" w:rsidRDefault="00A95876" w:rsidP="00A95876">
      <w:pPr>
        <w:jc w:val="both"/>
      </w:pPr>
    </w:p>
    <w:p w14:paraId="53F90900" w14:textId="71491301" w:rsidR="00A95876" w:rsidRPr="00A95876" w:rsidRDefault="00A95876" w:rsidP="002E1588">
      <w:pPr>
        <w:jc w:val="both"/>
        <w:rPr>
          <w:b/>
        </w:rPr>
      </w:pPr>
      <w:r w:rsidRPr="00A95876">
        <w:rPr>
          <w:b/>
        </w:rPr>
        <w:t>Non-financial undertakings - KPIs reporting</w:t>
      </w:r>
      <w:r w:rsidR="00EE6105">
        <w:rPr>
          <w:b/>
        </w:rPr>
        <w:t>:</w:t>
      </w:r>
    </w:p>
    <w:p w14:paraId="13DB3432" w14:textId="5D01DAE8" w:rsidR="00A95876" w:rsidRPr="00A95876" w:rsidRDefault="00A95876" w:rsidP="002E1588">
      <w:pPr>
        <w:numPr>
          <w:ilvl w:val="0"/>
          <w:numId w:val="44"/>
        </w:numPr>
        <w:spacing w:after="100" w:afterAutospacing="1"/>
        <w:jc w:val="both"/>
      </w:pPr>
      <w:r w:rsidRPr="00A95876">
        <w:t xml:space="preserve">Bloomberg thinks that at a minimum a corporate should be reporting at a group or entity level. </w:t>
      </w:r>
      <w:r w:rsidR="00431EF5">
        <w:t xml:space="preserve">There is further complexity for a company reporting across economic activities (i.e. segmenting their taxonomy turnover) and also on their contribution to each environmental </w:t>
      </w:r>
      <w:proofErr w:type="gramStart"/>
      <w:r w:rsidR="00431EF5">
        <w:t>objective, that</w:t>
      </w:r>
      <w:proofErr w:type="gramEnd"/>
      <w:r w:rsidR="00431EF5">
        <w:t xml:space="preserve"> needs to be clearly communicated. </w:t>
      </w:r>
      <w:r w:rsidRPr="00A95876">
        <w:t xml:space="preserve">Should full segmentation by economic activity, by environmental objective and by enabling/transitioning be required for all 3 KPIs, it will become very costly and time consuming for the corporate discloser, the data aggregator and the financial market participant. </w:t>
      </w:r>
      <w:r w:rsidR="00B1247F" w:rsidRPr="0069081B">
        <w:t>Bloomberg therefore recommends retain</w:t>
      </w:r>
      <w:r w:rsidR="002E1588">
        <w:t>ing the 3 KPIs in the context of</w:t>
      </w:r>
      <w:r w:rsidR="00B1247F" w:rsidRPr="0069081B">
        <w:t xml:space="preserve"> each environmental objective and transitioning or enabling activities, but with the option to apply an existing sectoral system to any asset management reporting.</w:t>
      </w:r>
    </w:p>
    <w:p w14:paraId="5B6E2AEB" w14:textId="03449C4C" w:rsidR="00A95876" w:rsidRPr="00A95876" w:rsidRDefault="00A95876" w:rsidP="002E1588">
      <w:pPr>
        <w:numPr>
          <w:ilvl w:val="0"/>
          <w:numId w:val="44"/>
        </w:numPr>
        <w:spacing w:before="100" w:beforeAutospacing="1" w:after="100" w:afterAutospacing="1"/>
        <w:jc w:val="both"/>
      </w:pPr>
      <w:r w:rsidRPr="00A95876">
        <w:t>Bloomberg highlights that the methodology to report EU Taxonomy revenue should align with how such revenue i</w:t>
      </w:r>
      <w:r w:rsidR="002E1588">
        <w:t>s accounted for, therefore the T</w:t>
      </w:r>
      <w:r w:rsidRPr="00A95876">
        <w:t xml:space="preserve">axonomy turnover should be consistent with a company’s overall turnover. </w:t>
      </w:r>
    </w:p>
    <w:p w14:paraId="2C716186" w14:textId="15C17529" w:rsidR="00A95876" w:rsidRPr="00A95876" w:rsidRDefault="00A95876" w:rsidP="002E1588">
      <w:pPr>
        <w:numPr>
          <w:ilvl w:val="0"/>
          <w:numId w:val="44"/>
        </w:numPr>
        <w:spacing w:before="100" w:beforeAutospacing="1" w:after="100" w:afterAutospacing="1"/>
        <w:jc w:val="both"/>
      </w:pPr>
      <w:r w:rsidRPr="00A95876">
        <w:t xml:space="preserve">Overall, Bloomberg agrees with the use of NACE but it needs to be aligned with all activities under the EU Taxonomy, and it needs to be accompanied by </w:t>
      </w:r>
      <w:r w:rsidR="00B1247F" w:rsidRPr="0069081B">
        <w:t>alternate</w:t>
      </w:r>
      <w:r w:rsidRPr="0069081B">
        <w:t xml:space="preserve"> industry classification</w:t>
      </w:r>
      <w:r w:rsidR="00B1247F" w:rsidRPr="0069081B">
        <w:t xml:space="preserve"> mapping systems</w:t>
      </w:r>
      <w:r w:rsidRPr="0069081B">
        <w:t xml:space="preserve">, therefore NACE equivalence tables are essential. It is important that the ‘products / services associated </w:t>
      </w:r>
      <w:r w:rsidRPr="00A95876">
        <w:t xml:space="preserve">with economic activities which qualify as environmentally sustainable under Articles 3 and 9 of the Taxonomy Regulation’ are clearly defined. The Taxonomy Regulation classifies activities with and without NACE mappings, but to make this applicable for Financial Market Participants consuming the information NACE equivalence tables are crucial and should be used. </w:t>
      </w:r>
    </w:p>
    <w:p w14:paraId="14B71797" w14:textId="467075A3" w:rsidR="00A95876" w:rsidRPr="00A95876" w:rsidRDefault="00A95876" w:rsidP="002E1588">
      <w:pPr>
        <w:numPr>
          <w:ilvl w:val="0"/>
          <w:numId w:val="44"/>
        </w:numPr>
        <w:spacing w:before="100" w:beforeAutospacing="1" w:after="100" w:afterAutospacing="1"/>
        <w:jc w:val="both"/>
      </w:pPr>
      <w:r w:rsidRPr="00A95876">
        <w:t xml:space="preserve">Bloomberg would recommend limiting the primary KPI to entity level alignment </w:t>
      </w:r>
      <w:r w:rsidR="00294FAB">
        <w:t>for each</w:t>
      </w:r>
      <w:r w:rsidRPr="00A95876">
        <w:t xml:space="preserve"> environmental objective</w:t>
      </w:r>
      <w:r w:rsidR="00294FAB">
        <w:t xml:space="preserve"> and</w:t>
      </w:r>
      <w:r w:rsidRPr="00A95876">
        <w:t xml:space="preserve"> providing context on the transitioning or enabling </w:t>
      </w:r>
      <w:r w:rsidR="00294FAB">
        <w:t>activities.</w:t>
      </w:r>
    </w:p>
    <w:p w14:paraId="50D7E262" w14:textId="7747F31D" w:rsidR="00A95876" w:rsidRPr="00A95876" w:rsidRDefault="00A95876" w:rsidP="002E1588">
      <w:pPr>
        <w:numPr>
          <w:ilvl w:val="0"/>
          <w:numId w:val="44"/>
        </w:numPr>
        <w:spacing w:before="100" w:beforeAutospacing="1" w:after="100" w:afterAutospacing="1"/>
        <w:jc w:val="both"/>
      </w:pPr>
      <w:r w:rsidRPr="00A95876">
        <w:t>Bloomberg</w:t>
      </w:r>
      <w:r w:rsidR="00F043B4">
        <w:t xml:space="preserve"> also</w:t>
      </w:r>
      <w:r w:rsidRPr="00A95876">
        <w:t xml:space="preserve"> recommends ESMA to provide further clarity on the following additional aspects:</w:t>
      </w:r>
    </w:p>
    <w:p w14:paraId="0514A744" w14:textId="77777777" w:rsidR="00A95876" w:rsidRPr="00A95876" w:rsidRDefault="00A95876" w:rsidP="002E1588">
      <w:pPr>
        <w:numPr>
          <w:ilvl w:val="1"/>
          <w:numId w:val="44"/>
        </w:numPr>
        <w:spacing w:after="100" w:afterAutospacing="1"/>
        <w:jc w:val="both"/>
      </w:pPr>
      <w:r w:rsidRPr="00A95876">
        <w:t>Whether companies may use estimates for their mandatory Taxonomy-alignment reporting;</w:t>
      </w:r>
    </w:p>
    <w:p w14:paraId="7B193721" w14:textId="691E9A30" w:rsidR="00F043B4" w:rsidRPr="0069081B" w:rsidRDefault="00A95876" w:rsidP="002E1588">
      <w:pPr>
        <w:numPr>
          <w:ilvl w:val="1"/>
          <w:numId w:val="44"/>
        </w:numPr>
        <w:spacing w:before="100" w:beforeAutospacing="1" w:after="100" w:afterAutospacing="1"/>
        <w:jc w:val="both"/>
      </w:pPr>
      <w:r w:rsidRPr="00A95876">
        <w:t>How European companies are expected to report on their non-EU operations (Bloomberg recommends to clarify the requirements in respect of activities of EU corporates located outside the EU and opt for a reporting model including global operations, if any)</w:t>
      </w:r>
      <w:r w:rsidR="002E1588">
        <w:t>.</w:t>
      </w:r>
      <w:r w:rsidRPr="00A95876">
        <w:t xml:space="preserve"> </w:t>
      </w:r>
    </w:p>
    <w:p w14:paraId="6DAB94D8" w14:textId="1CC747A7" w:rsidR="00A95876" w:rsidRPr="00A95876" w:rsidRDefault="00A95876" w:rsidP="002E1588">
      <w:pPr>
        <w:jc w:val="both"/>
        <w:rPr>
          <w:b/>
        </w:rPr>
      </w:pPr>
      <w:r w:rsidRPr="00A95876">
        <w:rPr>
          <w:b/>
        </w:rPr>
        <w:t>Reporting no</w:t>
      </w:r>
      <w:r w:rsidR="00F043B4">
        <w:rPr>
          <w:b/>
        </w:rPr>
        <w:t xml:space="preserve">n-covered activities </w:t>
      </w:r>
    </w:p>
    <w:p w14:paraId="6A7A1628" w14:textId="4DD711A3" w:rsidR="00A95876" w:rsidRPr="00A95876" w:rsidRDefault="00A95876" w:rsidP="002E1588">
      <w:pPr>
        <w:numPr>
          <w:ilvl w:val="0"/>
          <w:numId w:val="45"/>
        </w:numPr>
        <w:spacing w:after="100" w:afterAutospacing="1"/>
        <w:jc w:val="both"/>
      </w:pPr>
      <w:r w:rsidRPr="00A95876">
        <w:t>Bloomberg recommends that the first statement in the non-financial report should break out elig</w:t>
      </w:r>
      <w:r w:rsidR="00D76CC1">
        <w:t>ible from non-</w:t>
      </w:r>
      <w:r w:rsidR="00D76CC1" w:rsidRPr="0069081B">
        <w:t>eligible</w:t>
      </w:r>
      <w:r w:rsidR="00B1247F" w:rsidRPr="0069081B">
        <w:t xml:space="preserve"> turnover</w:t>
      </w:r>
      <w:r w:rsidR="00D76CC1">
        <w:t xml:space="preserve">, </w:t>
      </w:r>
      <w:r w:rsidR="00D76CC1" w:rsidRPr="00D76CC1">
        <w:t xml:space="preserve">with eligibility </w:t>
      </w:r>
      <w:r w:rsidR="00D76CC1">
        <w:t>meaning that the activity is covered in the technical annexes of the Taxonomy Regulation</w:t>
      </w:r>
      <w:r w:rsidRPr="00A95876">
        <w:t xml:space="preserve">. We agree with approach 1, as proposed in section 3.3.4. </w:t>
      </w:r>
    </w:p>
    <w:p w14:paraId="68B0E7C0" w14:textId="77777777" w:rsidR="00A95876" w:rsidRPr="00A95876" w:rsidRDefault="00A95876" w:rsidP="002E1588">
      <w:pPr>
        <w:numPr>
          <w:ilvl w:val="0"/>
          <w:numId w:val="45"/>
        </w:numPr>
        <w:spacing w:before="100" w:beforeAutospacing="1" w:after="100" w:afterAutospacing="1"/>
        <w:jc w:val="both"/>
      </w:pPr>
      <w:r w:rsidRPr="00A95876">
        <w:t xml:space="preserve">Bloomberg disagrees with including non-covered activities in Annex III: even though these have </w:t>
      </w:r>
      <w:proofErr w:type="gramStart"/>
      <w:r w:rsidRPr="00A95876">
        <w:t>n/a</w:t>
      </w:r>
      <w:proofErr w:type="gramEnd"/>
      <w:r w:rsidRPr="00A95876">
        <w:t xml:space="preserve"> for the remaining columns it may confuse reporting corporates and lead to (accidental) taxonomy alignment reporting for non-covered activities. </w:t>
      </w:r>
    </w:p>
    <w:p w14:paraId="190B1FB9" w14:textId="7308B4F2" w:rsidR="00B1247F" w:rsidRDefault="00A95876" w:rsidP="002E1588">
      <w:pPr>
        <w:numPr>
          <w:ilvl w:val="0"/>
          <w:numId w:val="45"/>
        </w:numPr>
        <w:spacing w:beforeAutospacing="1" w:afterAutospacing="1"/>
        <w:jc w:val="both"/>
      </w:pPr>
      <w:r w:rsidRPr="00A95876">
        <w:lastRenderedPageBreak/>
        <w:t xml:space="preserve">There is a need for the European Commission’s Platform on Sustainable Finance to provide further clarity and </w:t>
      </w:r>
      <w:proofErr w:type="gramStart"/>
      <w:r w:rsidR="00C657D0">
        <w:t>advise</w:t>
      </w:r>
      <w:proofErr w:type="gramEnd"/>
      <w:r w:rsidR="00C657D0">
        <w:t xml:space="preserve"> on</w:t>
      </w:r>
      <w:r w:rsidRPr="00A95876">
        <w:t xml:space="preserve"> key metrics for enabling and transitioning activities. </w:t>
      </w:r>
    </w:p>
    <w:p w14:paraId="2A915280" w14:textId="3EF801D1" w:rsidR="00A95876" w:rsidRPr="00A95876" w:rsidRDefault="00A95876" w:rsidP="002E1588">
      <w:pPr>
        <w:numPr>
          <w:ilvl w:val="0"/>
          <w:numId w:val="45"/>
        </w:numPr>
        <w:spacing w:beforeAutospacing="1" w:afterAutospacing="1"/>
        <w:jc w:val="both"/>
      </w:pPr>
      <w:r w:rsidRPr="00A95876">
        <w:t>Bloomberg believes that if technical screening criteria for an economic activity have not yet been established by the Platform, then a company cannot make a taxonomy aligned KPI claim in their non-financial undertakings. Should the company feel that they are substantially contributing to an environmental ob</w:t>
      </w:r>
      <w:r w:rsidR="007165AA">
        <w:t>jective, then they should feed back to</w:t>
      </w:r>
      <w:r w:rsidRPr="00A95876">
        <w:t xml:space="preserve"> the Platform o</w:t>
      </w:r>
      <w:r w:rsidR="007165AA">
        <w:t>n</w:t>
      </w:r>
      <w:r w:rsidRPr="00A95876">
        <w:t xml:space="preserve"> why their economic activity should be considered and the technical screening criteria that they feel would represent compliance with the Taxonomy framework.</w:t>
      </w:r>
    </w:p>
    <w:p w14:paraId="2416B8DE" w14:textId="521D4DB7" w:rsidR="00A95876" w:rsidRPr="00A95876" w:rsidRDefault="00A95876" w:rsidP="002E1588">
      <w:pPr>
        <w:jc w:val="both"/>
        <w:rPr>
          <w:b/>
        </w:rPr>
      </w:pPr>
      <w:r w:rsidRPr="00A95876">
        <w:rPr>
          <w:b/>
        </w:rPr>
        <w:t>Asset manage</w:t>
      </w:r>
      <w:r w:rsidR="008914C2">
        <w:rPr>
          <w:b/>
        </w:rPr>
        <w:t xml:space="preserve">ment reporting recommendations </w:t>
      </w:r>
    </w:p>
    <w:p w14:paraId="4211E61C" w14:textId="1FE0FCC9" w:rsidR="00294FAB" w:rsidRPr="0069081B" w:rsidRDefault="00294FAB" w:rsidP="002E1588">
      <w:pPr>
        <w:pStyle w:val="ListParagraph"/>
        <w:numPr>
          <w:ilvl w:val="0"/>
          <w:numId w:val="48"/>
        </w:numPr>
        <w:jc w:val="both"/>
      </w:pPr>
      <w:r w:rsidRPr="0069081B">
        <w:t>Bloomberg believes that Annex IV reporting for asset managers does not need to be NACE aligned. Asset managers should be free to use their existing sector classifications, but still provide details on the 3 KPI in the context of each environmental objective and transitioning or enabling activities.</w:t>
      </w:r>
    </w:p>
    <w:p w14:paraId="53D12C62" w14:textId="049BB8C0" w:rsidR="006937C3" w:rsidRPr="008F186A" w:rsidRDefault="008914C2" w:rsidP="002E1588">
      <w:pPr>
        <w:pStyle w:val="ListParagraph"/>
        <w:numPr>
          <w:ilvl w:val="0"/>
          <w:numId w:val="48"/>
        </w:numPr>
        <w:jc w:val="both"/>
      </w:pPr>
      <w:r w:rsidRPr="008F186A">
        <w:t xml:space="preserve">Bloomberg agrees with the recommendations to report portfolio weighted holdings of taxonomy aligned activities based on turnover. Bloomberg agrees with the TEG recommendations on waterfall logic, </w:t>
      </w:r>
      <w:r w:rsidRPr="00431EF5">
        <w:t xml:space="preserve">such </w:t>
      </w:r>
      <w:r w:rsidRPr="008F186A">
        <w:t>that a green debt instrument with use of proceeds aligned to the Taxonomy would be counted first and if such use of proceeds are not taxonomy aligned then the company’s activitie</w:t>
      </w:r>
      <w:r w:rsidR="002E1588" w:rsidRPr="008F186A">
        <w:t>s (based on turnover) would</w:t>
      </w:r>
      <w:r w:rsidRPr="008F186A">
        <w:t xml:space="preserve"> be assessed for taxonomy alignment.</w:t>
      </w:r>
    </w:p>
    <w:p w14:paraId="2E42E127" w14:textId="29B79682" w:rsidR="006937C3" w:rsidRPr="00F043B4" w:rsidRDefault="008914C2" w:rsidP="002E1588">
      <w:pPr>
        <w:pStyle w:val="ListParagraph"/>
        <w:numPr>
          <w:ilvl w:val="0"/>
          <w:numId w:val="48"/>
        </w:numPr>
        <w:jc w:val="both"/>
      </w:pPr>
      <w:r>
        <w:t>Bloomberg be</w:t>
      </w:r>
      <w:r w:rsidR="008F186A">
        <w:t xml:space="preserve">lieves that </w:t>
      </w:r>
      <w:r w:rsidR="008F186A" w:rsidRPr="00EA23DE">
        <w:t>asset managers’</w:t>
      </w:r>
      <w:r w:rsidR="006937C3" w:rsidRPr="00EA23DE">
        <w:t xml:space="preserve"> </w:t>
      </w:r>
      <w:r w:rsidR="006937C3">
        <w:t>CapEx</w:t>
      </w:r>
      <w:bookmarkStart w:id="0" w:name="_GoBack"/>
      <w:bookmarkEnd w:id="0"/>
      <w:r w:rsidR="006937C3">
        <w:t xml:space="preserve"> and OpEx reporting under Article 8</w:t>
      </w:r>
      <w:r>
        <w:t xml:space="preserve"> should be asso</w:t>
      </w:r>
      <w:r w:rsidR="002E1588">
        <w:t>ciated with their own practices,</w:t>
      </w:r>
      <w:r>
        <w:t xml:space="preserve"> for example investments in more energy efficient offices or changing employee transport options to less carbon intensive travel. Bloom</w:t>
      </w:r>
      <w:r w:rsidR="006937C3">
        <w:t>berg does not believe that the CapEx or OpE</w:t>
      </w:r>
      <w:r>
        <w:t xml:space="preserve">x of the underlying investee company should apply to these KPIs. </w:t>
      </w:r>
      <w:r w:rsidRPr="00F043B4">
        <w:t>We would not have a sufficient understanding of what asset managers are doing</w:t>
      </w:r>
      <w:r w:rsidR="00294FAB">
        <w:t xml:space="preserve"> in the context of their own operations, without</w:t>
      </w:r>
      <w:r w:rsidRPr="00F043B4">
        <w:t xml:space="preserve"> these reports.</w:t>
      </w:r>
      <w:r w:rsidRPr="00F043B4">
        <w:rPr>
          <w:b/>
        </w:rPr>
        <w:t xml:space="preserve"> </w:t>
      </w:r>
    </w:p>
    <w:p w14:paraId="3B1CB46F" w14:textId="46696C4B" w:rsidR="008914C2" w:rsidRDefault="008914C2" w:rsidP="002E1588">
      <w:pPr>
        <w:pStyle w:val="ListParagraph"/>
        <w:numPr>
          <w:ilvl w:val="0"/>
          <w:numId w:val="48"/>
        </w:numPr>
        <w:jc w:val="both"/>
      </w:pPr>
      <w:r w:rsidRPr="00BF4873">
        <w:t xml:space="preserve">Bloomberg </w:t>
      </w:r>
      <w:r>
        <w:t>believes that the methodology under Article 8 reporting should draw parallels t</w:t>
      </w:r>
      <w:r w:rsidR="002E1588">
        <w:t>o the reporting required under A</w:t>
      </w:r>
      <w:r>
        <w:t>rticles 5 and 6; therefore any clarification of eligible investment (e.g. removing government holdings, derivatives, FX or certain commercial deposits) should apply to both Article 8 and Articles 5 and 6 methodologies. This will ensure consistency in reporting and comparable data sets.</w:t>
      </w:r>
    </w:p>
    <w:p w14:paraId="5D1BC427" w14:textId="56D57060" w:rsidR="003C7962" w:rsidRPr="00C13B8F" w:rsidRDefault="008914C2" w:rsidP="003C7962">
      <w:pPr>
        <w:pStyle w:val="ListParagraph"/>
        <w:numPr>
          <w:ilvl w:val="0"/>
          <w:numId w:val="48"/>
        </w:numPr>
      </w:pPr>
      <w:r w:rsidRPr="00C13B8F">
        <w:t xml:space="preserve">Bloomberg agrees with the proposal </w:t>
      </w:r>
      <w:r w:rsidR="00294FAB" w:rsidRPr="00C13B8F">
        <w:t>of</w:t>
      </w:r>
      <w:r w:rsidRPr="00C13B8F">
        <w:t xml:space="preserve"> eligible investments</w:t>
      </w:r>
      <w:r w:rsidR="003C7962" w:rsidRPr="00C13B8F">
        <w:t>.</w:t>
      </w:r>
    </w:p>
    <w:p w14:paraId="0400949A" w14:textId="6CF2B699" w:rsidR="00F043B4" w:rsidRDefault="00F043B4" w:rsidP="002E1588">
      <w:pPr>
        <w:pStyle w:val="ListParagraph"/>
        <w:numPr>
          <w:ilvl w:val="0"/>
          <w:numId w:val="48"/>
        </w:numPr>
        <w:jc w:val="both"/>
      </w:pPr>
      <w:r>
        <w:t>Bloomberg disagrees with the layout of Annex</w:t>
      </w:r>
      <w:r w:rsidR="002E1588">
        <w:t xml:space="preserve"> IV. Bloomberg believes that </w:t>
      </w:r>
      <w:r w:rsidR="002E1588" w:rsidRPr="00EA23DE">
        <w:t>asset managers’</w:t>
      </w:r>
      <w:r w:rsidRPr="00EA23DE">
        <w:t xml:space="preserve"> </w:t>
      </w:r>
      <w:r>
        <w:t xml:space="preserve">CapEx or OpEx should represent the greening of their own business practices and not those of the underlying investment. Only the turnover KPI should represent the proportion of holdings in taxonomy aligned activities. Any direct investment or holdings in a company whose use of proceeds are taxonomy aligned would count in the turnover calculation. This would represent the direct impact </w:t>
      </w:r>
      <w:r w:rsidR="002E1588">
        <w:t>the asset manager has on green CapE</w:t>
      </w:r>
      <w:r>
        <w:t>x or investment made by the investee company.</w:t>
      </w:r>
    </w:p>
    <w:p w14:paraId="50D50428" w14:textId="0EF176E0" w:rsidR="00F043B4" w:rsidRDefault="00A95876" w:rsidP="00F1063E">
      <w:pPr>
        <w:pStyle w:val="ListParagraph"/>
        <w:numPr>
          <w:ilvl w:val="0"/>
          <w:numId w:val="48"/>
        </w:numPr>
        <w:jc w:val="both"/>
        <w:rPr>
          <w:rFonts w:cs="Arial"/>
          <w:i/>
          <w:iCs/>
          <w:color w:val="000000"/>
          <w:sz w:val="24"/>
          <w:lang w:eastAsia="zh-CN"/>
        </w:rPr>
      </w:pPr>
      <w:r w:rsidRPr="00A95876">
        <w:t>Bloomberg agrees with t</w:t>
      </w:r>
      <w:r w:rsidR="00F1063E">
        <w:t>he advice provided by the TEG</w:t>
      </w:r>
      <w:r w:rsidRPr="00A95876">
        <w:t xml:space="preserve"> that taxonomy eligible activities conducted by companies not covered by the Non-Financial Reporting Directive (e.g. international companies or SMEs) should be allowed to report separately the percentage of an asset manager’s holdings that are “potentially aligned”. Otherwise asset managers who are investing in Taxonomy covered activities outside the scope of the NFRD will be under-stating their impact on the transition to more environmentally sustainable practices</w:t>
      </w:r>
      <w:r w:rsidRPr="00F043B4">
        <w:rPr>
          <w:rFonts w:cs="Arial"/>
          <w:i/>
          <w:iCs/>
          <w:color w:val="000000"/>
          <w:sz w:val="24"/>
          <w:lang w:eastAsia="zh-CN"/>
        </w:rPr>
        <w:t>.</w:t>
      </w:r>
    </w:p>
    <w:p w14:paraId="4FB1CC69" w14:textId="30A93349" w:rsidR="009245EF" w:rsidRDefault="009245EF" w:rsidP="009245EF">
      <w:pPr>
        <w:rPr>
          <w:rFonts w:cs="Arial"/>
          <w:i/>
          <w:iCs/>
          <w:color w:val="000000"/>
          <w:sz w:val="24"/>
          <w:lang w:eastAsia="zh-CN"/>
        </w:rPr>
      </w:pPr>
    </w:p>
    <w:p w14:paraId="66214DC3" w14:textId="58D12375" w:rsidR="009245EF" w:rsidRPr="009245EF" w:rsidRDefault="00F1063E" w:rsidP="00F1063E">
      <w:pPr>
        <w:jc w:val="both"/>
      </w:pPr>
      <w:r>
        <w:t>Finally, i</w:t>
      </w:r>
      <w:r w:rsidR="007F3B3C">
        <w:t xml:space="preserve">n the context of non-financial reporting, </w:t>
      </w:r>
      <w:r w:rsidR="00662857">
        <w:t>Bloomberg would</w:t>
      </w:r>
      <w:r w:rsidR="00A619D5">
        <w:t xml:space="preserve"> </w:t>
      </w:r>
      <w:r w:rsidR="00662857">
        <w:t>like to reit</w:t>
      </w:r>
      <w:r w:rsidR="00A619D5">
        <w:t>erate its support for the Task-f</w:t>
      </w:r>
      <w:r w:rsidR="00662857">
        <w:t>orce on Climate-related Disclosures (TCFD) recommendations</w:t>
      </w:r>
      <w:r w:rsidR="007F3B3C">
        <w:t xml:space="preserve">, as </w:t>
      </w:r>
      <w:r w:rsidR="00A619D5">
        <w:t xml:space="preserve">also </w:t>
      </w:r>
      <w:r w:rsidR="007F3B3C">
        <w:t>outl</w:t>
      </w:r>
      <w:r>
        <w:t>ined in previous responses to</w:t>
      </w:r>
      <w:r w:rsidR="007F3B3C">
        <w:t xml:space="preserve"> consultations</w:t>
      </w:r>
      <w:r w:rsidR="00A619D5">
        <w:t>.</w:t>
      </w:r>
      <w:r w:rsidR="00662857">
        <w:t xml:space="preserve"> To claim substantial contribution to climate change adaptation, a company needs to demonstrate that it is reducing all material physical climate risks to the extent possible. The TCFD is the only framework that can help a company demonstrate they have robustly analysed climate-related risks and opportunities and in turn enable investors to make clear, informed decisions.</w:t>
      </w:r>
    </w:p>
    <w:permEnd w:id="44765448"/>
    <w:p w14:paraId="68F63540" w14:textId="75AB89DE"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2"/>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4D7A1D5C" w14:textId="77777777" w:rsidR="00E16542" w:rsidRDefault="00C061BA" w:rsidP="00F1063E">
      <w:pPr>
        <w:jc w:val="both"/>
      </w:pPr>
      <w:permStart w:id="1576605906" w:edGrp="everyone"/>
      <w:r>
        <w:t>Bloomberg recognises the challenges of reporting turnover subject to both IFRS and GAAP accounting standards</w:t>
      </w:r>
      <w:r w:rsidR="00C226C1">
        <w:t>, and would ask that the end figure is comparable between disclosing companies</w:t>
      </w:r>
      <w:r w:rsidR="009C2371">
        <w:t xml:space="preserve">. To achieve this, Bloomberg </w:t>
      </w:r>
      <w:r w:rsidR="00EC7EE3">
        <w:t>agrees with recommendations</w:t>
      </w:r>
      <w:r w:rsidR="009C2371">
        <w:t xml:space="preserve"> that the amount of turnover is accompanied with a percentage of total turnover at the group or entity level, then the percentage value can be used to compare between companies with different accounting standards.</w:t>
      </w:r>
      <w:r w:rsidR="00B822B7">
        <w:t xml:space="preserve"> </w:t>
      </w:r>
    </w:p>
    <w:p w14:paraId="0B8E7E11" w14:textId="77777777" w:rsidR="00E16542" w:rsidRDefault="00E16542" w:rsidP="00492B3A"/>
    <w:p w14:paraId="741FADC4" w14:textId="579AFFF9" w:rsidR="00492B3A" w:rsidRPr="0069081B" w:rsidRDefault="00E16542" w:rsidP="00F1063E">
      <w:pPr>
        <w:jc w:val="both"/>
      </w:pPr>
      <w:r w:rsidRPr="0069081B">
        <w:t xml:space="preserve">Bloomberg highlights that the methodology to report EU Taxonomy </w:t>
      </w:r>
      <w:r w:rsidR="00294FAB" w:rsidRPr="0069081B">
        <w:t>revenue</w:t>
      </w:r>
      <w:r w:rsidRPr="0069081B">
        <w:t xml:space="preserve"> should align with how such revenue is accounted for, therefore the T</w:t>
      </w:r>
      <w:r w:rsidR="00B822B7" w:rsidRPr="0069081B">
        <w:t xml:space="preserve">axonomy turnover </w:t>
      </w:r>
      <w:r w:rsidRPr="0069081B">
        <w:t>should be</w:t>
      </w:r>
      <w:r w:rsidR="00B822B7" w:rsidRPr="0069081B">
        <w:t xml:space="preserve"> consistent with a company’s overall turnover. </w:t>
      </w:r>
    </w:p>
    <w:p w14:paraId="0309928D" w14:textId="3ABE2079" w:rsidR="00492B3A" w:rsidRPr="0069081B" w:rsidRDefault="00492B3A" w:rsidP="00492B3A"/>
    <w:p w14:paraId="74FF9551" w14:textId="406B16A1" w:rsidR="001B738B" w:rsidRPr="0069081B" w:rsidRDefault="001B738B" w:rsidP="00F1063E">
      <w:pPr>
        <w:jc w:val="both"/>
        <w:rPr>
          <w:iCs/>
        </w:rPr>
      </w:pPr>
      <w:r w:rsidRPr="0069081B">
        <w:rPr>
          <w:iCs/>
        </w:rPr>
        <w:t>It is</w:t>
      </w:r>
      <w:r w:rsidR="00E16542" w:rsidRPr="0069081B">
        <w:rPr>
          <w:iCs/>
        </w:rPr>
        <w:t xml:space="preserve"> also</w:t>
      </w:r>
      <w:r w:rsidRPr="0069081B">
        <w:rPr>
          <w:iCs/>
        </w:rPr>
        <w:t xml:space="preserve"> important to recognise that industries have different definitions</w:t>
      </w:r>
      <w:r w:rsidR="004A3E7C" w:rsidRPr="0069081B">
        <w:rPr>
          <w:iCs/>
        </w:rPr>
        <w:t xml:space="preserve"> of net sales changes dependent on </w:t>
      </w:r>
      <w:r w:rsidR="00294FAB" w:rsidRPr="0069081B">
        <w:rPr>
          <w:iCs/>
        </w:rPr>
        <w:t>their industry or sector</w:t>
      </w:r>
      <w:r w:rsidR="003F79C1" w:rsidRPr="0069081B">
        <w:rPr>
          <w:iCs/>
        </w:rPr>
        <w:t>, defined below as per Bloomberg:</w:t>
      </w:r>
      <w:r w:rsidRPr="0069081B">
        <w:rPr>
          <w:iCs/>
        </w:rPr>
        <w:t xml:space="preserve"> </w:t>
      </w:r>
    </w:p>
    <w:p w14:paraId="3D332607" w14:textId="63598927" w:rsidR="001B738B" w:rsidRDefault="004A3E7C" w:rsidP="00F1063E">
      <w:pPr>
        <w:pStyle w:val="ListParagraph"/>
        <w:numPr>
          <w:ilvl w:val="0"/>
          <w:numId w:val="40"/>
        </w:numPr>
        <w:jc w:val="both"/>
        <w:rPr>
          <w:iCs/>
        </w:rPr>
      </w:pPr>
      <w:r w:rsidRPr="0069081B">
        <w:rPr>
          <w:iCs/>
        </w:rPr>
        <w:t xml:space="preserve">INDUSTRIAL: Amount of sales </w:t>
      </w:r>
      <w:r w:rsidR="00E16542" w:rsidRPr="0069081B">
        <w:rPr>
          <w:iCs/>
        </w:rPr>
        <w:t xml:space="preserve">which </w:t>
      </w:r>
      <w:r w:rsidR="001B738B">
        <w:rPr>
          <w:iCs/>
        </w:rPr>
        <w:t xml:space="preserve">are </w:t>
      </w:r>
      <w:r w:rsidRPr="001B738B">
        <w:rPr>
          <w:iCs/>
        </w:rPr>
        <w:t>generated by a company after the deduction of sales returns, allowances, di</w:t>
      </w:r>
      <w:r w:rsidR="00F1063E">
        <w:rPr>
          <w:iCs/>
        </w:rPr>
        <w:t>scounts, and sales based taxes.</w:t>
      </w:r>
      <w:r w:rsidRPr="001B738B">
        <w:rPr>
          <w:iCs/>
        </w:rPr>
        <w:t xml:space="preserve"> </w:t>
      </w:r>
      <w:r w:rsidR="001B738B">
        <w:rPr>
          <w:iCs/>
        </w:rPr>
        <w:t>This i</w:t>
      </w:r>
      <w:r w:rsidRPr="001B738B">
        <w:rPr>
          <w:iCs/>
        </w:rPr>
        <w:t>ncludes revenues from financial subsidiaries in industrial companies if the consolidation includes those subsidiaries throughout the report</w:t>
      </w:r>
      <w:r w:rsidR="001B738B">
        <w:rPr>
          <w:iCs/>
        </w:rPr>
        <w:t xml:space="preserve">, as well as </w:t>
      </w:r>
      <w:r w:rsidRPr="001B738B">
        <w:rPr>
          <w:iCs/>
        </w:rPr>
        <w:t>subsidies from federal or local government in certain industries (i.e.</w:t>
      </w:r>
      <w:r w:rsidR="001B738B">
        <w:rPr>
          <w:iCs/>
        </w:rPr>
        <w:t xml:space="preserve"> transportation or utilities). T</w:t>
      </w:r>
      <w:r w:rsidRPr="001B738B">
        <w:rPr>
          <w:iCs/>
        </w:rPr>
        <w:t>urnover from joint ventures and/or associates</w:t>
      </w:r>
      <w:r w:rsidR="001B738B">
        <w:rPr>
          <w:iCs/>
        </w:rPr>
        <w:t xml:space="preserve"> is excluded, in addition to</w:t>
      </w:r>
      <w:r w:rsidRPr="001B738B">
        <w:rPr>
          <w:iCs/>
        </w:rPr>
        <w:t xml:space="preserve"> </w:t>
      </w:r>
      <w:r w:rsidR="001B738B">
        <w:rPr>
          <w:iCs/>
        </w:rPr>
        <w:t>inter-company revenue and</w:t>
      </w:r>
      <w:r w:rsidRPr="001B738B">
        <w:rPr>
          <w:iCs/>
        </w:rPr>
        <w:t xml:space="preserve"> revenue</w:t>
      </w:r>
      <w:r w:rsidR="001B738B">
        <w:rPr>
          <w:iCs/>
        </w:rPr>
        <w:t>s from discontinued operations.</w:t>
      </w:r>
    </w:p>
    <w:p w14:paraId="1471EE3B" w14:textId="77777777" w:rsidR="001B738B" w:rsidRDefault="004A3E7C" w:rsidP="00F1063E">
      <w:pPr>
        <w:pStyle w:val="ListParagraph"/>
        <w:numPr>
          <w:ilvl w:val="0"/>
          <w:numId w:val="40"/>
        </w:numPr>
        <w:jc w:val="both"/>
        <w:rPr>
          <w:iCs/>
        </w:rPr>
      </w:pPr>
      <w:r w:rsidRPr="001B738B">
        <w:rPr>
          <w:iCs/>
        </w:rPr>
        <w:t>BANKS &amp; FINANCIALS</w:t>
      </w:r>
      <w:r w:rsidR="001B738B">
        <w:rPr>
          <w:iCs/>
        </w:rPr>
        <w:t xml:space="preserve">: </w:t>
      </w:r>
      <w:r w:rsidRPr="001B738B">
        <w:rPr>
          <w:iCs/>
        </w:rPr>
        <w:t>Gross revenu</w:t>
      </w:r>
      <w:r w:rsidR="001B738B">
        <w:rPr>
          <w:iCs/>
        </w:rPr>
        <w:t xml:space="preserve">e from any operating activity. </w:t>
      </w:r>
      <w:r w:rsidRPr="001B738B">
        <w:rPr>
          <w:iCs/>
        </w:rPr>
        <w:t>Total revenue is defined as the sum of total interest income, investment income, trading profit (loss), commissions and fees earned and other operating income.</w:t>
      </w:r>
    </w:p>
    <w:p w14:paraId="6428A927" w14:textId="56CEB12B" w:rsidR="001B738B" w:rsidRDefault="004A3E7C" w:rsidP="00F1063E">
      <w:pPr>
        <w:pStyle w:val="ListParagraph"/>
        <w:numPr>
          <w:ilvl w:val="0"/>
          <w:numId w:val="40"/>
        </w:numPr>
        <w:jc w:val="both"/>
        <w:rPr>
          <w:iCs/>
        </w:rPr>
      </w:pPr>
      <w:r w:rsidRPr="001B738B">
        <w:rPr>
          <w:iCs/>
        </w:rPr>
        <w:t>INSURANCE</w:t>
      </w:r>
      <w:r w:rsidR="001B738B">
        <w:rPr>
          <w:iCs/>
        </w:rPr>
        <w:t>: A</w:t>
      </w:r>
      <w:r w:rsidRPr="001B738B">
        <w:rPr>
          <w:iCs/>
        </w:rPr>
        <w:t xml:space="preserve">ll revenues </w:t>
      </w:r>
      <w:r w:rsidR="001B738B">
        <w:rPr>
          <w:iCs/>
        </w:rPr>
        <w:t>from any operating activities, such as: the sum of net premiums earned;</w:t>
      </w:r>
      <w:r w:rsidRPr="001B738B">
        <w:rPr>
          <w:iCs/>
        </w:rPr>
        <w:t xml:space="preserve"> </w:t>
      </w:r>
      <w:r w:rsidR="001B738B">
        <w:rPr>
          <w:iCs/>
        </w:rPr>
        <w:t>realized investment gain (loss); investment income; real estate operations;</w:t>
      </w:r>
      <w:r w:rsidRPr="001B738B">
        <w:rPr>
          <w:iCs/>
        </w:rPr>
        <w:t xml:space="preserve"> and other income.</w:t>
      </w:r>
    </w:p>
    <w:p w14:paraId="33E26FF1" w14:textId="77777777" w:rsidR="001B738B" w:rsidRDefault="004A3E7C" w:rsidP="00F1063E">
      <w:pPr>
        <w:pStyle w:val="ListParagraph"/>
        <w:numPr>
          <w:ilvl w:val="0"/>
          <w:numId w:val="40"/>
        </w:numPr>
        <w:jc w:val="both"/>
        <w:rPr>
          <w:iCs/>
        </w:rPr>
      </w:pPr>
      <w:r w:rsidRPr="001B738B">
        <w:rPr>
          <w:iCs/>
        </w:rPr>
        <w:t>UTILITIES</w:t>
      </w:r>
      <w:r w:rsidR="001B738B">
        <w:rPr>
          <w:iCs/>
        </w:rPr>
        <w:t xml:space="preserve">: </w:t>
      </w:r>
      <w:r w:rsidRPr="001B738B">
        <w:rPr>
          <w:iCs/>
        </w:rPr>
        <w:t>Includes revenues from electric, gas, water and other op</w:t>
      </w:r>
      <w:r w:rsidR="001B738B">
        <w:rPr>
          <w:iCs/>
        </w:rPr>
        <w:t>erating revenue, in addition to a</w:t>
      </w:r>
      <w:r w:rsidRPr="001B738B">
        <w:rPr>
          <w:iCs/>
        </w:rPr>
        <w:t>ll revenues from any operating act</w:t>
      </w:r>
      <w:r w:rsidR="001B738B">
        <w:rPr>
          <w:iCs/>
        </w:rPr>
        <w:t>ivity (principal activities), and g</w:t>
      </w:r>
      <w:r w:rsidRPr="001B738B">
        <w:rPr>
          <w:iCs/>
        </w:rPr>
        <w:t xml:space="preserve">ross revenues less adjustments.  </w:t>
      </w:r>
      <w:r w:rsidR="001B738B">
        <w:rPr>
          <w:iCs/>
        </w:rPr>
        <w:t>Internal</w:t>
      </w:r>
      <w:r w:rsidRPr="001B738B">
        <w:rPr>
          <w:iCs/>
        </w:rPr>
        <w:t xml:space="preserve"> or inter-company revenues</w:t>
      </w:r>
      <w:r w:rsidR="001B738B">
        <w:rPr>
          <w:iCs/>
        </w:rPr>
        <w:t xml:space="preserve"> are excluded</w:t>
      </w:r>
      <w:r w:rsidRPr="001B738B">
        <w:rPr>
          <w:iCs/>
        </w:rPr>
        <w:t>, except for privately held companies (utility subsidiaries).</w:t>
      </w:r>
    </w:p>
    <w:p w14:paraId="5591F12E" w14:textId="733D9AA3" w:rsidR="00354C92" w:rsidRPr="00B822B7" w:rsidRDefault="004A3E7C" w:rsidP="00F1063E">
      <w:pPr>
        <w:pStyle w:val="ListParagraph"/>
        <w:numPr>
          <w:ilvl w:val="0"/>
          <w:numId w:val="40"/>
        </w:numPr>
        <w:jc w:val="both"/>
        <w:rPr>
          <w:iCs/>
        </w:rPr>
      </w:pPr>
      <w:r w:rsidRPr="001B738B">
        <w:rPr>
          <w:iCs/>
        </w:rPr>
        <w:t>REITS</w:t>
      </w:r>
      <w:r w:rsidR="001B738B">
        <w:rPr>
          <w:iCs/>
        </w:rPr>
        <w:t xml:space="preserve">: </w:t>
      </w:r>
      <w:r w:rsidRPr="001B738B">
        <w:rPr>
          <w:iCs/>
        </w:rPr>
        <w:t>Revenues from real estate operating activities. Total of rental income, real estate sales (for Real Estate Operating companies), management and advisory fees, mortgage and note income and other operating income</w:t>
      </w:r>
      <w:r w:rsidR="001B738B">
        <w:rPr>
          <w:iCs/>
        </w:rPr>
        <w:t xml:space="preserve"> are included</w:t>
      </w:r>
      <w:r w:rsidRPr="001B738B">
        <w:rPr>
          <w:iCs/>
        </w:rPr>
        <w:t xml:space="preserve">.  </w:t>
      </w:r>
      <w:r w:rsidR="001B738B">
        <w:rPr>
          <w:iCs/>
        </w:rPr>
        <w:t>E</w:t>
      </w:r>
      <w:r w:rsidRPr="001B738B">
        <w:rPr>
          <w:iCs/>
        </w:rPr>
        <w:t>quity in income from unconsolidated entities</w:t>
      </w:r>
      <w:r w:rsidR="001B738B">
        <w:rPr>
          <w:iCs/>
        </w:rPr>
        <w:t xml:space="preserve"> is excluded, as well as </w:t>
      </w:r>
      <w:r w:rsidRPr="001B738B">
        <w:rPr>
          <w:iCs/>
        </w:rPr>
        <w:t>gain</w:t>
      </w:r>
      <w:proofErr w:type="gramStart"/>
      <w:r w:rsidRPr="001B738B">
        <w:rPr>
          <w:iCs/>
        </w:rPr>
        <w:t>/(</w:t>
      </w:r>
      <w:proofErr w:type="gramEnd"/>
      <w:r w:rsidRPr="001B738B">
        <w:rPr>
          <w:iCs/>
        </w:rPr>
        <w:t>loss) on sale of rental properties</w:t>
      </w:r>
      <w:r w:rsidRPr="001B738B">
        <w:rPr>
          <w:i/>
          <w:iCs/>
          <w:color w:val="1F497D" w:themeColor="text2"/>
        </w:rPr>
        <w:t>.</w:t>
      </w:r>
    </w:p>
    <w:permEnd w:id="1576605906"/>
    <w:p w14:paraId="2AF08CF6" w14:textId="77777777" w:rsidR="00492B3A" w:rsidRDefault="00492B3A" w:rsidP="00492B3A"/>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687DC5C4" w14:textId="1CABE2EF" w:rsidR="00E16542" w:rsidRPr="0069081B" w:rsidRDefault="00E16542" w:rsidP="00F1063E">
      <w:pPr>
        <w:jc w:val="both"/>
      </w:pPr>
      <w:permStart w:id="1123047147" w:edGrp="everyone"/>
      <w:r w:rsidRPr="0069081B">
        <w:t xml:space="preserve">Overall, we agree with the use of NACE but it needs to be aligned with all activities under the EU Taxonomy, and it needs to be accompanied by </w:t>
      </w:r>
      <w:r w:rsidR="00B1247F" w:rsidRPr="0069081B">
        <w:t>further mappings to alternate</w:t>
      </w:r>
      <w:r w:rsidRPr="0069081B">
        <w:t xml:space="preserve"> industry classification</w:t>
      </w:r>
      <w:r w:rsidR="00B1247F" w:rsidRPr="0069081B">
        <w:t xml:space="preserve"> systems</w:t>
      </w:r>
      <w:r w:rsidRPr="0069081B">
        <w:t>, therefore NACE equivalence tables are essential.</w:t>
      </w:r>
    </w:p>
    <w:p w14:paraId="49AB6037" w14:textId="77777777" w:rsidR="00E16542" w:rsidRPr="00D76CC1" w:rsidRDefault="00E16542" w:rsidP="00492B3A">
      <w:pPr>
        <w:rPr>
          <w:color w:val="FF0000"/>
        </w:rPr>
      </w:pPr>
    </w:p>
    <w:p w14:paraId="45694F8F" w14:textId="450A2ACF" w:rsidR="00492B3A" w:rsidRPr="0069081B" w:rsidRDefault="00E16542" w:rsidP="00F1063E">
      <w:pPr>
        <w:jc w:val="both"/>
      </w:pPr>
      <w:r w:rsidRPr="0069081B">
        <w:t>In more detail, i</w:t>
      </w:r>
      <w:r w:rsidR="00C226C1" w:rsidRPr="0069081B">
        <w:t>t is important that</w:t>
      </w:r>
      <w:r w:rsidRPr="0069081B">
        <w:t xml:space="preserve"> the</w:t>
      </w:r>
      <w:r w:rsidR="00C226C1" w:rsidRPr="0069081B">
        <w:t xml:space="preserve"> ‘products / services associated with economic activities which qualify as environmentally sustainable under Articles 3 a</w:t>
      </w:r>
      <w:r w:rsidRPr="0069081B">
        <w:t>nd 9 of the Taxonomy Regulation’</w:t>
      </w:r>
      <w:r w:rsidR="00C226C1" w:rsidRPr="0069081B">
        <w:t xml:space="preserve"> </w:t>
      </w:r>
      <w:r w:rsidR="00931E37" w:rsidRPr="0069081B">
        <w:t>are</w:t>
      </w:r>
      <w:r w:rsidR="00C226C1" w:rsidRPr="0069081B">
        <w:t xml:space="preserve"> clearly defined. The Taxonomy Regulation classifies activities with and without NACE mappings, but to make this applicable for Financial Market Participants consuming the information NACE equivalence tables </w:t>
      </w:r>
      <w:r w:rsidR="005F45B4" w:rsidRPr="0069081B">
        <w:t xml:space="preserve">are crucial and </w:t>
      </w:r>
      <w:r w:rsidR="00C226C1" w:rsidRPr="0069081B">
        <w:t>should be used</w:t>
      </w:r>
      <w:r w:rsidR="00B822B7" w:rsidRPr="0069081B">
        <w:t xml:space="preserve">. </w:t>
      </w:r>
    </w:p>
    <w:p w14:paraId="6901D904" w14:textId="77777777" w:rsidR="00A21A28" w:rsidRDefault="00A21A28" w:rsidP="00492B3A"/>
    <w:p w14:paraId="18C541F6" w14:textId="1B2438F9" w:rsidR="00C226C1" w:rsidRDefault="00C226C1" w:rsidP="00F1063E">
      <w:pPr>
        <w:jc w:val="both"/>
      </w:pPr>
      <w:r>
        <w:t xml:space="preserve">For disclosing corporates, segmented revenue or turnover isn’t always aligned to NACE activities and can be </w:t>
      </w:r>
      <w:r w:rsidR="009C2371">
        <w:t xml:space="preserve">independently </w:t>
      </w:r>
      <w:r>
        <w:t>named by the disc</w:t>
      </w:r>
      <w:r w:rsidR="00F1063E">
        <w:t>losing corporate. When comparing</w:t>
      </w:r>
      <w:r>
        <w:t xml:space="preserve"> the segment revenue of car manu</w:t>
      </w:r>
      <w:r>
        <w:lastRenderedPageBreak/>
        <w:t>facturers, for example</w:t>
      </w:r>
      <w:r w:rsidR="00F1063E">
        <w:t>, it will be noted</w:t>
      </w:r>
      <w:r>
        <w:t xml:space="preserve"> that the segments</w:t>
      </w:r>
      <w:r w:rsidR="00F1063E">
        <w:t>,</w:t>
      </w:r>
      <w:r>
        <w:t xml:space="preserve"> whilst referring to the same activities (manufacturing, auto-finance, etc</w:t>
      </w:r>
      <w:r w:rsidR="00395892">
        <w:t>.</w:t>
      </w:r>
      <w:r>
        <w:t>) will be segmented with different naming conventions. A process is then required to map the corporate named segment to a classification system. There are some systems which classif</w:t>
      </w:r>
      <w:r w:rsidR="009C2371">
        <w:t>y</w:t>
      </w:r>
      <w:r>
        <w:t xml:space="preserve"> the majority share of a company’s activities by one reference, and there are other more granular classification systems that recognise the diverse nature of companies</w:t>
      </w:r>
      <w:r w:rsidR="00931E37">
        <w:t>’</w:t>
      </w:r>
      <w:r>
        <w:t xml:space="preserve"> revenue profiles.</w:t>
      </w:r>
    </w:p>
    <w:p w14:paraId="125E8F90" w14:textId="055B96CE" w:rsidR="00C226C1" w:rsidRDefault="00C226C1" w:rsidP="00492B3A"/>
    <w:p w14:paraId="25B4FD0F" w14:textId="23FD9E91" w:rsidR="00C226C1" w:rsidRDefault="00C226C1" w:rsidP="00F1063E">
      <w:pPr>
        <w:jc w:val="both"/>
      </w:pPr>
      <w:r>
        <w:t xml:space="preserve">For </w:t>
      </w:r>
      <w:r w:rsidR="00C13B8F">
        <w:t>A</w:t>
      </w:r>
      <w:r>
        <w:t xml:space="preserve">rticle 8 to be </w:t>
      </w:r>
      <w:r w:rsidRPr="00C13B8F">
        <w:t>appropriate</w:t>
      </w:r>
      <w:r w:rsidR="00395892" w:rsidRPr="00C13B8F">
        <w:t>ly</w:t>
      </w:r>
      <w:r w:rsidR="00F1063E">
        <w:t xml:space="preserve"> applied,</w:t>
      </w:r>
      <w:r w:rsidRPr="00C13B8F">
        <w:t xml:space="preserve"> disclosing corpor</w:t>
      </w:r>
      <w:r w:rsidR="00F1063E">
        <w:t>ates will need to break out their</w:t>
      </w:r>
      <w:r w:rsidRPr="00C13B8F">
        <w:t xml:space="preserve"> turnover by activities in line with the NACE system. Equally the NACE system should be able to map classifications to each of the activities in scope for Article 3 and 9 of the Taxonomy Regulation.</w:t>
      </w:r>
      <w:r w:rsidR="00EC7EE3" w:rsidRPr="00C13B8F">
        <w:t xml:space="preserve"> Bloomberg therefore agrees with the proposal under Annex III to </w:t>
      </w:r>
      <w:r w:rsidR="00395892" w:rsidRPr="00C13B8F">
        <w:t>increase</w:t>
      </w:r>
      <w:r w:rsidR="00EC7EE3" w:rsidRPr="00C13B8F">
        <w:t xml:space="preserve"> standardisation in revenue segmentation and taxonomy alignment</w:t>
      </w:r>
      <w:r w:rsidR="00B822B7" w:rsidRPr="00C13B8F">
        <w:t>, and</w:t>
      </w:r>
      <w:r w:rsidR="00C13B8F" w:rsidRPr="00C13B8F">
        <w:t xml:space="preserve"> also</w:t>
      </w:r>
      <w:r w:rsidR="00B822B7" w:rsidRPr="00C13B8F">
        <w:t xml:space="preserve"> </w:t>
      </w:r>
      <w:r w:rsidR="00C13B8F" w:rsidRPr="00C13B8F">
        <w:t>su</w:t>
      </w:r>
      <w:r w:rsidR="00C13B8F">
        <w:t>ggests the</w:t>
      </w:r>
      <w:r w:rsidR="00B822B7" w:rsidRPr="00C13B8F">
        <w:t xml:space="preserve"> NACE classification system</w:t>
      </w:r>
      <w:r w:rsidR="00C13B8F" w:rsidRPr="00C13B8F">
        <w:t xml:space="preserve"> to be updated in order to </w:t>
      </w:r>
      <w:r w:rsidR="00B822B7" w:rsidRPr="00C13B8F">
        <w:t>cover all activities set forth in the Taxonomy Regulation</w:t>
      </w:r>
      <w:r w:rsidR="00EC7EE3" w:rsidRPr="00C13B8F">
        <w:t>.</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21161490" w14:textId="41E588D5" w:rsidR="00EC7EE3" w:rsidRPr="00395892" w:rsidRDefault="00EC7EE3" w:rsidP="00F1063E">
      <w:pPr>
        <w:jc w:val="both"/>
        <w:rPr>
          <w:color w:val="C0504D" w:themeColor="accent2"/>
        </w:rPr>
      </w:pPr>
      <w:permStart w:id="1823616926" w:edGrp="everyone"/>
      <w:r w:rsidRPr="00EC7EE3">
        <w:t xml:space="preserve">Bloomberg agrees with </w:t>
      </w:r>
      <w:r w:rsidR="005F45B4">
        <w:t xml:space="preserve">the </w:t>
      </w:r>
      <w:r w:rsidRPr="00EC7EE3">
        <w:t>proposal to determine CapEx with reference to the indirect method, thus calculating CapEx as the difference between the carrying amount of fixed assets recognised in the statement of financial position between the beginning and the end of the reporting year plus current year’s related depreciation and amortisation charge</w:t>
      </w:r>
      <w:r>
        <w:t>s. As with turnover, comparability using a percentage of total CapEx should be applied.</w:t>
      </w:r>
    </w:p>
    <w:p w14:paraId="1ECA1218" w14:textId="7448CDDB" w:rsidR="00792D0C" w:rsidRDefault="00792D0C" w:rsidP="00F1063E">
      <w:pPr>
        <w:jc w:val="both"/>
        <w:rPr>
          <w:i/>
          <w:iCs/>
          <w:color w:val="FF0000"/>
        </w:rPr>
      </w:pPr>
    </w:p>
    <w:p w14:paraId="3C47428F" w14:textId="77777777" w:rsidR="00F1063E" w:rsidRDefault="005F45B4" w:rsidP="00F1063E">
      <w:pPr>
        <w:jc w:val="both"/>
        <w:rPr>
          <w:iCs/>
        </w:rPr>
      </w:pPr>
      <w:r>
        <w:rPr>
          <w:iCs/>
        </w:rPr>
        <w:t>Bloomberg notes that m</w:t>
      </w:r>
      <w:r w:rsidR="00792D0C" w:rsidRPr="005F45B4">
        <w:rPr>
          <w:iCs/>
        </w:rPr>
        <w:t xml:space="preserve">ost companies choose to report the cash flow statement using the indirect method because of the accrual accounting and </w:t>
      </w:r>
      <w:r w:rsidR="00F1063E">
        <w:rPr>
          <w:iCs/>
        </w:rPr>
        <w:t xml:space="preserve">as it </w:t>
      </w:r>
      <w:r w:rsidR="00792D0C" w:rsidRPr="005F45B4">
        <w:rPr>
          <w:iCs/>
        </w:rPr>
        <w:t xml:space="preserve">is less complex for corporates. Some companies do still choose to report </w:t>
      </w:r>
      <w:r w:rsidR="00395892" w:rsidRPr="000040BF">
        <w:rPr>
          <w:iCs/>
        </w:rPr>
        <w:t xml:space="preserve">with the </w:t>
      </w:r>
      <w:r w:rsidR="00792D0C" w:rsidRPr="000040BF">
        <w:rPr>
          <w:iCs/>
        </w:rPr>
        <w:t xml:space="preserve">direct </w:t>
      </w:r>
      <w:r w:rsidR="00395892" w:rsidRPr="000040BF">
        <w:rPr>
          <w:iCs/>
        </w:rPr>
        <w:t xml:space="preserve">method </w:t>
      </w:r>
      <w:r w:rsidR="00792D0C" w:rsidRPr="000040BF">
        <w:rPr>
          <w:iCs/>
        </w:rPr>
        <w:t xml:space="preserve">(cost and accounting change for these companies if </w:t>
      </w:r>
      <w:r w:rsidR="00395892" w:rsidRPr="000040BF">
        <w:rPr>
          <w:iCs/>
        </w:rPr>
        <w:t>the indirect method is used</w:t>
      </w:r>
      <w:r w:rsidR="00792D0C" w:rsidRPr="000040BF">
        <w:rPr>
          <w:iCs/>
        </w:rPr>
        <w:t xml:space="preserve">). </w:t>
      </w:r>
    </w:p>
    <w:permEnd w:id="1823616926"/>
    <w:p w14:paraId="383E5893" w14:textId="24B12E3B"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975BC77" w14:textId="7589AF53" w:rsidR="00492B3A" w:rsidRDefault="00931E37" w:rsidP="00F1063E">
      <w:pPr>
        <w:jc w:val="both"/>
      </w:pPr>
      <w:permStart w:id="910372547" w:edGrp="everyone"/>
      <w:r>
        <w:t>Similar to the answer provided to Que</w:t>
      </w:r>
      <w:r w:rsidR="00395892">
        <w:t>stion 2, clear segmentation of CapE</w:t>
      </w:r>
      <w:r>
        <w:t>x by activities is not currently market practice. It is also important to appropriate</w:t>
      </w:r>
      <w:r w:rsidR="00F1063E">
        <w:t>ly</w:t>
      </w:r>
      <w:r>
        <w:t xml:space="preserve"> segment by activitie</w:t>
      </w:r>
      <w:r w:rsidR="00395892">
        <w:t>s and not assign CapE</w:t>
      </w:r>
      <w:r>
        <w:t>x to the majority share of activities performed by a company.</w:t>
      </w:r>
    </w:p>
    <w:p w14:paraId="6D65C807" w14:textId="23A80F86" w:rsidR="009C2371" w:rsidRDefault="009C2371" w:rsidP="00F1063E">
      <w:pPr>
        <w:jc w:val="both"/>
      </w:pPr>
    </w:p>
    <w:p w14:paraId="01683BAF" w14:textId="2B6C1958" w:rsidR="009C2371" w:rsidRPr="000040BF" w:rsidRDefault="009C2371" w:rsidP="00F1063E">
      <w:pPr>
        <w:jc w:val="both"/>
      </w:pPr>
      <w:r>
        <w:t>As with turnover, providing a percentage of</w:t>
      </w:r>
      <w:r w:rsidR="00395892">
        <w:t xml:space="preserve"> total alongside the amou</w:t>
      </w:r>
      <w:r w:rsidR="00395892" w:rsidRPr="000040BF">
        <w:t>nt of C</w:t>
      </w:r>
      <w:r w:rsidRPr="000040BF">
        <w:t>ap</w:t>
      </w:r>
      <w:r w:rsidR="00395892" w:rsidRPr="000040BF">
        <w:t>E</w:t>
      </w:r>
      <w:r w:rsidRPr="000040BF">
        <w:t xml:space="preserve">x can help </w:t>
      </w:r>
      <w:r w:rsidR="00395892" w:rsidRPr="000040BF">
        <w:t>in making</w:t>
      </w:r>
      <w:r w:rsidRPr="000040BF">
        <w:t xml:space="preserve"> figures </w:t>
      </w:r>
      <w:r w:rsidR="00395892" w:rsidRPr="000040BF">
        <w:t xml:space="preserve">more comparable </w:t>
      </w:r>
      <w:r w:rsidRPr="000040BF">
        <w:t>between companies with different accounting standards.</w:t>
      </w:r>
    </w:p>
    <w:p w14:paraId="436323D3" w14:textId="4D33DC5F" w:rsidR="00DA2B1D" w:rsidRPr="000040BF" w:rsidRDefault="00DA2B1D" w:rsidP="00F1063E">
      <w:pPr>
        <w:jc w:val="both"/>
      </w:pPr>
    </w:p>
    <w:p w14:paraId="2049F890" w14:textId="416202F8" w:rsidR="00B45D33" w:rsidRPr="000040BF" w:rsidRDefault="005F45B4" w:rsidP="00F1063E">
      <w:pPr>
        <w:jc w:val="both"/>
        <w:rPr>
          <w:i/>
          <w:iCs/>
        </w:rPr>
      </w:pPr>
      <w:r w:rsidRPr="000040BF">
        <w:t xml:space="preserve">Regarding the fixed period of time by which the technical screening criteria are met to qualify as taxonomy-aligned, Bloomberg recommends that the five-year period should be either audited or independently assured before the data is </w:t>
      </w:r>
      <w:r w:rsidR="009245EF" w:rsidRPr="000040BF">
        <w:t>used</w:t>
      </w:r>
      <w:r w:rsidR="00F1063E">
        <w:t>.</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68C4D68C" w14:textId="16CC8777" w:rsidR="00931E37" w:rsidRPr="000040BF" w:rsidRDefault="005F45B4" w:rsidP="00931E37">
      <w:pPr>
        <w:rPr>
          <w:iCs/>
        </w:rPr>
      </w:pPr>
      <w:permStart w:id="1454397300" w:edGrp="everyone"/>
      <w:r w:rsidRPr="000040BF">
        <w:rPr>
          <w:iCs/>
        </w:rPr>
        <w:t>Bloomberg agrees with the proposed approach to defining OpEx</w:t>
      </w:r>
      <w:r w:rsidR="00136ABC" w:rsidRPr="000040BF">
        <w:rPr>
          <w:iCs/>
        </w:rPr>
        <w:t>.</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lastRenderedPageBreak/>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36A9F521" w14:textId="54409FC8" w:rsidR="00DA2B1D" w:rsidRPr="00136ABC" w:rsidRDefault="00975D5E" w:rsidP="00F1063E">
      <w:pPr>
        <w:jc w:val="both"/>
        <w:rPr>
          <w:iCs/>
          <w:color w:val="FF0000"/>
        </w:rPr>
      </w:pPr>
      <w:permStart w:id="164587406" w:edGrp="everyone"/>
      <w:r w:rsidRPr="000040BF">
        <w:rPr>
          <w:iCs/>
        </w:rPr>
        <w:t xml:space="preserve">Using OpEx is complex, as we currently do not see standardized accounting standards used. The standards may vary, but as long as </w:t>
      </w:r>
      <w:r w:rsidR="00B1247F" w:rsidRPr="000040BF">
        <w:rPr>
          <w:iCs/>
        </w:rPr>
        <w:t xml:space="preserve">both overall OpEx and Taxonomy aligned OpEx </w:t>
      </w:r>
      <w:r w:rsidRPr="000040BF">
        <w:rPr>
          <w:iCs/>
        </w:rPr>
        <w:t>entail the same process, then the OpEx can be</w:t>
      </w:r>
      <w:r w:rsidR="00B1247F" w:rsidRPr="000040BF">
        <w:rPr>
          <w:iCs/>
        </w:rPr>
        <w:t xml:space="preserve"> proportionately comparable with other companies</w:t>
      </w:r>
      <w:r w:rsidR="00F1063E">
        <w:rPr>
          <w:iCs/>
        </w:rPr>
        <w:t>. ESMA</w:t>
      </w:r>
      <w:r w:rsidRPr="000040BF">
        <w:rPr>
          <w:iCs/>
        </w:rPr>
        <w:t xml:space="preserve"> recommendations should take into account these differences.</w:t>
      </w:r>
      <w:r w:rsidR="00F1063E">
        <w:rPr>
          <w:iCs/>
        </w:rPr>
        <w:t xml:space="preserve"> </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2EC78A97" w14:textId="5D4137BA" w:rsidR="00395892" w:rsidRDefault="00395892" w:rsidP="00492B3A">
      <w:permStart w:id="1191210126" w:edGrp="everyone"/>
      <w:r w:rsidRPr="00FE40D3">
        <w:rPr>
          <w:sz w:val="22"/>
          <w:szCs w:val="22"/>
          <w:lang w:eastAsia="en-GB"/>
        </w:rPr>
        <w:t>TYPE YOUR TEXT HERE</w:t>
      </w:r>
      <w:r>
        <w:t xml:space="preserve"> </w:t>
      </w:r>
    </w:p>
    <w:permEnd w:id="1191210126"/>
    <w:p w14:paraId="20867D23" w14:textId="7F424309"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1B28E4A7" w:rsidR="00492B3A" w:rsidRDefault="00F66466" w:rsidP="00492B3A">
      <w:permStart w:id="21103909" w:edGrp="everyone"/>
      <w:r>
        <w:t xml:space="preserve">Bloomberg agrees with the recommendations, including the importance of reporting 0% alignment. </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0AB3A7A1" w14:textId="656FF162" w:rsidR="00492B3A" w:rsidRPr="00D76CC1" w:rsidRDefault="00DA2B1D" w:rsidP="00F1063E">
      <w:pPr>
        <w:jc w:val="both"/>
        <w:rPr>
          <w:color w:val="FF0000"/>
        </w:rPr>
      </w:pPr>
      <w:permStart w:id="70807355" w:edGrp="everyone"/>
      <w:r>
        <w:t>Bloomberg agrees</w:t>
      </w:r>
      <w:r w:rsidR="00F66466">
        <w:t xml:space="preserve"> with the importance of supplementary information to support the KPIs, noting that evidence of the substantial contribution, DNSH and minimu</w:t>
      </w:r>
      <w:r w:rsidR="00F1063E">
        <w:t>m social safeguards being met are</w:t>
      </w:r>
      <w:r w:rsidR="00F66466">
        <w:t xml:space="preserve"> important to give confidence in how the figures were derived and that they are comparable to other similar companies. Bloomberg, as a data vendor, would look for such KPIs to cover a certain percentage of the company’s global operational footprint, for example</w:t>
      </w:r>
      <w:r w:rsidR="006E743B" w:rsidRPr="000040BF">
        <w:t>.</w:t>
      </w:r>
      <w:r w:rsidR="00F66466" w:rsidRPr="000040BF">
        <w:t xml:space="preserve"> For additional information, Bloomberg recommends ESMA to also list the need to disclose which estimates are used in the computation of taxonomy alignment as part of the methodology section</w:t>
      </w:r>
      <w:r w:rsidR="008914C2" w:rsidRPr="000040BF">
        <w:t>.</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729D6FDA" w14:textId="2840750E" w:rsidR="00492B3A" w:rsidRPr="00D76CC1" w:rsidRDefault="00FC6438" w:rsidP="00F1063E">
      <w:pPr>
        <w:jc w:val="both"/>
        <w:rPr>
          <w:color w:val="FF0000"/>
        </w:rPr>
      </w:pPr>
      <w:permStart w:id="1969951227" w:edGrp="everyone"/>
      <w:r>
        <w:t xml:space="preserve">Yes, </w:t>
      </w:r>
      <w:r w:rsidR="009C2371">
        <w:t>Bloomberg</w:t>
      </w:r>
      <w:r>
        <w:t xml:space="preserve"> would expect </w:t>
      </w:r>
      <w:r w:rsidR="00F66466">
        <w:t xml:space="preserve">that any restatement of revenue </w:t>
      </w:r>
      <w:r>
        <w:t>has a corresponding restatement of taxonomy alignment</w:t>
      </w:r>
      <w:r w:rsidR="00F66466" w:rsidRPr="000040BF">
        <w:t xml:space="preserve">. </w:t>
      </w:r>
      <w:r w:rsidR="0028604C" w:rsidRPr="000040BF">
        <w:t>In parallel</w:t>
      </w:r>
      <w:r w:rsidR="00F66466" w:rsidRPr="000040BF">
        <w:t>, whatever method is used in the calculation of OpEx and CapEx</w:t>
      </w:r>
      <w:r w:rsidR="0028604C" w:rsidRPr="000040BF">
        <w:t xml:space="preserve"> should be equivalent to and correspond with the method that is used in determining the taxonomy alignment.</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lastRenderedPageBreak/>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3AACB950" w14:textId="3B2882A9" w:rsidR="00192681" w:rsidRDefault="00FC6438" w:rsidP="00F1063E">
      <w:pPr>
        <w:jc w:val="both"/>
      </w:pPr>
      <w:permStart w:id="947678092" w:edGrp="everyone"/>
      <w:r>
        <w:t>Bloomberg agrees that the core information should be contained in the non-financial statement with supplementary information referenced elsewhere such as the annual sustainability report</w:t>
      </w:r>
      <w:r w:rsidR="0028604C">
        <w:t xml:space="preserve">. </w:t>
      </w:r>
      <w:r w:rsidR="00192681" w:rsidRPr="0028604C">
        <w:t xml:space="preserve">From </w:t>
      </w:r>
      <w:r w:rsidR="00395892">
        <w:t xml:space="preserve">a </w:t>
      </w:r>
      <w:r w:rsidR="00192681" w:rsidRPr="0028604C">
        <w:t>data collection perspective, having data in multiple places may cause issues if there are delays between filings</w:t>
      </w:r>
      <w:r w:rsidR="006E743B" w:rsidRPr="0028604C">
        <w:t>, therefore having this information in the</w:t>
      </w:r>
      <w:r w:rsidR="00192681" w:rsidRPr="0028604C">
        <w:t xml:space="preserve"> same document is a preference</w:t>
      </w:r>
      <w:r w:rsidR="0028604C">
        <w:t>.</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0EF35DE6" w14:textId="3CA6DA3D" w:rsidR="00E85074" w:rsidRPr="007F3B3C" w:rsidRDefault="0028604C" w:rsidP="00F1063E">
      <w:pPr>
        <w:jc w:val="both"/>
        <w:rPr>
          <w:i/>
          <w:iCs/>
        </w:rPr>
      </w:pPr>
      <w:permStart w:id="575285207" w:edGrp="everyone"/>
      <w:r w:rsidRPr="007F3B3C">
        <w:rPr>
          <w:iCs/>
        </w:rPr>
        <w:t xml:space="preserve">Bloomberg recommends ESMA </w:t>
      </w:r>
      <w:r w:rsidR="00E85074" w:rsidRPr="007F3B3C">
        <w:rPr>
          <w:iCs/>
        </w:rPr>
        <w:t>to provide further clarity on</w:t>
      </w:r>
      <w:r w:rsidR="009806E9" w:rsidRPr="007F3B3C">
        <w:rPr>
          <w:iCs/>
        </w:rPr>
        <w:t xml:space="preserve"> the following additional aspects</w:t>
      </w:r>
      <w:r w:rsidR="00E85074" w:rsidRPr="007F3B3C">
        <w:rPr>
          <w:iCs/>
        </w:rPr>
        <w:t>:</w:t>
      </w:r>
    </w:p>
    <w:p w14:paraId="3B26B3F0" w14:textId="199AE109" w:rsidR="00192681" w:rsidRPr="007F3B3C" w:rsidRDefault="00E85074" w:rsidP="00F1063E">
      <w:pPr>
        <w:pStyle w:val="ListParagraph"/>
        <w:numPr>
          <w:ilvl w:val="0"/>
          <w:numId w:val="50"/>
        </w:numPr>
        <w:jc w:val="both"/>
        <w:rPr>
          <w:iCs/>
        </w:rPr>
      </w:pPr>
      <w:r w:rsidRPr="007F3B3C">
        <w:rPr>
          <w:iCs/>
        </w:rPr>
        <w:t>Whether c</w:t>
      </w:r>
      <w:r w:rsidR="009806E9" w:rsidRPr="007F3B3C">
        <w:rPr>
          <w:iCs/>
        </w:rPr>
        <w:t>ompanies</w:t>
      </w:r>
      <w:r w:rsidRPr="007F3B3C">
        <w:rPr>
          <w:iCs/>
        </w:rPr>
        <w:t xml:space="preserve"> may use estimates for their </w:t>
      </w:r>
      <w:r w:rsidR="00F1063E">
        <w:rPr>
          <w:iCs/>
        </w:rPr>
        <w:t xml:space="preserve">mandatory Taxonomy </w:t>
      </w:r>
      <w:r w:rsidRPr="007F3B3C">
        <w:rPr>
          <w:iCs/>
        </w:rPr>
        <w:t>alignment reporting;</w:t>
      </w:r>
    </w:p>
    <w:p w14:paraId="30A1CDC3" w14:textId="0E04051A" w:rsidR="00192681" w:rsidRPr="007F3B3C" w:rsidRDefault="00395892" w:rsidP="00F1063E">
      <w:pPr>
        <w:pStyle w:val="ListParagraph"/>
        <w:numPr>
          <w:ilvl w:val="0"/>
          <w:numId w:val="50"/>
        </w:numPr>
        <w:jc w:val="both"/>
        <w:rPr>
          <w:iCs/>
        </w:rPr>
      </w:pPr>
      <w:r w:rsidRPr="007F3B3C">
        <w:rPr>
          <w:iCs/>
        </w:rPr>
        <w:t>How</w:t>
      </w:r>
      <w:r w:rsidR="00E85074" w:rsidRPr="007F3B3C">
        <w:rPr>
          <w:iCs/>
        </w:rPr>
        <w:t xml:space="preserve"> European companies </w:t>
      </w:r>
      <w:r w:rsidRPr="007F3B3C">
        <w:rPr>
          <w:iCs/>
        </w:rPr>
        <w:t>are expected to report on their non-EU operations (Bloomberg recommends to clarify the</w:t>
      </w:r>
      <w:r w:rsidR="009806E9" w:rsidRPr="007F3B3C">
        <w:rPr>
          <w:iCs/>
        </w:rPr>
        <w:t xml:space="preserve"> requirements in respect of activities of EU corporates located outside the EU </w:t>
      </w:r>
      <w:r w:rsidRPr="007F3B3C">
        <w:rPr>
          <w:iCs/>
        </w:rPr>
        <w:t>and opt for a reporting model including global operations</w:t>
      </w:r>
      <w:r w:rsidR="009806E9" w:rsidRPr="007F3B3C">
        <w:rPr>
          <w:iCs/>
        </w:rPr>
        <w:t>,</w:t>
      </w:r>
      <w:r w:rsidR="007F3B3C" w:rsidRPr="007F3B3C">
        <w:rPr>
          <w:iCs/>
        </w:rPr>
        <w:t xml:space="preserve"> </w:t>
      </w:r>
      <w:r w:rsidRPr="007F3B3C">
        <w:rPr>
          <w:iCs/>
        </w:rPr>
        <w:t>if any)</w:t>
      </w:r>
      <w:r w:rsidR="007F3B3C" w:rsidRPr="007F3B3C">
        <w:rPr>
          <w:iCs/>
        </w:rPr>
        <w:t>.</w:t>
      </w:r>
    </w:p>
    <w:p w14:paraId="3753CC0C" w14:textId="77777777" w:rsidR="000040BF" w:rsidRPr="007F3B3C" w:rsidRDefault="000040BF" w:rsidP="00F1063E">
      <w:pPr>
        <w:jc w:val="both"/>
        <w:rPr>
          <w:iCs/>
        </w:rPr>
      </w:pPr>
    </w:p>
    <w:p w14:paraId="5232668B" w14:textId="2931B78C" w:rsidR="00813D2A" w:rsidRPr="007F3B3C" w:rsidRDefault="00813D2A" w:rsidP="00F1063E">
      <w:pPr>
        <w:jc w:val="both"/>
        <w:rPr>
          <w:iCs/>
        </w:rPr>
      </w:pPr>
      <w:r w:rsidRPr="007F3B3C">
        <w:rPr>
          <w:iCs/>
        </w:rPr>
        <w:t xml:space="preserve">As </w:t>
      </w:r>
      <w:r w:rsidR="009806E9" w:rsidRPr="007F3B3C">
        <w:rPr>
          <w:iCs/>
        </w:rPr>
        <w:t xml:space="preserve">also </w:t>
      </w:r>
      <w:r w:rsidRPr="007F3B3C">
        <w:rPr>
          <w:iCs/>
        </w:rPr>
        <w:t xml:space="preserve">highlighted above, a </w:t>
      </w:r>
      <w:r w:rsidR="009806E9" w:rsidRPr="007F3B3C">
        <w:rPr>
          <w:iCs/>
        </w:rPr>
        <w:t>clarification on the</w:t>
      </w:r>
      <w:r w:rsidRPr="007F3B3C">
        <w:rPr>
          <w:iCs/>
        </w:rPr>
        <w:t xml:space="preserve"> scope</w:t>
      </w:r>
      <w:r w:rsidR="009806E9" w:rsidRPr="007F3B3C">
        <w:rPr>
          <w:iCs/>
        </w:rPr>
        <w:t xml:space="preserve"> of reporting</w:t>
      </w:r>
      <w:r w:rsidRPr="007F3B3C">
        <w:rPr>
          <w:iCs/>
        </w:rPr>
        <w:t xml:space="preserve"> is needed</w:t>
      </w:r>
      <w:r w:rsidR="000040BF" w:rsidRPr="007F3B3C">
        <w:rPr>
          <w:iCs/>
        </w:rPr>
        <w:t xml:space="preserve">, </w:t>
      </w:r>
      <w:r w:rsidRPr="007F3B3C">
        <w:rPr>
          <w:iCs/>
        </w:rPr>
        <w:t xml:space="preserve">and </w:t>
      </w:r>
      <w:r w:rsidR="009806E9" w:rsidRPr="007F3B3C">
        <w:rPr>
          <w:iCs/>
        </w:rPr>
        <w:t>Bloomberg recommends</w:t>
      </w:r>
      <w:r w:rsidRPr="007F3B3C">
        <w:rPr>
          <w:iCs/>
        </w:rPr>
        <w:t xml:space="preserve"> to cover global operations. Bloomberg also observes that there is significant over-reporting of certain business segments, rather than comprehensive reporting of entire business operations. This in turn </w:t>
      </w:r>
      <w:r w:rsidR="009806E9" w:rsidRPr="007F3B3C">
        <w:rPr>
          <w:iCs/>
        </w:rPr>
        <w:t>may result</w:t>
      </w:r>
      <w:r w:rsidR="00F1063E">
        <w:rPr>
          <w:iCs/>
        </w:rPr>
        <w:t xml:space="preserve"> in a ‘green</w:t>
      </w:r>
      <w:r w:rsidRPr="007F3B3C">
        <w:rPr>
          <w:iCs/>
        </w:rPr>
        <w:t>washing’ effect in so</w:t>
      </w:r>
      <w:r w:rsidR="009806E9" w:rsidRPr="007F3B3C">
        <w:rPr>
          <w:iCs/>
        </w:rPr>
        <w:t>me circumstances. To avoid this,</w:t>
      </w:r>
      <w:r w:rsidRPr="007F3B3C">
        <w:rPr>
          <w:iCs/>
        </w:rPr>
        <w:t xml:space="preserve"> the Taxonomy report should</w:t>
      </w:r>
      <w:r w:rsidR="009806E9" w:rsidRPr="007F3B3C">
        <w:rPr>
          <w:iCs/>
        </w:rPr>
        <w:t xml:space="preserve"> represent all </w:t>
      </w:r>
      <w:r w:rsidRPr="007F3B3C">
        <w:rPr>
          <w:iCs/>
        </w:rPr>
        <w:t>business undertakings</w:t>
      </w:r>
      <w:r w:rsidR="009806E9" w:rsidRPr="007F3B3C">
        <w:rPr>
          <w:iCs/>
        </w:rPr>
        <w:t xml:space="preserve"> equally</w:t>
      </w:r>
      <w:r w:rsidRPr="007F3B3C">
        <w:rPr>
          <w:iCs/>
        </w:rPr>
        <w:t>.</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2EB5F207" w14:textId="77777777" w:rsidR="009806E9" w:rsidRPr="00F1063E" w:rsidRDefault="009806E9" w:rsidP="009806E9">
      <w:pPr>
        <w:rPr>
          <w:sz w:val="22"/>
        </w:rPr>
      </w:pPr>
      <w:permStart w:id="384379543" w:edGrp="everyone"/>
      <w:r w:rsidRPr="00F1063E">
        <w:rPr>
          <w:sz w:val="22"/>
        </w:rPr>
        <w:t>TYPE YOUR TEXT HERE</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2E50CAE3" w:rsidR="00492B3A" w:rsidRDefault="00FC6438" w:rsidP="00F1063E">
      <w:pPr>
        <w:jc w:val="both"/>
      </w:pPr>
      <w:bookmarkStart w:id="1" w:name="_Hlk57363804"/>
      <w:permStart w:id="1844913490" w:edGrp="everyone"/>
      <w:r>
        <w:t xml:space="preserve">Yes, Bloomberg thinks that at a minimum a corporate should be reporting at a group or entity level. </w:t>
      </w:r>
      <w:r w:rsidR="00431EF5">
        <w:t xml:space="preserve">There is further complexity for a company reporting across economic activities (i.e. segmenting their taxonomy turnover) and also on their contribution to each environmental </w:t>
      </w:r>
      <w:proofErr w:type="gramStart"/>
      <w:r w:rsidR="00431EF5">
        <w:t>objective, that</w:t>
      </w:r>
      <w:proofErr w:type="gramEnd"/>
      <w:r w:rsidR="00431EF5">
        <w:t xml:space="preserve"> needs to be clearly communicated</w:t>
      </w:r>
      <w:r w:rsidR="009C2371">
        <w:t>.</w:t>
      </w:r>
    </w:p>
    <w:p w14:paraId="467B627D" w14:textId="32882A57" w:rsidR="00FC6438" w:rsidRDefault="00FC6438" w:rsidP="00492B3A"/>
    <w:p w14:paraId="0652E7CD" w14:textId="2471F08E" w:rsidR="00C57211" w:rsidRDefault="00C57211" w:rsidP="008F186A">
      <w:pPr>
        <w:jc w:val="both"/>
      </w:pPr>
      <w:r>
        <w:lastRenderedPageBreak/>
        <w:t>Should full segmentation by economic activity, by environmental objective and by enabling/transitioning be required for all 3 KPIs</w:t>
      </w:r>
      <w:r w:rsidR="00264A45">
        <w:t xml:space="preserve">, it </w:t>
      </w:r>
      <w:r>
        <w:t>will become very costly and time consuming for the corporate discloser, the data aggregator and the financial market participant. Creating data models that can understand and interpret the many dimensional views of the reporting framework would incur expense for data preparers, aggregators and consumers</w:t>
      </w:r>
      <w:r w:rsidR="00264A45">
        <w:t>,</w:t>
      </w:r>
      <w:r>
        <w:t xml:space="preserve"> but add very little additional benefit to encouraging companies to act in an environmentally sustainable way.</w:t>
      </w:r>
      <w:r w:rsidR="00B57F60">
        <w:t xml:space="preserve"> Most notably</w:t>
      </w:r>
      <w:r w:rsidR="00813D2A">
        <w:t>,</w:t>
      </w:r>
      <w:r w:rsidR="00B57F60">
        <w:t xml:space="preserve"> the process of mapping a NACE disclosure through the investment </w:t>
      </w:r>
      <w:r w:rsidR="00813D2A">
        <w:t xml:space="preserve">workflow </w:t>
      </w:r>
      <w:r w:rsidR="00B57F60">
        <w:t>to persist into the asset management disclosure will be very costly.</w:t>
      </w:r>
    </w:p>
    <w:p w14:paraId="1B2E51C4" w14:textId="5B038539" w:rsidR="00C57211" w:rsidRDefault="00C57211" w:rsidP="00492B3A"/>
    <w:p w14:paraId="311ABE50" w14:textId="5E5A03EF" w:rsidR="00C57211" w:rsidRDefault="00C57211" w:rsidP="008F186A">
      <w:pPr>
        <w:jc w:val="both"/>
      </w:pPr>
      <w:r>
        <w:t>Clarity on how an economic activity is meeting the Substantial Contribution (and to which objective or objectives), DNSH and Minimum Social Safeguard requirements in the supplementary report should be sufficient alongside the primary 3 KPI at an entity or group level.</w:t>
      </w:r>
      <w:r w:rsidR="00CA743A">
        <w:t xml:space="preserve"> </w:t>
      </w:r>
    </w:p>
    <w:p w14:paraId="6692AD5C" w14:textId="241181F5" w:rsidR="00BA2541" w:rsidRDefault="00BA2541" w:rsidP="00492B3A"/>
    <w:p w14:paraId="4EB35E2F" w14:textId="15525944" w:rsidR="00BA2541" w:rsidRDefault="00BA2541" w:rsidP="008F186A">
      <w:pPr>
        <w:jc w:val="both"/>
      </w:pPr>
      <w:r>
        <w:t>Bloomberg would recommend limiting the primary KPI to entity</w:t>
      </w:r>
      <w:r w:rsidR="00264A45">
        <w:t>-</w:t>
      </w:r>
      <w:r>
        <w:t>level alignment and environmental objective</w:t>
      </w:r>
      <w:r w:rsidR="00B57F60">
        <w:t>, with transitioning and enabling data points.</w:t>
      </w:r>
    </w:p>
    <w:p w14:paraId="129E18BE" w14:textId="4EC4BB6E" w:rsidR="00FC6438" w:rsidRDefault="00FC6438" w:rsidP="008F186A">
      <w:pPr>
        <w:jc w:val="both"/>
      </w:pPr>
    </w:p>
    <w:p w14:paraId="2FEB5D8C" w14:textId="745C0CD0" w:rsidR="009F4305" w:rsidRDefault="009F4305" w:rsidP="008F186A">
      <w:pPr>
        <w:jc w:val="both"/>
      </w:pPr>
      <w:r>
        <w:t>To build out 4 different views on a company:</w:t>
      </w:r>
    </w:p>
    <w:p w14:paraId="7370A005" w14:textId="77777777" w:rsidR="009F4305" w:rsidRDefault="009F4305" w:rsidP="008F186A">
      <w:pPr>
        <w:pStyle w:val="ListParagraph"/>
        <w:numPr>
          <w:ilvl w:val="0"/>
          <w:numId w:val="37"/>
        </w:numPr>
        <w:jc w:val="both"/>
      </w:pPr>
      <w:r>
        <w:t>entity level alignment (3 KPIs)</w:t>
      </w:r>
    </w:p>
    <w:p w14:paraId="42B7C9B1" w14:textId="77777777" w:rsidR="009F4305" w:rsidRDefault="009F4305" w:rsidP="008F186A">
      <w:pPr>
        <w:pStyle w:val="ListParagraph"/>
        <w:numPr>
          <w:ilvl w:val="0"/>
          <w:numId w:val="37"/>
        </w:numPr>
        <w:jc w:val="both"/>
      </w:pPr>
      <w:r>
        <w:t>economic activity alignment (3*72 KPIs)</w:t>
      </w:r>
    </w:p>
    <w:p w14:paraId="1FC1581B" w14:textId="04605EF8" w:rsidR="009F4305" w:rsidRDefault="009F4305" w:rsidP="008F186A">
      <w:pPr>
        <w:pStyle w:val="ListParagraph"/>
        <w:numPr>
          <w:ilvl w:val="0"/>
          <w:numId w:val="37"/>
        </w:numPr>
        <w:jc w:val="both"/>
      </w:pPr>
      <w:r>
        <w:t>env</w:t>
      </w:r>
      <w:r w:rsidR="00813D2A">
        <w:t>ironmental</w:t>
      </w:r>
      <w:r>
        <w:t xml:space="preserve"> objective alignment (3*6 KPIs)</w:t>
      </w:r>
    </w:p>
    <w:p w14:paraId="575DBE40" w14:textId="39E71814" w:rsidR="009F4305" w:rsidRDefault="009F4305" w:rsidP="008F186A">
      <w:pPr>
        <w:pStyle w:val="ListParagraph"/>
        <w:numPr>
          <w:ilvl w:val="0"/>
          <w:numId w:val="37"/>
        </w:numPr>
        <w:jc w:val="both"/>
      </w:pPr>
      <w:r>
        <w:t>e</w:t>
      </w:r>
      <w:r w:rsidR="009E3988">
        <w:t>nabling/transitional</w:t>
      </w:r>
      <w:r>
        <w:t xml:space="preserve"> (3*2 KPIs)</w:t>
      </w:r>
    </w:p>
    <w:p w14:paraId="6C575B47" w14:textId="29D43E50" w:rsidR="009F4305" w:rsidRDefault="009F4305" w:rsidP="008F186A">
      <w:pPr>
        <w:jc w:val="both"/>
      </w:pPr>
      <w:r>
        <w:t xml:space="preserve">For the data model to work, </w:t>
      </w:r>
      <w:r w:rsidR="008F186A">
        <w:t>it would be needed</w:t>
      </w:r>
      <w:r>
        <w:t xml:space="preserve"> across all 4 dimensions with 2,592 permutations</w:t>
      </w:r>
    </w:p>
    <w:p w14:paraId="4C474BDD" w14:textId="5587899F" w:rsidR="00B57F60" w:rsidRDefault="00B57F60" w:rsidP="008F186A">
      <w:pPr>
        <w:jc w:val="both"/>
      </w:pPr>
    </w:p>
    <w:p w14:paraId="4BB77A18" w14:textId="5DDDBF13" w:rsidR="00B57F60" w:rsidRPr="000040BF" w:rsidRDefault="00264A45" w:rsidP="008F186A">
      <w:pPr>
        <w:jc w:val="both"/>
      </w:pPr>
      <w:r>
        <w:t>Bloomberg suggests A</w:t>
      </w:r>
      <w:r w:rsidR="00B57F60">
        <w:t>rticle 8</w:t>
      </w:r>
      <w:r>
        <w:t xml:space="preserve"> to</w:t>
      </w:r>
      <w:r w:rsidR="00B57F60">
        <w:t xml:space="preserve"> </w:t>
      </w:r>
      <w:r w:rsidRPr="000040BF">
        <w:t>remain</w:t>
      </w:r>
      <w:r w:rsidR="00B57F60" w:rsidRPr="000040BF">
        <w:t xml:space="preserve"> as suggested</w:t>
      </w:r>
      <w:r w:rsidRPr="000040BF">
        <w:t xml:space="preserve"> for corporates, however </w:t>
      </w:r>
      <w:r w:rsidR="00B57F60" w:rsidRPr="000040BF">
        <w:t xml:space="preserve">disclosure </w:t>
      </w:r>
      <w:r w:rsidRPr="000040BF">
        <w:t xml:space="preserve">for asset management </w:t>
      </w:r>
      <w:r w:rsidR="00813D2A" w:rsidRPr="000040BF">
        <w:t xml:space="preserve">should be </w:t>
      </w:r>
      <w:r w:rsidR="00B57F60" w:rsidRPr="000040BF">
        <w:t>limited to:</w:t>
      </w:r>
    </w:p>
    <w:p w14:paraId="43E0DBA5" w14:textId="6B6541AC" w:rsidR="00B57F60" w:rsidRPr="000040BF" w:rsidRDefault="00B57F60" w:rsidP="008F186A">
      <w:pPr>
        <w:pStyle w:val="ListParagraph"/>
        <w:numPr>
          <w:ilvl w:val="0"/>
          <w:numId w:val="37"/>
        </w:numPr>
        <w:jc w:val="both"/>
      </w:pPr>
      <w:r w:rsidRPr="000040BF">
        <w:t>entity</w:t>
      </w:r>
      <w:r w:rsidR="00264A45" w:rsidRPr="000040BF">
        <w:t>-</w:t>
      </w:r>
      <w:r w:rsidRPr="000040BF">
        <w:t>level alignment (3 KPIs)</w:t>
      </w:r>
    </w:p>
    <w:p w14:paraId="3BEFBA93" w14:textId="248A9ED5" w:rsidR="00B57F60" w:rsidRDefault="00B57F60" w:rsidP="008F186A">
      <w:pPr>
        <w:pStyle w:val="ListParagraph"/>
        <w:numPr>
          <w:ilvl w:val="0"/>
          <w:numId w:val="37"/>
        </w:numPr>
        <w:jc w:val="both"/>
      </w:pPr>
      <w:r w:rsidRPr="000040BF">
        <w:t>env</w:t>
      </w:r>
      <w:r w:rsidR="00264A45" w:rsidRPr="000040BF">
        <w:t>ironmental</w:t>
      </w:r>
      <w:r w:rsidRPr="000040BF">
        <w:t xml:space="preserve"> objecti</w:t>
      </w:r>
      <w:r>
        <w:t>ve alignment (3*6 KPIs)</w:t>
      </w:r>
    </w:p>
    <w:p w14:paraId="76D55EB5" w14:textId="1D99DCAA" w:rsidR="00B57F60" w:rsidRDefault="009E3988" w:rsidP="008F186A">
      <w:pPr>
        <w:pStyle w:val="ListParagraph"/>
        <w:numPr>
          <w:ilvl w:val="0"/>
          <w:numId w:val="37"/>
        </w:numPr>
        <w:jc w:val="both"/>
      </w:pPr>
      <w:r>
        <w:t>enabling/transitional</w:t>
      </w:r>
      <w:r w:rsidR="00B57F60">
        <w:t xml:space="preserve"> (3*2 KPIs)</w:t>
      </w:r>
    </w:p>
    <w:p w14:paraId="729F46A1" w14:textId="1E3F5D5B" w:rsidR="00B57F60" w:rsidRDefault="00B57F60" w:rsidP="008F186A">
      <w:pPr>
        <w:jc w:val="both"/>
      </w:pPr>
      <w:r>
        <w:t xml:space="preserve">For the data model to work, </w:t>
      </w:r>
      <w:r w:rsidR="008F186A">
        <w:t>it would be needed</w:t>
      </w:r>
      <w:r>
        <w:t xml:space="preserve"> across all 3 dimensi</w:t>
      </w:r>
      <w:r w:rsidR="00813D2A">
        <w:t>ons with 36 permutations, which would be much</w:t>
      </w:r>
      <w:r>
        <w:t xml:space="preserve"> more manageable.</w:t>
      </w:r>
      <w:r w:rsidR="00813D2A">
        <w:t xml:space="preserve"> </w:t>
      </w:r>
    </w:p>
    <w:p w14:paraId="1E6C6336" w14:textId="3F26E2D6" w:rsidR="00B57F60" w:rsidRDefault="00B57F60" w:rsidP="00B57F60"/>
    <w:p w14:paraId="1D7FF01D" w14:textId="4794A5CE" w:rsidR="00B57F60" w:rsidRDefault="00B57F60" w:rsidP="009F4305">
      <w:r>
        <w:t>Asset management firms already map companies to sector classification systems, for the purpose of their investment guidelines and investment wor</w:t>
      </w:r>
      <w:r w:rsidR="00264A45">
        <w:t>kflow. Bloomberg suggests that asset m</w:t>
      </w:r>
      <w:r>
        <w:t>anagers are allowed to continue to use these sector classification systems for the purpose of their own reporting. This will ensure consistency between the existing periodic reporting to the asset owner and their taxonomy disclosures.</w:t>
      </w:r>
      <w:bookmarkEnd w:id="1"/>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1596CE37" w14:textId="77777777" w:rsidR="003D15DE" w:rsidRPr="000040BF" w:rsidRDefault="003D15DE" w:rsidP="00431EF5">
      <w:pPr>
        <w:jc w:val="both"/>
      </w:pPr>
      <w:permStart w:id="1403017900" w:edGrp="everyone"/>
      <w:r w:rsidRPr="000040BF">
        <w:t xml:space="preserve">The answer to Question 14 is also applicable here. </w:t>
      </w:r>
    </w:p>
    <w:p w14:paraId="48DCC0E0" w14:textId="77777777" w:rsidR="003D15DE" w:rsidRPr="000040BF" w:rsidRDefault="003D15DE" w:rsidP="00431EF5">
      <w:pPr>
        <w:jc w:val="both"/>
      </w:pPr>
    </w:p>
    <w:p w14:paraId="2E34B8AF" w14:textId="667CF202" w:rsidR="00492B3A" w:rsidRPr="00D76CC1" w:rsidRDefault="003D15DE" w:rsidP="00431EF5">
      <w:pPr>
        <w:jc w:val="both"/>
        <w:rPr>
          <w:color w:val="FF0000"/>
        </w:rPr>
      </w:pPr>
      <w:r w:rsidRPr="000040BF">
        <w:t>Yes, Bloomberg agrees that where an economic activity contributes to more than one environmental objective, non-financial undertakings should explain how they allocated the turnover/CapEx/OpEx of that activity across environmental object</w:t>
      </w:r>
      <w:r w:rsidR="00264A45" w:rsidRPr="000040BF">
        <w:t>ives. It is important to clarify</w:t>
      </w:r>
      <w:r w:rsidRPr="000040BF">
        <w:t xml:space="preserve"> </w:t>
      </w:r>
      <w:r w:rsidR="00264A45" w:rsidRPr="000040BF">
        <w:t>when a company</w:t>
      </w:r>
      <w:r w:rsidR="00815774" w:rsidRPr="000040BF">
        <w:t xml:space="preserve"> substantially contributes to more than one environm</w:t>
      </w:r>
      <w:r w:rsidR="00264A45" w:rsidRPr="000040BF">
        <w:t>ental objective, how exactly this</w:t>
      </w:r>
      <w:r w:rsidR="00815774" w:rsidRPr="000040BF">
        <w:t xml:space="preserve"> is reported.</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1FF5293E" w14:textId="1BE7FFBE" w:rsidR="00492B3A" w:rsidRDefault="00B57F60" w:rsidP="00431EF5">
      <w:pPr>
        <w:jc w:val="both"/>
      </w:pPr>
      <w:permStart w:id="1046510351" w:edGrp="everyone"/>
      <w:r>
        <w:lastRenderedPageBreak/>
        <w:t>The Taxonomy Delegate</w:t>
      </w:r>
      <w:r w:rsidR="00264A45">
        <w:t>d A</w:t>
      </w:r>
      <w:r>
        <w:t>cts identify enabling and transitioning activities, for the purpose of the taxonomy report. Bloomberg observes that there is confusion in the market</w:t>
      </w:r>
      <w:r w:rsidRPr="000040BF">
        <w:t xml:space="preserve"> </w:t>
      </w:r>
      <w:r w:rsidR="00264A45" w:rsidRPr="000040BF">
        <w:t>on</w:t>
      </w:r>
      <w:r w:rsidRPr="000040BF">
        <w:t xml:space="preserve"> </w:t>
      </w:r>
      <w:r>
        <w:t>the extent to which supply chain activities can be counted as enabling</w:t>
      </w:r>
      <w:r w:rsidR="00264A45">
        <w:t xml:space="preserve">, and therefore </w:t>
      </w:r>
      <w:r>
        <w:t>suggests that a further report providing clear guidelines on transitioning and enabling activities is produced.</w:t>
      </w:r>
    </w:p>
    <w:p w14:paraId="07BB9D9C" w14:textId="45A3E21C" w:rsidR="00B57F60" w:rsidRDefault="00B57F60" w:rsidP="00431EF5">
      <w:pPr>
        <w:jc w:val="both"/>
      </w:pPr>
    </w:p>
    <w:p w14:paraId="7A5A665B" w14:textId="23435BE3" w:rsidR="00B57F60" w:rsidRPr="000040BF" w:rsidRDefault="00264A45" w:rsidP="00431EF5">
      <w:pPr>
        <w:jc w:val="both"/>
      </w:pPr>
      <w:r w:rsidRPr="000040BF">
        <w:t xml:space="preserve">The following points would also need to be clarified: </w:t>
      </w:r>
    </w:p>
    <w:p w14:paraId="7915AFAF" w14:textId="77777777" w:rsidR="00B57F60" w:rsidRDefault="00B57F60" w:rsidP="00431EF5">
      <w:pPr>
        <w:jc w:val="both"/>
      </w:pPr>
      <w:r>
        <w:t>1.</w:t>
      </w:r>
      <w:r>
        <w:tab/>
        <w:t>If I supply a ‘green’ company, can I be considered green?</w:t>
      </w:r>
    </w:p>
    <w:p w14:paraId="5001CBE0" w14:textId="41485553" w:rsidR="00B57F60" w:rsidRDefault="00264A45" w:rsidP="00431EF5">
      <w:pPr>
        <w:jc w:val="both"/>
      </w:pPr>
      <w:r>
        <w:t>2.</w:t>
      </w:r>
      <w:r>
        <w:tab/>
        <w:t>If I a</w:t>
      </w:r>
      <w:r w:rsidR="00B57F60">
        <w:t>m made of ‘green’ ingredients, can I be considered green?</w:t>
      </w:r>
    </w:p>
    <w:p w14:paraId="6FF74197" w14:textId="77777777" w:rsidR="00B57F60" w:rsidRDefault="00B57F60" w:rsidP="00431EF5">
      <w:pPr>
        <w:jc w:val="both"/>
      </w:pPr>
      <w:r>
        <w:t>3.</w:t>
      </w:r>
      <w:r>
        <w:tab/>
        <w:t>If I finance a ‘green’ activity like auto-financing or leasing equipment – do I qualify?</w:t>
      </w:r>
    </w:p>
    <w:p w14:paraId="3B262B1B" w14:textId="77777777" w:rsidR="00B57F60" w:rsidRDefault="00B57F60" w:rsidP="00431EF5">
      <w:pPr>
        <w:jc w:val="both"/>
      </w:pPr>
    </w:p>
    <w:p w14:paraId="3A57FBB4" w14:textId="3327DD10" w:rsidR="00B57F60" w:rsidRDefault="00B57F60" w:rsidP="00431EF5">
      <w:pPr>
        <w:jc w:val="both"/>
      </w:pPr>
      <w:r>
        <w:t>The manufacture of respective key components for manufacturing activities eligible under low carbon technologies are eligible under the Taxonomy. Responses from users of the Taxonomy indicate that “further clarification of what is considered a “key component” is needed. Therefore the TEG suggests clarifying this category by defining key components further as:</w:t>
      </w:r>
    </w:p>
    <w:p w14:paraId="5C6001A1" w14:textId="2D116083" w:rsidR="00B57F60" w:rsidRDefault="00B57F60" w:rsidP="00431EF5">
      <w:pPr>
        <w:jc w:val="both"/>
      </w:pPr>
      <w:r>
        <w:t>1.     </w:t>
      </w:r>
      <w:proofErr w:type="gramStart"/>
      <w:r w:rsidR="00264A45">
        <w:t>“</w:t>
      </w:r>
      <w:r>
        <w:t xml:space="preserve"> Key</w:t>
      </w:r>
      <w:proofErr w:type="gramEnd"/>
      <w:r>
        <w:t xml:space="preserve"> components</w:t>
      </w:r>
      <w:r w:rsidR="00264A45">
        <w:t>”</w:t>
      </w:r>
      <w:r>
        <w:t xml:space="preserve"> are those manufactured for dedicated use in other activities defined in the </w:t>
      </w:r>
      <w:r w:rsidR="00264A45">
        <w:t>t</w:t>
      </w:r>
      <w:r>
        <w:t>axonomy as making a substantial contribution. For example:</w:t>
      </w:r>
    </w:p>
    <w:p w14:paraId="6A2B6423" w14:textId="7D38B338" w:rsidR="00B57F60" w:rsidRDefault="00B57F60" w:rsidP="00431EF5">
      <w:pPr>
        <w:ind w:left="709"/>
        <w:jc w:val="both"/>
      </w:pPr>
      <w:proofErr w:type="gramStart"/>
      <w:r>
        <w:t>a</w:t>
      </w:r>
      <w:proofErr w:type="gramEnd"/>
      <w:r>
        <w:t xml:space="preserve">.      screw manufacturer supplying screws </w:t>
      </w:r>
      <w:r w:rsidR="007C48D8">
        <w:t xml:space="preserve">to wind turbine manufacturer – </w:t>
      </w:r>
      <w:r>
        <w:t>not eligible as the screws could be used in multiple applications</w:t>
      </w:r>
      <w:r w:rsidR="007C48D8">
        <w:t>;</w:t>
      </w:r>
    </w:p>
    <w:p w14:paraId="1DAD8D13" w14:textId="29751710" w:rsidR="00B57F60" w:rsidRDefault="00B57F60" w:rsidP="00431EF5">
      <w:pPr>
        <w:ind w:left="709"/>
        <w:jc w:val="both"/>
      </w:pPr>
      <w:proofErr w:type="gramStart"/>
      <w:r>
        <w:t>b</w:t>
      </w:r>
      <w:proofErr w:type="gramEnd"/>
      <w:r>
        <w:t>.      battery manufacturer supplying 100% of output to EV market – eligible as all products are supplying an eligible low carbon manufacturing activity</w:t>
      </w:r>
      <w:r w:rsidR="007C48D8">
        <w:t>;</w:t>
      </w:r>
    </w:p>
    <w:p w14:paraId="2609DD22" w14:textId="1D6FB809" w:rsidR="00B57F60" w:rsidRDefault="00B57F60" w:rsidP="00431EF5">
      <w:pPr>
        <w:ind w:left="709"/>
        <w:jc w:val="both"/>
      </w:pPr>
      <w:proofErr w:type="gramStart"/>
      <w:r>
        <w:t>c</w:t>
      </w:r>
      <w:proofErr w:type="gramEnd"/>
      <w:r>
        <w:t>.      battery manufacturer supplying 80% of output to EV market, and 20% to other battery markets that are not eligible – The batteries for the EV are dedicated for activities that make a substantial contribution, therefore 80% of their turnover or revenue is taxonomy eligible</w:t>
      </w:r>
      <w:r w:rsidR="007C48D8">
        <w:t>.</w:t>
      </w:r>
    </w:p>
    <w:p w14:paraId="637522E9" w14:textId="1ABBE1E0" w:rsidR="00B57F60" w:rsidRDefault="00B57F60" w:rsidP="00431EF5">
      <w:pPr>
        <w:jc w:val="both"/>
      </w:pPr>
      <w:r>
        <w:t>In addition, to be eligible, ke</w:t>
      </w:r>
      <w:r w:rsidR="00264A45">
        <w:t>y components must be either be explicitly named in the t</w:t>
      </w:r>
      <w:r>
        <w:t xml:space="preserve">axonomy in the “manufacture of low carbon technology” activity, or the manufacturers of key components shall prove by third-party validated life cycle carbon </w:t>
      </w:r>
      <w:proofErr w:type="spellStart"/>
      <w:r>
        <w:t>footprinting</w:t>
      </w:r>
      <w:proofErr w:type="spellEnd"/>
      <w:r>
        <w:t xml:space="preserve"> that the manufactured product/solution leads to substantial GHG emissions reductions</w:t>
      </w:r>
      <w:r w:rsidR="00532BCC">
        <w:t>.</w:t>
      </w:r>
    </w:p>
    <w:p w14:paraId="1FC94260" w14:textId="71087B6C" w:rsidR="00B57F60" w:rsidRDefault="00B57F60" w:rsidP="00431EF5">
      <w:pPr>
        <w:jc w:val="both"/>
      </w:pPr>
      <w:r>
        <w:t> </w:t>
      </w:r>
    </w:p>
    <w:p w14:paraId="6D73CA47" w14:textId="2FD136A0" w:rsidR="00815774" w:rsidRPr="000040BF" w:rsidRDefault="00815774" w:rsidP="00431EF5">
      <w:pPr>
        <w:jc w:val="both"/>
      </w:pPr>
      <w:r w:rsidRPr="000040BF">
        <w:t xml:space="preserve">As per Article 16, Bloomberg recommends ESMA to </w:t>
      </w:r>
      <w:r w:rsidR="00DD1AB5" w:rsidRPr="000040BF">
        <w:t xml:space="preserve">provide further clarity on both enabling and transitioning activities beyond the current guidelines: </w:t>
      </w:r>
      <w:r w:rsidRPr="000040BF">
        <w:t>“(</w:t>
      </w:r>
      <w:proofErr w:type="spellStart"/>
      <w:r w:rsidRPr="000040BF">
        <w:t>i</w:t>
      </w:r>
      <w:proofErr w:type="spellEnd"/>
      <w:r w:rsidRPr="000040BF">
        <w:t xml:space="preserve">) should not lead to a lock-in of assets that undermine long-term environmental goals, considering the economic lifetime of those assets; and (ii) has a substantial positive environmental impact, on the basis of life-cycle considerations”. </w:t>
      </w:r>
    </w:p>
    <w:p w14:paraId="375348B5" w14:textId="77777777" w:rsidR="00815774" w:rsidRDefault="00815774" w:rsidP="00431EF5">
      <w:pPr>
        <w:jc w:val="both"/>
      </w:pPr>
    </w:p>
    <w:p w14:paraId="01078973" w14:textId="47D0403A" w:rsidR="00B57F60" w:rsidRPr="00DD1AB5" w:rsidRDefault="00B57F60" w:rsidP="00431EF5">
      <w:pPr>
        <w:jc w:val="both"/>
        <w:rPr>
          <w:color w:val="8064A2" w:themeColor="accent4"/>
        </w:rPr>
      </w:pPr>
      <w:r>
        <w:t>The TEG recommend</w:t>
      </w:r>
      <w:r w:rsidR="00532BCC">
        <w:t>ed</w:t>
      </w:r>
      <w:r>
        <w:t xml:space="preserve"> that the members of the future Platform consider identifying guidance for enabling activities that brings all the elements referring to them across the Taxonomy in one chapter or section. Currently they are referred to in multiple sections of the technical annex.</w:t>
      </w:r>
      <w:r w:rsidR="00DD1AB5">
        <w:t xml:space="preserve"> </w:t>
      </w:r>
      <w:r w:rsidR="00DD1AB5" w:rsidRPr="000040BF">
        <w:t>Bloomberg supports this view.</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046BE0C5" w:rsidR="00492B3A" w:rsidRDefault="00C57211" w:rsidP="00431EF5">
      <w:pPr>
        <w:jc w:val="both"/>
      </w:pPr>
      <w:permStart w:id="1692017174" w:edGrp="everyone"/>
      <w:r>
        <w:t xml:space="preserve">Bloomberg believes that clarity on which environmental objective(s) an economic activity is contributing to is an important part of the </w:t>
      </w:r>
      <w:r w:rsidR="00CA743A">
        <w:t>supplementary information. Entity or group level reporti</w:t>
      </w:r>
      <w:r w:rsidR="007C48D8">
        <w:t>ng of taxonomy aligned turnover</w:t>
      </w:r>
      <w:r w:rsidR="00CA743A">
        <w:t xml:space="preserve"> should also be explained in the context of each environmental objective. </w:t>
      </w:r>
    </w:p>
    <w:p w14:paraId="66412DDA" w14:textId="0C073C66" w:rsidR="00CA743A" w:rsidRDefault="00CA743A" w:rsidP="00431EF5">
      <w:pPr>
        <w:jc w:val="both"/>
      </w:pPr>
    </w:p>
    <w:p w14:paraId="0CA4BA4C" w14:textId="570D6ED7" w:rsidR="00CA743A" w:rsidRDefault="00CA743A" w:rsidP="00431EF5">
      <w:pPr>
        <w:jc w:val="both"/>
      </w:pPr>
      <w:r>
        <w:t>For example</w:t>
      </w:r>
      <w:r w:rsidR="007C48D8">
        <w:t>, a company</w:t>
      </w:r>
      <w:r>
        <w:t xml:space="preserve"> is substantially contributing to mitigation with 50% of turnover and to adaptation with 70% of turnover, but overall the company can only be contributing 100% as its entity level taxonomy alignment. Understanding where there is overlap between each environmental objective is important so that a company cannot be given a false overall taxonomy aligned turnover figure.</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lastRenderedPageBreak/>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25D216C2" w14:textId="037B6081" w:rsidR="004E7B89" w:rsidRDefault="004E7B89" w:rsidP="00431EF5">
      <w:pPr>
        <w:jc w:val="both"/>
      </w:pPr>
      <w:permStart w:id="2067675786" w:edGrp="everyone"/>
      <w:r w:rsidRPr="00042772">
        <w:t>Bloomberg recommends that the f</w:t>
      </w:r>
      <w:r>
        <w:t>irst statement in the non-financial report should break out eli</w:t>
      </w:r>
      <w:r w:rsidR="00D76CC1">
        <w:t xml:space="preserve">gible from non-eligible revenue, </w:t>
      </w:r>
      <w:r w:rsidR="00D76CC1" w:rsidRPr="000040BF">
        <w:t>with e</w:t>
      </w:r>
      <w:r w:rsidRPr="000040BF">
        <w:t xml:space="preserve">ligibility </w:t>
      </w:r>
      <w:r>
        <w:t>meaning that the activity is covered in the technical annexes of the Taxonomy Regulation. We agree with approach 1, as proposed in section 3.3.4.</w:t>
      </w:r>
    </w:p>
    <w:p w14:paraId="3340159C" w14:textId="7200EBAA" w:rsidR="004E7B89" w:rsidRDefault="004E7B89" w:rsidP="00431EF5">
      <w:pPr>
        <w:jc w:val="both"/>
      </w:pPr>
    </w:p>
    <w:p w14:paraId="285DC6FB" w14:textId="47A03CF9" w:rsidR="004E7B89" w:rsidRDefault="004E7B89" w:rsidP="00431EF5">
      <w:pPr>
        <w:jc w:val="both"/>
      </w:pPr>
      <w:r>
        <w:t>Bloomberg disagrees with including</w:t>
      </w:r>
      <w:r w:rsidRPr="00E5180E">
        <w:t xml:space="preserve"> non-covered activities in Annex III</w:t>
      </w:r>
      <w:r>
        <w:t xml:space="preserve">: even though these have </w:t>
      </w:r>
      <w:proofErr w:type="gramStart"/>
      <w:r>
        <w:t>n/a</w:t>
      </w:r>
      <w:proofErr w:type="gramEnd"/>
      <w:r>
        <w:t xml:space="preserve"> for the remaining columns</w:t>
      </w:r>
      <w:r w:rsidR="007C48D8">
        <w:t>,</w:t>
      </w:r>
      <w:r>
        <w:t xml:space="preserve"> it may confuse reporting corporates and lead to (accidental) taxonomy alignment reporting for non-covered activities. For example, if they think they are contributing to an environmental objective, they may erroneously tick that column to indicate when they feel an activity is substantial contributing (e.g. to fishing) for activities without testing criteria. </w:t>
      </w:r>
    </w:p>
    <w:p w14:paraId="68A3F78D" w14:textId="77777777" w:rsidR="004E7B89" w:rsidRDefault="004E7B89" w:rsidP="00431EF5">
      <w:pPr>
        <w:jc w:val="both"/>
      </w:pPr>
    </w:p>
    <w:p w14:paraId="5324E53A" w14:textId="70F7B967" w:rsidR="00CA743A" w:rsidRPr="000040BF" w:rsidRDefault="00CA743A" w:rsidP="00431EF5">
      <w:pPr>
        <w:jc w:val="both"/>
      </w:pPr>
      <w:r>
        <w:t xml:space="preserve">Bloomberg believes that if technical screening criteria for an economic activity have not yet been established by </w:t>
      </w:r>
      <w:r w:rsidRPr="000040BF">
        <w:t xml:space="preserve">the </w:t>
      </w:r>
      <w:r w:rsidR="00D76CC1" w:rsidRPr="000040BF">
        <w:t xml:space="preserve">European Commission’s </w:t>
      </w:r>
      <w:r w:rsidRPr="000040BF">
        <w:t>Platform</w:t>
      </w:r>
      <w:r w:rsidR="00D76CC1" w:rsidRPr="000040BF">
        <w:t xml:space="preserve"> on Sustainable Finance</w:t>
      </w:r>
      <w:r w:rsidRPr="000040BF">
        <w:t>, then a</w:t>
      </w:r>
      <w:r w:rsidR="00264A45" w:rsidRPr="000040BF">
        <w:t xml:space="preserve"> company cannot make a taxonomy </w:t>
      </w:r>
      <w:r w:rsidRPr="000040BF">
        <w:t xml:space="preserve">aligned KPI claim in their non-financial undertakings. Should the company feel that they are substantially contributing to an environmental objective, then they should </w:t>
      </w:r>
      <w:r w:rsidR="007165AA">
        <w:t>feed back to the Platform on</w:t>
      </w:r>
      <w:r w:rsidRPr="000040BF">
        <w:t xml:space="preserve"> why their economic activity should be considered and the technical screening criteria that they feel would represent compliance with the Taxonomy framework.</w:t>
      </w:r>
    </w:p>
    <w:p w14:paraId="04C6E87A" w14:textId="0782D198" w:rsidR="00CA743A" w:rsidRPr="000040BF" w:rsidRDefault="00CA743A" w:rsidP="00431EF5">
      <w:pPr>
        <w:jc w:val="both"/>
      </w:pPr>
    </w:p>
    <w:p w14:paraId="1298BA03" w14:textId="5434CF00" w:rsidR="00492B3A" w:rsidRPr="000040BF" w:rsidRDefault="00CA743A" w:rsidP="00431EF5">
      <w:pPr>
        <w:jc w:val="both"/>
      </w:pPr>
      <w:r w:rsidRPr="000040BF">
        <w:t xml:space="preserve">If companies are allowed to create their own </w:t>
      </w:r>
      <w:r w:rsidR="00C33FE9" w:rsidRPr="000040BF">
        <w:t>Taxonomy screening criteria in order to</w:t>
      </w:r>
      <w:r w:rsidR="00264A45" w:rsidRPr="000040BF">
        <w:t xml:space="preserve"> demonstrate taxonomy alignment, </w:t>
      </w:r>
      <w:r w:rsidR="00C33FE9" w:rsidRPr="000040BF">
        <w:t>then this would be open to greenwashing and false claims in sectors not yet covered by the Taxonomy Regulation.</w:t>
      </w:r>
      <w:r w:rsidRPr="000040BF">
        <w:t xml:space="preserve"> </w:t>
      </w:r>
      <w:r w:rsidR="004E7B89" w:rsidRPr="000040BF">
        <w:t>There is a</w:t>
      </w:r>
      <w:r w:rsidR="00815774" w:rsidRPr="000040BF">
        <w:t xml:space="preserve"> need for the Platform to provide further clarity and</w:t>
      </w:r>
      <w:r w:rsidR="00C657D0">
        <w:t xml:space="preserve"> </w:t>
      </w:r>
      <w:proofErr w:type="gramStart"/>
      <w:r w:rsidR="00C657D0">
        <w:t>advise</w:t>
      </w:r>
      <w:proofErr w:type="gramEnd"/>
      <w:r w:rsidR="00C657D0">
        <w:t xml:space="preserve"> on</w:t>
      </w:r>
      <w:r w:rsidR="00815774" w:rsidRPr="000040BF">
        <w:t xml:space="preserve"> key metrics for enabling and transition</w:t>
      </w:r>
      <w:r w:rsidR="004E7B89" w:rsidRPr="000040BF">
        <w:t>ing</w:t>
      </w:r>
      <w:r w:rsidR="00815774" w:rsidRPr="000040BF">
        <w:t xml:space="preserve"> activities. </w:t>
      </w:r>
    </w:p>
    <w:p w14:paraId="4BF523FA" w14:textId="2E93C172" w:rsidR="00E5180E" w:rsidRPr="000040BF" w:rsidRDefault="00E5180E" w:rsidP="00431EF5">
      <w:pPr>
        <w:jc w:val="both"/>
      </w:pPr>
    </w:p>
    <w:p w14:paraId="3DE9ABBF" w14:textId="2DB164B0" w:rsidR="00E5180E" w:rsidRPr="00D76CC1" w:rsidRDefault="00E5180E" w:rsidP="00431EF5">
      <w:pPr>
        <w:jc w:val="both"/>
        <w:rPr>
          <w:color w:val="FF0000"/>
        </w:rPr>
      </w:pPr>
      <w:r w:rsidRPr="000040BF">
        <w:t>Bloomberg recommend</w:t>
      </w:r>
      <w:r w:rsidR="00B61CF4" w:rsidRPr="000040BF">
        <w:t>s</w:t>
      </w:r>
      <w:r w:rsidRPr="000040BF">
        <w:t xml:space="preserve"> a reporting framework that starts with what proportion of your activities are covered (eligible) or not. For example</w:t>
      </w:r>
      <w:r w:rsidR="004E7B89" w:rsidRPr="000040BF">
        <w:t>,</w:t>
      </w:r>
      <w:r w:rsidRPr="000040BF">
        <w:t xml:space="preserve"> company A is 40% covered by the Taxonomy, and 60% not. </w:t>
      </w:r>
      <w:r w:rsidR="004E7B89" w:rsidRPr="000040BF">
        <w:t xml:space="preserve">The company should then complete </w:t>
      </w:r>
      <w:r w:rsidRPr="000040BF">
        <w:t>Annex III with details</w:t>
      </w:r>
      <w:r w:rsidR="004E7B89" w:rsidRPr="000040BF">
        <w:t xml:space="preserve"> for the 40%</w:t>
      </w:r>
      <w:r w:rsidRPr="000040BF">
        <w:t>.</w:t>
      </w:r>
      <w:r w:rsidR="004E7B89" w:rsidRPr="000040BF">
        <w:t xml:space="preserve">The segmentation should be aligned </w:t>
      </w:r>
      <w:r w:rsidR="007A7572" w:rsidRPr="000040BF">
        <w:t>to annual accounts where revenue is segmented, which should correspond with the detail reported in Annex III.</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06FB6EBA" w:rsidR="00492B3A" w:rsidRDefault="00C33FE9" w:rsidP="00431EF5">
      <w:pPr>
        <w:jc w:val="both"/>
      </w:pPr>
      <w:permStart w:id="1373325572" w:edGrp="everyone"/>
      <w:r>
        <w:t>Bloomberg is in agreement with the proposal to not retro-actively disclose these KPI, as a disclosing corporate would not know what data collection is required in 2021 to honour the reporting.</w:t>
      </w:r>
      <w:r w:rsidR="002422D0">
        <w:t xml:space="preserve"> We agree with approach 2 in section 3.3.5</w:t>
      </w:r>
      <w:r w:rsidR="00D76CC1">
        <w:t>.</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44517F01" w:rsidR="00492B3A" w:rsidRDefault="00C33FE9" w:rsidP="00431EF5">
      <w:pPr>
        <w:jc w:val="both"/>
      </w:pPr>
      <w:permStart w:id="1139373962" w:edGrp="everyone"/>
      <w:r>
        <w:t xml:space="preserve">Corporate disclosure of the data required to assess the principle adverse impacts under the SFDR is not mandated but should be reviewed if Financial Market Participants are expected to report in alignment with these metrics. Clarity on the </w:t>
      </w:r>
      <w:r w:rsidR="00042772">
        <w:t xml:space="preserve">difference between </w:t>
      </w:r>
      <w:proofErr w:type="gramStart"/>
      <w:r>
        <w:t>activity</w:t>
      </w:r>
      <w:proofErr w:type="gramEnd"/>
      <w:r>
        <w:t xml:space="preserve"> </w:t>
      </w:r>
      <w:r w:rsidR="00042772">
        <w:t xml:space="preserve">(Taxonomy Regulation) </w:t>
      </w:r>
      <w:r>
        <w:t xml:space="preserve">versus entity </w:t>
      </w:r>
      <w:r w:rsidR="00042772">
        <w:t xml:space="preserve">(SFDR) </w:t>
      </w:r>
      <w:r>
        <w:t xml:space="preserve">level </w:t>
      </w:r>
      <w:r>
        <w:lastRenderedPageBreak/>
        <w:t>requirements under significant harm is required for both the disclosing corporate and</w:t>
      </w:r>
      <w:r w:rsidR="00D76CC1">
        <w:t xml:space="preserve"> the</w:t>
      </w:r>
      <w:r>
        <w:t xml:space="preserve"> Financial Market Participant.</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479AFEB5" w:rsidR="00492B3A" w:rsidRDefault="00AB5D94" w:rsidP="00431EF5">
      <w:pPr>
        <w:jc w:val="both"/>
      </w:pPr>
      <w:permStart w:id="1800012995" w:edGrp="everyone"/>
      <w:r>
        <w:t>It would be useful to breakout a company as having eligible revenue streams, and then the proportion of those revenue streams th</w:t>
      </w:r>
      <w:r w:rsidR="00C96674">
        <w:t xml:space="preserve">at are aligned. For example, </w:t>
      </w:r>
      <w:r>
        <w:t xml:space="preserve">company A makes cement across 5 plants, 2 of them are operating within the EU ETS benchmark limits and make 40% of the </w:t>
      </w:r>
      <w:r w:rsidR="00C96674">
        <w:t>overall company’s turnover. As a result,</w:t>
      </w:r>
      <w:r>
        <w:t xml:space="preserve"> Company A is 100% eligible but only 40% aligned. As an investor is looking to encourage eligible companies to decarbonise in lin</w:t>
      </w:r>
      <w:r w:rsidR="00A637EA">
        <w:t>e</w:t>
      </w:r>
      <w:r>
        <w:t xml:space="preserve"> with the Taxonomy</w:t>
      </w:r>
      <w:r w:rsidR="00042772">
        <w:t>, an</w:t>
      </w:r>
      <w:r>
        <w:t xml:space="preserve"> understanding </w:t>
      </w:r>
      <w:r w:rsidR="00042772">
        <w:t xml:space="preserve">of </w:t>
      </w:r>
      <w:r>
        <w:t>which portion of their portfolio is eligible and then which portion is aligned is an important metric to incentivise the right behaviour.</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5F78C2DC" w14:textId="77777777" w:rsidR="008914C2" w:rsidRDefault="008914C2" w:rsidP="00492B3A">
      <w:pPr>
        <w:rPr>
          <w:sz w:val="22"/>
          <w:szCs w:val="22"/>
          <w:lang w:eastAsia="en-GB"/>
        </w:rPr>
      </w:pPr>
      <w:permStart w:id="449525443" w:edGrp="everyone"/>
      <w:r w:rsidRPr="00FE40D3">
        <w:rPr>
          <w:sz w:val="22"/>
          <w:szCs w:val="22"/>
          <w:lang w:eastAsia="en-GB"/>
        </w:rPr>
        <w:t>TYPE YOUR TEXT HERE</w:t>
      </w:r>
    </w:p>
    <w:permEnd w:id="449525443"/>
    <w:p w14:paraId="6064EA3A" w14:textId="08988D7E"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3F498C46" w14:textId="63CAA5DE" w:rsidR="008914C2" w:rsidRPr="000040BF" w:rsidRDefault="007F3B3C" w:rsidP="00492B3A">
      <w:permStart w:id="1857751903" w:edGrp="everyone"/>
      <w:r>
        <w:t>Pl</w:t>
      </w:r>
      <w:r w:rsidRPr="000040BF">
        <w:t>ease</w:t>
      </w:r>
      <w:r w:rsidR="008914C2" w:rsidRPr="000040BF">
        <w:t xml:space="preserve"> refer to the</w:t>
      </w:r>
      <w:r w:rsidR="000B37D9" w:rsidRPr="000040BF">
        <w:t xml:space="preserve"> answer to Question 12. </w:t>
      </w:r>
    </w:p>
    <w:permEnd w:id="1857751903"/>
    <w:p w14:paraId="6FC84A1D" w14:textId="143B3AC0"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791D8CEB" w:rsidR="00492B3A" w:rsidRDefault="00415DD4" w:rsidP="00431EF5">
      <w:pPr>
        <w:jc w:val="both"/>
      </w:pPr>
      <w:permStart w:id="2059688895" w:edGrp="everyone"/>
      <w:r w:rsidRPr="00415DD4">
        <w:t>Bloomberg agrees with th</w:t>
      </w:r>
      <w:r>
        <w:t>e</w:t>
      </w:r>
      <w:r w:rsidRPr="00415DD4">
        <w:t xml:space="preserve"> r</w:t>
      </w:r>
      <w:r>
        <w:t>ecommendations</w:t>
      </w:r>
      <w:r w:rsidR="008914C2">
        <w:t xml:space="preserve"> to make the disclosure machine-</w:t>
      </w:r>
      <w:r>
        <w:t>readable with a clear framework to break out each attribute and activity in alignment with the Taxonomy.</w:t>
      </w:r>
      <w:r w:rsidR="00E5180E">
        <w:t xml:space="preserve"> Bloomberg has provided an alternate annex table, to reduce the error rate in the proposed disc</w:t>
      </w:r>
      <w:r w:rsidR="008914C2">
        <w:t>losure. Bloomberg recommends XML</w:t>
      </w:r>
      <w:r w:rsidR="00E5180E">
        <w:t xml:space="preserve"> delivery.</w:t>
      </w:r>
    </w:p>
    <w:p w14:paraId="5B1CD4DF" w14:textId="77777777" w:rsidR="004120C3" w:rsidRDefault="004120C3" w:rsidP="00431EF5">
      <w:pPr>
        <w:jc w:val="both"/>
        <w:rPr>
          <w:i/>
          <w:iCs/>
          <w:color w:val="FF0000"/>
        </w:rPr>
      </w:pPr>
    </w:p>
    <w:p w14:paraId="0EF52FC8" w14:textId="450690B9" w:rsidR="000B37D9" w:rsidRPr="007F3B3C" w:rsidRDefault="000B37D9" w:rsidP="00431EF5">
      <w:pPr>
        <w:jc w:val="both"/>
        <w:rPr>
          <w:iCs/>
        </w:rPr>
      </w:pPr>
      <w:r w:rsidRPr="007F3B3C">
        <w:rPr>
          <w:iCs/>
        </w:rPr>
        <w:t xml:space="preserve">On delivery and </w:t>
      </w:r>
      <w:r w:rsidR="004120C3" w:rsidRPr="007F3B3C">
        <w:rPr>
          <w:iCs/>
        </w:rPr>
        <w:t>acquisition methods</w:t>
      </w:r>
      <w:r w:rsidRPr="007F3B3C">
        <w:rPr>
          <w:iCs/>
        </w:rPr>
        <w:t xml:space="preserve">, Bloomberg recommends a centralized location where this information would be made available for all companies, with the ability for anyone to access the files and download the same. Files should have </w:t>
      </w:r>
      <w:r w:rsidR="008914C2" w:rsidRPr="007F3B3C">
        <w:rPr>
          <w:iCs/>
        </w:rPr>
        <w:t xml:space="preserve">a </w:t>
      </w:r>
      <w:r w:rsidRPr="007F3B3C">
        <w:rPr>
          <w:iCs/>
        </w:rPr>
        <w:t xml:space="preserve">consistent naming convention and format with </w:t>
      </w:r>
      <w:r w:rsidR="008914C2" w:rsidRPr="007F3B3C">
        <w:rPr>
          <w:iCs/>
        </w:rPr>
        <w:t xml:space="preserve">a </w:t>
      </w:r>
      <w:r w:rsidRPr="007F3B3C">
        <w:rPr>
          <w:iCs/>
        </w:rPr>
        <w:t>predefined schema. It would be optimal</w:t>
      </w:r>
      <w:r w:rsidR="007F3B3C" w:rsidRPr="007F3B3C">
        <w:rPr>
          <w:iCs/>
        </w:rPr>
        <w:t xml:space="preserve"> if the data is stored against</w:t>
      </w:r>
      <w:r w:rsidRPr="007F3B3C">
        <w:rPr>
          <w:iCs/>
        </w:rPr>
        <w:t xml:space="preserve"> publicly available identifier</w:t>
      </w:r>
      <w:r w:rsidR="007F3B3C" w:rsidRPr="007F3B3C">
        <w:rPr>
          <w:iCs/>
        </w:rPr>
        <w:t>s</w:t>
      </w:r>
      <w:r w:rsidR="00E36FD8">
        <w:rPr>
          <w:iCs/>
        </w:rPr>
        <w:t xml:space="preserve"> such as the Financial Instrument Global Identifier (FIGI) and Legal Entity Identifier (LEI)</w:t>
      </w:r>
      <w:r w:rsidRPr="007F3B3C">
        <w:rPr>
          <w:iCs/>
        </w:rPr>
        <w:t xml:space="preserve">. Enabling the data to be distributed through a feed would also improve efficiency. Otherwise, additional options would be FTP or API. </w:t>
      </w:r>
    </w:p>
    <w:p w14:paraId="7035CE29" w14:textId="77777777" w:rsidR="004120C3" w:rsidRPr="008914C2" w:rsidRDefault="004120C3" w:rsidP="00431EF5">
      <w:pPr>
        <w:jc w:val="both"/>
        <w:rPr>
          <w:i/>
          <w:iCs/>
          <w:color w:val="FF0000"/>
        </w:rPr>
      </w:pPr>
    </w:p>
    <w:p w14:paraId="5B32FADF" w14:textId="2C709F44" w:rsidR="004120C3" w:rsidRPr="000040BF" w:rsidRDefault="000B37D9" w:rsidP="00431EF5">
      <w:pPr>
        <w:jc w:val="both"/>
        <w:rPr>
          <w:iCs/>
        </w:rPr>
      </w:pPr>
      <w:r w:rsidRPr="000040BF">
        <w:rPr>
          <w:iCs/>
        </w:rPr>
        <w:t>Bloomberg recommends the following d</w:t>
      </w:r>
      <w:r w:rsidR="004120C3" w:rsidRPr="000040BF">
        <w:rPr>
          <w:iCs/>
        </w:rPr>
        <w:t>ata formats</w:t>
      </w:r>
      <w:r w:rsidRPr="000040BF">
        <w:rPr>
          <w:iCs/>
        </w:rPr>
        <w:t>,</w:t>
      </w:r>
      <w:r w:rsidR="004120C3" w:rsidRPr="000040BF">
        <w:rPr>
          <w:iCs/>
        </w:rPr>
        <w:t xml:space="preserve"> in order of preference:</w:t>
      </w:r>
    </w:p>
    <w:p w14:paraId="1E10EAD5" w14:textId="161B855E" w:rsidR="004120C3" w:rsidRPr="000040BF" w:rsidRDefault="004120C3" w:rsidP="00431EF5">
      <w:pPr>
        <w:pStyle w:val="ListParagraph"/>
        <w:numPr>
          <w:ilvl w:val="0"/>
          <w:numId w:val="49"/>
        </w:numPr>
        <w:jc w:val="both"/>
        <w:rPr>
          <w:iCs/>
        </w:rPr>
      </w:pPr>
      <w:r w:rsidRPr="000040BF">
        <w:rPr>
          <w:iCs/>
        </w:rPr>
        <w:t>JSON / XML</w:t>
      </w:r>
    </w:p>
    <w:p w14:paraId="0A0DBA7C" w14:textId="2451753E" w:rsidR="004120C3" w:rsidRPr="000040BF" w:rsidRDefault="004120C3" w:rsidP="00431EF5">
      <w:pPr>
        <w:pStyle w:val="ListParagraph"/>
        <w:numPr>
          <w:ilvl w:val="0"/>
          <w:numId w:val="49"/>
        </w:numPr>
        <w:jc w:val="both"/>
        <w:rPr>
          <w:iCs/>
        </w:rPr>
      </w:pPr>
      <w:r w:rsidRPr="000040BF">
        <w:rPr>
          <w:iCs/>
        </w:rPr>
        <w:lastRenderedPageBreak/>
        <w:t>CSV / TXT / any other delimited</w:t>
      </w:r>
    </w:p>
    <w:p w14:paraId="4BB7D700" w14:textId="2B2FBBF9" w:rsidR="004120C3" w:rsidRPr="000040BF" w:rsidRDefault="004120C3" w:rsidP="00431EF5">
      <w:pPr>
        <w:pStyle w:val="ListParagraph"/>
        <w:numPr>
          <w:ilvl w:val="0"/>
          <w:numId w:val="49"/>
        </w:numPr>
        <w:jc w:val="both"/>
        <w:rPr>
          <w:iCs/>
        </w:rPr>
      </w:pPr>
      <w:proofErr w:type="spellStart"/>
      <w:r w:rsidRPr="000040BF">
        <w:rPr>
          <w:iCs/>
        </w:rPr>
        <w:t>xls</w:t>
      </w:r>
      <w:proofErr w:type="spellEnd"/>
      <w:r w:rsidRPr="000040BF">
        <w:rPr>
          <w:iCs/>
        </w:rPr>
        <w:t>(x)</w:t>
      </w:r>
    </w:p>
    <w:p w14:paraId="66BFFE6E" w14:textId="4F7453F1" w:rsidR="004120C3" w:rsidRPr="000040BF" w:rsidRDefault="004120C3" w:rsidP="00431EF5">
      <w:pPr>
        <w:pStyle w:val="ListParagraph"/>
        <w:numPr>
          <w:ilvl w:val="0"/>
          <w:numId w:val="49"/>
        </w:numPr>
        <w:jc w:val="both"/>
        <w:rPr>
          <w:iCs/>
        </w:rPr>
      </w:pPr>
      <w:r w:rsidRPr="000040BF">
        <w:rPr>
          <w:iCs/>
        </w:rPr>
        <w:t>html</w:t>
      </w:r>
    </w:p>
    <w:p w14:paraId="6E909D39" w14:textId="286A4D10" w:rsidR="004120C3" w:rsidRPr="000040BF" w:rsidRDefault="00C36875" w:rsidP="00431EF5">
      <w:pPr>
        <w:pStyle w:val="ListParagraph"/>
        <w:numPr>
          <w:ilvl w:val="0"/>
          <w:numId w:val="49"/>
        </w:numPr>
        <w:jc w:val="both"/>
        <w:rPr>
          <w:iCs/>
        </w:rPr>
      </w:pPr>
      <w:r w:rsidRPr="000040BF">
        <w:rPr>
          <w:iCs/>
        </w:rPr>
        <w:t>d</w:t>
      </w:r>
      <w:r w:rsidR="004120C3" w:rsidRPr="000040BF">
        <w:rPr>
          <w:iCs/>
        </w:rPr>
        <w:t>oc /pdf</w:t>
      </w:r>
    </w:p>
    <w:p w14:paraId="3CEC76B0" w14:textId="77777777" w:rsidR="004120C3" w:rsidRPr="000040BF" w:rsidRDefault="004120C3" w:rsidP="00431EF5">
      <w:pPr>
        <w:jc w:val="both"/>
        <w:rPr>
          <w:i/>
          <w:iCs/>
        </w:rPr>
      </w:pPr>
    </w:p>
    <w:p w14:paraId="45FFAD47" w14:textId="5CB329FC" w:rsidR="004120C3" w:rsidRDefault="00C36875" w:rsidP="00431EF5">
      <w:pPr>
        <w:jc w:val="both"/>
        <w:rPr>
          <w:i/>
          <w:iCs/>
          <w:color w:val="FF0000"/>
        </w:rPr>
      </w:pPr>
      <w:r w:rsidRPr="000040BF">
        <w:rPr>
          <w:iCs/>
        </w:rPr>
        <w:t xml:space="preserve">It is crucial to ensure </w:t>
      </w:r>
      <w:r w:rsidR="004120C3" w:rsidRPr="000040BF">
        <w:rPr>
          <w:iCs/>
        </w:rPr>
        <w:t xml:space="preserve">the data </w:t>
      </w:r>
      <w:r w:rsidRPr="000040BF">
        <w:rPr>
          <w:iCs/>
        </w:rPr>
        <w:t xml:space="preserve">is </w:t>
      </w:r>
      <w:r w:rsidR="004120C3" w:rsidRPr="000040BF">
        <w:rPr>
          <w:iCs/>
        </w:rPr>
        <w:t>as consistent as possible in terms of formats</w:t>
      </w:r>
      <w:r w:rsidRPr="000040BF">
        <w:rPr>
          <w:iCs/>
        </w:rPr>
        <w:t xml:space="preserve">, for instance, the same headers, </w:t>
      </w:r>
      <w:r w:rsidR="004120C3" w:rsidRPr="000040BF">
        <w:rPr>
          <w:iCs/>
        </w:rPr>
        <w:t xml:space="preserve">columns, </w:t>
      </w:r>
      <w:r w:rsidRPr="000040BF">
        <w:rPr>
          <w:iCs/>
        </w:rPr>
        <w:t>locations</w:t>
      </w:r>
      <w:r w:rsidR="004120C3" w:rsidRPr="007F3B3C">
        <w:rPr>
          <w:i/>
          <w:iCs/>
        </w:rPr>
        <w:t>.</w:t>
      </w:r>
    </w:p>
    <w:permEnd w:id="2059688895"/>
    <w:p w14:paraId="3A6236CE" w14:textId="68ACBDF1"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FDA8A75" w14:textId="5924E58E" w:rsidR="00492B3A" w:rsidRDefault="00415DD4" w:rsidP="00431EF5">
      <w:pPr>
        <w:jc w:val="both"/>
      </w:pPr>
      <w:permStart w:id="1618612787" w:edGrp="everyone"/>
      <w:r>
        <w:t xml:space="preserve">Bloomberg would recommend that the table is only used for covered activities, and that the proportion of revenue made from covered vs non covered activities is listed in the summary. Bloomberg therefore suggests dropping item e from the table. Bloomberg believes that inclusion of </w:t>
      </w:r>
      <w:r w:rsidR="00E5180E">
        <w:t>non-covered</w:t>
      </w:r>
      <w:r>
        <w:t xml:space="preserve"> activities into the Taxonomy disclosure may give rise to companies making substantial contribution claims for activities without clear Taxonomy-aligned testing criteria, which could be confusing for the disclosing corporate and receiving financial market participant.</w:t>
      </w:r>
    </w:p>
    <w:p w14:paraId="43DA4D94" w14:textId="718CE51B" w:rsidR="00E5180E" w:rsidRDefault="00E5180E" w:rsidP="00431EF5">
      <w:pPr>
        <w:jc w:val="both"/>
      </w:pPr>
    </w:p>
    <w:p w14:paraId="6D068FEA" w14:textId="01C32193" w:rsidR="00C36875" w:rsidRPr="000040BF" w:rsidRDefault="00C36875" w:rsidP="00431EF5">
      <w:pPr>
        <w:jc w:val="both"/>
      </w:pPr>
      <w:r w:rsidRPr="000040BF">
        <w:t>Bloomberg would recommend the following alternative suggestions regarding the standard table for Annex III:</w:t>
      </w:r>
    </w:p>
    <w:p w14:paraId="605EACD1" w14:textId="77777777" w:rsidR="00C36875" w:rsidRPr="000040BF" w:rsidRDefault="00C36875" w:rsidP="00431EF5">
      <w:pPr>
        <w:pStyle w:val="ListParagraph"/>
        <w:numPr>
          <w:ilvl w:val="0"/>
          <w:numId w:val="43"/>
        </w:numPr>
        <w:jc w:val="both"/>
      </w:pPr>
      <w:r w:rsidRPr="000040BF">
        <w:t xml:space="preserve">Scale/Currency/Units/Date of measure should always be specified where relevant (if possible in separate cell consistent over time). For example, on absolute Turnover, is this in Millions, Actuals etc.? </w:t>
      </w:r>
    </w:p>
    <w:p w14:paraId="097FC7D4" w14:textId="77777777" w:rsidR="00C36875" w:rsidRPr="000040BF" w:rsidRDefault="00C36875" w:rsidP="00431EF5">
      <w:pPr>
        <w:pStyle w:val="ListParagraph"/>
        <w:numPr>
          <w:ilvl w:val="0"/>
          <w:numId w:val="43"/>
        </w:numPr>
        <w:jc w:val="both"/>
      </w:pPr>
      <w:r w:rsidRPr="000040BF">
        <w:t>Use of special characters should be avoided. For example, DNSH √.</w:t>
      </w:r>
    </w:p>
    <w:p w14:paraId="773D113A" w14:textId="77777777" w:rsidR="006474AA" w:rsidRPr="000040BF" w:rsidRDefault="00C36875" w:rsidP="00431EF5">
      <w:pPr>
        <w:pStyle w:val="ListParagraph"/>
        <w:numPr>
          <w:ilvl w:val="0"/>
          <w:numId w:val="43"/>
        </w:numPr>
        <w:jc w:val="both"/>
      </w:pPr>
      <w:r w:rsidRPr="000040BF">
        <w:t xml:space="preserve">Merging information into one cell should also be avoided, for instance, climate change mitigation -SC√ 50% </w:t>
      </w:r>
      <w:proofErr w:type="spellStart"/>
      <w:r w:rsidRPr="000040BF">
        <w:t>SCx</w:t>
      </w:r>
      <w:proofErr w:type="spellEnd"/>
      <w:r w:rsidRPr="000040BF">
        <w:t xml:space="preserve"> 50%. Instead, these should be placed in separate columns i</w:t>
      </w:r>
      <w:r w:rsidR="006474AA" w:rsidRPr="000040BF">
        <w:t xml:space="preserve">n the table to specify Taxonomy-aligned vs. </w:t>
      </w:r>
      <w:r w:rsidRPr="000040BF">
        <w:t>Taxonomy no</w:t>
      </w:r>
      <w:r w:rsidR="006474AA" w:rsidRPr="000040BF">
        <w:t>n</w:t>
      </w:r>
      <w:r w:rsidRPr="000040BF">
        <w:t>-aligned</w:t>
      </w:r>
      <w:r w:rsidR="006474AA" w:rsidRPr="000040BF">
        <w:t xml:space="preserve">. </w:t>
      </w:r>
    </w:p>
    <w:p w14:paraId="19467D04" w14:textId="0472B54A" w:rsidR="00C36875" w:rsidRPr="000040BF" w:rsidRDefault="006474AA" w:rsidP="00431EF5">
      <w:pPr>
        <w:pStyle w:val="ListParagraph"/>
        <w:numPr>
          <w:ilvl w:val="0"/>
          <w:numId w:val="43"/>
        </w:numPr>
        <w:jc w:val="both"/>
      </w:pPr>
      <w:r w:rsidRPr="000040BF">
        <w:t>C</w:t>
      </w:r>
      <w:r w:rsidR="00C36875" w:rsidRPr="000040BF">
        <w:t>onsistent headers or industry recognised standard</w:t>
      </w:r>
      <w:r w:rsidRPr="000040BF">
        <w:t xml:space="preserve"> should be applied and used</w:t>
      </w:r>
      <w:r w:rsidR="00C36875" w:rsidRPr="000040BF">
        <w:t>.</w:t>
      </w:r>
      <w:r w:rsidRPr="000040BF">
        <w:t xml:space="preserve"> For example, for an economy activity, the corresponding NACE code should be used. </w:t>
      </w:r>
    </w:p>
    <w:p w14:paraId="5618140A" w14:textId="77777777" w:rsidR="00C36875" w:rsidRDefault="00C36875" w:rsidP="00431EF5">
      <w:pPr>
        <w:jc w:val="both"/>
        <w:rPr>
          <w:color w:val="943634" w:themeColor="accent2" w:themeShade="BF"/>
        </w:rPr>
      </w:pPr>
    </w:p>
    <w:p w14:paraId="564D4A08" w14:textId="1274C906" w:rsidR="004120C3" w:rsidRPr="007F3B3C" w:rsidRDefault="00C36875" w:rsidP="00431EF5">
      <w:pPr>
        <w:jc w:val="both"/>
      </w:pPr>
      <w:r>
        <w:rPr>
          <w:color w:val="943634" w:themeColor="accent2" w:themeShade="BF"/>
        </w:rPr>
        <w:t xml:space="preserve"> </w:t>
      </w:r>
      <w:r>
        <w:t xml:space="preserve">Bloomberg has attached an alternate template </w:t>
      </w:r>
      <w:r w:rsidR="00C96674">
        <w:t xml:space="preserve">to this response </w:t>
      </w:r>
      <w:r>
        <w:t>to allow for Boolean data ingestion (Y/N) answers to standardised questions.</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65E37446" w14:textId="044BE2AD" w:rsidR="006765D9" w:rsidRPr="000040BF" w:rsidRDefault="006474AA" w:rsidP="00431EF5">
      <w:pPr>
        <w:jc w:val="both"/>
      </w:pPr>
      <w:permStart w:id="300711497" w:edGrp="everyone"/>
      <w:r w:rsidRPr="000040BF">
        <w:t xml:space="preserve">Answers to Questions 24 and 25 are also applicable here. </w:t>
      </w:r>
    </w:p>
    <w:p w14:paraId="3419AD9F" w14:textId="77777777" w:rsidR="006765D9" w:rsidRPr="000040BF" w:rsidRDefault="006765D9" w:rsidP="00431EF5">
      <w:pPr>
        <w:jc w:val="both"/>
      </w:pPr>
    </w:p>
    <w:p w14:paraId="45517BC4" w14:textId="16F5F4C1" w:rsidR="00492B3A" w:rsidRPr="007F3B3C" w:rsidRDefault="006474AA" w:rsidP="00431EF5">
      <w:pPr>
        <w:jc w:val="both"/>
      </w:pPr>
      <w:r w:rsidRPr="000040BF">
        <w:t>To reiterate,</w:t>
      </w:r>
      <w:r w:rsidR="006765D9" w:rsidRPr="000040BF">
        <w:t xml:space="preserve"> use of special characters </w:t>
      </w:r>
      <w:r w:rsidRPr="000040BF">
        <w:t>and</w:t>
      </w:r>
      <w:r w:rsidR="006765D9" w:rsidRPr="000040BF">
        <w:t xml:space="preserve"> merging information in one cell</w:t>
      </w:r>
      <w:r w:rsidRPr="000040BF">
        <w:t xml:space="preserve"> should always be avoided</w:t>
      </w:r>
      <w:r w:rsidR="006765D9" w:rsidRPr="000040BF">
        <w:t xml:space="preserve">. </w:t>
      </w:r>
      <w:r w:rsidRPr="000040BF">
        <w:t>Bloomberg recommends the file suggestions set out in the answer to</w:t>
      </w:r>
      <w:r w:rsidR="007F3B3C">
        <w:t xml:space="preserve"> Question 24 also in this case.</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lastRenderedPageBreak/>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54FC59CA" w14:textId="5CC8BAAE" w:rsidR="00492B3A" w:rsidRPr="007F3B3C" w:rsidRDefault="008914C2" w:rsidP="00492B3A">
      <w:pPr>
        <w:rPr>
          <w:sz w:val="22"/>
        </w:rPr>
      </w:pPr>
      <w:permStart w:id="1094988904" w:edGrp="everyone"/>
      <w:r w:rsidRPr="007F3B3C">
        <w:rPr>
          <w:sz w:val="22"/>
        </w:rPr>
        <w:t>TYPE YOUR TEXT HERE</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1BE1DF61" w14:textId="5F741058" w:rsidR="00474205" w:rsidRDefault="00415DD4" w:rsidP="00431EF5">
      <w:pPr>
        <w:jc w:val="both"/>
      </w:pPr>
      <w:permStart w:id="1382092212" w:edGrp="everyone"/>
      <w:r w:rsidRPr="00415DD4">
        <w:t>Bloomberg agrees with the s</w:t>
      </w:r>
      <w:r>
        <w:t>hare of investments in activities associated with the taxonomy following the AUM guide</w:t>
      </w:r>
      <w:r w:rsidR="00C96674">
        <w:t>lines provided in section 4.2.1.</w:t>
      </w:r>
      <w:r>
        <w:t xml:space="preserve"> </w:t>
      </w:r>
      <w:r w:rsidR="00CA3714">
        <w:t>Bloomberg agrees that a revenue or fees based model would not be a suitable indicator of the impact of the asset manager on delivering the goals of environmentally sustainable investment practices.</w:t>
      </w:r>
    </w:p>
    <w:permEnd w:id="1382092212"/>
    <w:p w14:paraId="070A9A0E" w14:textId="506DB5BC"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47EB011D" w:rsidR="00492B3A" w:rsidRPr="007F3B3C" w:rsidRDefault="008914C2" w:rsidP="00492B3A">
      <w:pPr>
        <w:rPr>
          <w:sz w:val="22"/>
          <w:lang w:val="es-ES"/>
        </w:rPr>
      </w:pPr>
      <w:permStart w:id="1069877549" w:edGrp="everyone"/>
      <w:r w:rsidRPr="007F3B3C">
        <w:rPr>
          <w:sz w:val="22"/>
          <w:lang w:val="es-ES"/>
        </w:rP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722E0F02" w14:textId="3E24D39D" w:rsidR="007F72AF" w:rsidRDefault="007F72AF" w:rsidP="00431EF5">
      <w:pPr>
        <w:jc w:val="both"/>
      </w:pPr>
      <w:permStart w:id="1684879065" w:edGrp="everyone"/>
      <w:r>
        <w:t>Bloomberg agrees with the proposal that portfolio weighted (by AUM) holdings * the taxonomy aligned turnover of each holding should be the numerator of the KPI.</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078C6800" w:rsidR="00492B3A" w:rsidRDefault="00CA3714" w:rsidP="00431EF5">
      <w:pPr>
        <w:jc w:val="both"/>
      </w:pPr>
      <w:permStart w:id="830504005" w:edGrp="everyone"/>
      <w:r w:rsidRPr="00CA3714">
        <w:t>Bloomberg agrees with the r</w:t>
      </w:r>
      <w:r>
        <w:t xml:space="preserve">ecommendations to report </w:t>
      </w:r>
      <w:r w:rsidR="000A3F0D">
        <w:t xml:space="preserve">portfolio </w:t>
      </w:r>
      <w:r>
        <w:t xml:space="preserve">weighted holdings of taxonomy aligned activities based on turnover. Bloomberg </w:t>
      </w:r>
      <w:r w:rsidR="00C96674">
        <w:t xml:space="preserve">also </w:t>
      </w:r>
      <w:r>
        <w:t>agree</w:t>
      </w:r>
      <w:r w:rsidR="000A3F0D">
        <w:t>s</w:t>
      </w:r>
      <w:r>
        <w:t xml:space="preserve"> with the TEG recommendations on waterfall logic, such that a green debt instrument with use of proceeds aligned to the Taxonomy would be counted </w:t>
      </w:r>
      <w:r w:rsidR="00BF4873">
        <w:t xml:space="preserve">first </w:t>
      </w:r>
      <w:r>
        <w:t>and if such use of proceeds are not taxonomy aligned then the company’s activities (based on turnover) would then be assessed for taxonomy alignment.</w:t>
      </w:r>
    </w:p>
    <w:p w14:paraId="7584E281" w14:textId="66720828" w:rsidR="002D42F5" w:rsidRDefault="002D42F5" w:rsidP="00492B3A"/>
    <w:p w14:paraId="3FAFD8B9" w14:textId="18D61BE2" w:rsidR="002D42F5" w:rsidRPr="00DD1AB5" w:rsidRDefault="002D42F5" w:rsidP="00431EF5">
      <w:pPr>
        <w:jc w:val="both"/>
        <w:rPr>
          <w:color w:val="8064A2" w:themeColor="accent4"/>
        </w:rPr>
      </w:pPr>
      <w:r>
        <w:lastRenderedPageBreak/>
        <w:t>Bloomberg bel</w:t>
      </w:r>
      <w:r w:rsidR="00EA23DE">
        <w:t>ieves that an asset manager</w:t>
      </w:r>
      <w:r w:rsidR="008914C2">
        <w:t>s</w:t>
      </w:r>
      <w:r w:rsidR="00EA23DE">
        <w:t>’</w:t>
      </w:r>
      <w:r w:rsidR="008914C2">
        <w:t xml:space="preserve"> CapEx and OpE</w:t>
      </w:r>
      <w:r>
        <w:t>x reporting</w:t>
      </w:r>
      <w:r w:rsidR="00F93607">
        <w:t xml:space="preserve"> under </w:t>
      </w:r>
      <w:r w:rsidR="008914C2">
        <w:t>A</w:t>
      </w:r>
      <w:r w:rsidR="00F93607">
        <w:t>rticle 8</w:t>
      </w:r>
      <w:r>
        <w:t xml:space="preserve"> should be associated with their own practices; for example</w:t>
      </w:r>
      <w:r w:rsidR="00E03430">
        <w:t>,</w:t>
      </w:r>
      <w:r>
        <w:t xml:space="preserve"> investments in more energy efficient offices or changing employee transport options to less carbon intensive travel. Bloom</w:t>
      </w:r>
      <w:r w:rsidR="008914C2">
        <w:t>berg does not believe that the CapEx or OpE</w:t>
      </w:r>
      <w:r>
        <w:t>x of the underlying invest</w:t>
      </w:r>
      <w:r w:rsidR="004A7AAE">
        <w:t>ee company</w:t>
      </w:r>
      <w:r w:rsidR="00474205">
        <w:t xml:space="preserve"> should apply to these KPIs. </w:t>
      </w:r>
      <w:r w:rsidR="006474AA" w:rsidRPr="000040BF">
        <w:t>We</w:t>
      </w:r>
      <w:r w:rsidR="00474205" w:rsidRPr="000040BF">
        <w:t xml:space="preserve"> would not </w:t>
      </w:r>
      <w:r w:rsidR="006474AA" w:rsidRPr="000040BF">
        <w:t xml:space="preserve">have a sufficient understanding of </w:t>
      </w:r>
      <w:r w:rsidR="00DD1AB5" w:rsidRPr="000040BF">
        <w:t xml:space="preserve">how the </w:t>
      </w:r>
      <w:r w:rsidR="006474AA" w:rsidRPr="000040BF">
        <w:t xml:space="preserve">asset managers are </w:t>
      </w:r>
      <w:r w:rsidR="000040BF" w:rsidRPr="007F3B3C">
        <w:t>d</w:t>
      </w:r>
      <w:r w:rsidR="00DD1AB5" w:rsidRPr="007F3B3C">
        <w:t>irectly contributing to more environmentally sustainable practices themselves wi</w:t>
      </w:r>
      <w:r w:rsidR="007F3B3C">
        <w:t>thout this information in their A</w:t>
      </w:r>
      <w:r w:rsidR="00DD1AB5" w:rsidRPr="007F3B3C">
        <w:t>rticle 8 disclosure</w:t>
      </w:r>
      <w:r w:rsidR="00DD1AB5" w:rsidRPr="000040BF">
        <w:rPr>
          <w:b/>
        </w:rPr>
        <w:t>.</w:t>
      </w:r>
    </w:p>
    <w:p w14:paraId="274EC83E" w14:textId="1675D42D" w:rsidR="00F93607" w:rsidRPr="00DD1AB5" w:rsidRDefault="00F93607" w:rsidP="00431EF5">
      <w:pPr>
        <w:jc w:val="both"/>
      </w:pPr>
    </w:p>
    <w:p w14:paraId="774DFB1F" w14:textId="00D7E90C" w:rsidR="00F93607" w:rsidRDefault="00F93607" w:rsidP="00431EF5">
      <w:pPr>
        <w:jc w:val="both"/>
      </w:pPr>
      <w:r>
        <w:t>Cap</w:t>
      </w:r>
      <w:r w:rsidR="007F3B3C">
        <w:t>E</w:t>
      </w:r>
      <w:r>
        <w:t xml:space="preserve">x aligned reporting under </w:t>
      </w:r>
      <w:r w:rsidR="007F3B3C">
        <w:t>A</w:t>
      </w:r>
      <w:r>
        <w:t>rticles 5 or 6 can</w:t>
      </w:r>
      <w:r w:rsidR="00F51893">
        <w:t xml:space="preserve"> talk about the impact the asse</w:t>
      </w:r>
      <w:r>
        <w:t>t manager is having in financing the transition of certain investee companies, however Bloomberg does not think this repre</w:t>
      </w:r>
      <w:r w:rsidR="007F3B3C">
        <w:t>sents an accurate report under A</w:t>
      </w:r>
      <w:r>
        <w:t>rticle 8 requirements.</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0F79F712" w:rsidR="00492B3A" w:rsidRDefault="00CA3714" w:rsidP="00431EF5">
      <w:pPr>
        <w:jc w:val="both"/>
      </w:pPr>
      <w:permStart w:id="199520874" w:edGrp="everyone"/>
      <w:r>
        <w:t xml:space="preserve">Bloomberg believes that sovereign debt meeting the Green Bond </w:t>
      </w:r>
      <w:r w:rsidR="000A3F0D">
        <w:t>S</w:t>
      </w:r>
      <w:r>
        <w:t>tandard</w:t>
      </w:r>
      <w:r w:rsidR="000A3F0D">
        <w:t xml:space="preserve"> can be counted in an investment manager’s reporting. In line with the response to question 31, any taxonomy aligned use of proceeds from assets would count first, with any turnover-based taxonomy aligned activities considered thereafter. Bloomberg does not believe that general holdings of sovereign debt can be counted as taxonomy aligned and Bloomberg does not believe that </w:t>
      </w:r>
      <w:r w:rsidR="00BF4873">
        <w:t>a turnover-based model is applicable to sovereign investment.</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19A1B426" w:rsidR="00492B3A" w:rsidRDefault="00BF4873" w:rsidP="00431EF5">
      <w:pPr>
        <w:jc w:val="both"/>
      </w:pPr>
      <w:permStart w:id="2027381222" w:edGrp="everyone"/>
      <w:r w:rsidRPr="00BF4873">
        <w:t xml:space="preserve">Bloomberg </w:t>
      </w:r>
      <w:r w:rsidR="00037BEC">
        <w:t>belie</w:t>
      </w:r>
      <w:r w:rsidR="008914C2">
        <w:t>ves that the methodology under Article 8 reporting</w:t>
      </w:r>
      <w:r w:rsidR="00037BEC">
        <w:t xml:space="preserve"> should draw parallels to the reporting required under articles 5 and 6; therefore any clarification of eligible investment (e.g. removing government holdings, </w:t>
      </w:r>
      <w:r w:rsidR="00F93607">
        <w:t xml:space="preserve">derivatives, </w:t>
      </w:r>
      <w:r w:rsidR="00037BEC">
        <w:t>FX or certain commercial de</w:t>
      </w:r>
      <w:r w:rsidR="008914C2">
        <w:t>posits) should apply to both Article 8 and A</w:t>
      </w:r>
      <w:r w:rsidR="00037BEC">
        <w:t>rticles 5 and 6 methodolog</w:t>
      </w:r>
      <w:r w:rsidR="00C54E2C">
        <w:t>ies</w:t>
      </w:r>
      <w:r w:rsidR="00037BEC">
        <w:t>. This will ensure consistency in reporting and comparable data sets.</w:t>
      </w:r>
    </w:p>
    <w:p w14:paraId="6701E719" w14:textId="63E149FE" w:rsidR="00C54E2C" w:rsidRDefault="00C54E2C" w:rsidP="00431EF5">
      <w:pPr>
        <w:jc w:val="both"/>
      </w:pPr>
    </w:p>
    <w:p w14:paraId="54E0793A" w14:textId="15AB01CB" w:rsidR="00C54E2C" w:rsidRPr="00BF4873" w:rsidRDefault="00C54E2C" w:rsidP="00431EF5">
      <w:pPr>
        <w:jc w:val="both"/>
      </w:pPr>
      <w:r>
        <w:t>Bloomberg agrees with the proposal that eligible investments are equity and fixed income from eligible investee entities</w:t>
      </w:r>
      <w:r w:rsidR="008914C2">
        <w:t>.</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71CBAE1" w:rsidR="00492B3A" w:rsidRDefault="00BF4873" w:rsidP="00431EF5">
      <w:pPr>
        <w:jc w:val="both"/>
      </w:pPr>
      <w:permStart w:id="916395240" w:edGrp="everyone"/>
      <w:r>
        <w:t xml:space="preserve">Bloomberg believes that </w:t>
      </w:r>
      <w:r w:rsidR="00037BEC">
        <w:t xml:space="preserve">the reporting should </w:t>
      </w:r>
      <w:r w:rsidR="006474AA">
        <w:t>go broader than Article 8 and 9</w:t>
      </w:r>
      <w:r w:rsidR="004E28D2">
        <w:t>,</w:t>
      </w:r>
      <w:r w:rsidR="006474AA">
        <w:t xml:space="preserve"> and </w:t>
      </w:r>
      <w:r w:rsidR="00037BEC">
        <w:t xml:space="preserve">include all </w:t>
      </w:r>
      <w:r w:rsidR="00C54E2C">
        <w:t xml:space="preserve">eligible </w:t>
      </w:r>
      <w:r w:rsidR="00037BEC">
        <w:t xml:space="preserve">investments </w:t>
      </w:r>
      <w:r w:rsidR="006474AA">
        <w:t>managed by the reporting entity, and should also include turnover-based reporting</w:t>
      </w:r>
      <w:r w:rsidR="00037BEC">
        <w:t xml:space="preserve">. Bloomberg believes that reporting should apply to long-only </w:t>
      </w:r>
      <w:r w:rsidR="00C54E2C">
        <w:t>holding</w:t>
      </w:r>
      <w:r w:rsidR="00DD1AB5">
        <w:t xml:space="preserve">s. </w:t>
      </w:r>
      <w:r w:rsidR="00DD1AB5" w:rsidRPr="000040BF">
        <w:t>If ESMA use</w:t>
      </w:r>
      <w:r w:rsidR="00431EF5">
        <w:t>s</w:t>
      </w:r>
      <w:r w:rsidR="00DD1AB5" w:rsidRPr="000040BF">
        <w:t xml:space="preserve"> netting for any cash shorts, and derivatives are excluded from the calculation</w:t>
      </w:r>
      <w:r w:rsidR="004E28D2">
        <w:t>,</w:t>
      </w:r>
      <w:r w:rsidR="00DD1AB5" w:rsidRPr="000040BF">
        <w:t xml:space="preserve"> then there would be an incentive to short using only derivative instruments to improve your taxonomy alignment score. The Taxonomy </w:t>
      </w:r>
      <w:r w:rsidR="007F3B3C">
        <w:t>R</w:t>
      </w:r>
      <w:r w:rsidR="00DD1AB5" w:rsidRPr="000040BF">
        <w:t>egulation should not be designed to encourage investment towards derivatives and away from cash holdings. Bloomberg therefore recommends that only long holdi</w:t>
      </w:r>
      <w:r w:rsidR="000040BF">
        <w:t>n</w:t>
      </w:r>
      <w:r w:rsidR="00DD1AB5" w:rsidRPr="000040BF">
        <w:t>gs in eligible investment should be counted</w:t>
      </w:r>
      <w:r w:rsidR="000040BF" w:rsidRPr="000040BF">
        <w:t>.</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lastRenderedPageBreak/>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E668E1C" w:rsidR="00492B3A" w:rsidRDefault="00C54E2C" w:rsidP="00431EF5">
      <w:pPr>
        <w:jc w:val="both"/>
      </w:pPr>
      <w:permStart w:id="1014574023" w:edGrp="everyone"/>
      <w:r>
        <w:t>Bloomberg agrees that the Taxonomy can be applied to long-only Fixed Income and Equity holdings by the asset manager. Bloomberg recommends following the waterfall logic of the asset’s use of proceeds first and thereafter the aligned turnover of the investee company.</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2795AB85" w14:textId="77777777" w:rsidR="00136ABC" w:rsidRPr="007F3B3C" w:rsidRDefault="00136ABC" w:rsidP="00492B3A">
      <w:pPr>
        <w:rPr>
          <w:sz w:val="22"/>
        </w:rPr>
      </w:pPr>
      <w:permStart w:id="362230654" w:edGrp="everyone"/>
      <w:r w:rsidRPr="007F3B3C">
        <w:rPr>
          <w:sz w:val="22"/>
        </w:rPr>
        <w:t>TYPE YOUR TEXT HERE</w:t>
      </w:r>
    </w:p>
    <w:permEnd w:id="362230654"/>
    <w:p w14:paraId="2703A981" w14:textId="354EB57F"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2ABFED7B" w:rsidR="00492B3A" w:rsidRDefault="00BF6695" w:rsidP="004127D1">
      <w:pPr>
        <w:jc w:val="both"/>
        <w:rPr>
          <w:b/>
        </w:rPr>
      </w:pPr>
      <w:bookmarkStart w:id="2" w:name="_Hlk57365156"/>
      <w:permStart w:id="419981059" w:edGrp="everyone"/>
      <w:r>
        <w:t xml:space="preserve">Bloomberg agrees with the advice provided by the TEG </w:t>
      </w:r>
      <w:r w:rsidR="00F53EA9" w:rsidRPr="007F3B3C">
        <w:t>where</w:t>
      </w:r>
      <w:r>
        <w:t xml:space="preserve"> taxonomy eligible activities conducted by companies not covered by the Non-Financial Reporting Directive (e.g. international companies or SMEs) should be allowed to report separately the percentage of an asset manager’s holdings that are “potentially aligned”. So a holding in a non-EU cement company would be 100% eligible. Under mitigation, if the company’s carbon intensity is &lt; EU ETS threshold would all or a portion of their turnover count as Taxonomy “potentially aligned”. If the company does not report their carbon intensity, then no taxonomy aligned statement can be made.</w:t>
      </w:r>
      <w:r w:rsidR="00474205">
        <w:t xml:space="preserve"> </w:t>
      </w:r>
      <w:r w:rsidR="00474205" w:rsidRPr="000040BF">
        <w:t>If</w:t>
      </w:r>
      <w:r w:rsidR="00F53EA9" w:rsidRPr="000040BF">
        <w:t>, for example,</w:t>
      </w:r>
      <w:r w:rsidR="00474205" w:rsidRPr="000040BF">
        <w:t xml:space="preserve"> </w:t>
      </w:r>
      <w:r w:rsidR="00F53EA9" w:rsidRPr="000040BF">
        <w:t>an</w:t>
      </w:r>
      <w:r w:rsidR="00474205" w:rsidRPr="000040BF">
        <w:t xml:space="preserve"> asset manager invests in an international cement company, and that co</w:t>
      </w:r>
      <w:r w:rsidR="00F53EA9" w:rsidRPr="000040BF">
        <w:t>mpany is taxonomy-aligned but they do not</w:t>
      </w:r>
      <w:r w:rsidR="00474205" w:rsidRPr="000040BF">
        <w:t xml:space="preserve"> have an obligation to self-report, then </w:t>
      </w:r>
      <w:r w:rsidR="00F53EA9" w:rsidRPr="000040BF">
        <w:t xml:space="preserve">the </w:t>
      </w:r>
      <w:r w:rsidR="00474205" w:rsidRPr="000040BF">
        <w:t xml:space="preserve">asset manager can make a claim </w:t>
      </w:r>
      <w:r w:rsidR="00F53EA9" w:rsidRPr="000040BF">
        <w:t>to say</w:t>
      </w:r>
      <w:r w:rsidR="00474205" w:rsidRPr="000040BF">
        <w:t xml:space="preserve"> it is</w:t>
      </w:r>
      <w:r w:rsidR="00F53EA9" w:rsidRPr="000040BF">
        <w:t xml:space="preserve"> investing in</w:t>
      </w:r>
      <w:r w:rsidR="00474205" w:rsidRPr="000040BF">
        <w:t xml:space="preserve"> a taxonomy-aligned company</w:t>
      </w:r>
      <w:r w:rsidR="00DD1AB5" w:rsidRPr="000040BF">
        <w:t xml:space="preserve"> if they can demonstrate substantial contribution and DNSH criteria are met</w:t>
      </w:r>
      <w:r w:rsidR="00474205" w:rsidRPr="000040BF">
        <w:t xml:space="preserve">. </w:t>
      </w:r>
    </w:p>
    <w:p w14:paraId="4DCDD3C6" w14:textId="37B8FA45" w:rsidR="00BF6695" w:rsidRDefault="00BF6695" w:rsidP="004127D1">
      <w:pPr>
        <w:jc w:val="both"/>
      </w:pPr>
    </w:p>
    <w:p w14:paraId="043B40F4" w14:textId="45CB3049" w:rsidR="00BA2541" w:rsidRDefault="00BF6695" w:rsidP="004127D1">
      <w:pPr>
        <w:jc w:val="both"/>
      </w:pPr>
      <w:r>
        <w:t>Otherwise</w:t>
      </w:r>
      <w:r w:rsidR="004E28D2">
        <w:t>,</w:t>
      </w:r>
      <w:r>
        <w:t xml:space="preserve"> asset managers who are investing in Taxonomy covered activities outside the scope of the NFRD will be under-stating their impact on the transition to more environmentally sustainable practices.</w:t>
      </w:r>
    </w:p>
    <w:bookmarkEnd w:id="2"/>
    <w:p w14:paraId="1AE8BAB0" w14:textId="77777777" w:rsidR="00BA2541" w:rsidRDefault="00BA2541" w:rsidP="004127D1">
      <w:pPr>
        <w:jc w:val="both"/>
      </w:pPr>
    </w:p>
    <w:p w14:paraId="4E65EE3A" w14:textId="623C504C" w:rsidR="00BF6695" w:rsidRDefault="00BA2541" w:rsidP="004127D1">
      <w:pPr>
        <w:jc w:val="both"/>
      </w:pPr>
      <w:r>
        <w:t>Bloomberg agrees with KPIs being stated in line with one environmental objective to prevent the risk of double counting.</w:t>
      </w:r>
      <w:r w:rsidR="00BF6695">
        <w:t xml:space="preserve"> </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138D5C30" w:rsidR="00492B3A" w:rsidRDefault="00BF6695" w:rsidP="004127D1">
      <w:pPr>
        <w:jc w:val="both"/>
      </w:pPr>
      <w:bookmarkStart w:id="3" w:name="_Hlk57365206"/>
      <w:permStart w:id="1610223408" w:edGrp="everyone"/>
      <w:r>
        <w:t xml:space="preserve">Bloomberg agrees with </w:t>
      </w:r>
      <w:r w:rsidR="001F1ACF">
        <w:t xml:space="preserve">the Commission developing </w:t>
      </w:r>
      <w:r>
        <w:t xml:space="preserve">guidance notes on suitable use of estimates and proxies for </w:t>
      </w:r>
      <w:r w:rsidR="0047002A">
        <w:t>investments in companies outside the scope of the NFRD</w:t>
      </w:r>
      <w:r w:rsidR="00136ABC">
        <w:t>.</w:t>
      </w:r>
    </w:p>
    <w:bookmarkEnd w:id="3"/>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85FCC04" w:rsidR="00492B3A" w:rsidRDefault="00BF6695" w:rsidP="004127D1">
      <w:pPr>
        <w:jc w:val="both"/>
      </w:pPr>
      <w:permStart w:id="341070213" w:edGrp="everyone"/>
      <w:r>
        <w:lastRenderedPageBreak/>
        <w:t>Bloomberg believes that any short holding should not be counted as an eligible investment. Taxonomy alignment should be a representation of the investment held, and not the hedging activities of the manager.</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56118A59" w:rsidR="00492B3A" w:rsidRDefault="00BF6695" w:rsidP="004127D1">
      <w:pPr>
        <w:jc w:val="both"/>
      </w:pPr>
      <w:permStart w:id="1390944062" w:edGrp="everyone"/>
      <w:r>
        <w:t>Bloomberg believes that long only fixed income and equity holdings should be considered as eligible investment for the purpose of taxonomy reporting</w:t>
      </w:r>
      <w:r w:rsidR="00053E0B">
        <w:t xml:space="preserve">. </w:t>
      </w:r>
    </w:p>
    <w:p w14:paraId="79F5583D" w14:textId="67B9B840" w:rsidR="00CA7E36" w:rsidRDefault="00CA7E36" w:rsidP="004127D1">
      <w:pPr>
        <w:jc w:val="both"/>
      </w:pPr>
    </w:p>
    <w:p w14:paraId="5ADE548D" w14:textId="4697B356" w:rsidR="00CA7E36" w:rsidRPr="00136ABC" w:rsidRDefault="00CA7E36" w:rsidP="004127D1">
      <w:pPr>
        <w:jc w:val="both"/>
        <w:rPr>
          <w:color w:val="FF0000"/>
        </w:rPr>
      </w:pPr>
      <w:r w:rsidRPr="000040BF">
        <w:t>Furthermore, the percentage of taxonomy alignment should also be provided as both a proportion of eligible assets in that portfolio (equity and fixed income long only investments) as well as a proportion of total AUM. It is important that asset owners find the transparency of this information. For example, if 40% of a portfolio is invested in derivatives and cash, and the rest is completely taxonomy aligned, we do not want the final taxonomy-alignment KPI to be 100% (which is effectively the taxonomy alignment of the eligible investments) but you want it to be 60%, which is the actual alignment.</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68086E1A" w:rsidR="00492B3A" w:rsidRPr="007F3B3C" w:rsidRDefault="00136ABC" w:rsidP="00492B3A">
      <w:pPr>
        <w:rPr>
          <w:sz w:val="22"/>
        </w:rPr>
      </w:pPr>
      <w:permStart w:id="702374025" w:edGrp="everyone"/>
      <w:r w:rsidRPr="007F3B3C">
        <w:rPr>
          <w:sz w:val="22"/>
        </w:rP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02298A38" w:rsidR="00492B3A" w:rsidRDefault="00145276" w:rsidP="004127D1">
      <w:pPr>
        <w:jc w:val="both"/>
      </w:pPr>
      <w:permStart w:id="2130857204" w:edGrp="everyone"/>
      <w:r>
        <w:t>Bloomberg agrees with the disclosure sitting alongside principle adverse impacts under SFDR.</w:t>
      </w:r>
    </w:p>
    <w:p w14:paraId="0EA82AD6" w14:textId="2AF7BBC7" w:rsidR="00145276" w:rsidRDefault="00145276" w:rsidP="004127D1">
      <w:pPr>
        <w:jc w:val="both"/>
      </w:pPr>
    </w:p>
    <w:p w14:paraId="7CEB9D87" w14:textId="1E46FF37" w:rsidR="00145276" w:rsidRDefault="00145276" w:rsidP="004127D1">
      <w:pPr>
        <w:jc w:val="both"/>
      </w:pPr>
      <w:r>
        <w:t xml:space="preserve">Bloomberg disagrees with the layout of </w:t>
      </w:r>
      <w:r w:rsidR="00BC4EAE">
        <w:t>A</w:t>
      </w:r>
      <w:r>
        <w:t>nnex IV. Bloomberg believe</w:t>
      </w:r>
      <w:r w:rsidR="00F043B4">
        <w:t>s</w:t>
      </w:r>
      <w:r>
        <w:t xml:space="preserve"> that an asset manager’s CapEx or OpEx should represent the greening of their own business practices and not those of the underlying investment. Bloomberg believes that only the turnover KPI should represent the proportion of holdings in taxonomy aligned activities. Any direct investment or holdings in a company whose use of proceeds are taxonomy aligned would count in the turnover calculation. This would represent the direct impact the asset manager has on green capex or investment made by the investee company.</w:t>
      </w:r>
    </w:p>
    <w:p w14:paraId="3DEAF4B0" w14:textId="4B5ABD5A" w:rsidR="00145276" w:rsidRDefault="00145276" w:rsidP="004127D1">
      <w:pPr>
        <w:jc w:val="both"/>
      </w:pPr>
    </w:p>
    <w:p w14:paraId="731F08AC" w14:textId="53E74768" w:rsidR="00145276" w:rsidRDefault="00145276" w:rsidP="004127D1">
      <w:pPr>
        <w:jc w:val="both"/>
      </w:pPr>
      <w:r>
        <w:t>Bloomberg believes that Annex IV is too complex, with too many permutations for the data to be easily understood and interpreted by the reader.</w:t>
      </w:r>
    </w:p>
    <w:p w14:paraId="6AAB38BF" w14:textId="45ACDAAB" w:rsidR="00145276" w:rsidRDefault="00145276" w:rsidP="004127D1">
      <w:pPr>
        <w:jc w:val="both"/>
      </w:pPr>
    </w:p>
    <w:p w14:paraId="00601B49" w14:textId="4E8A705C" w:rsidR="00145276" w:rsidRDefault="00145276" w:rsidP="004127D1">
      <w:pPr>
        <w:jc w:val="both"/>
      </w:pPr>
      <w:r>
        <w:t xml:space="preserve">To build out </w:t>
      </w:r>
      <w:r w:rsidR="00BC4EAE">
        <w:t>the suggested</w:t>
      </w:r>
      <w:r>
        <w:t xml:space="preserve"> different views on a company</w:t>
      </w:r>
      <w:r w:rsidR="00BC4EAE">
        <w:t>, based on turnover alone</w:t>
      </w:r>
      <w:r>
        <w:t>:</w:t>
      </w:r>
    </w:p>
    <w:p w14:paraId="0203758C" w14:textId="2EBEF940" w:rsidR="00145276" w:rsidRDefault="00145276" w:rsidP="004127D1">
      <w:pPr>
        <w:pStyle w:val="ListParagraph"/>
        <w:numPr>
          <w:ilvl w:val="0"/>
          <w:numId w:val="37"/>
        </w:numPr>
        <w:jc w:val="both"/>
      </w:pPr>
      <w:r>
        <w:t>economic activity alignment (72 KPIs)</w:t>
      </w:r>
    </w:p>
    <w:p w14:paraId="59C12DE9" w14:textId="1AA43FF6" w:rsidR="00145276" w:rsidRDefault="00145276" w:rsidP="004127D1">
      <w:pPr>
        <w:pStyle w:val="ListParagraph"/>
        <w:numPr>
          <w:ilvl w:val="0"/>
          <w:numId w:val="37"/>
        </w:numPr>
        <w:jc w:val="both"/>
      </w:pPr>
      <w:r w:rsidRPr="000040BF">
        <w:t>env</w:t>
      </w:r>
      <w:r w:rsidR="00F043B4" w:rsidRPr="000040BF">
        <w:t>ironmental</w:t>
      </w:r>
      <w:r w:rsidRPr="000040BF">
        <w:t xml:space="preserve"> </w:t>
      </w:r>
      <w:r>
        <w:t>objective alignment (6 KPIs)</w:t>
      </w:r>
    </w:p>
    <w:p w14:paraId="630B38BE" w14:textId="1409B65E" w:rsidR="00145276" w:rsidRDefault="00145276" w:rsidP="004127D1">
      <w:pPr>
        <w:pStyle w:val="ListParagraph"/>
        <w:numPr>
          <w:ilvl w:val="0"/>
          <w:numId w:val="37"/>
        </w:numPr>
        <w:jc w:val="both"/>
      </w:pPr>
      <w:r>
        <w:t>enabling/transitioning (2 KPIs)</w:t>
      </w:r>
    </w:p>
    <w:p w14:paraId="408CCDA1" w14:textId="404990FB" w:rsidR="00145276" w:rsidRDefault="00145276" w:rsidP="004127D1">
      <w:pPr>
        <w:jc w:val="both"/>
      </w:pPr>
      <w:r>
        <w:t xml:space="preserve">For the data model to work, you would need it across all </w:t>
      </w:r>
      <w:r w:rsidR="00BC4EAE">
        <w:t>3</w:t>
      </w:r>
      <w:r>
        <w:t xml:space="preserve"> dimensions with </w:t>
      </w:r>
      <w:r w:rsidR="00BC4EAE">
        <w:t>864</w:t>
      </w:r>
      <w:r>
        <w:t xml:space="preserve"> permutations</w:t>
      </w:r>
      <w:r w:rsidR="00F043B4">
        <w:t>.</w:t>
      </w:r>
    </w:p>
    <w:p w14:paraId="58497826" w14:textId="1593224C" w:rsidR="00BC4EAE" w:rsidRDefault="00BC4EAE" w:rsidP="004127D1">
      <w:pPr>
        <w:jc w:val="both"/>
      </w:pPr>
    </w:p>
    <w:p w14:paraId="489784F1" w14:textId="6399F4BC" w:rsidR="00BC4EAE" w:rsidRDefault="00BC4EAE" w:rsidP="004127D1">
      <w:pPr>
        <w:jc w:val="both"/>
      </w:pPr>
      <w:r>
        <w:t>A more useful and manageable data set should be the asset manager’s contribution to taxonomy aligned revenue by each environmental objective, and by enabling or transitioning activities.</w:t>
      </w:r>
      <w:r w:rsidR="00F93607">
        <w:t xml:space="preserve"> As stated in our answer to Q14, we believe that Asset Managers should be free to use their existing sector classification frameworks.</w:t>
      </w:r>
    </w:p>
    <w:p w14:paraId="068B48CC" w14:textId="2874698A" w:rsidR="00BC4EAE" w:rsidRDefault="00BC4EAE" w:rsidP="00145276"/>
    <w:p w14:paraId="06E02677" w14:textId="2B9929E9" w:rsidR="00145276" w:rsidRDefault="00BC4EAE" w:rsidP="004127D1">
      <w:pPr>
        <w:jc w:val="both"/>
      </w:pPr>
      <w:r>
        <w:lastRenderedPageBreak/>
        <w:t>An asset manager doesn’t typically report in line with NACE activities, and an adjustment from their existing reporting framework to a NACE based framework would require significant re-coding of the investment workflow, without adding material advantage to incentivising environmentally sustainable investment practices.</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6EAA196C" w:rsidR="00492B3A" w:rsidRDefault="00BC4EAE" w:rsidP="00492B3A">
      <w:permStart w:id="1901090400" w:edGrp="everyone"/>
      <w:r>
        <w:t>Yes</w:t>
      </w:r>
      <w:r w:rsidR="00CA7E36">
        <w:t>,</w:t>
      </w:r>
      <w:r>
        <w:t xml:space="preserve"> Bloomberg agrees that any context or narrative should accompany the table</w:t>
      </w:r>
      <w:r w:rsidR="00136ABC">
        <w:t>.</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664F2A5" w:rsidR="00492B3A" w:rsidRDefault="00BC4EAE" w:rsidP="004127D1">
      <w:pPr>
        <w:jc w:val="both"/>
      </w:pPr>
      <w:permStart w:id="788030558" w:edGrp="everyone"/>
      <w:r>
        <w:t>Yes</w:t>
      </w:r>
      <w:r w:rsidR="00CA7E36">
        <w:t>,</w:t>
      </w:r>
      <w:r>
        <w:t xml:space="preserve"> Bloomberg agrees with providing a hyperlink to the underlying data, for ease of update and to prevent any unnecessary redistribution of paperwork and fund factsheets.</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7626EC64" w14:textId="2D83B329" w:rsidR="006765D9" w:rsidRPr="000040BF" w:rsidRDefault="00CA7E36" w:rsidP="00492B3A">
      <w:permStart w:id="658905723" w:edGrp="everyone"/>
      <w:r w:rsidRPr="000040BF">
        <w:t xml:space="preserve">Please refer to </w:t>
      </w:r>
      <w:r w:rsidR="00136ABC" w:rsidRPr="000040BF">
        <w:t xml:space="preserve">the </w:t>
      </w:r>
      <w:r w:rsidRPr="000040BF">
        <w:t>suggestions outlined in Questions 24 and 26.</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562C6359" w:rsidR="00492B3A" w:rsidRDefault="00BC4EAE" w:rsidP="004127D1">
      <w:pPr>
        <w:jc w:val="both"/>
      </w:pPr>
      <w:permStart w:id="2002145458" w:edGrp="everyone"/>
      <w:r>
        <w:t xml:space="preserve">The higher the degree of data permutations, the more expensive the data model will be to build. Bloomberg suggests that ESMA balances data clarity with the more meaningful KPI to drive </w:t>
      </w:r>
      <w:r w:rsidR="00BC05D2">
        <w:t>environmentally sustainable</w:t>
      </w:r>
      <w:r>
        <w:t xml:space="preserve"> </w:t>
      </w:r>
      <w:r w:rsidR="00BC05D2">
        <w:t>behaviours.</w:t>
      </w:r>
    </w:p>
    <w:p w14:paraId="7FEC393A" w14:textId="5B142770" w:rsidR="00BC05D2" w:rsidRDefault="00BC05D2" w:rsidP="004127D1">
      <w:pPr>
        <w:jc w:val="both"/>
      </w:pPr>
    </w:p>
    <w:p w14:paraId="2F39D565" w14:textId="710DA011" w:rsidR="00BC05D2" w:rsidRDefault="00BC05D2" w:rsidP="004127D1">
      <w:pPr>
        <w:jc w:val="both"/>
      </w:pPr>
      <w:r>
        <w:t xml:space="preserve">Investment managers rarely use the NACE system for their investment practices, and adjusting their existing classification system </w:t>
      </w:r>
      <w:r w:rsidR="00456ECA">
        <w:t xml:space="preserve">and workflow </w:t>
      </w:r>
      <w:r>
        <w:t xml:space="preserve">to a new NACE model could be costly without making a significant impact on the correct investment behaviours. </w:t>
      </w:r>
      <w:r w:rsidR="00456ECA">
        <w:t>Due to internationally integrated investment practices, globa</w:t>
      </w:r>
      <w:r w:rsidR="00561D34">
        <w:t>l managers may choose different</w:t>
      </w:r>
      <w:r w:rsidR="00456ECA">
        <w:t xml:space="preserve"> sector classification systems such as NAICS. </w:t>
      </w:r>
      <w:r>
        <w:t>Focusing more on contribution to each environmental objective and to enabling or transitioning activities would be the priority KPI.</w:t>
      </w:r>
      <w:r w:rsidR="00456ECA">
        <w:t xml:space="preserve"> Bloomberg would therefore suggest some flexibility in the classification of activities to allow investment managers to continue to use the sector based reporting framework currently in practice.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BF58" w16cex:dateUtc="2020-12-01T13:10:00Z"/>
  <w16cex:commentExtensible w16cex:durableId="2370C250" w16cex:dateUtc="2020-12-01T13:23:00Z"/>
  <w16cex:commentExtensible w16cex:durableId="2370BFB2" w16cex:dateUtc="2020-12-01T13:12:00Z"/>
  <w16cex:commentExtensible w16cex:durableId="2370C152" w16cex:dateUtc="2020-12-01T13:19:00Z"/>
  <w16cex:commentExtensible w16cex:durableId="2370C28B" w16cex:dateUtc="2020-12-01T13:24:00Z"/>
  <w16cex:commentExtensible w16cex:durableId="2370C32E" w16cex:dateUtc="2020-12-01T13:27:00Z"/>
  <w16cex:commentExtensible w16cex:durableId="2370C482" w16cex:dateUtc="2020-12-01T13:32:00Z"/>
  <w16cex:commentExtensible w16cex:durableId="2370C49F" w16cex:dateUtc="2020-12-01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5DBFA9" w16cid:durableId="2370BF58"/>
  <w16cid:commentId w16cid:paraId="5ACCB646" w16cid:durableId="2370C250"/>
  <w16cid:commentId w16cid:paraId="2492763E" w16cid:durableId="2370BFB2"/>
  <w16cid:commentId w16cid:paraId="18E388A8" w16cid:durableId="2370C152"/>
  <w16cid:commentId w16cid:paraId="58CFDC38" w16cid:durableId="2370BEA5"/>
  <w16cid:commentId w16cid:paraId="07FF189B" w16cid:durableId="2370C28B"/>
  <w16cid:commentId w16cid:paraId="71364E2A" w16cid:durableId="2370BEA6"/>
  <w16cid:commentId w16cid:paraId="40DF2718" w16cid:durableId="2370C32E"/>
  <w16cid:commentId w16cid:paraId="2FEE02CF" w16cid:durableId="2370BEA7"/>
  <w16cid:commentId w16cid:paraId="0A94B845" w16cid:durableId="2370BEA8"/>
  <w16cid:commentId w16cid:paraId="1B3CBD46" w16cid:durableId="2370C482"/>
  <w16cid:commentId w16cid:paraId="6699F623" w16cid:durableId="2370BEA9"/>
  <w16cid:commentId w16cid:paraId="2D7317FF" w16cid:durableId="2370C49F"/>
  <w16cid:commentId w16cid:paraId="1797F5AB" w16cid:durableId="2370BE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10B9" w14:textId="77777777" w:rsidR="002A070A" w:rsidRDefault="002A070A">
      <w:r>
        <w:separator/>
      </w:r>
    </w:p>
    <w:p w14:paraId="283D78DA" w14:textId="77777777" w:rsidR="002A070A" w:rsidRDefault="002A070A"/>
  </w:endnote>
  <w:endnote w:type="continuationSeparator" w:id="0">
    <w:p w14:paraId="3C258B7B" w14:textId="77777777" w:rsidR="002A070A" w:rsidRDefault="002A070A">
      <w:r>
        <w:continuationSeparator/>
      </w:r>
    </w:p>
    <w:p w14:paraId="0764B5D8" w14:textId="77777777" w:rsidR="002A070A" w:rsidRDefault="002A070A"/>
  </w:endnote>
  <w:endnote w:type="continuationNotice" w:id="1">
    <w:p w14:paraId="5D5384E3" w14:textId="77777777" w:rsidR="002A070A" w:rsidRDefault="002A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914C2" w:rsidRPr="00616B9B" w14:paraId="5517B000" w14:textId="77777777" w:rsidTr="00315E96">
      <w:trPr>
        <w:trHeight w:val="284"/>
      </w:trPr>
      <w:tc>
        <w:tcPr>
          <w:tcW w:w="8460" w:type="dxa"/>
        </w:tcPr>
        <w:p w14:paraId="4C959F65" w14:textId="77777777" w:rsidR="008914C2" w:rsidRPr="00315E96" w:rsidRDefault="008914C2" w:rsidP="00315E96">
          <w:pPr>
            <w:pStyle w:val="00Footer"/>
            <w:rPr>
              <w:lang w:val="fr-FR"/>
            </w:rPr>
          </w:pPr>
        </w:p>
      </w:tc>
      <w:tc>
        <w:tcPr>
          <w:tcW w:w="952" w:type="dxa"/>
        </w:tcPr>
        <w:p w14:paraId="2310C30E" w14:textId="1C1EB13F" w:rsidR="008914C2" w:rsidRPr="00616B9B" w:rsidRDefault="008914C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7259A">
            <w:rPr>
              <w:rFonts w:cs="Arial"/>
              <w:noProof/>
              <w:sz w:val="22"/>
              <w:szCs w:val="22"/>
            </w:rPr>
            <w:t>19</w:t>
          </w:r>
          <w:r w:rsidRPr="00616B9B">
            <w:rPr>
              <w:rFonts w:cs="Arial"/>
              <w:noProof/>
              <w:sz w:val="22"/>
              <w:szCs w:val="22"/>
            </w:rPr>
            <w:fldChar w:fldCharType="end"/>
          </w:r>
        </w:p>
      </w:tc>
    </w:tr>
  </w:tbl>
  <w:p w14:paraId="08C7C785" w14:textId="77777777" w:rsidR="008914C2" w:rsidRDefault="00891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6AEC" w14:textId="77777777" w:rsidR="008914C2" w:rsidRDefault="0089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14EC2" w14:textId="77777777" w:rsidR="002A070A" w:rsidRDefault="002A070A">
      <w:r>
        <w:separator/>
      </w:r>
    </w:p>
    <w:p w14:paraId="11E73C2D" w14:textId="77777777" w:rsidR="002A070A" w:rsidRDefault="002A070A"/>
  </w:footnote>
  <w:footnote w:type="continuationSeparator" w:id="0">
    <w:p w14:paraId="5D3E8070" w14:textId="77777777" w:rsidR="002A070A" w:rsidRDefault="002A070A">
      <w:r>
        <w:continuationSeparator/>
      </w:r>
    </w:p>
    <w:p w14:paraId="41D21EA1" w14:textId="77777777" w:rsidR="002A070A" w:rsidRDefault="002A070A"/>
  </w:footnote>
  <w:footnote w:type="continuationNotice" w:id="1">
    <w:p w14:paraId="26BAD18F" w14:textId="77777777" w:rsidR="002A070A" w:rsidRDefault="002A07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FC29" w14:textId="77777777" w:rsidR="008914C2" w:rsidRDefault="008914C2">
    <w:pPr>
      <w:pStyle w:val="Header"/>
    </w:pPr>
    <w:r>
      <w:rPr>
        <w:noProof/>
        <w:lang w:eastAsia="zh-CN"/>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EF13" w14:textId="77777777" w:rsidR="008914C2" w:rsidRDefault="008914C2" w:rsidP="00013CCE">
    <w:pPr>
      <w:pStyle w:val="Header"/>
      <w:jc w:val="right"/>
    </w:pPr>
    <w:r>
      <w:rPr>
        <w:noProof/>
        <w:lang w:eastAsia="zh-CN"/>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4387" w14:textId="77777777" w:rsidR="008914C2" w:rsidRDefault="008914C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914C2" w:rsidRPr="002F4496" w14:paraId="5849CEB8" w14:textId="77777777" w:rsidTr="000C06C9">
      <w:trPr>
        <w:trHeight w:val="284"/>
      </w:trPr>
      <w:tc>
        <w:tcPr>
          <w:tcW w:w="8460" w:type="dxa"/>
        </w:tcPr>
        <w:p w14:paraId="2B1CC9DC" w14:textId="77777777" w:rsidR="008914C2" w:rsidRPr="000C3B6D" w:rsidRDefault="008914C2" w:rsidP="000C06C9">
          <w:pPr>
            <w:pStyle w:val="00Footer"/>
            <w:rPr>
              <w:lang w:val="fr-FR"/>
            </w:rPr>
          </w:pPr>
        </w:p>
      </w:tc>
      <w:tc>
        <w:tcPr>
          <w:tcW w:w="952" w:type="dxa"/>
        </w:tcPr>
        <w:p w14:paraId="0A78D32B" w14:textId="77777777" w:rsidR="008914C2" w:rsidRPr="00146B34" w:rsidRDefault="008914C2" w:rsidP="000C06C9">
          <w:pPr>
            <w:pStyle w:val="00aPagenumber"/>
            <w:rPr>
              <w:lang w:val="fr-FR"/>
            </w:rPr>
          </w:pPr>
        </w:p>
      </w:tc>
    </w:tr>
  </w:tbl>
  <w:p w14:paraId="228C483B" w14:textId="77777777" w:rsidR="008914C2" w:rsidRPr="00DB46C3" w:rsidRDefault="008914C2">
    <w:pPr>
      <w:rPr>
        <w:lang w:val="fr-FR"/>
      </w:rPr>
    </w:pPr>
  </w:p>
  <w:p w14:paraId="7ABBBBAC" w14:textId="77777777" w:rsidR="008914C2" w:rsidRPr="002F4496" w:rsidRDefault="008914C2">
    <w:pPr>
      <w:pStyle w:val="Header"/>
      <w:rPr>
        <w:lang w:val="fr-FR"/>
      </w:rPr>
    </w:pPr>
  </w:p>
  <w:p w14:paraId="0F1BB730" w14:textId="77777777" w:rsidR="008914C2" w:rsidRPr="002F4496" w:rsidRDefault="008914C2" w:rsidP="000C06C9">
    <w:pPr>
      <w:pStyle w:val="Header"/>
      <w:tabs>
        <w:tab w:val="clear" w:pos="4536"/>
        <w:tab w:val="clear" w:pos="9072"/>
        <w:tab w:val="left" w:pos="8227"/>
      </w:tabs>
      <w:rPr>
        <w:lang w:val="fr-FR"/>
      </w:rPr>
    </w:pPr>
  </w:p>
  <w:p w14:paraId="354F7019" w14:textId="77777777" w:rsidR="008914C2" w:rsidRPr="002F4496" w:rsidRDefault="008914C2" w:rsidP="000C06C9">
    <w:pPr>
      <w:pStyle w:val="Header"/>
      <w:tabs>
        <w:tab w:val="clear" w:pos="4536"/>
        <w:tab w:val="clear" w:pos="9072"/>
        <w:tab w:val="left" w:pos="8227"/>
      </w:tabs>
      <w:rPr>
        <w:lang w:val="fr-FR"/>
      </w:rPr>
    </w:pPr>
  </w:p>
  <w:p w14:paraId="438C49BF" w14:textId="77777777" w:rsidR="008914C2" w:rsidRPr="002F4496" w:rsidRDefault="008914C2">
    <w:pPr>
      <w:pStyle w:val="Header"/>
      <w:rPr>
        <w:lang w:val="fr-FR"/>
      </w:rPr>
    </w:pPr>
  </w:p>
  <w:p w14:paraId="77F5F5FB" w14:textId="77777777" w:rsidR="008914C2" w:rsidRPr="002F4496" w:rsidRDefault="008914C2">
    <w:pPr>
      <w:pStyle w:val="Header"/>
      <w:rPr>
        <w:lang w:val="fr-FR"/>
      </w:rPr>
    </w:pPr>
  </w:p>
  <w:p w14:paraId="31EA96F8" w14:textId="77777777" w:rsidR="008914C2" w:rsidRPr="002F4496" w:rsidRDefault="008914C2">
    <w:pPr>
      <w:pStyle w:val="Header"/>
      <w:rPr>
        <w:lang w:val="fr-FR"/>
      </w:rPr>
    </w:pPr>
  </w:p>
  <w:p w14:paraId="0FAE7A71" w14:textId="77777777" w:rsidR="008914C2" w:rsidRPr="002F4496" w:rsidRDefault="008914C2">
    <w:pPr>
      <w:pStyle w:val="Header"/>
      <w:rPr>
        <w:lang w:val="fr-FR"/>
      </w:rPr>
    </w:pPr>
  </w:p>
  <w:p w14:paraId="339C0C6E" w14:textId="77777777" w:rsidR="008914C2" w:rsidRPr="002F4496" w:rsidRDefault="008914C2">
    <w:pPr>
      <w:pStyle w:val="Header"/>
      <w:rPr>
        <w:highlight w:val="yellow"/>
        <w:lang w:val="fr-FR"/>
      </w:rPr>
    </w:pPr>
  </w:p>
  <w:p w14:paraId="0495A777" w14:textId="77777777" w:rsidR="008914C2" w:rsidRDefault="008914C2">
    <w:pPr>
      <w:pStyle w:val="Header"/>
    </w:pPr>
    <w:r>
      <w:rPr>
        <w:noProof/>
        <w:lang w:eastAsia="zh-CN"/>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7D2ACD"/>
    <w:multiLevelType w:val="hybridMultilevel"/>
    <w:tmpl w:val="5016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F10A0"/>
    <w:multiLevelType w:val="multilevel"/>
    <w:tmpl w:val="095C4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8138D"/>
    <w:multiLevelType w:val="hybridMultilevel"/>
    <w:tmpl w:val="79E49C2C"/>
    <w:lvl w:ilvl="0" w:tplc="08090001">
      <w:start w:val="1"/>
      <w:numFmt w:val="bullet"/>
      <w:lvlText w:val=""/>
      <w:lvlJc w:val="left"/>
      <w:pPr>
        <w:ind w:left="770" w:hanging="360"/>
      </w:pPr>
      <w:rPr>
        <w:rFonts w:ascii="Symbol" w:hAnsi="Symbol" w:hint="default"/>
        <w:color w:val="943634" w:themeColor="accent2" w:themeShade="BF"/>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F8519A7"/>
    <w:multiLevelType w:val="hybridMultilevel"/>
    <w:tmpl w:val="BF8C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717EF"/>
    <w:multiLevelType w:val="multilevel"/>
    <w:tmpl w:val="D6B4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5B720A"/>
    <w:multiLevelType w:val="multilevel"/>
    <w:tmpl w:val="95CE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FA911B6"/>
    <w:multiLevelType w:val="hybridMultilevel"/>
    <w:tmpl w:val="9C12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3E3C4B50"/>
    <w:multiLevelType w:val="hybridMultilevel"/>
    <w:tmpl w:val="EED63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FD27A6B"/>
    <w:multiLevelType w:val="hybridMultilevel"/>
    <w:tmpl w:val="5C8C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F31FA1"/>
    <w:multiLevelType w:val="multilevel"/>
    <w:tmpl w:val="3CA8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8277C24"/>
    <w:multiLevelType w:val="hybridMultilevel"/>
    <w:tmpl w:val="76889D56"/>
    <w:lvl w:ilvl="0" w:tplc="663A355A">
      <w:start w:val="1"/>
      <w:numFmt w:val="bullet"/>
      <w:lvlText w:val=""/>
      <w:lvlJc w:val="left"/>
      <w:pPr>
        <w:ind w:left="770" w:hanging="360"/>
      </w:pPr>
      <w:rPr>
        <w:rFonts w:ascii="Symbol" w:hAnsi="Symbol" w:hint="default"/>
        <w:color w:val="943634" w:themeColor="accent2" w:themeShade="BF"/>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BE4FB1"/>
    <w:multiLevelType w:val="hybridMultilevel"/>
    <w:tmpl w:val="FC0A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8FA5048"/>
    <w:multiLevelType w:val="hybridMultilevel"/>
    <w:tmpl w:val="EED63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2"/>
  </w:num>
  <w:num w:numId="2">
    <w:abstractNumId w:val="25"/>
  </w:num>
  <w:num w:numId="3">
    <w:abstractNumId w:val="17"/>
  </w:num>
  <w:num w:numId="4">
    <w:abstractNumId w:val="32"/>
  </w:num>
  <w:num w:numId="5">
    <w:abstractNumId w:val="34"/>
  </w:num>
  <w:num w:numId="6">
    <w:abstractNumId w:val="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9"/>
  </w:num>
  <w:num w:numId="15">
    <w:abstractNumId w:val="14"/>
  </w:num>
  <w:num w:numId="16">
    <w:abstractNumId w:val="1"/>
  </w:num>
  <w:num w:numId="17">
    <w:abstractNumId w:val="20"/>
  </w:num>
  <w:num w:numId="18">
    <w:abstractNumId w:val="21"/>
  </w:num>
  <w:num w:numId="19">
    <w:abstractNumId w:val="23"/>
  </w:num>
  <w:num w:numId="20">
    <w:abstractNumId w:val="35"/>
  </w:num>
  <w:num w:numId="21">
    <w:abstractNumId w:val="46"/>
  </w:num>
  <w:num w:numId="22">
    <w:abstractNumId w:val="33"/>
  </w:num>
  <w:num w:numId="23">
    <w:abstractNumId w:val="13"/>
  </w:num>
  <w:num w:numId="24">
    <w:abstractNumId w:val="38"/>
  </w:num>
  <w:num w:numId="25">
    <w:abstractNumId w:val="37"/>
  </w:num>
  <w:num w:numId="26">
    <w:abstractNumId w:val="26"/>
  </w:num>
  <w:num w:numId="27">
    <w:abstractNumId w:val="42"/>
  </w:num>
  <w:num w:numId="28">
    <w:abstractNumId w:val="49"/>
  </w:num>
  <w:num w:numId="29">
    <w:abstractNumId w:val="10"/>
  </w:num>
  <w:num w:numId="30">
    <w:abstractNumId w:val="6"/>
  </w:num>
  <w:num w:numId="31">
    <w:abstractNumId w:val="28"/>
  </w:num>
  <w:num w:numId="32">
    <w:abstractNumId w:val="27"/>
  </w:num>
  <w:num w:numId="33">
    <w:abstractNumId w:val="44"/>
  </w:num>
  <w:num w:numId="34">
    <w:abstractNumId w:val="43"/>
  </w:num>
  <w:num w:numId="35">
    <w:abstractNumId w:val="15"/>
  </w:num>
  <w:num w:numId="36">
    <w:abstractNumId w:val="18"/>
  </w:num>
  <w:num w:numId="37">
    <w:abstractNumId w:val="45"/>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41"/>
  </w:num>
  <w:num w:numId="42">
    <w:abstractNumId w:val="24"/>
  </w:num>
  <w:num w:numId="43">
    <w:abstractNumId w:val="30"/>
  </w:num>
  <w:num w:numId="44">
    <w:abstractNumId w:val="3"/>
  </w:num>
  <w:num w:numId="45">
    <w:abstractNumId w:val="31"/>
  </w:num>
  <w:num w:numId="46">
    <w:abstractNumId w:val="7"/>
  </w:num>
  <w:num w:numId="47">
    <w:abstractNumId w:val="2"/>
  </w:num>
  <w:num w:numId="48">
    <w:abstractNumId w:val="16"/>
  </w:num>
  <w:num w:numId="49">
    <w:abstractNumId w:val="48"/>
  </w:num>
  <w:num w:numId="50">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s-ES" w:vendorID="64" w:dllVersion="131078"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40BF"/>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3ED"/>
    <w:rsid w:val="000229B7"/>
    <w:rsid w:val="00023713"/>
    <w:rsid w:val="00023C4D"/>
    <w:rsid w:val="00025E71"/>
    <w:rsid w:val="00026035"/>
    <w:rsid w:val="00026269"/>
    <w:rsid w:val="00027154"/>
    <w:rsid w:val="00027ECF"/>
    <w:rsid w:val="000303BE"/>
    <w:rsid w:val="000321C9"/>
    <w:rsid w:val="000344D6"/>
    <w:rsid w:val="00034960"/>
    <w:rsid w:val="00036FAE"/>
    <w:rsid w:val="00037BEC"/>
    <w:rsid w:val="00041858"/>
    <w:rsid w:val="00042772"/>
    <w:rsid w:val="0004389E"/>
    <w:rsid w:val="000439D8"/>
    <w:rsid w:val="000463A6"/>
    <w:rsid w:val="00046CC9"/>
    <w:rsid w:val="00046E91"/>
    <w:rsid w:val="000502FE"/>
    <w:rsid w:val="0005126D"/>
    <w:rsid w:val="00051992"/>
    <w:rsid w:val="00051DFE"/>
    <w:rsid w:val="00051E9A"/>
    <w:rsid w:val="000521A7"/>
    <w:rsid w:val="00052F47"/>
    <w:rsid w:val="0005399B"/>
    <w:rsid w:val="00053E0B"/>
    <w:rsid w:val="00054DE6"/>
    <w:rsid w:val="000569D7"/>
    <w:rsid w:val="000576D7"/>
    <w:rsid w:val="00060F72"/>
    <w:rsid w:val="00062592"/>
    <w:rsid w:val="000631A6"/>
    <w:rsid w:val="000636A1"/>
    <w:rsid w:val="000649D9"/>
    <w:rsid w:val="000652BE"/>
    <w:rsid w:val="00066479"/>
    <w:rsid w:val="000668E3"/>
    <w:rsid w:val="00066F6B"/>
    <w:rsid w:val="0006723C"/>
    <w:rsid w:val="00070376"/>
    <w:rsid w:val="00070974"/>
    <w:rsid w:val="00071EAD"/>
    <w:rsid w:val="00071F4E"/>
    <w:rsid w:val="00072271"/>
    <w:rsid w:val="00072B54"/>
    <w:rsid w:val="00073145"/>
    <w:rsid w:val="0007463D"/>
    <w:rsid w:val="000749F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967"/>
    <w:rsid w:val="00094C4C"/>
    <w:rsid w:val="00096762"/>
    <w:rsid w:val="000969C8"/>
    <w:rsid w:val="0009752D"/>
    <w:rsid w:val="00097AEE"/>
    <w:rsid w:val="000A014A"/>
    <w:rsid w:val="000A04B6"/>
    <w:rsid w:val="000A0E36"/>
    <w:rsid w:val="000A1BD2"/>
    <w:rsid w:val="000A2127"/>
    <w:rsid w:val="000A358F"/>
    <w:rsid w:val="000A3F0D"/>
    <w:rsid w:val="000A43CC"/>
    <w:rsid w:val="000A58BE"/>
    <w:rsid w:val="000A7314"/>
    <w:rsid w:val="000A7B53"/>
    <w:rsid w:val="000A7B64"/>
    <w:rsid w:val="000A7D5F"/>
    <w:rsid w:val="000B275C"/>
    <w:rsid w:val="000B2C3D"/>
    <w:rsid w:val="000B37D9"/>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5A5"/>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6ABC"/>
    <w:rsid w:val="001372DD"/>
    <w:rsid w:val="001405BA"/>
    <w:rsid w:val="00141497"/>
    <w:rsid w:val="0014253A"/>
    <w:rsid w:val="001425C8"/>
    <w:rsid w:val="001431AE"/>
    <w:rsid w:val="00143B87"/>
    <w:rsid w:val="0014451A"/>
    <w:rsid w:val="00145276"/>
    <w:rsid w:val="001459E3"/>
    <w:rsid w:val="00146A0B"/>
    <w:rsid w:val="00146A6C"/>
    <w:rsid w:val="0014761E"/>
    <w:rsid w:val="00151907"/>
    <w:rsid w:val="001544C8"/>
    <w:rsid w:val="00155B46"/>
    <w:rsid w:val="00155FAB"/>
    <w:rsid w:val="001567A1"/>
    <w:rsid w:val="00156857"/>
    <w:rsid w:val="00157E79"/>
    <w:rsid w:val="00157EED"/>
    <w:rsid w:val="0016087A"/>
    <w:rsid w:val="00160A5C"/>
    <w:rsid w:val="001613EC"/>
    <w:rsid w:val="0016358A"/>
    <w:rsid w:val="001638D4"/>
    <w:rsid w:val="00164664"/>
    <w:rsid w:val="00164E90"/>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2681"/>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B738B"/>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1ACF"/>
    <w:rsid w:val="001F3996"/>
    <w:rsid w:val="001F44A4"/>
    <w:rsid w:val="001F579D"/>
    <w:rsid w:val="001F65EF"/>
    <w:rsid w:val="001F697B"/>
    <w:rsid w:val="001F7E92"/>
    <w:rsid w:val="002005A6"/>
    <w:rsid w:val="002015F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22D0"/>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4A45"/>
    <w:rsid w:val="00266B9A"/>
    <w:rsid w:val="00270E54"/>
    <w:rsid w:val="00273681"/>
    <w:rsid w:val="002754B5"/>
    <w:rsid w:val="002764C5"/>
    <w:rsid w:val="002772AE"/>
    <w:rsid w:val="00280613"/>
    <w:rsid w:val="0028274D"/>
    <w:rsid w:val="00282B96"/>
    <w:rsid w:val="00282DFB"/>
    <w:rsid w:val="002833D6"/>
    <w:rsid w:val="00283F51"/>
    <w:rsid w:val="0028604C"/>
    <w:rsid w:val="00286064"/>
    <w:rsid w:val="002867B1"/>
    <w:rsid w:val="00287BBB"/>
    <w:rsid w:val="00287E3B"/>
    <w:rsid w:val="00290638"/>
    <w:rsid w:val="00291763"/>
    <w:rsid w:val="00291D80"/>
    <w:rsid w:val="00293156"/>
    <w:rsid w:val="00293BE7"/>
    <w:rsid w:val="002946DC"/>
    <w:rsid w:val="00294FAB"/>
    <w:rsid w:val="00296005"/>
    <w:rsid w:val="002963C3"/>
    <w:rsid w:val="002A070A"/>
    <w:rsid w:val="002A0925"/>
    <w:rsid w:val="002A0C82"/>
    <w:rsid w:val="002A0CD8"/>
    <w:rsid w:val="002A13EB"/>
    <w:rsid w:val="002A327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2F5"/>
    <w:rsid w:val="002D4FEF"/>
    <w:rsid w:val="002D502D"/>
    <w:rsid w:val="002D63F5"/>
    <w:rsid w:val="002D6E1A"/>
    <w:rsid w:val="002E036D"/>
    <w:rsid w:val="002E1517"/>
    <w:rsid w:val="002E1588"/>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2353"/>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4C92"/>
    <w:rsid w:val="00355789"/>
    <w:rsid w:val="003557F4"/>
    <w:rsid w:val="0035634A"/>
    <w:rsid w:val="003572A5"/>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5062"/>
    <w:rsid w:val="003865E5"/>
    <w:rsid w:val="00386BB8"/>
    <w:rsid w:val="003926C1"/>
    <w:rsid w:val="00392900"/>
    <w:rsid w:val="00393357"/>
    <w:rsid w:val="00394CE6"/>
    <w:rsid w:val="00395892"/>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C7962"/>
    <w:rsid w:val="003D0CBF"/>
    <w:rsid w:val="003D0DD6"/>
    <w:rsid w:val="003D15DE"/>
    <w:rsid w:val="003D4B73"/>
    <w:rsid w:val="003D503B"/>
    <w:rsid w:val="003D605E"/>
    <w:rsid w:val="003D61D1"/>
    <w:rsid w:val="003D6780"/>
    <w:rsid w:val="003D6FCB"/>
    <w:rsid w:val="003D7C66"/>
    <w:rsid w:val="003E0F84"/>
    <w:rsid w:val="003E1FF3"/>
    <w:rsid w:val="003E3ACA"/>
    <w:rsid w:val="003E438D"/>
    <w:rsid w:val="003E50EA"/>
    <w:rsid w:val="003E68C7"/>
    <w:rsid w:val="003E79B0"/>
    <w:rsid w:val="003F0403"/>
    <w:rsid w:val="003F1094"/>
    <w:rsid w:val="003F1D41"/>
    <w:rsid w:val="003F27B5"/>
    <w:rsid w:val="003F2E45"/>
    <w:rsid w:val="003F3EFE"/>
    <w:rsid w:val="003F40B8"/>
    <w:rsid w:val="003F5C06"/>
    <w:rsid w:val="003F79C1"/>
    <w:rsid w:val="00400195"/>
    <w:rsid w:val="0040075B"/>
    <w:rsid w:val="0040254B"/>
    <w:rsid w:val="00403086"/>
    <w:rsid w:val="00403460"/>
    <w:rsid w:val="004040FF"/>
    <w:rsid w:val="00404284"/>
    <w:rsid w:val="004042C4"/>
    <w:rsid w:val="00406E90"/>
    <w:rsid w:val="00410240"/>
    <w:rsid w:val="004120C3"/>
    <w:rsid w:val="00412253"/>
    <w:rsid w:val="004127D1"/>
    <w:rsid w:val="00413B5F"/>
    <w:rsid w:val="004142ED"/>
    <w:rsid w:val="00415DD4"/>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1EF5"/>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6ECA"/>
    <w:rsid w:val="00460905"/>
    <w:rsid w:val="00461492"/>
    <w:rsid w:val="00461E35"/>
    <w:rsid w:val="004621DB"/>
    <w:rsid w:val="004634A7"/>
    <w:rsid w:val="00463787"/>
    <w:rsid w:val="00466926"/>
    <w:rsid w:val="00466FDA"/>
    <w:rsid w:val="004671D0"/>
    <w:rsid w:val="004674D1"/>
    <w:rsid w:val="0047002A"/>
    <w:rsid w:val="00470773"/>
    <w:rsid w:val="00471FF9"/>
    <w:rsid w:val="00473E74"/>
    <w:rsid w:val="00473FEF"/>
    <w:rsid w:val="00474205"/>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3E7C"/>
    <w:rsid w:val="004A4AC0"/>
    <w:rsid w:val="004A7AAE"/>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0DA"/>
    <w:rsid w:val="004D374D"/>
    <w:rsid w:val="004D3DEC"/>
    <w:rsid w:val="004D42C8"/>
    <w:rsid w:val="004D4F57"/>
    <w:rsid w:val="004D50F6"/>
    <w:rsid w:val="004D5A0D"/>
    <w:rsid w:val="004D7910"/>
    <w:rsid w:val="004D7DEA"/>
    <w:rsid w:val="004E0A28"/>
    <w:rsid w:val="004E1A0F"/>
    <w:rsid w:val="004E28D2"/>
    <w:rsid w:val="004E2E89"/>
    <w:rsid w:val="004E33C2"/>
    <w:rsid w:val="004E3B9A"/>
    <w:rsid w:val="004E477A"/>
    <w:rsid w:val="004E49B0"/>
    <w:rsid w:val="004E62DE"/>
    <w:rsid w:val="004E6AE4"/>
    <w:rsid w:val="004E6B05"/>
    <w:rsid w:val="004E76A1"/>
    <w:rsid w:val="004E7B89"/>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BCC"/>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1D34"/>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6106"/>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4B34"/>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45B4"/>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0A2"/>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4AA"/>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2857"/>
    <w:rsid w:val="006630CF"/>
    <w:rsid w:val="00663EFF"/>
    <w:rsid w:val="00666F74"/>
    <w:rsid w:val="00667FEA"/>
    <w:rsid w:val="006706E1"/>
    <w:rsid w:val="006710D2"/>
    <w:rsid w:val="00671A8B"/>
    <w:rsid w:val="00671F53"/>
    <w:rsid w:val="006725A0"/>
    <w:rsid w:val="0067555E"/>
    <w:rsid w:val="006765D9"/>
    <w:rsid w:val="00677FAD"/>
    <w:rsid w:val="006802DE"/>
    <w:rsid w:val="0068032D"/>
    <w:rsid w:val="0068068C"/>
    <w:rsid w:val="00681115"/>
    <w:rsid w:val="00683920"/>
    <w:rsid w:val="00685147"/>
    <w:rsid w:val="00685653"/>
    <w:rsid w:val="0068590D"/>
    <w:rsid w:val="00685A89"/>
    <w:rsid w:val="006861B3"/>
    <w:rsid w:val="00686FA2"/>
    <w:rsid w:val="006870C5"/>
    <w:rsid w:val="0069081B"/>
    <w:rsid w:val="00690F0E"/>
    <w:rsid w:val="006911C0"/>
    <w:rsid w:val="00691B7C"/>
    <w:rsid w:val="006937C3"/>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E743B"/>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5AA"/>
    <w:rsid w:val="00716774"/>
    <w:rsid w:val="007209DD"/>
    <w:rsid w:val="00721698"/>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03AE"/>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5C3B"/>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2D0C"/>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572"/>
    <w:rsid w:val="007A7678"/>
    <w:rsid w:val="007B0CD8"/>
    <w:rsid w:val="007B0DE0"/>
    <w:rsid w:val="007B21DE"/>
    <w:rsid w:val="007B2BB9"/>
    <w:rsid w:val="007B43E8"/>
    <w:rsid w:val="007B4740"/>
    <w:rsid w:val="007B502C"/>
    <w:rsid w:val="007B5F3B"/>
    <w:rsid w:val="007C02B0"/>
    <w:rsid w:val="007C063E"/>
    <w:rsid w:val="007C068C"/>
    <w:rsid w:val="007C1901"/>
    <w:rsid w:val="007C48D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3B3C"/>
    <w:rsid w:val="007F4A2A"/>
    <w:rsid w:val="007F5066"/>
    <w:rsid w:val="007F621C"/>
    <w:rsid w:val="007F7155"/>
    <w:rsid w:val="007F72AF"/>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13D2A"/>
    <w:rsid w:val="00815774"/>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6B71"/>
    <w:rsid w:val="008575EB"/>
    <w:rsid w:val="00862DDD"/>
    <w:rsid w:val="0086326D"/>
    <w:rsid w:val="00863CC1"/>
    <w:rsid w:val="00865B01"/>
    <w:rsid w:val="00866D7A"/>
    <w:rsid w:val="00866EE3"/>
    <w:rsid w:val="008701E5"/>
    <w:rsid w:val="008706C5"/>
    <w:rsid w:val="00871F04"/>
    <w:rsid w:val="0087259A"/>
    <w:rsid w:val="008746C1"/>
    <w:rsid w:val="00880224"/>
    <w:rsid w:val="0088244C"/>
    <w:rsid w:val="00883367"/>
    <w:rsid w:val="00884C47"/>
    <w:rsid w:val="00884E92"/>
    <w:rsid w:val="00885E6F"/>
    <w:rsid w:val="008861AC"/>
    <w:rsid w:val="008868E4"/>
    <w:rsid w:val="00886A60"/>
    <w:rsid w:val="0088759B"/>
    <w:rsid w:val="008909B4"/>
    <w:rsid w:val="008914C2"/>
    <w:rsid w:val="008922E8"/>
    <w:rsid w:val="00893916"/>
    <w:rsid w:val="008941B9"/>
    <w:rsid w:val="0089442C"/>
    <w:rsid w:val="00895818"/>
    <w:rsid w:val="008A2585"/>
    <w:rsid w:val="008A2718"/>
    <w:rsid w:val="008A3E6E"/>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186A"/>
    <w:rsid w:val="008F2413"/>
    <w:rsid w:val="008F248D"/>
    <w:rsid w:val="008F4B2C"/>
    <w:rsid w:val="008F4C08"/>
    <w:rsid w:val="008F5A84"/>
    <w:rsid w:val="008F6851"/>
    <w:rsid w:val="008F7BC4"/>
    <w:rsid w:val="00900E7A"/>
    <w:rsid w:val="00901A76"/>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45EF"/>
    <w:rsid w:val="009252EC"/>
    <w:rsid w:val="00925AEC"/>
    <w:rsid w:val="0092751A"/>
    <w:rsid w:val="009305C4"/>
    <w:rsid w:val="00931E37"/>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5D5E"/>
    <w:rsid w:val="0097606C"/>
    <w:rsid w:val="009771D1"/>
    <w:rsid w:val="0098012D"/>
    <w:rsid w:val="009806E9"/>
    <w:rsid w:val="00980845"/>
    <w:rsid w:val="00981BD9"/>
    <w:rsid w:val="0098225F"/>
    <w:rsid w:val="00983A3C"/>
    <w:rsid w:val="00983EFA"/>
    <w:rsid w:val="00984C15"/>
    <w:rsid w:val="00987829"/>
    <w:rsid w:val="009909B3"/>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61EA"/>
    <w:rsid w:val="009A7B72"/>
    <w:rsid w:val="009A7F49"/>
    <w:rsid w:val="009B03C4"/>
    <w:rsid w:val="009B0AA2"/>
    <w:rsid w:val="009B1D02"/>
    <w:rsid w:val="009B7133"/>
    <w:rsid w:val="009B7658"/>
    <w:rsid w:val="009B7CD1"/>
    <w:rsid w:val="009B7E22"/>
    <w:rsid w:val="009B7E78"/>
    <w:rsid w:val="009C10FE"/>
    <w:rsid w:val="009C13BC"/>
    <w:rsid w:val="009C1CA4"/>
    <w:rsid w:val="009C2371"/>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3988"/>
    <w:rsid w:val="009E503D"/>
    <w:rsid w:val="009E6B77"/>
    <w:rsid w:val="009E7724"/>
    <w:rsid w:val="009E7D1F"/>
    <w:rsid w:val="009F1D82"/>
    <w:rsid w:val="009F37AA"/>
    <w:rsid w:val="009F4305"/>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1A28"/>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9D5"/>
    <w:rsid w:val="00A61CFD"/>
    <w:rsid w:val="00A62B86"/>
    <w:rsid w:val="00A6304E"/>
    <w:rsid w:val="00A637EA"/>
    <w:rsid w:val="00A63C96"/>
    <w:rsid w:val="00A65805"/>
    <w:rsid w:val="00A66BEE"/>
    <w:rsid w:val="00A671C9"/>
    <w:rsid w:val="00A67D4B"/>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76"/>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5D94"/>
    <w:rsid w:val="00AB6B5E"/>
    <w:rsid w:val="00AB7304"/>
    <w:rsid w:val="00AC047F"/>
    <w:rsid w:val="00AC3934"/>
    <w:rsid w:val="00AC50C8"/>
    <w:rsid w:val="00AC5581"/>
    <w:rsid w:val="00AC56AD"/>
    <w:rsid w:val="00AC572C"/>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47F"/>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725"/>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5D33"/>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57F60"/>
    <w:rsid w:val="00B60D27"/>
    <w:rsid w:val="00B619E4"/>
    <w:rsid w:val="00B61CF4"/>
    <w:rsid w:val="00B61D0B"/>
    <w:rsid w:val="00B6439A"/>
    <w:rsid w:val="00B6443B"/>
    <w:rsid w:val="00B6517B"/>
    <w:rsid w:val="00B65E71"/>
    <w:rsid w:val="00B66C26"/>
    <w:rsid w:val="00B705C4"/>
    <w:rsid w:val="00B71FB3"/>
    <w:rsid w:val="00B73492"/>
    <w:rsid w:val="00B7512A"/>
    <w:rsid w:val="00B76548"/>
    <w:rsid w:val="00B76BED"/>
    <w:rsid w:val="00B806E6"/>
    <w:rsid w:val="00B822B7"/>
    <w:rsid w:val="00B82DC1"/>
    <w:rsid w:val="00B835D5"/>
    <w:rsid w:val="00B84028"/>
    <w:rsid w:val="00B84143"/>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2541"/>
    <w:rsid w:val="00BA31AA"/>
    <w:rsid w:val="00BA45D8"/>
    <w:rsid w:val="00BA5828"/>
    <w:rsid w:val="00BA647A"/>
    <w:rsid w:val="00BA64B3"/>
    <w:rsid w:val="00BA7228"/>
    <w:rsid w:val="00BA754A"/>
    <w:rsid w:val="00BA7820"/>
    <w:rsid w:val="00BA794C"/>
    <w:rsid w:val="00BB09FB"/>
    <w:rsid w:val="00BB1617"/>
    <w:rsid w:val="00BB238D"/>
    <w:rsid w:val="00BB37CC"/>
    <w:rsid w:val="00BB3CF5"/>
    <w:rsid w:val="00BB48C4"/>
    <w:rsid w:val="00BB4956"/>
    <w:rsid w:val="00BB5C6F"/>
    <w:rsid w:val="00BB627B"/>
    <w:rsid w:val="00BB6907"/>
    <w:rsid w:val="00BB7A20"/>
    <w:rsid w:val="00BC05D2"/>
    <w:rsid w:val="00BC15B1"/>
    <w:rsid w:val="00BC16E9"/>
    <w:rsid w:val="00BC1D4B"/>
    <w:rsid w:val="00BC3C06"/>
    <w:rsid w:val="00BC4E8B"/>
    <w:rsid w:val="00BC4EAE"/>
    <w:rsid w:val="00BC5622"/>
    <w:rsid w:val="00BC6060"/>
    <w:rsid w:val="00BC6596"/>
    <w:rsid w:val="00BC7897"/>
    <w:rsid w:val="00BD0F35"/>
    <w:rsid w:val="00BD2EFE"/>
    <w:rsid w:val="00BD3C97"/>
    <w:rsid w:val="00BD45A4"/>
    <w:rsid w:val="00BD4A5F"/>
    <w:rsid w:val="00BD59AA"/>
    <w:rsid w:val="00BD65E6"/>
    <w:rsid w:val="00BD6AF7"/>
    <w:rsid w:val="00BE19EF"/>
    <w:rsid w:val="00BE1EF4"/>
    <w:rsid w:val="00BE425B"/>
    <w:rsid w:val="00BE51BB"/>
    <w:rsid w:val="00BE7595"/>
    <w:rsid w:val="00BE77D3"/>
    <w:rsid w:val="00BF0138"/>
    <w:rsid w:val="00BF114B"/>
    <w:rsid w:val="00BF1620"/>
    <w:rsid w:val="00BF1950"/>
    <w:rsid w:val="00BF1AC3"/>
    <w:rsid w:val="00BF28DA"/>
    <w:rsid w:val="00BF373A"/>
    <w:rsid w:val="00BF37A5"/>
    <w:rsid w:val="00BF4873"/>
    <w:rsid w:val="00BF557C"/>
    <w:rsid w:val="00BF62D2"/>
    <w:rsid w:val="00BF6695"/>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1BA"/>
    <w:rsid w:val="00C0622F"/>
    <w:rsid w:val="00C0654A"/>
    <w:rsid w:val="00C06DE3"/>
    <w:rsid w:val="00C06F97"/>
    <w:rsid w:val="00C10BE6"/>
    <w:rsid w:val="00C11296"/>
    <w:rsid w:val="00C11905"/>
    <w:rsid w:val="00C1234A"/>
    <w:rsid w:val="00C12661"/>
    <w:rsid w:val="00C126E3"/>
    <w:rsid w:val="00C1330F"/>
    <w:rsid w:val="00C13B8F"/>
    <w:rsid w:val="00C13ED7"/>
    <w:rsid w:val="00C14615"/>
    <w:rsid w:val="00C14F48"/>
    <w:rsid w:val="00C15296"/>
    <w:rsid w:val="00C17750"/>
    <w:rsid w:val="00C2094B"/>
    <w:rsid w:val="00C20DC5"/>
    <w:rsid w:val="00C226C1"/>
    <w:rsid w:val="00C2294E"/>
    <w:rsid w:val="00C22A5B"/>
    <w:rsid w:val="00C23412"/>
    <w:rsid w:val="00C264C7"/>
    <w:rsid w:val="00C271C4"/>
    <w:rsid w:val="00C274F3"/>
    <w:rsid w:val="00C30A54"/>
    <w:rsid w:val="00C316F7"/>
    <w:rsid w:val="00C31DF0"/>
    <w:rsid w:val="00C32578"/>
    <w:rsid w:val="00C33916"/>
    <w:rsid w:val="00C33BCF"/>
    <w:rsid w:val="00C33FE9"/>
    <w:rsid w:val="00C34D1D"/>
    <w:rsid w:val="00C353A0"/>
    <w:rsid w:val="00C36875"/>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4E2C"/>
    <w:rsid w:val="00C56438"/>
    <w:rsid w:val="00C570B3"/>
    <w:rsid w:val="00C57211"/>
    <w:rsid w:val="00C6009F"/>
    <w:rsid w:val="00C60417"/>
    <w:rsid w:val="00C6046F"/>
    <w:rsid w:val="00C638C2"/>
    <w:rsid w:val="00C651D4"/>
    <w:rsid w:val="00C657D0"/>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96674"/>
    <w:rsid w:val="00C96680"/>
    <w:rsid w:val="00CA012C"/>
    <w:rsid w:val="00CA0AA6"/>
    <w:rsid w:val="00CA2897"/>
    <w:rsid w:val="00CA3714"/>
    <w:rsid w:val="00CA44F3"/>
    <w:rsid w:val="00CA51BA"/>
    <w:rsid w:val="00CA582C"/>
    <w:rsid w:val="00CA6077"/>
    <w:rsid w:val="00CA715B"/>
    <w:rsid w:val="00CA743A"/>
    <w:rsid w:val="00CA7988"/>
    <w:rsid w:val="00CA7BA2"/>
    <w:rsid w:val="00CA7E36"/>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2923"/>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CC1"/>
    <w:rsid w:val="00D76D88"/>
    <w:rsid w:val="00D77CC9"/>
    <w:rsid w:val="00D83D4B"/>
    <w:rsid w:val="00D871C6"/>
    <w:rsid w:val="00D91010"/>
    <w:rsid w:val="00DA0FA7"/>
    <w:rsid w:val="00DA12B0"/>
    <w:rsid w:val="00DA2B1D"/>
    <w:rsid w:val="00DA2BA0"/>
    <w:rsid w:val="00DA39AD"/>
    <w:rsid w:val="00DA42D7"/>
    <w:rsid w:val="00DA5523"/>
    <w:rsid w:val="00DA5B13"/>
    <w:rsid w:val="00DA6917"/>
    <w:rsid w:val="00DA6926"/>
    <w:rsid w:val="00DB0965"/>
    <w:rsid w:val="00DB0E47"/>
    <w:rsid w:val="00DB2BDD"/>
    <w:rsid w:val="00DB4121"/>
    <w:rsid w:val="00DB429F"/>
    <w:rsid w:val="00DB46C3"/>
    <w:rsid w:val="00DB5742"/>
    <w:rsid w:val="00DB5EDF"/>
    <w:rsid w:val="00DB6C46"/>
    <w:rsid w:val="00DB72B8"/>
    <w:rsid w:val="00DC16AF"/>
    <w:rsid w:val="00DC2A9A"/>
    <w:rsid w:val="00DC2E2E"/>
    <w:rsid w:val="00DC4D68"/>
    <w:rsid w:val="00DC6463"/>
    <w:rsid w:val="00DC7822"/>
    <w:rsid w:val="00DC7AF1"/>
    <w:rsid w:val="00DD1AB5"/>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3430"/>
    <w:rsid w:val="00E04548"/>
    <w:rsid w:val="00E0484E"/>
    <w:rsid w:val="00E063F8"/>
    <w:rsid w:val="00E079AF"/>
    <w:rsid w:val="00E114D6"/>
    <w:rsid w:val="00E1166E"/>
    <w:rsid w:val="00E11DBD"/>
    <w:rsid w:val="00E13211"/>
    <w:rsid w:val="00E16542"/>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6FD8"/>
    <w:rsid w:val="00E372DD"/>
    <w:rsid w:val="00E40974"/>
    <w:rsid w:val="00E40A5C"/>
    <w:rsid w:val="00E40AAB"/>
    <w:rsid w:val="00E41205"/>
    <w:rsid w:val="00E41F32"/>
    <w:rsid w:val="00E42608"/>
    <w:rsid w:val="00E43536"/>
    <w:rsid w:val="00E43DA3"/>
    <w:rsid w:val="00E44B80"/>
    <w:rsid w:val="00E47430"/>
    <w:rsid w:val="00E50FB7"/>
    <w:rsid w:val="00E5180E"/>
    <w:rsid w:val="00E5199F"/>
    <w:rsid w:val="00E526DF"/>
    <w:rsid w:val="00E534C2"/>
    <w:rsid w:val="00E53C15"/>
    <w:rsid w:val="00E54EE6"/>
    <w:rsid w:val="00E56715"/>
    <w:rsid w:val="00E56C2C"/>
    <w:rsid w:val="00E57F8E"/>
    <w:rsid w:val="00E611C8"/>
    <w:rsid w:val="00E63256"/>
    <w:rsid w:val="00E6344A"/>
    <w:rsid w:val="00E64E69"/>
    <w:rsid w:val="00E64FB7"/>
    <w:rsid w:val="00E669A1"/>
    <w:rsid w:val="00E679BA"/>
    <w:rsid w:val="00E70243"/>
    <w:rsid w:val="00E714D1"/>
    <w:rsid w:val="00E72CC6"/>
    <w:rsid w:val="00E73D44"/>
    <w:rsid w:val="00E7494A"/>
    <w:rsid w:val="00E74BE2"/>
    <w:rsid w:val="00E74C66"/>
    <w:rsid w:val="00E74FA2"/>
    <w:rsid w:val="00E75933"/>
    <w:rsid w:val="00E77A1B"/>
    <w:rsid w:val="00E808BE"/>
    <w:rsid w:val="00E81E36"/>
    <w:rsid w:val="00E81E40"/>
    <w:rsid w:val="00E82ECE"/>
    <w:rsid w:val="00E85074"/>
    <w:rsid w:val="00E86555"/>
    <w:rsid w:val="00E8713B"/>
    <w:rsid w:val="00E90C61"/>
    <w:rsid w:val="00E92A82"/>
    <w:rsid w:val="00E92AA8"/>
    <w:rsid w:val="00E9344E"/>
    <w:rsid w:val="00E93E39"/>
    <w:rsid w:val="00E94391"/>
    <w:rsid w:val="00E97E2B"/>
    <w:rsid w:val="00EA08CA"/>
    <w:rsid w:val="00EA0C0C"/>
    <w:rsid w:val="00EA23DE"/>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C7EE3"/>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105"/>
    <w:rsid w:val="00EE6472"/>
    <w:rsid w:val="00EE76F2"/>
    <w:rsid w:val="00EF0769"/>
    <w:rsid w:val="00EF0D7C"/>
    <w:rsid w:val="00EF40E2"/>
    <w:rsid w:val="00EF5FB9"/>
    <w:rsid w:val="00EF61C1"/>
    <w:rsid w:val="00EF6E68"/>
    <w:rsid w:val="00EF76DB"/>
    <w:rsid w:val="00F005FD"/>
    <w:rsid w:val="00F024E2"/>
    <w:rsid w:val="00F02C04"/>
    <w:rsid w:val="00F0377F"/>
    <w:rsid w:val="00F03AF1"/>
    <w:rsid w:val="00F043B4"/>
    <w:rsid w:val="00F04BCD"/>
    <w:rsid w:val="00F05A8C"/>
    <w:rsid w:val="00F06211"/>
    <w:rsid w:val="00F1063E"/>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1893"/>
    <w:rsid w:val="00F52221"/>
    <w:rsid w:val="00F52B28"/>
    <w:rsid w:val="00F536BB"/>
    <w:rsid w:val="00F53755"/>
    <w:rsid w:val="00F53E59"/>
    <w:rsid w:val="00F53EA9"/>
    <w:rsid w:val="00F5475B"/>
    <w:rsid w:val="00F551CC"/>
    <w:rsid w:val="00F574D0"/>
    <w:rsid w:val="00F6031F"/>
    <w:rsid w:val="00F61664"/>
    <w:rsid w:val="00F61B99"/>
    <w:rsid w:val="00F61BA8"/>
    <w:rsid w:val="00F64C45"/>
    <w:rsid w:val="00F6502B"/>
    <w:rsid w:val="00F65811"/>
    <w:rsid w:val="00F6612A"/>
    <w:rsid w:val="00F66466"/>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3D47"/>
    <w:rsid w:val="00F8453C"/>
    <w:rsid w:val="00F84D4C"/>
    <w:rsid w:val="00F8657D"/>
    <w:rsid w:val="00F8730F"/>
    <w:rsid w:val="00F87DA3"/>
    <w:rsid w:val="00F90004"/>
    <w:rsid w:val="00F90EF4"/>
    <w:rsid w:val="00F917BF"/>
    <w:rsid w:val="00F920B4"/>
    <w:rsid w:val="00F9260D"/>
    <w:rsid w:val="00F92727"/>
    <w:rsid w:val="00F9360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6438"/>
    <w:rsid w:val="00FC7223"/>
    <w:rsid w:val="00FD0F60"/>
    <w:rsid w:val="00FD13EA"/>
    <w:rsid w:val="00FD21F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01133786">
      <w:bodyDiv w:val="1"/>
      <w:marLeft w:val="0"/>
      <w:marRight w:val="0"/>
      <w:marTop w:val="0"/>
      <w:marBottom w:val="0"/>
      <w:divBdr>
        <w:top w:val="none" w:sz="0" w:space="0" w:color="auto"/>
        <w:left w:val="none" w:sz="0" w:space="0" w:color="auto"/>
        <w:bottom w:val="none" w:sz="0" w:space="0" w:color="auto"/>
        <w:right w:val="none" w:sz="0" w:space="0" w:color="auto"/>
      </w:divBdr>
      <w:divsChild>
        <w:div w:id="1353652794">
          <w:marLeft w:val="0"/>
          <w:marRight w:val="0"/>
          <w:marTop w:val="0"/>
          <w:marBottom w:val="0"/>
          <w:divBdr>
            <w:top w:val="none" w:sz="0" w:space="0" w:color="auto"/>
            <w:left w:val="none" w:sz="0" w:space="0" w:color="auto"/>
            <w:bottom w:val="none" w:sz="0" w:space="0" w:color="auto"/>
            <w:right w:val="none" w:sz="0" w:space="0" w:color="auto"/>
          </w:divBdr>
        </w:div>
        <w:div w:id="5178326">
          <w:marLeft w:val="0"/>
          <w:marRight w:val="0"/>
          <w:marTop w:val="0"/>
          <w:marBottom w:val="0"/>
          <w:divBdr>
            <w:top w:val="none" w:sz="0" w:space="0" w:color="auto"/>
            <w:left w:val="none" w:sz="0" w:space="0" w:color="auto"/>
            <w:bottom w:val="none" w:sz="0" w:space="0" w:color="auto"/>
            <w:right w:val="none" w:sz="0" w:space="0" w:color="auto"/>
          </w:divBdr>
          <w:divsChild>
            <w:div w:id="1171602361">
              <w:marLeft w:val="0"/>
              <w:marRight w:val="0"/>
              <w:marTop w:val="0"/>
              <w:marBottom w:val="0"/>
              <w:divBdr>
                <w:top w:val="none" w:sz="0" w:space="0" w:color="auto"/>
                <w:left w:val="none" w:sz="0" w:space="0" w:color="auto"/>
                <w:bottom w:val="none" w:sz="0" w:space="0" w:color="auto"/>
                <w:right w:val="none" w:sz="0" w:space="0" w:color="auto"/>
              </w:divBdr>
            </w:div>
            <w:div w:id="931166792">
              <w:marLeft w:val="0"/>
              <w:marRight w:val="0"/>
              <w:marTop w:val="0"/>
              <w:marBottom w:val="0"/>
              <w:divBdr>
                <w:top w:val="none" w:sz="0" w:space="0" w:color="auto"/>
                <w:left w:val="none" w:sz="0" w:space="0" w:color="auto"/>
                <w:bottom w:val="none" w:sz="0" w:space="0" w:color="auto"/>
                <w:right w:val="none" w:sz="0" w:space="0" w:color="auto"/>
              </w:divBdr>
            </w:div>
            <w:div w:id="900362916">
              <w:marLeft w:val="0"/>
              <w:marRight w:val="0"/>
              <w:marTop w:val="0"/>
              <w:marBottom w:val="0"/>
              <w:divBdr>
                <w:top w:val="none" w:sz="0" w:space="0" w:color="auto"/>
                <w:left w:val="none" w:sz="0" w:space="0" w:color="auto"/>
                <w:bottom w:val="none" w:sz="0" w:space="0" w:color="auto"/>
                <w:right w:val="none" w:sz="0" w:space="0" w:color="auto"/>
              </w:divBdr>
            </w:div>
            <w:div w:id="20469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19605256">
      <w:bodyDiv w:val="1"/>
      <w:marLeft w:val="0"/>
      <w:marRight w:val="0"/>
      <w:marTop w:val="0"/>
      <w:marBottom w:val="0"/>
      <w:divBdr>
        <w:top w:val="none" w:sz="0" w:space="0" w:color="auto"/>
        <w:left w:val="none" w:sz="0" w:space="0" w:color="auto"/>
        <w:bottom w:val="none" w:sz="0" w:space="0" w:color="auto"/>
        <w:right w:val="none" w:sz="0" w:space="0" w:color="auto"/>
      </w:divBdr>
      <w:divsChild>
        <w:div w:id="186870039">
          <w:marLeft w:val="0"/>
          <w:marRight w:val="0"/>
          <w:marTop w:val="0"/>
          <w:marBottom w:val="0"/>
          <w:divBdr>
            <w:top w:val="none" w:sz="0" w:space="0" w:color="auto"/>
            <w:left w:val="none" w:sz="0" w:space="0" w:color="auto"/>
            <w:bottom w:val="none" w:sz="0" w:space="0" w:color="auto"/>
            <w:right w:val="none" w:sz="0" w:space="0" w:color="auto"/>
          </w:divBdr>
        </w:div>
        <w:div w:id="763107440">
          <w:marLeft w:val="0"/>
          <w:marRight w:val="0"/>
          <w:marTop w:val="0"/>
          <w:marBottom w:val="0"/>
          <w:divBdr>
            <w:top w:val="none" w:sz="0" w:space="0" w:color="auto"/>
            <w:left w:val="none" w:sz="0" w:space="0" w:color="auto"/>
            <w:bottom w:val="none" w:sz="0" w:space="0" w:color="auto"/>
            <w:right w:val="none" w:sz="0" w:space="0" w:color="auto"/>
          </w:divBdr>
        </w:div>
        <w:div w:id="337847873">
          <w:marLeft w:val="0"/>
          <w:marRight w:val="0"/>
          <w:marTop w:val="0"/>
          <w:marBottom w:val="0"/>
          <w:divBdr>
            <w:top w:val="none" w:sz="0" w:space="0" w:color="auto"/>
            <w:left w:val="none" w:sz="0" w:space="0" w:color="auto"/>
            <w:bottom w:val="none" w:sz="0" w:space="0" w:color="auto"/>
            <w:right w:val="none" w:sz="0" w:space="0" w:color="auto"/>
          </w:divBdr>
        </w:div>
        <w:div w:id="579683505">
          <w:marLeft w:val="0"/>
          <w:marRight w:val="0"/>
          <w:marTop w:val="0"/>
          <w:marBottom w:val="0"/>
          <w:divBdr>
            <w:top w:val="none" w:sz="0" w:space="0" w:color="auto"/>
            <w:left w:val="none" w:sz="0" w:space="0" w:color="auto"/>
            <w:bottom w:val="none" w:sz="0" w:space="0" w:color="auto"/>
            <w:right w:val="none" w:sz="0" w:space="0" w:color="auto"/>
          </w:divBdr>
        </w:div>
        <w:div w:id="1118833163">
          <w:marLeft w:val="0"/>
          <w:marRight w:val="0"/>
          <w:marTop w:val="0"/>
          <w:marBottom w:val="0"/>
          <w:divBdr>
            <w:top w:val="none" w:sz="0" w:space="0" w:color="auto"/>
            <w:left w:val="none" w:sz="0" w:space="0" w:color="auto"/>
            <w:bottom w:val="none" w:sz="0" w:space="0" w:color="auto"/>
            <w:right w:val="none" w:sz="0" w:space="0" w:color="auto"/>
          </w:divBdr>
          <w:divsChild>
            <w:div w:id="1189026530">
              <w:marLeft w:val="0"/>
              <w:marRight w:val="0"/>
              <w:marTop w:val="0"/>
              <w:marBottom w:val="0"/>
              <w:divBdr>
                <w:top w:val="none" w:sz="0" w:space="0" w:color="auto"/>
                <w:left w:val="none" w:sz="0" w:space="0" w:color="auto"/>
                <w:bottom w:val="none" w:sz="0" w:space="0" w:color="auto"/>
                <w:right w:val="none" w:sz="0" w:space="0" w:color="auto"/>
              </w:divBdr>
            </w:div>
            <w:div w:id="1479761628">
              <w:marLeft w:val="0"/>
              <w:marRight w:val="0"/>
              <w:marTop w:val="0"/>
              <w:marBottom w:val="0"/>
              <w:divBdr>
                <w:top w:val="none" w:sz="0" w:space="0" w:color="auto"/>
                <w:left w:val="none" w:sz="0" w:space="0" w:color="auto"/>
                <w:bottom w:val="none" w:sz="0" w:space="0" w:color="auto"/>
                <w:right w:val="none" w:sz="0" w:space="0" w:color="auto"/>
              </w:divBdr>
            </w:div>
            <w:div w:id="1277448577">
              <w:marLeft w:val="0"/>
              <w:marRight w:val="0"/>
              <w:marTop w:val="0"/>
              <w:marBottom w:val="0"/>
              <w:divBdr>
                <w:top w:val="none" w:sz="0" w:space="0" w:color="auto"/>
                <w:left w:val="none" w:sz="0" w:space="0" w:color="auto"/>
                <w:bottom w:val="none" w:sz="0" w:space="0" w:color="auto"/>
                <w:right w:val="none" w:sz="0" w:space="0" w:color="auto"/>
              </w:divBdr>
            </w:div>
            <w:div w:id="1962569873">
              <w:marLeft w:val="0"/>
              <w:marRight w:val="0"/>
              <w:marTop w:val="0"/>
              <w:marBottom w:val="0"/>
              <w:divBdr>
                <w:top w:val="none" w:sz="0" w:space="0" w:color="auto"/>
                <w:left w:val="none" w:sz="0" w:space="0" w:color="auto"/>
                <w:bottom w:val="none" w:sz="0" w:space="0" w:color="auto"/>
                <w:right w:val="none" w:sz="0" w:space="0" w:color="auto"/>
              </w:divBdr>
            </w:div>
            <w:div w:id="395903114">
              <w:marLeft w:val="0"/>
              <w:marRight w:val="0"/>
              <w:marTop w:val="0"/>
              <w:marBottom w:val="0"/>
              <w:divBdr>
                <w:top w:val="none" w:sz="0" w:space="0" w:color="auto"/>
                <w:left w:val="none" w:sz="0" w:space="0" w:color="auto"/>
                <w:bottom w:val="none" w:sz="0" w:space="0" w:color="auto"/>
                <w:right w:val="none" w:sz="0" w:space="0" w:color="auto"/>
              </w:divBdr>
            </w:div>
            <w:div w:id="670565124">
              <w:marLeft w:val="0"/>
              <w:marRight w:val="0"/>
              <w:marTop w:val="0"/>
              <w:marBottom w:val="0"/>
              <w:divBdr>
                <w:top w:val="none" w:sz="0" w:space="0" w:color="auto"/>
                <w:left w:val="none" w:sz="0" w:space="0" w:color="auto"/>
                <w:bottom w:val="none" w:sz="0" w:space="0" w:color="auto"/>
                <w:right w:val="none" w:sz="0" w:space="0" w:color="auto"/>
              </w:divBdr>
            </w:div>
            <w:div w:id="801463977">
              <w:marLeft w:val="0"/>
              <w:marRight w:val="0"/>
              <w:marTop w:val="0"/>
              <w:marBottom w:val="0"/>
              <w:divBdr>
                <w:top w:val="none" w:sz="0" w:space="0" w:color="auto"/>
                <w:left w:val="none" w:sz="0" w:space="0" w:color="auto"/>
                <w:bottom w:val="none" w:sz="0" w:space="0" w:color="auto"/>
                <w:right w:val="none" w:sz="0" w:space="0" w:color="auto"/>
              </w:divBdr>
            </w:div>
            <w:div w:id="7809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9197841">
      <w:bodyDiv w:val="1"/>
      <w:marLeft w:val="0"/>
      <w:marRight w:val="0"/>
      <w:marTop w:val="0"/>
      <w:marBottom w:val="0"/>
      <w:divBdr>
        <w:top w:val="none" w:sz="0" w:space="0" w:color="auto"/>
        <w:left w:val="none" w:sz="0" w:space="0" w:color="auto"/>
        <w:bottom w:val="none" w:sz="0" w:space="0" w:color="auto"/>
        <w:right w:val="none" w:sz="0" w:space="0" w:color="auto"/>
      </w:divBdr>
      <w:divsChild>
        <w:div w:id="1981107883">
          <w:marLeft w:val="0"/>
          <w:marRight w:val="0"/>
          <w:marTop w:val="0"/>
          <w:marBottom w:val="0"/>
          <w:divBdr>
            <w:top w:val="none" w:sz="0" w:space="0" w:color="auto"/>
            <w:left w:val="none" w:sz="0" w:space="0" w:color="auto"/>
            <w:bottom w:val="none" w:sz="0" w:space="0" w:color="auto"/>
            <w:right w:val="none" w:sz="0" w:space="0" w:color="auto"/>
          </w:divBdr>
        </w:div>
        <w:div w:id="1265648342">
          <w:marLeft w:val="0"/>
          <w:marRight w:val="0"/>
          <w:marTop w:val="0"/>
          <w:marBottom w:val="0"/>
          <w:divBdr>
            <w:top w:val="none" w:sz="0" w:space="0" w:color="auto"/>
            <w:left w:val="none" w:sz="0" w:space="0" w:color="auto"/>
            <w:bottom w:val="none" w:sz="0" w:space="0" w:color="auto"/>
            <w:right w:val="none" w:sz="0" w:space="0" w:color="auto"/>
          </w:divBdr>
        </w:div>
        <w:div w:id="658461267">
          <w:marLeft w:val="0"/>
          <w:marRight w:val="0"/>
          <w:marTop w:val="0"/>
          <w:marBottom w:val="0"/>
          <w:divBdr>
            <w:top w:val="none" w:sz="0" w:space="0" w:color="auto"/>
            <w:left w:val="none" w:sz="0" w:space="0" w:color="auto"/>
            <w:bottom w:val="none" w:sz="0" w:space="0" w:color="auto"/>
            <w:right w:val="none" w:sz="0" w:space="0" w:color="auto"/>
          </w:divBdr>
        </w:div>
        <w:div w:id="1632324297">
          <w:marLeft w:val="0"/>
          <w:marRight w:val="0"/>
          <w:marTop w:val="0"/>
          <w:marBottom w:val="0"/>
          <w:divBdr>
            <w:top w:val="none" w:sz="0" w:space="0" w:color="auto"/>
            <w:left w:val="none" w:sz="0" w:space="0" w:color="auto"/>
            <w:bottom w:val="none" w:sz="0" w:space="0" w:color="auto"/>
            <w:right w:val="none" w:sz="0" w:space="0" w:color="auto"/>
          </w:divBdr>
        </w:div>
        <w:div w:id="692651823">
          <w:marLeft w:val="0"/>
          <w:marRight w:val="0"/>
          <w:marTop w:val="0"/>
          <w:marBottom w:val="0"/>
          <w:divBdr>
            <w:top w:val="none" w:sz="0" w:space="0" w:color="auto"/>
            <w:left w:val="none" w:sz="0" w:space="0" w:color="auto"/>
            <w:bottom w:val="none" w:sz="0" w:space="0" w:color="auto"/>
            <w:right w:val="none" w:sz="0" w:space="0" w:color="auto"/>
          </w:divBdr>
        </w:div>
      </w:divsChild>
    </w:div>
    <w:div w:id="2028747526">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purl.org/dc/elements/1.1/"/>
    <ds:schemaRef ds:uri="9e038d8b-eef4-4a8e-96f8-403daa5a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119C8-4999-4777-A1B6-992B6E8B047E}">
  <ds:schemaRefs>
    <ds:schemaRef ds:uri="http://schemas.openxmlformats.org/officeDocument/2006/bibliography"/>
  </ds:schemaRefs>
</ds:datastoreItem>
</file>

<file path=customXml/itemProps6.xml><?xml version="1.0" encoding="utf-8"?>
<ds:datastoreItem xmlns:ds="http://schemas.openxmlformats.org/officeDocument/2006/customXml" ds:itemID="{7443E31D-B6D9-4B08-9D54-215D8556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7877</Words>
  <Characters>46367</Characters>
  <Application>Microsoft Office Word</Application>
  <DocSecurity>8</DocSecurity>
  <Lines>386</Lines>
  <Paragraphs>108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54136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mformisano6</cp:lastModifiedBy>
  <cp:revision>3</cp:revision>
  <cp:lastPrinted>2015-02-18T11:01:00Z</cp:lastPrinted>
  <dcterms:created xsi:type="dcterms:W3CDTF">2020-12-03T17:24:00Z</dcterms:created>
  <dcterms:modified xsi:type="dcterms:W3CDTF">2020-12-04T14:45:00Z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