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3761EF5C" w:rsidR="00C2094B" w:rsidRPr="00F10D35" w:rsidRDefault="007F79DB" w:rsidP="00AF38AF">
            <w:pPr>
              <w:pStyle w:val="00bDBInfo"/>
              <w:rPr>
                <w:rFonts w:cs="Arial"/>
              </w:rPr>
            </w:pPr>
            <w:r>
              <w:rPr>
                <w:rFonts w:cs="Arial"/>
              </w:rPr>
              <w:t>5</w:t>
            </w:r>
            <w:r w:rsidR="00FE40D3" w:rsidRPr="00FE40D3">
              <w:rPr>
                <w:rFonts w:cs="Arial"/>
              </w:rPr>
              <w:t xml:space="preserve"> November</w:t>
            </w:r>
            <w:r w:rsidR="002C27F9" w:rsidRPr="00FE40D3">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59A50913"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w:t>
            </w:r>
            <w:r w:rsidR="00E258BE">
              <w:rPr>
                <w:sz w:val="32"/>
                <w:szCs w:val="32"/>
              </w:rPr>
              <w:t>the</w:t>
            </w:r>
            <w:r w:rsidR="00E258BE">
              <w:t xml:space="preserve"> </w:t>
            </w:r>
            <w:r w:rsidR="00E258BE" w:rsidRPr="00E258BE">
              <w:rPr>
                <w:sz w:val="32"/>
                <w:szCs w:val="32"/>
              </w:rPr>
              <w:t>Draft advice to European Commission under Article 8 of the Taxonomy Regulation</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3A6AA7F" w:rsidR="00620D7C" w:rsidRPr="004E49B0" w:rsidRDefault="00620D7C" w:rsidP="00FE40D3">
            <w:pPr>
              <w:pStyle w:val="02Date"/>
              <w:jc w:val="right"/>
              <w:rPr>
                <w:rFonts w:cs="Arial"/>
              </w:rPr>
            </w:pPr>
            <w:r w:rsidRPr="00F10D35">
              <w:rPr>
                <w:rFonts w:cs="Arial"/>
              </w:rPr>
              <w:lastRenderedPageBreak/>
              <w:t xml:space="preserve">Date: </w:t>
            </w:r>
            <w:r w:rsidR="007F79DB">
              <w:rPr>
                <w:rFonts w:cs="Arial"/>
              </w:rPr>
              <w:t>5</w:t>
            </w:r>
            <w:r w:rsidR="00FE40D3" w:rsidRPr="00FE40D3">
              <w:rPr>
                <w:rFonts w:cs="Arial"/>
              </w:rPr>
              <w:t xml:space="preserve"> November</w:t>
            </w:r>
            <w:r w:rsidR="002C27F9" w:rsidRPr="00FE40D3">
              <w:rPr>
                <w:rFonts w:cs="Arial"/>
              </w:rPr>
              <w:t xml:space="preserve"> </w:t>
            </w:r>
            <w:r w:rsidR="005738DE" w:rsidRPr="00FE40D3">
              <w:rPr>
                <w:rFonts w:cs="Arial"/>
              </w:rPr>
              <w:t>20</w:t>
            </w:r>
            <w:r w:rsidR="002C27F9" w:rsidRPr="00FE40D3">
              <w:rPr>
                <w:rFonts w:cs="Arial"/>
              </w:rPr>
              <w:t>20</w:t>
            </w:r>
          </w:p>
        </w:tc>
      </w:tr>
    </w:tbl>
    <w:p w14:paraId="3B583CC6" w14:textId="77777777"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3"/>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3"/>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3"/>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B5A7B3D"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Pr="00FE40D3">
        <w:rPr>
          <w:b/>
          <w:bCs/>
          <w:sz w:val="22"/>
          <w:szCs w:val="20"/>
          <w:lang w:eastAsia="en-US"/>
        </w:rPr>
        <w:t>4 December 2020</w:t>
      </w:r>
      <w:r w:rsidRPr="00FE40D3">
        <w:rPr>
          <w:sz w:val="22"/>
          <w:szCs w:val="20"/>
          <w:lang w:eastAsia="en-US"/>
        </w:rPr>
        <w:t>.</w:t>
      </w:r>
    </w:p>
    <w:p w14:paraId="4269A5C4"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p w14:paraId="6A0918C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Instructions</w:t>
      </w:r>
    </w:p>
    <w:p w14:paraId="7A099769"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77777777" w:rsidR="00FE40D3" w:rsidRPr="00FE40D3" w:rsidRDefault="00FE40D3" w:rsidP="00FE40D3">
      <w:pPr>
        <w:numPr>
          <w:ilvl w:val="0"/>
          <w:numId w:val="43"/>
        </w:numPr>
        <w:spacing w:after="240" w:line="276" w:lineRule="auto"/>
        <w:jc w:val="both"/>
        <w:rPr>
          <w:sz w:val="22"/>
          <w:szCs w:val="22"/>
          <w:lang w:eastAsia="en-GB"/>
        </w:rPr>
      </w:pPr>
      <w:r w:rsidRPr="00FE40D3">
        <w:rPr>
          <w:sz w:val="22"/>
          <w:szCs w:val="22"/>
          <w:lang w:eastAsia="en-GB"/>
        </w:rPr>
        <w:t>Insert your responses to the consultation questions in the form “Response form_Consultation Paper on TR Article 8 advice”, available on ESMA’s website alongside the present Consultation Paper (</w:t>
      </w:r>
      <w:hyperlink r:id="rId17" w:history="1">
        <w:r w:rsidRPr="00FE40D3">
          <w:rPr>
            <w:color w:val="0563C1"/>
            <w:sz w:val="22"/>
            <w:szCs w:val="22"/>
            <w:u w:val="single"/>
            <w:lang w:eastAsia="en-GB"/>
          </w:rPr>
          <w:t>www.esma.europa.eu</w:t>
        </w:r>
      </w:hyperlink>
      <w:r w:rsidRPr="00FE40D3">
        <w:rPr>
          <w:sz w:val="22"/>
          <w:szCs w:val="22"/>
          <w:lang w:eastAsia="en-GB"/>
        </w:rPr>
        <w:t xml:space="preserve"> → ‘Your input – Open consultations’ → ‘Consultation on advice under Taxonomy Regulation Article 8’). </w:t>
      </w:r>
    </w:p>
    <w:p w14:paraId="45B49741" w14:textId="77777777" w:rsidR="00FE40D3" w:rsidRPr="00FE40D3" w:rsidRDefault="00FE40D3" w:rsidP="00FE40D3">
      <w:pPr>
        <w:numPr>
          <w:ilvl w:val="0"/>
          <w:numId w:val="43"/>
        </w:numPr>
        <w:spacing w:after="240" w:line="276" w:lineRule="auto"/>
        <w:jc w:val="both"/>
        <w:rPr>
          <w:sz w:val="22"/>
          <w:szCs w:val="22"/>
          <w:lang w:eastAsia="en-GB"/>
        </w:rPr>
      </w:pPr>
      <w:r w:rsidRPr="00FE40D3">
        <w:rPr>
          <w:sz w:val="22"/>
          <w:szCs w:val="22"/>
          <w:lang w:eastAsia="en-GB"/>
        </w:rPr>
        <w:t xml:space="preserve">Please do not remove tags of the type &lt;ESMA_QUESTION_TRART8_1&gt;. Your response to each question has to be framed by the two tags corresponding to the question. </w:t>
      </w:r>
    </w:p>
    <w:p w14:paraId="3C1B6FAE" w14:textId="77777777" w:rsidR="00FE40D3" w:rsidRPr="00FE40D3" w:rsidRDefault="00FE40D3" w:rsidP="00FE40D3">
      <w:pPr>
        <w:numPr>
          <w:ilvl w:val="0"/>
          <w:numId w:val="43"/>
        </w:numPr>
        <w:spacing w:after="240" w:line="276" w:lineRule="auto"/>
        <w:jc w:val="both"/>
        <w:rPr>
          <w:sz w:val="22"/>
          <w:szCs w:val="22"/>
          <w:lang w:eastAsia="en-GB"/>
        </w:rPr>
      </w:pPr>
      <w:r w:rsidRPr="00FE40D3">
        <w:rPr>
          <w:sz w:val="22"/>
          <w:szCs w:val="22"/>
          <w:lang w:eastAsia="en-GB"/>
        </w:rPr>
        <w:t>If you do not wish to respond to a given question, please do not delete it but simply leave the text “TYPE YOUR TEXT HERE” between the tags.</w:t>
      </w:r>
    </w:p>
    <w:p w14:paraId="0398429A" w14:textId="77777777" w:rsidR="00FE40D3" w:rsidRPr="00FE40D3" w:rsidRDefault="00FE40D3" w:rsidP="00FE40D3">
      <w:pPr>
        <w:numPr>
          <w:ilvl w:val="0"/>
          <w:numId w:val="43"/>
        </w:numPr>
        <w:spacing w:after="240" w:line="276" w:lineRule="auto"/>
        <w:jc w:val="both"/>
        <w:rPr>
          <w:sz w:val="22"/>
          <w:szCs w:val="22"/>
          <w:lang w:eastAsia="en-GB"/>
        </w:rPr>
      </w:pPr>
      <w:r w:rsidRPr="00FE40D3">
        <w:rPr>
          <w:sz w:val="22"/>
          <w:szCs w:val="22"/>
          <w:lang w:eastAsia="en-GB"/>
        </w:rPr>
        <w:t>When you have drafted your response, name your response form according to the following convention: ESMA_TRART8_nameofrespondent_RESPONSEFORM. For example, for a respondent named ABCD, the response form would be entitled ESMA_TRART8_ABCD_RESPONSEFORM.</w:t>
      </w:r>
    </w:p>
    <w:p w14:paraId="033FC000" w14:textId="77777777" w:rsidR="00FE40D3" w:rsidRPr="00FE40D3" w:rsidRDefault="00FE40D3" w:rsidP="00FE40D3">
      <w:pPr>
        <w:numPr>
          <w:ilvl w:val="0"/>
          <w:numId w:val="43"/>
        </w:numPr>
        <w:spacing w:after="240" w:line="276" w:lineRule="auto"/>
        <w:jc w:val="both"/>
        <w:rPr>
          <w:sz w:val="22"/>
          <w:szCs w:val="22"/>
          <w:lang w:eastAsia="en-GB"/>
        </w:rPr>
      </w:pPr>
      <w:r w:rsidRPr="00FE40D3">
        <w:rPr>
          <w:sz w:val="22"/>
          <w:szCs w:val="22"/>
          <w:lang w:eastAsia="en-GB"/>
        </w:rPr>
        <w:t>Upload the form containing your responses, in Word format, to ESMA’s website (</w:t>
      </w:r>
      <w:hyperlink r:id="rId18" w:history="1">
        <w:r w:rsidRPr="00FE40D3">
          <w:rPr>
            <w:color w:val="0563C1"/>
            <w:sz w:val="22"/>
            <w:szCs w:val="22"/>
            <w:u w:val="single"/>
            <w:lang w:eastAsia="en-GB"/>
          </w:rPr>
          <w:t>www.esma.europa.eu</w:t>
        </w:r>
      </w:hyperlink>
      <w:r w:rsidRPr="00FE40D3">
        <w:rPr>
          <w:sz w:val="22"/>
          <w:szCs w:val="22"/>
          <w:lang w:eastAsia="en-GB"/>
        </w:rPr>
        <w:t xml:space="preserve"> under the heading ‘Your input – Open consultations’ → ‘Consultation on advice under Taxonomy Regulation Article 8’).</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9"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20"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1BDD19D9" w:rsidR="00332304" w:rsidRPr="001021EF" w:rsidRDefault="00FE40D3" w:rsidP="00FE40D3">
      <w:pPr>
        <w:spacing w:after="240"/>
        <w:jc w:val="both"/>
        <w:rPr>
          <w:b/>
          <w:bCs/>
        </w:rPr>
      </w:pPr>
      <w:r w:rsidRPr="00FE40D3">
        <w:rPr>
          <w:sz w:val="22"/>
          <w:szCs w:val="20"/>
          <w:lang w:eastAsia="en-US"/>
        </w:rPr>
        <w:t>This Consultation Paper may be of particular interest to non-financial undertakings and asset managers covered by Article 8 of Regulation (EU) 2020/852 (the ‘Taxonomy Regulation’) as well as to investors and other users of non-financial information</w:t>
      </w:r>
      <w:r w:rsidR="00332304" w:rsidRPr="001021EF">
        <w:rPr>
          <w:b/>
          <w:bCs/>
        </w:rPr>
        <w:br w:type="page"/>
      </w:r>
    </w:p>
    <w:p w14:paraId="07F9766A" w14:textId="77777777" w:rsidR="00B327E9" w:rsidRPr="00AB6D88" w:rsidRDefault="00B327E9" w:rsidP="00B327E9">
      <w:pPr>
        <w:pStyle w:val="Titre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Textedelespacerserv"/>
              <w:rFonts w:cs="Arial"/>
            </w:rPr>
            <w:id w:val="-1905066999"/>
            <w:text/>
          </w:sdtPr>
          <w:sdtEndPr>
            <w:rPr>
              <w:rStyle w:val="Textedelespacerserv"/>
            </w:rPr>
          </w:sdtEndPr>
          <w:sdtContent>
            <w:permStart w:id="1493633476" w:edGrp="everyone" w:displacedByCustomXml="prev"/>
            <w:tc>
              <w:tcPr>
                <w:tcW w:w="5595" w:type="dxa"/>
                <w:shd w:val="clear" w:color="auto" w:fill="auto"/>
              </w:tcPr>
              <w:p w14:paraId="23C2C921" w14:textId="39EF9D02" w:rsidR="00B327E9" w:rsidRPr="00AB6D88" w:rsidRDefault="00CA1FC2" w:rsidP="00F136AD">
                <w:pPr>
                  <w:rPr>
                    <w:rStyle w:val="Textedelespacerserv"/>
                    <w:rFonts w:cs="Arial"/>
                  </w:rPr>
                </w:pPr>
                <w:r>
                  <w:rPr>
                    <w:rStyle w:val="Textedelespacerserv"/>
                    <w:rFonts w:cs="Arial"/>
                  </w:rPr>
                  <w:t>Afep</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4621B181" w:rsidR="00B327E9" w:rsidRPr="00AB6D88" w:rsidRDefault="006E1181"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CA1FC2">
                  <w:rPr>
                    <w:rFonts w:cs="Arial"/>
                  </w:rPr>
                  <w:t>Issuer Association</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50B064BB" w14:textId="39EA8FCA" w:rsidR="00B327E9" w:rsidRPr="00AB6D88" w:rsidRDefault="00CA1FC2"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364AA40D" w:rsidR="00B327E9" w:rsidRPr="00AB6D88" w:rsidRDefault="00CA1FC2" w:rsidP="00F136AD">
                <w:pPr>
                  <w:rPr>
                    <w:rFonts w:cs="Arial"/>
                  </w:rPr>
                </w:pPr>
                <w:r>
                  <w:rPr>
                    <w:rFonts w:cs="Arial"/>
                  </w:rPr>
                  <w:t>France</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Titre1"/>
        <w:numPr>
          <w:ilvl w:val="0"/>
          <w:numId w:val="0"/>
        </w:numPr>
        <w:ind w:left="431" w:hanging="431"/>
      </w:pPr>
      <w:r>
        <w:t>Introduction</w:t>
      </w:r>
    </w:p>
    <w:p w14:paraId="3C83C634" w14:textId="77777777" w:rsidR="00B327E9" w:rsidRPr="00E40A5C" w:rsidRDefault="00B327E9" w:rsidP="00FE6577">
      <w:pPr>
        <w:rPr>
          <w:rStyle w:val="Accentuationintense"/>
          <w:sz w:val="22"/>
        </w:rPr>
      </w:pPr>
      <w:r w:rsidRPr="00E40A5C">
        <w:rPr>
          <w:rStyle w:val="Accentuationintense"/>
          <w:sz w:val="22"/>
        </w:rPr>
        <w:t>Please make your introductory comments below, if any:</w:t>
      </w:r>
    </w:p>
    <w:p w14:paraId="26578279" w14:textId="77777777" w:rsidR="00B327E9" w:rsidRPr="00BF28DA" w:rsidRDefault="00B327E9" w:rsidP="00FE6577"/>
    <w:p w14:paraId="06351DAC" w14:textId="357F72B9" w:rsidR="00B327E9" w:rsidRPr="006F4535" w:rsidRDefault="00B327E9" w:rsidP="00FE6577">
      <w:r w:rsidRPr="006F4535">
        <w:t>&lt;ESMA_COMMENT_</w:t>
      </w:r>
      <w:r w:rsidR="00FE6577">
        <w:t>TRART8</w:t>
      </w:r>
      <w:r w:rsidRPr="006F4535">
        <w:t>_1&gt;</w:t>
      </w:r>
    </w:p>
    <w:p w14:paraId="72B8D4C5" w14:textId="5611EB5C" w:rsidR="008A4792" w:rsidRPr="00813332" w:rsidRDefault="008A4792" w:rsidP="008A4792">
      <w:pPr>
        <w:contextualSpacing/>
        <w:jc w:val="both"/>
        <w:rPr>
          <w:rFonts w:asciiTheme="minorHAnsi" w:hAnsiTheme="minorHAnsi" w:cstheme="minorHAnsi"/>
          <w:bCs/>
          <w:sz w:val="22"/>
          <w:szCs w:val="22"/>
        </w:rPr>
      </w:pPr>
      <w:permStart w:id="44765448" w:edGrp="everyone"/>
      <w:r w:rsidRPr="00813332">
        <w:rPr>
          <w:rFonts w:asciiTheme="minorHAnsi" w:hAnsiTheme="minorHAnsi" w:cstheme="minorHAnsi"/>
          <w:sz w:val="22"/>
          <w:szCs w:val="22"/>
        </w:rPr>
        <w:t xml:space="preserve">Afep, the French Association of Large Companies, represents the </w:t>
      </w:r>
      <w:r w:rsidRPr="0091595F">
        <w:rPr>
          <w:rFonts w:asciiTheme="minorHAnsi" w:hAnsiTheme="minorHAnsi" w:cstheme="minorHAnsi"/>
          <w:b/>
          <w:bCs/>
          <w:sz w:val="22"/>
          <w:szCs w:val="22"/>
        </w:rPr>
        <w:t>interest of over 110 of the largest corporations</w:t>
      </w:r>
      <w:r w:rsidRPr="00813332">
        <w:rPr>
          <w:rFonts w:asciiTheme="minorHAnsi" w:hAnsiTheme="minorHAnsi" w:cstheme="minorHAnsi"/>
          <w:sz w:val="22"/>
          <w:szCs w:val="22"/>
        </w:rPr>
        <w:t xml:space="preserve"> operating in France. </w:t>
      </w:r>
      <w:r w:rsidRPr="00813332">
        <w:rPr>
          <w:rFonts w:asciiTheme="minorHAnsi" w:hAnsiTheme="minorHAnsi" w:cstheme="minorHAnsi"/>
          <w:bCs/>
          <w:sz w:val="22"/>
          <w:szCs w:val="22"/>
        </w:rPr>
        <w:t xml:space="preserve">Afep members have been engaged for many years in putting </w:t>
      </w:r>
      <w:r w:rsidR="00116E40">
        <w:rPr>
          <w:rFonts w:asciiTheme="minorHAnsi" w:hAnsiTheme="minorHAnsi" w:cstheme="minorHAnsi"/>
          <w:bCs/>
          <w:sz w:val="22"/>
          <w:szCs w:val="22"/>
        </w:rPr>
        <w:t>ESG matters</w:t>
      </w:r>
      <w:r w:rsidRPr="00813332">
        <w:rPr>
          <w:rFonts w:asciiTheme="minorHAnsi" w:hAnsiTheme="minorHAnsi" w:cstheme="minorHAnsi"/>
          <w:bCs/>
          <w:sz w:val="22"/>
          <w:szCs w:val="22"/>
        </w:rPr>
        <w:t xml:space="preserve"> at the heart of their strategies. They present the </w:t>
      </w:r>
      <w:r w:rsidRPr="0091595F">
        <w:rPr>
          <w:rFonts w:asciiTheme="minorHAnsi" w:hAnsiTheme="minorHAnsi" w:cstheme="minorHAnsi"/>
          <w:b/>
          <w:sz w:val="22"/>
          <w:szCs w:val="22"/>
        </w:rPr>
        <w:t>highest level of non-financial information compared to companies worldwide</w:t>
      </w:r>
      <w:r w:rsidRPr="00813332">
        <w:rPr>
          <w:rFonts w:asciiTheme="minorHAnsi" w:hAnsiTheme="minorHAnsi" w:cstheme="minorHAnsi"/>
          <w:bCs/>
          <w:sz w:val="22"/>
          <w:szCs w:val="22"/>
        </w:rPr>
        <w:t xml:space="preserve"> and have made </w:t>
      </w:r>
      <w:r w:rsidRPr="0091595F">
        <w:rPr>
          <w:rFonts w:asciiTheme="minorHAnsi" w:hAnsiTheme="minorHAnsi" w:cstheme="minorHAnsi"/>
          <w:b/>
          <w:sz w:val="22"/>
          <w:szCs w:val="22"/>
        </w:rPr>
        <w:t>strong commitments to notably reduce their GHG emissions, to respect human rights, to preserve biodiversity and to engage in the circular economy</w:t>
      </w:r>
      <w:r w:rsidRPr="00813332">
        <w:rPr>
          <w:rFonts w:asciiTheme="minorHAnsi" w:hAnsiTheme="minorHAnsi" w:cstheme="minorHAnsi"/>
          <w:bCs/>
          <w:sz w:val="22"/>
          <w:szCs w:val="22"/>
        </w:rPr>
        <w:t>.</w:t>
      </w:r>
    </w:p>
    <w:p w14:paraId="37C78BCB" w14:textId="77777777" w:rsidR="008A4792" w:rsidRPr="00813332" w:rsidRDefault="008A4792" w:rsidP="008A4792">
      <w:pPr>
        <w:contextualSpacing/>
        <w:jc w:val="both"/>
        <w:rPr>
          <w:rFonts w:asciiTheme="minorHAnsi" w:hAnsiTheme="minorHAnsi" w:cstheme="minorHAnsi"/>
          <w:bCs/>
          <w:sz w:val="22"/>
          <w:szCs w:val="22"/>
        </w:rPr>
      </w:pPr>
    </w:p>
    <w:p w14:paraId="3E9F5A4A" w14:textId="685BF75D" w:rsidR="00242C3F" w:rsidRPr="00F67A0B" w:rsidRDefault="004C0624" w:rsidP="00242C3F">
      <w:pPr>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We would like to thank ESMA for giving us the opportunity </w:t>
      </w:r>
      <w:r w:rsidR="005D5CC5">
        <w:rPr>
          <w:rFonts w:asciiTheme="minorHAnsi" w:hAnsiTheme="minorHAnsi" w:cstheme="minorHAnsi"/>
          <w:bCs/>
          <w:sz w:val="22"/>
          <w:szCs w:val="22"/>
        </w:rPr>
        <w:t xml:space="preserve">to comment on this draft advice and </w:t>
      </w:r>
      <w:r w:rsidR="003061E7">
        <w:rPr>
          <w:rFonts w:asciiTheme="minorHAnsi" w:hAnsiTheme="minorHAnsi" w:cstheme="minorHAnsi"/>
          <w:bCs/>
          <w:sz w:val="22"/>
          <w:szCs w:val="22"/>
        </w:rPr>
        <w:t xml:space="preserve">for </w:t>
      </w:r>
      <w:r w:rsidR="005D5CC5">
        <w:rPr>
          <w:rFonts w:asciiTheme="minorHAnsi" w:hAnsiTheme="minorHAnsi" w:cstheme="minorHAnsi"/>
          <w:bCs/>
          <w:sz w:val="22"/>
          <w:szCs w:val="22"/>
        </w:rPr>
        <w:t xml:space="preserve">the outreach </w:t>
      </w:r>
      <w:r w:rsidR="003C55EB">
        <w:rPr>
          <w:rFonts w:asciiTheme="minorHAnsi" w:hAnsiTheme="minorHAnsi" w:cstheme="minorHAnsi"/>
          <w:bCs/>
          <w:sz w:val="22"/>
          <w:szCs w:val="22"/>
        </w:rPr>
        <w:t xml:space="preserve">event that </w:t>
      </w:r>
      <w:r w:rsidR="00A2035D">
        <w:rPr>
          <w:rFonts w:asciiTheme="minorHAnsi" w:hAnsiTheme="minorHAnsi" w:cstheme="minorHAnsi"/>
          <w:bCs/>
          <w:sz w:val="22"/>
          <w:szCs w:val="22"/>
        </w:rPr>
        <w:t xml:space="preserve">took place before the launch of the consultation. </w:t>
      </w:r>
      <w:r w:rsidR="00242C3F" w:rsidRPr="00F67A0B">
        <w:rPr>
          <w:rFonts w:asciiTheme="minorHAnsi" w:hAnsiTheme="minorHAnsi" w:cstheme="minorHAnsi"/>
          <w:bCs/>
          <w:sz w:val="22"/>
          <w:szCs w:val="22"/>
        </w:rPr>
        <w:t xml:space="preserve">As regards </w:t>
      </w:r>
      <w:r w:rsidR="00242C3F" w:rsidRPr="00F67A0B">
        <w:rPr>
          <w:rFonts w:asciiTheme="minorHAnsi" w:hAnsiTheme="minorHAnsi" w:cstheme="minorHAnsi"/>
          <w:b/>
          <w:sz w:val="22"/>
          <w:szCs w:val="22"/>
        </w:rPr>
        <w:t>article 8 of the Taxonomy Regulation</w:t>
      </w:r>
      <w:r w:rsidR="00242C3F" w:rsidRPr="00F67A0B">
        <w:rPr>
          <w:rFonts w:asciiTheme="minorHAnsi" w:hAnsiTheme="minorHAnsi" w:cstheme="minorHAnsi"/>
          <w:bCs/>
          <w:sz w:val="22"/>
          <w:szCs w:val="22"/>
        </w:rPr>
        <w:t>, we would like to make the following introductory comments:</w:t>
      </w:r>
    </w:p>
    <w:p w14:paraId="2B72D9C7" w14:textId="77777777" w:rsidR="0098476F" w:rsidRPr="00AD0094" w:rsidRDefault="00242C3F" w:rsidP="0098476F">
      <w:pPr>
        <w:pStyle w:val="Paragraphedeliste"/>
        <w:numPr>
          <w:ilvl w:val="0"/>
          <w:numId w:val="47"/>
        </w:numPr>
        <w:jc w:val="both"/>
        <w:rPr>
          <w:rFonts w:ascii="Calibri" w:hAnsi="Calibri" w:cs="Calibri"/>
          <w:b/>
          <w:bCs/>
          <w:sz w:val="22"/>
          <w:szCs w:val="22"/>
        </w:rPr>
      </w:pPr>
      <w:r w:rsidRPr="0098476F">
        <w:rPr>
          <w:rFonts w:asciiTheme="minorHAnsi" w:hAnsiTheme="minorHAnsi" w:cstheme="minorHAnsi"/>
          <w:bCs/>
          <w:sz w:val="22"/>
          <w:szCs w:val="22"/>
        </w:rPr>
        <w:t xml:space="preserve">The </w:t>
      </w:r>
      <w:r w:rsidRPr="0098476F">
        <w:rPr>
          <w:rFonts w:asciiTheme="minorHAnsi" w:hAnsiTheme="minorHAnsi" w:cstheme="minorHAnsi"/>
          <w:b/>
          <w:sz w:val="22"/>
          <w:szCs w:val="22"/>
        </w:rPr>
        <w:t xml:space="preserve">timeline of application of the new reporting requirements will be very challenging for companies, </w:t>
      </w:r>
      <w:proofErr w:type="gramStart"/>
      <w:r w:rsidRPr="0098476F">
        <w:rPr>
          <w:rFonts w:asciiTheme="minorHAnsi" w:hAnsiTheme="minorHAnsi" w:cstheme="minorHAnsi"/>
          <w:b/>
          <w:sz w:val="22"/>
          <w:szCs w:val="22"/>
        </w:rPr>
        <w:t>in particular in</w:t>
      </w:r>
      <w:proofErr w:type="gramEnd"/>
      <w:r w:rsidRPr="0098476F">
        <w:rPr>
          <w:rFonts w:asciiTheme="minorHAnsi" w:hAnsiTheme="minorHAnsi" w:cstheme="minorHAnsi"/>
          <w:b/>
          <w:sz w:val="22"/>
          <w:szCs w:val="22"/>
        </w:rPr>
        <w:t xml:space="preserve"> the aftermath of the COVID pandemic</w:t>
      </w:r>
      <w:r w:rsidRPr="0098476F">
        <w:rPr>
          <w:rFonts w:asciiTheme="minorHAnsi" w:hAnsiTheme="minorHAnsi" w:cstheme="minorHAnsi"/>
          <w:bCs/>
          <w:sz w:val="22"/>
          <w:szCs w:val="22"/>
        </w:rPr>
        <w:t>. ESMA considers that the new disclosure requirements will apply in 2022 regarding FY 2021 (</w:t>
      </w:r>
      <w:proofErr w:type="spellStart"/>
      <w:r w:rsidRPr="0098476F">
        <w:rPr>
          <w:rFonts w:asciiTheme="minorHAnsi" w:hAnsiTheme="minorHAnsi" w:cstheme="minorHAnsi"/>
          <w:bCs/>
          <w:sz w:val="22"/>
          <w:szCs w:val="22"/>
        </w:rPr>
        <w:t>eg.</w:t>
      </w:r>
      <w:proofErr w:type="spellEnd"/>
      <w:r w:rsidRPr="0098476F">
        <w:rPr>
          <w:rFonts w:asciiTheme="minorHAnsi" w:hAnsiTheme="minorHAnsi" w:cstheme="minorHAnsi"/>
          <w:bCs/>
          <w:sz w:val="22"/>
          <w:szCs w:val="22"/>
        </w:rPr>
        <w:t xml:space="preserve"> publication in 2022 of revenue, Capex and </w:t>
      </w:r>
      <w:proofErr w:type="spellStart"/>
      <w:r w:rsidRPr="0098476F">
        <w:rPr>
          <w:rFonts w:asciiTheme="minorHAnsi" w:hAnsiTheme="minorHAnsi" w:cstheme="minorHAnsi"/>
          <w:bCs/>
          <w:sz w:val="22"/>
          <w:szCs w:val="22"/>
        </w:rPr>
        <w:t>Opex</w:t>
      </w:r>
      <w:proofErr w:type="spellEnd"/>
      <w:r w:rsidRPr="0098476F">
        <w:rPr>
          <w:rFonts w:asciiTheme="minorHAnsi" w:hAnsiTheme="minorHAnsi" w:cstheme="minorHAnsi"/>
          <w:bCs/>
          <w:sz w:val="22"/>
          <w:szCs w:val="22"/>
        </w:rPr>
        <w:t xml:space="preserve"> related to financial year 2021). Under such circumstances and since the delegated act (DA) is to be adopted by 1 June 2021, at the latest, </w:t>
      </w:r>
      <w:r w:rsidRPr="0098476F">
        <w:rPr>
          <w:rFonts w:asciiTheme="minorHAnsi" w:hAnsiTheme="minorHAnsi" w:cstheme="minorHAnsi"/>
          <w:b/>
          <w:sz w:val="22"/>
          <w:szCs w:val="22"/>
        </w:rPr>
        <w:t>companies will only have 7 months to comply with the new requirements</w:t>
      </w:r>
      <w:r w:rsidRPr="0098476F">
        <w:rPr>
          <w:rFonts w:asciiTheme="minorHAnsi" w:hAnsiTheme="minorHAnsi" w:cstheme="minorHAnsi"/>
          <w:bCs/>
          <w:sz w:val="22"/>
          <w:szCs w:val="22"/>
        </w:rPr>
        <w:t xml:space="preserve">. Additionally, should the DA lead to the implementation of new methodologies by companies, it will also be challenging to apply them retroactively to the first months of the reporting period. </w:t>
      </w:r>
      <w:r w:rsidR="0098476F" w:rsidRPr="00AD0094">
        <w:rPr>
          <w:rFonts w:ascii="Calibri" w:hAnsi="Calibri" w:cs="Calibri"/>
          <w:sz w:val="22"/>
          <w:szCs w:val="22"/>
        </w:rPr>
        <w:t xml:space="preserve">As this reporting requirement refers to financial KPIs, it will require a detailed implementation, at product line level, in financial reporting systems. </w:t>
      </w:r>
      <w:r w:rsidR="0098476F" w:rsidRPr="00AD0094">
        <w:rPr>
          <w:rFonts w:ascii="Calibri" w:hAnsi="Calibri" w:cs="Calibri"/>
          <w:b/>
          <w:bCs/>
          <w:sz w:val="22"/>
          <w:szCs w:val="22"/>
        </w:rPr>
        <w:t>This can only be done if criteria are defined before the start of the year.</w:t>
      </w:r>
    </w:p>
    <w:p w14:paraId="025796D0" w14:textId="4D79A247" w:rsidR="00242C3F" w:rsidRPr="00F67A0B" w:rsidRDefault="00242C3F" w:rsidP="00242C3F">
      <w:pPr>
        <w:pStyle w:val="Paragraphedeliste"/>
        <w:numPr>
          <w:ilvl w:val="0"/>
          <w:numId w:val="39"/>
        </w:numPr>
        <w:jc w:val="both"/>
        <w:rPr>
          <w:rFonts w:asciiTheme="minorHAnsi" w:hAnsiTheme="minorHAnsi" w:cstheme="minorHAnsi"/>
          <w:bCs/>
          <w:sz w:val="22"/>
          <w:szCs w:val="22"/>
        </w:rPr>
      </w:pPr>
      <w:r>
        <w:rPr>
          <w:rFonts w:asciiTheme="minorHAnsi" w:hAnsiTheme="minorHAnsi" w:cstheme="minorHAnsi"/>
          <w:bCs/>
          <w:sz w:val="22"/>
          <w:szCs w:val="22"/>
        </w:rPr>
        <w:t xml:space="preserve">In this regard, article 27 of the Taxonomy Regulation which states that article 8 shall apply from 1 January 2022 could and should be read as </w:t>
      </w:r>
      <w:r w:rsidRPr="00562725">
        <w:rPr>
          <w:rFonts w:asciiTheme="minorHAnsi" w:hAnsiTheme="minorHAnsi" w:cstheme="minorHAnsi"/>
          <w:b/>
          <w:sz w:val="22"/>
          <w:szCs w:val="22"/>
        </w:rPr>
        <w:t xml:space="preserve">applicable to financial periods beginning on or after 1 January 2022. </w:t>
      </w:r>
      <w:r>
        <w:rPr>
          <w:rFonts w:asciiTheme="minorHAnsi" w:hAnsiTheme="minorHAnsi" w:cstheme="minorHAnsi"/>
          <w:bCs/>
          <w:sz w:val="22"/>
          <w:szCs w:val="22"/>
        </w:rPr>
        <w:t>This would allow more time to companies to prepare for the new disclosure requirements: the new KPIs relating to 2022 will be published in 2023.</w:t>
      </w:r>
    </w:p>
    <w:p w14:paraId="75415970" w14:textId="77777777" w:rsidR="00242C3F" w:rsidRPr="00F67A0B" w:rsidRDefault="00242C3F" w:rsidP="00242C3F">
      <w:pPr>
        <w:pStyle w:val="Paragraphedeliste"/>
        <w:numPr>
          <w:ilvl w:val="0"/>
          <w:numId w:val="39"/>
        </w:numPr>
        <w:jc w:val="both"/>
        <w:rPr>
          <w:rFonts w:asciiTheme="minorHAnsi" w:hAnsiTheme="minorHAnsi" w:cstheme="minorHAnsi"/>
          <w:bCs/>
          <w:sz w:val="22"/>
          <w:szCs w:val="22"/>
        </w:rPr>
      </w:pPr>
      <w:r w:rsidRPr="00F67A0B">
        <w:rPr>
          <w:rFonts w:asciiTheme="minorHAnsi" w:hAnsiTheme="minorHAnsi" w:cstheme="minorHAnsi"/>
          <w:bCs/>
          <w:sz w:val="22"/>
          <w:szCs w:val="22"/>
        </w:rPr>
        <w:t xml:space="preserve">Clarification is needed regarding </w:t>
      </w:r>
      <w:r w:rsidRPr="00F67A0B">
        <w:rPr>
          <w:rFonts w:asciiTheme="minorHAnsi" w:hAnsiTheme="minorHAnsi" w:cstheme="minorHAnsi"/>
          <w:b/>
          <w:sz w:val="22"/>
          <w:szCs w:val="22"/>
        </w:rPr>
        <w:t xml:space="preserve">how the proportion of revenue, Capex and </w:t>
      </w:r>
      <w:proofErr w:type="spellStart"/>
      <w:r w:rsidRPr="00F67A0B">
        <w:rPr>
          <w:rFonts w:asciiTheme="minorHAnsi" w:hAnsiTheme="minorHAnsi" w:cstheme="minorHAnsi"/>
          <w:b/>
          <w:sz w:val="22"/>
          <w:szCs w:val="22"/>
        </w:rPr>
        <w:t>Opex</w:t>
      </w:r>
      <w:proofErr w:type="spellEnd"/>
      <w:r w:rsidRPr="00F67A0B">
        <w:rPr>
          <w:rFonts w:asciiTheme="minorHAnsi" w:hAnsiTheme="minorHAnsi" w:cstheme="minorHAnsi"/>
          <w:b/>
          <w:sz w:val="22"/>
          <w:szCs w:val="22"/>
        </w:rPr>
        <w:t xml:space="preserve"> </w:t>
      </w:r>
      <w:r>
        <w:rPr>
          <w:rFonts w:asciiTheme="minorHAnsi" w:hAnsiTheme="minorHAnsi" w:cstheme="minorHAnsi"/>
          <w:b/>
          <w:sz w:val="22"/>
          <w:szCs w:val="22"/>
        </w:rPr>
        <w:t>associated with products or services sold</w:t>
      </w:r>
      <w:r w:rsidRPr="00F67A0B">
        <w:rPr>
          <w:rFonts w:asciiTheme="minorHAnsi" w:hAnsiTheme="minorHAnsi" w:cstheme="minorHAnsi"/>
          <w:b/>
          <w:sz w:val="22"/>
          <w:szCs w:val="22"/>
        </w:rPr>
        <w:t xml:space="preserve"> outside the EU – in third countries – should be assessed against the criteria of the Taxonomy </w:t>
      </w:r>
      <w:r w:rsidRPr="00F67A0B">
        <w:rPr>
          <w:rFonts w:asciiTheme="minorHAnsi" w:hAnsiTheme="minorHAnsi" w:cstheme="minorHAnsi"/>
          <w:bCs/>
          <w:sz w:val="22"/>
          <w:szCs w:val="22"/>
        </w:rPr>
        <w:t>and accounted for. This proportion can be significant for our members operating worldwide.</w:t>
      </w:r>
    </w:p>
    <w:p w14:paraId="67112083" w14:textId="77777777" w:rsidR="00242C3F" w:rsidRPr="00F67A0B" w:rsidRDefault="00242C3F" w:rsidP="00242C3F">
      <w:pPr>
        <w:pStyle w:val="Paragraphedeliste"/>
        <w:numPr>
          <w:ilvl w:val="0"/>
          <w:numId w:val="40"/>
        </w:numPr>
        <w:jc w:val="both"/>
        <w:rPr>
          <w:rFonts w:asciiTheme="minorHAnsi" w:hAnsiTheme="minorHAnsi" w:cstheme="minorHAnsi"/>
          <w:bCs/>
          <w:sz w:val="22"/>
          <w:szCs w:val="22"/>
        </w:rPr>
      </w:pPr>
      <w:r w:rsidRPr="00F67A0B">
        <w:rPr>
          <w:rFonts w:asciiTheme="minorHAnsi" w:hAnsiTheme="minorHAnsi" w:cstheme="minorHAnsi"/>
          <w:bCs/>
          <w:sz w:val="22"/>
          <w:szCs w:val="22"/>
        </w:rPr>
        <w:t xml:space="preserve">The DA should also </w:t>
      </w:r>
      <w:r w:rsidRPr="00F67A0B">
        <w:rPr>
          <w:rFonts w:asciiTheme="minorHAnsi" w:hAnsiTheme="minorHAnsi" w:cstheme="minorHAnsi"/>
          <w:b/>
          <w:sz w:val="22"/>
          <w:szCs w:val="22"/>
        </w:rPr>
        <w:t xml:space="preserve">clarify the obligations </w:t>
      </w:r>
      <w:r>
        <w:rPr>
          <w:rFonts w:asciiTheme="minorHAnsi" w:hAnsiTheme="minorHAnsi" w:cstheme="minorHAnsi"/>
          <w:b/>
          <w:sz w:val="22"/>
          <w:szCs w:val="22"/>
        </w:rPr>
        <w:t>for</w:t>
      </w:r>
      <w:r w:rsidRPr="00F67A0B">
        <w:rPr>
          <w:rFonts w:asciiTheme="minorHAnsi" w:hAnsiTheme="minorHAnsi" w:cstheme="minorHAnsi"/>
          <w:b/>
          <w:sz w:val="22"/>
          <w:szCs w:val="22"/>
        </w:rPr>
        <w:t xml:space="preserve"> activities </w:t>
      </w:r>
      <w:r>
        <w:rPr>
          <w:rFonts w:asciiTheme="minorHAnsi" w:hAnsiTheme="minorHAnsi" w:cstheme="minorHAnsi"/>
          <w:b/>
          <w:sz w:val="22"/>
          <w:szCs w:val="22"/>
        </w:rPr>
        <w:t xml:space="preserve">that </w:t>
      </w:r>
      <w:r w:rsidRPr="00F67A0B">
        <w:rPr>
          <w:rFonts w:asciiTheme="minorHAnsi" w:hAnsiTheme="minorHAnsi" w:cstheme="minorHAnsi"/>
          <w:b/>
          <w:sz w:val="22"/>
          <w:szCs w:val="22"/>
        </w:rPr>
        <w:t>are not yet covered</w:t>
      </w:r>
      <w:r w:rsidRPr="00F67A0B">
        <w:rPr>
          <w:rFonts w:asciiTheme="minorHAnsi" w:hAnsiTheme="minorHAnsi" w:cstheme="minorHAnsi"/>
          <w:bCs/>
          <w:sz w:val="22"/>
          <w:szCs w:val="22"/>
        </w:rPr>
        <w:t xml:space="preserve"> by the taxonomy and technical screening criteria.</w:t>
      </w:r>
      <w:r>
        <w:rPr>
          <w:rFonts w:asciiTheme="minorHAnsi" w:hAnsiTheme="minorHAnsi" w:cstheme="minorHAnsi"/>
          <w:bCs/>
          <w:sz w:val="22"/>
          <w:szCs w:val="22"/>
        </w:rPr>
        <w:t xml:space="preserve"> Companies should be entitled to decide whether it is relevant for them to report on activities not covered by the Taxonomy or explain how and to what extent said activities contribute to one or several environmental objectives.</w:t>
      </w:r>
    </w:p>
    <w:p w14:paraId="3EC00E6D" w14:textId="5D07A6E5" w:rsidR="00B327E9" w:rsidRPr="00242C3F" w:rsidRDefault="00242C3F" w:rsidP="00242C3F">
      <w:pPr>
        <w:pStyle w:val="Paragraphedeliste"/>
        <w:numPr>
          <w:ilvl w:val="0"/>
          <w:numId w:val="40"/>
        </w:numPr>
        <w:jc w:val="both"/>
        <w:rPr>
          <w:rFonts w:asciiTheme="minorHAnsi" w:hAnsiTheme="minorHAnsi" w:cstheme="minorHAnsi"/>
          <w:sz w:val="22"/>
          <w:szCs w:val="22"/>
        </w:rPr>
      </w:pPr>
      <w:r w:rsidRPr="00F67A0B">
        <w:rPr>
          <w:rFonts w:asciiTheme="minorHAnsi" w:hAnsiTheme="minorHAnsi" w:cstheme="minorHAnsi"/>
          <w:sz w:val="22"/>
          <w:szCs w:val="22"/>
        </w:rPr>
        <w:t xml:space="preserve">Regarding the new KPIs required (proportion of sustainable revenue, Capex and </w:t>
      </w:r>
      <w:proofErr w:type="spellStart"/>
      <w:r w:rsidRPr="00F67A0B">
        <w:rPr>
          <w:rFonts w:asciiTheme="minorHAnsi" w:hAnsiTheme="minorHAnsi" w:cstheme="minorHAnsi"/>
          <w:sz w:val="22"/>
          <w:szCs w:val="22"/>
        </w:rPr>
        <w:t>Opex</w:t>
      </w:r>
      <w:proofErr w:type="spellEnd"/>
      <w:r w:rsidRPr="00F67A0B">
        <w:rPr>
          <w:rFonts w:asciiTheme="minorHAnsi" w:hAnsiTheme="minorHAnsi" w:cstheme="minorHAnsi"/>
          <w:sz w:val="22"/>
          <w:szCs w:val="22"/>
        </w:rPr>
        <w:t>), we consider that the best way forward is to allow flexibility to companies to adapt to this new requirement, in particular, taking into account the first point mentioned above</w:t>
      </w:r>
      <w:r w:rsidRPr="00F67A0B">
        <w:rPr>
          <w:rFonts w:asciiTheme="minorHAnsi" w:hAnsiTheme="minorHAnsi" w:cstheme="minorHAnsi"/>
          <w:bCs/>
          <w:sz w:val="22"/>
          <w:szCs w:val="22"/>
        </w:rPr>
        <w:t xml:space="preserve">. As a matter of fact, compliance with </w:t>
      </w:r>
      <w:r w:rsidRPr="00F67A0B">
        <w:rPr>
          <w:rFonts w:asciiTheme="minorHAnsi" w:hAnsiTheme="minorHAnsi" w:cstheme="minorHAnsi"/>
          <w:b/>
          <w:sz w:val="22"/>
          <w:szCs w:val="22"/>
        </w:rPr>
        <w:t xml:space="preserve">the technical screening criteria will be assessed at site </w:t>
      </w:r>
      <w:r>
        <w:rPr>
          <w:rFonts w:asciiTheme="minorHAnsi" w:hAnsiTheme="minorHAnsi" w:cstheme="minorHAnsi"/>
          <w:b/>
          <w:sz w:val="22"/>
          <w:szCs w:val="22"/>
        </w:rPr>
        <w:t xml:space="preserve">or product line </w:t>
      </w:r>
      <w:r w:rsidRPr="00F67A0B">
        <w:rPr>
          <w:rFonts w:asciiTheme="minorHAnsi" w:hAnsiTheme="minorHAnsi" w:cstheme="minorHAnsi"/>
          <w:b/>
          <w:sz w:val="22"/>
          <w:szCs w:val="22"/>
        </w:rPr>
        <w:t>level whereas the reporting procedures and ERP are organised by legal entities</w:t>
      </w:r>
      <w:r w:rsidRPr="00F67A0B">
        <w:rPr>
          <w:rFonts w:asciiTheme="minorHAnsi" w:hAnsiTheme="minorHAnsi" w:cstheme="minorHAnsi"/>
          <w:bCs/>
          <w:sz w:val="22"/>
          <w:szCs w:val="22"/>
        </w:rPr>
        <w:t xml:space="preserve">. It will therefore be very difficult for companies to </w:t>
      </w:r>
      <w:r w:rsidRPr="00F67A0B">
        <w:rPr>
          <w:rFonts w:asciiTheme="minorHAnsi" w:hAnsiTheme="minorHAnsi" w:cstheme="minorHAnsi"/>
          <w:bCs/>
          <w:sz w:val="22"/>
          <w:szCs w:val="22"/>
        </w:rPr>
        <w:lastRenderedPageBreak/>
        <w:t xml:space="preserve">determine the contribution of each site or factory to the revenue especially within the timeframe mentioned above: companies will have to establish and implement new procedures and potentially modify their IT systems in a time when resources will be mobilised to manage the impacts of the crisis. We would </w:t>
      </w:r>
      <w:proofErr w:type="gramStart"/>
      <w:r w:rsidRPr="00F67A0B">
        <w:rPr>
          <w:rFonts w:asciiTheme="minorHAnsi" w:hAnsiTheme="minorHAnsi" w:cstheme="minorHAnsi"/>
          <w:bCs/>
          <w:sz w:val="22"/>
          <w:szCs w:val="22"/>
        </w:rPr>
        <w:t xml:space="preserve">in particular </w:t>
      </w:r>
      <w:r w:rsidRPr="00F67A0B">
        <w:rPr>
          <w:rFonts w:asciiTheme="minorHAnsi" w:hAnsiTheme="minorHAnsi" w:cstheme="minorHAnsi"/>
          <w:b/>
          <w:sz w:val="22"/>
          <w:szCs w:val="22"/>
        </w:rPr>
        <w:t>recommend</w:t>
      </w:r>
      <w:proofErr w:type="gramEnd"/>
      <w:r w:rsidRPr="00F67A0B">
        <w:rPr>
          <w:rFonts w:asciiTheme="minorHAnsi" w:hAnsiTheme="minorHAnsi" w:cstheme="minorHAnsi"/>
          <w:b/>
          <w:sz w:val="22"/>
          <w:szCs w:val="22"/>
        </w:rPr>
        <w:t xml:space="preserve"> allowing companies to publish estimated data</w:t>
      </w:r>
      <w:r w:rsidRPr="00F67A0B">
        <w:rPr>
          <w:rFonts w:asciiTheme="minorHAnsi" w:hAnsiTheme="minorHAnsi" w:cstheme="minorHAnsi"/>
          <w:bCs/>
          <w:sz w:val="22"/>
          <w:szCs w:val="22"/>
        </w:rPr>
        <w:t xml:space="preserve"> for the first year of implementation.</w:t>
      </w:r>
    </w:p>
    <w:permEnd w:id="44765448"/>
    <w:p w14:paraId="68F63540" w14:textId="7560FACC" w:rsidR="00B327E9" w:rsidRPr="00BF28DA" w:rsidRDefault="00B327E9" w:rsidP="00FE6577">
      <w:r w:rsidRPr="00BF28DA">
        <w:t>&lt;ESMA_COMMENT_</w:t>
      </w:r>
      <w:r w:rsidR="00FE6577">
        <w:t>TRART8</w:t>
      </w:r>
      <w:r w:rsidR="000A58BE">
        <w:t>_</w:t>
      </w:r>
      <w:r w:rsidRPr="00BF28DA">
        <w:t>1&gt;</w:t>
      </w:r>
    </w:p>
    <w:p w14:paraId="4865C74B" w14:textId="77777777" w:rsidR="002E7113" w:rsidRDefault="002E7113" w:rsidP="002E7113">
      <w:pPr>
        <w:pStyle w:val="Titre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3D5C8669" w:rsidR="00492B3A" w:rsidRPr="00492B3A" w:rsidRDefault="00492B3A" w:rsidP="00492B3A">
      <w:pPr>
        <w:pStyle w:val="Questionstyle"/>
        <w:numPr>
          <w:ilvl w:val="0"/>
          <w:numId w:val="44"/>
        </w:numPr>
        <w:rPr>
          <w:rFonts w:ascii="Arial" w:hAnsi="Arial"/>
          <w:szCs w:val="22"/>
        </w:rPr>
      </w:pPr>
      <w:r>
        <w:lastRenderedPageBreak/>
        <w:t>For this KPI, do you agree with the proposed approach to defining turnover (bullet a in the draft advice)?</w:t>
      </w:r>
    </w:p>
    <w:p w14:paraId="7EE00B55" w14:textId="77777777" w:rsidR="00492B3A" w:rsidRDefault="00492B3A" w:rsidP="00492B3A">
      <w:r>
        <w:t>&lt;ESMA_QUESTION_TRART8_1&gt;</w:t>
      </w:r>
    </w:p>
    <w:p w14:paraId="0C2BBE54" w14:textId="77777777" w:rsidR="00D64B4C" w:rsidRPr="00F67A0B" w:rsidRDefault="00D64B4C" w:rsidP="00D64B4C">
      <w:pPr>
        <w:contextualSpacing/>
        <w:jc w:val="both"/>
        <w:rPr>
          <w:rFonts w:asciiTheme="minorHAnsi" w:hAnsiTheme="minorHAnsi" w:cstheme="minorHAnsi"/>
          <w:sz w:val="22"/>
          <w:szCs w:val="22"/>
        </w:rPr>
      </w:pPr>
      <w:permStart w:id="1576605906" w:edGrp="everyone"/>
      <w:r>
        <w:rPr>
          <w:rFonts w:asciiTheme="minorHAnsi" w:hAnsiTheme="minorHAnsi" w:cstheme="minorHAnsi"/>
          <w:sz w:val="22"/>
          <w:szCs w:val="22"/>
        </w:rPr>
        <w:t>As regards the</w:t>
      </w:r>
      <w:r w:rsidRPr="00F67A0B">
        <w:rPr>
          <w:rFonts w:asciiTheme="minorHAnsi" w:hAnsiTheme="minorHAnsi" w:cstheme="minorHAnsi"/>
          <w:sz w:val="22"/>
          <w:szCs w:val="22"/>
        </w:rPr>
        <w:t xml:space="preserve"> definition of turnover</w:t>
      </w:r>
      <w:r>
        <w:rPr>
          <w:rFonts w:asciiTheme="minorHAnsi" w:hAnsiTheme="minorHAnsi" w:cstheme="minorHAnsi"/>
          <w:sz w:val="22"/>
          <w:szCs w:val="22"/>
        </w:rPr>
        <w:t xml:space="preserve"> we would like to raise the </w:t>
      </w:r>
      <w:r w:rsidRPr="001C2C35">
        <w:rPr>
          <w:rFonts w:asciiTheme="minorHAnsi" w:hAnsiTheme="minorHAnsi" w:cstheme="minorHAnsi"/>
          <w:b/>
          <w:bCs/>
          <w:sz w:val="22"/>
          <w:szCs w:val="22"/>
        </w:rPr>
        <w:t>issue of joint ventures</w:t>
      </w:r>
      <w:r>
        <w:rPr>
          <w:rFonts w:asciiTheme="minorHAnsi" w:hAnsiTheme="minorHAnsi" w:cstheme="minorHAnsi"/>
          <w:sz w:val="22"/>
          <w:szCs w:val="22"/>
        </w:rPr>
        <w:t xml:space="preserve"> which are joint arrangements commonly used by companies, for instance in their international operations and development strategies : </w:t>
      </w:r>
      <w:r w:rsidRPr="00744A42">
        <w:rPr>
          <w:rFonts w:asciiTheme="minorHAnsi" w:hAnsiTheme="minorHAnsi" w:cstheme="minorHAnsi"/>
          <w:b/>
          <w:bCs/>
          <w:sz w:val="22"/>
          <w:szCs w:val="22"/>
        </w:rPr>
        <w:t>the turnover generated through joint ventures can be significant for certain activities and is not accounted for under IFRS</w:t>
      </w:r>
      <w:r>
        <w:rPr>
          <w:rFonts w:asciiTheme="minorHAnsi" w:hAnsiTheme="minorHAnsi" w:cstheme="minorHAnsi"/>
          <w:sz w:val="22"/>
          <w:szCs w:val="22"/>
        </w:rPr>
        <w:t xml:space="preserve"> ; under IFRS 11 joint ventures are accounted for under the equity method. Therefore, we would recommend </w:t>
      </w:r>
      <w:r w:rsidRPr="00744A42">
        <w:rPr>
          <w:rFonts w:asciiTheme="minorHAnsi" w:hAnsiTheme="minorHAnsi" w:cstheme="minorHAnsi"/>
          <w:b/>
          <w:bCs/>
          <w:sz w:val="22"/>
          <w:szCs w:val="22"/>
        </w:rPr>
        <w:t>allowing companies, when it represents a significant contribution, to include in the calculation of this KPI the turnover generated by joint ventures</w:t>
      </w:r>
      <w:r>
        <w:rPr>
          <w:rFonts w:asciiTheme="minorHAnsi" w:hAnsiTheme="minorHAnsi" w:cstheme="minorHAnsi"/>
          <w:sz w:val="22"/>
          <w:szCs w:val="22"/>
        </w:rPr>
        <w:t xml:space="preserve"> as long as the accompanying information provides all necessary explanations regarding the methodology. Preventing these companies from </w:t>
      </w:r>
      <w:proofErr w:type="gramStart"/>
      <w:r>
        <w:rPr>
          <w:rFonts w:asciiTheme="minorHAnsi" w:hAnsiTheme="minorHAnsi" w:cstheme="minorHAnsi"/>
          <w:sz w:val="22"/>
          <w:szCs w:val="22"/>
        </w:rPr>
        <w:t>taking into account</w:t>
      </w:r>
      <w:proofErr w:type="gramEnd"/>
      <w:r>
        <w:rPr>
          <w:rFonts w:asciiTheme="minorHAnsi" w:hAnsiTheme="minorHAnsi" w:cstheme="minorHAnsi"/>
          <w:sz w:val="22"/>
          <w:szCs w:val="22"/>
        </w:rPr>
        <w:t xml:space="preserve"> the revenue generated by joint ventures would not permit end-users (investors and other stakeholders) to assess the real contribution of the concerned activities to the environmental objectives of the Taxonomy Regulation.</w:t>
      </w:r>
    </w:p>
    <w:p w14:paraId="05314A9A" w14:textId="77777777" w:rsidR="00D64B4C" w:rsidRPr="00F67A0B" w:rsidRDefault="00D64B4C" w:rsidP="00D64B4C">
      <w:pPr>
        <w:contextualSpacing/>
        <w:jc w:val="both"/>
        <w:rPr>
          <w:rFonts w:asciiTheme="minorHAnsi" w:hAnsiTheme="minorHAnsi" w:cstheme="minorHAnsi"/>
          <w:sz w:val="22"/>
          <w:szCs w:val="22"/>
        </w:rPr>
      </w:pPr>
      <w:r>
        <w:rPr>
          <w:rFonts w:asciiTheme="minorHAnsi" w:hAnsiTheme="minorHAnsi" w:cstheme="minorHAnsi"/>
          <w:sz w:val="22"/>
          <w:szCs w:val="22"/>
        </w:rPr>
        <w:t>We insist again on the fact that</w:t>
      </w:r>
      <w:r w:rsidRPr="00F67A0B">
        <w:rPr>
          <w:rFonts w:asciiTheme="minorHAnsi" w:hAnsiTheme="minorHAnsi" w:cstheme="minorHAnsi"/>
          <w:sz w:val="22"/>
          <w:szCs w:val="22"/>
        </w:rPr>
        <w:t xml:space="preserve"> it will be very challenging for companies to produce this KPI considering the deadline and the fact that </w:t>
      </w:r>
      <w:r w:rsidRPr="00F05739">
        <w:rPr>
          <w:rFonts w:asciiTheme="minorHAnsi" w:hAnsiTheme="minorHAnsi" w:cstheme="minorHAnsi"/>
          <w:b/>
          <w:bCs/>
          <w:sz w:val="22"/>
          <w:szCs w:val="22"/>
        </w:rPr>
        <w:t>internal reporting processes are neither based on NACE classification nor available at product line level</w:t>
      </w:r>
      <w:r w:rsidRPr="00F67A0B">
        <w:rPr>
          <w:rFonts w:asciiTheme="minorHAnsi" w:hAnsiTheme="minorHAnsi" w:cstheme="minorHAnsi"/>
          <w:sz w:val="22"/>
          <w:szCs w:val="22"/>
        </w:rPr>
        <w:t>.</w:t>
      </w:r>
    </w:p>
    <w:p w14:paraId="5AC7097F" w14:textId="41074A47" w:rsidR="00492B3A" w:rsidRDefault="00D64B4C" w:rsidP="00492B3A">
      <w:r w:rsidRPr="00F05739">
        <w:rPr>
          <w:rFonts w:asciiTheme="minorHAnsi" w:hAnsiTheme="minorHAnsi" w:cstheme="minorHAnsi"/>
          <w:b/>
          <w:sz w:val="22"/>
          <w:szCs w:val="22"/>
        </w:rPr>
        <w:t>Therefore, we recommend allowing companies to publish estimated data for the first year of implementation and considering that the first financial period to report on will start on 1 January 2022</w:t>
      </w:r>
      <w:r w:rsidRPr="00F67A0B">
        <w:rPr>
          <w:rFonts w:asciiTheme="minorHAnsi" w:hAnsiTheme="minorHAnsi" w:cstheme="minorHAnsi"/>
          <w:bCs/>
          <w:sz w:val="22"/>
          <w:szCs w:val="22"/>
        </w:rPr>
        <w:t>.</w:t>
      </w:r>
      <w:r w:rsidR="00DC1B28">
        <w:t xml:space="preserve"> </w:t>
      </w:r>
      <w:permEnd w:id="1576605906"/>
    </w:p>
    <w:p w14:paraId="7E5A3C00" w14:textId="77777777" w:rsidR="00492B3A" w:rsidRDefault="00492B3A" w:rsidP="00492B3A">
      <w:r>
        <w:t>&lt;ESMA_QUESTION_TRART8_1&gt;</w:t>
      </w:r>
    </w:p>
    <w:p w14:paraId="66BCB951" w14:textId="77777777" w:rsidR="00492B3A" w:rsidRDefault="00492B3A" w:rsidP="00492B3A"/>
    <w:p w14:paraId="711E593A" w14:textId="261590F3" w:rsidR="00492B3A" w:rsidRDefault="00492B3A" w:rsidP="00492B3A">
      <w:pPr>
        <w:pStyle w:val="Questionstyle"/>
      </w:pPr>
      <w:r>
        <w:t>For this KPI, do you agree with the proposed approach to when turnover can be counted (bullet b in the draft advice)?</w:t>
      </w:r>
    </w:p>
    <w:p w14:paraId="3451E920" w14:textId="77777777" w:rsidR="00492B3A" w:rsidRDefault="00492B3A" w:rsidP="00492B3A">
      <w:r>
        <w:t>&lt;ESMA_QUESTION_TRART8_2&gt;</w:t>
      </w:r>
    </w:p>
    <w:p w14:paraId="4CD54334" w14:textId="77777777" w:rsidR="00252B6E" w:rsidRPr="00F67A0B" w:rsidRDefault="00252B6E" w:rsidP="00252B6E">
      <w:pPr>
        <w:contextualSpacing/>
        <w:jc w:val="both"/>
        <w:rPr>
          <w:rFonts w:asciiTheme="minorHAnsi" w:hAnsiTheme="minorHAnsi" w:cstheme="minorHAnsi"/>
          <w:sz w:val="22"/>
          <w:szCs w:val="22"/>
        </w:rPr>
      </w:pPr>
      <w:permStart w:id="1123047147" w:edGrp="everyone"/>
      <w:r w:rsidRPr="00DB2F96">
        <w:rPr>
          <w:rFonts w:asciiTheme="minorHAnsi" w:hAnsiTheme="minorHAnsi" w:cstheme="minorHAnsi"/>
          <w:b/>
          <w:bCs/>
          <w:sz w:val="22"/>
          <w:szCs w:val="22"/>
        </w:rPr>
        <w:t>No, we disagree with the proposed approach</w:t>
      </w:r>
      <w:r w:rsidRPr="00F67A0B">
        <w:rPr>
          <w:rFonts w:asciiTheme="minorHAnsi" w:hAnsiTheme="minorHAnsi" w:cstheme="minorHAnsi"/>
          <w:sz w:val="22"/>
          <w:szCs w:val="22"/>
        </w:rPr>
        <w:t xml:space="preserve">. </w:t>
      </w:r>
      <w:r w:rsidRPr="00DB2F96">
        <w:rPr>
          <w:rFonts w:asciiTheme="minorHAnsi" w:hAnsiTheme="minorHAnsi" w:cstheme="minorHAnsi"/>
          <w:b/>
          <w:bCs/>
          <w:sz w:val="22"/>
          <w:szCs w:val="22"/>
        </w:rPr>
        <w:t xml:space="preserve">ESMA’s approach </w:t>
      </w:r>
      <w:proofErr w:type="gramStart"/>
      <w:r w:rsidRPr="00DB2F96">
        <w:rPr>
          <w:rFonts w:asciiTheme="minorHAnsi" w:hAnsiTheme="minorHAnsi" w:cstheme="minorHAnsi"/>
          <w:b/>
          <w:bCs/>
          <w:sz w:val="22"/>
          <w:szCs w:val="22"/>
        </w:rPr>
        <w:t>doesn’t</w:t>
      </w:r>
      <w:proofErr w:type="gramEnd"/>
      <w:r w:rsidRPr="00DB2F96">
        <w:rPr>
          <w:rFonts w:asciiTheme="minorHAnsi" w:hAnsiTheme="minorHAnsi" w:cstheme="minorHAnsi"/>
          <w:b/>
          <w:bCs/>
          <w:sz w:val="22"/>
          <w:szCs w:val="22"/>
        </w:rPr>
        <w:t xml:space="preserve"> seem to be aligned with the Taxonomy Regulation.</w:t>
      </w:r>
      <w:r w:rsidRPr="00F67A0B">
        <w:rPr>
          <w:rFonts w:asciiTheme="minorHAnsi" w:hAnsiTheme="minorHAnsi" w:cstheme="minorHAnsi"/>
          <w:sz w:val="22"/>
          <w:szCs w:val="22"/>
        </w:rPr>
        <w:t xml:space="preserve"> As a matter of fact, article 11 of said regulation clearly states </w:t>
      </w:r>
      <w:proofErr w:type="gramStart"/>
      <w:r w:rsidRPr="00F67A0B">
        <w:rPr>
          <w:rFonts w:asciiTheme="minorHAnsi" w:hAnsiTheme="minorHAnsi" w:cstheme="minorHAnsi"/>
          <w:sz w:val="22"/>
          <w:szCs w:val="22"/>
        </w:rPr>
        <w:t>that :</w:t>
      </w:r>
      <w:proofErr w:type="gramEnd"/>
      <w:r w:rsidRPr="00F67A0B">
        <w:rPr>
          <w:rFonts w:asciiTheme="minorHAnsi" w:hAnsiTheme="minorHAnsi" w:cstheme="minorHAnsi"/>
          <w:sz w:val="22"/>
          <w:szCs w:val="22"/>
        </w:rPr>
        <w:t xml:space="preserve"> </w:t>
      </w:r>
    </w:p>
    <w:p w14:paraId="2C7FF48A" w14:textId="77777777" w:rsidR="00252B6E" w:rsidRPr="00F67A0B" w:rsidRDefault="00252B6E" w:rsidP="00252B6E">
      <w:pPr>
        <w:contextualSpacing/>
        <w:jc w:val="both"/>
        <w:rPr>
          <w:rFonts w:asciiTheme="minorHAnsi" w:hAnsiTheme="minorHAnsi" w:cstheme="minorHAnsi"/>
          <w:sz w:val="22"/>
          <w:szCs w:val="22"/>
        </w:rPr>
      </w:pPr>
      <w:r w:rsidRPr="00F67A0B">
        <w:rPr>
          <w:rFonts w:asciiTheme="minorHAnsi" w:hAnsiTheme="minorHAnsi" w:cstheme="minorHAnsi"/>
          <w:sz w:val="22"/>
          <w:szCs w:val="22"/>
        </w:rPr>
        <w:t>« 1.</w:t>
      </w:r>
      <w:r>
        <w:rPr>
          <w:rFonts w:asciiTheme="minorHAnsi" w:hAnsiTheme="minorHAnsi" w:cstheme="minorHAnsi"/>
          <w:sz w:val="22"/>
          <w:szCs w:val="22"/>
        </w:rPr>
        <w:t xml:space="preserve"> </w:t>
      </w:r>
      <w:r w:rsidRPr="00F67A0B">
        <w:rPr>
          <w:rFonts w:asciiTheme="minorHAnsi" w:hAnsiTheme="minorHAnsi" w:cstheme="minorHAnsi"/>
          <w:sz w:val="22"/>
          <w:szCs w:val="22"/>
        </w:rPr>
        <w:t xml:space="preserve">An economic activity shall qualify as contributing substantially to climate change adaptation where that activity: </w:t>
      </w:r>
      <w:r>
        <w:rPr>
          <w:rFonts w:asciiTheme="minorHAnsi" w:hAnsiTheme="minorHAnsi" w:cstheme="minorHAnsi"/>
          <w:sz w:val="22"/>
          <w:szCs w:val="22"/>
        </w:rPr>
        <w:t xml:space="preserve"> </w:t>
      </w:r>
    </w:p>
    <w:p w14:paraId="43D51305" w14:textId="77777777" w:rsidR="00252B6E" w:rsidRPr="00F67A0B" w:rsidRDefault="00252B6E" w:rsidP="00252B6E">
      <w:pPr>
        <w:pStyle w:val="Paragraphedeliste"/>
        <w:numPr>
          <w:ilvl w:val="0"/>
          <w:numId w:val="41"/>
        </w:numPr>
        <w:jc w:val="both"/>
        <w:rPr>
          <w:rFonts w:asciiTheme="minorHAnsi" w:hAnsiTheme="minorHAnsi" w:cstheme="minorHAnsi"/>
          <w:sz w:val="22"/>
          <w:szCs w:val="22"/>
        </w:rPr>
      </w:pPr>
      <w:r w:rsidRPr="00DB2F96">
        <w:rPr>
          <w:rFonts w:asciiTheme="minorHAnsi" w:hAnsiTheme="minorHAnsi" w:cstheme="minorHAnsi"/>
          <w:b/>
          <w:bCs/>
          <w:sz w:val="22"/>
          <w:szCs w:val="22"/>
          <w:u w:val="single"/>
        </w:rPr>
        <w:t>includes adaptation solutions</w:t>
      </w:r>
      <w:r w:rsidRPr="00F67A0B">
        <w:rPr>
          <w:rFonts w:asciiTheme="minorHAnsi" w:hAnsiTheme="minorHAnsi" w:cstheme="minorHAnsi"/>
          <w:sz w:val="22"/>
          <w:szCs w:val="22"/>
        </w:rPr>
        <w:t xml:space="preserve"> that either substantially reduce the risk of the adverse impact of the current climate and the expected future climate </w:t>
      </w:r>
      <w:r w:rsidRPr="00F67A0B">
        <w:rPr>
          <w:rFonts w:asciiTheme="minorHAnsi" w:hAnsiTheme="minorHAnsi" w:cstheme="minorHAnsi"/>
          <w:sz w:val="22"/>
          <w:szCs w:val="22"/>
          <w:u w:val="single"/>
        </w:rPr>
        <w:t xml:space="preserve">on that economic activity </w:t>
      </w:r>
      <w:r w:rsidRPr="00F67A0B">
        <w:rPr>
          <w:rFonts w:asciiTheme="minorHAnsi" w:hAnsiTheme="minorHAnsi" w:cstheme="minorHAnsi"/>
          <w:sz w:val="22"/>
          <w:szCs w:val="22"/>
        </w:rPr>
        <w:t>or substantially reduce that adverse impact, without increasing the risk of an adverse impact on people, nature or assets; or</w:t>
      </w:r>
    </w:p>
    <w:p w14:paraId="60478C31" w14:textId="77777777" w:rsidR="00252B6E" w:rsidRPr="00F67A0B" w:rsidRDefault="00252B6E" w:rsidP="00252B6E">
      <w:pPr>
        <w:pStyle w:val="Paragraphedeliste"/>
        <w:numPr>
          <w:ilvl w:val="0"/>
          <w:numId w:val="41"/>
        </w:numPr>
        <w:jc w:val="both"/>
        <w:rPr>
          <w:rFonts w:asciiTheme="minorHAnsi" w:hAnsiTheme="minorHAnsi" w:cstheme="minorHAnsi"/>
          <w:sz w:val="22"/>
          <w:szCs w:val="22"/>
        </w:rPr>
      </w:pPr>
      <w:r w:rsidRPr="00F67A0B">
        <w:rPr>
          <w:rFonts w:asciiTheme="minorHAnsi" w:hAnsiTheme="minorHAnsi" w:cstheme="minorHAnsi"/>
          <w:sz w:val="22"/>
          <w:szCs w:val="22"/>
          <w:u w:val="single"/>
        </w:rPr>
        <w:t>provides adaptation solutions</w:t>
      </w:r>
      <w:r w:rsidRPr="00F67A0B">
        <w:rPr>
          <w:rFonts w:asciiTheme="minorHAnsi" w:hAnsiTheme="minorHAnsi" w:cstheme="minorHAnsi"/>
          <w:sz w:val="22"/>
          <w:szCs w:val="22"/>
        </w:rPr>
        <w:t xml:space="preserve"> that, in addition to satisfying the conditions set out in Article 16, contribute substantially to preventing or reducing the risk of the adverse impact of the current climate and the expected future climate on people, nature or assets, without increasing the risk of an adverse impact on other people, nature or assets. »</w:t>
      </w:r>
    </w:p>
    <w:p w14:paraId="33DA2ACA" w14:textId="77777777" w:rsidR="00252B6E" w:rsidRPr="00F67A0B" w:rsidRDefault="00252B6E" w:rsidP="00252B6E">
      <w:pPr>
        <w:contextualSpacing/>
        <w:jc w:val="both"/>
        <w:rPr>
          <w:rFonts w:asciiTheme="minorHAnsi" w:hAnsiTheme="minorHAnsi" w:cstheme="minorHAnsi"/>
          <w:sz w:val="22"/>
          <w:szCs w:val="22"/>
        </w:rPr>
      </w:pPr>
    </w:p>
    <w:p w14:paraId="741E001B" w14:textId="0002504F" w:rsidR="00492B3A" w:rsidRDefault="00252B6E" w:rsidP="00492B3A">
      <w:r w:rsidRPr="00F67A0B">
        <w:rPr>
          <w:rFonts w:asciiTheme="minorHAnsi" w:hAnsiTheme="minorHAnsi" w:cstheme="minorHAnsi"/>
          <w:sz w:val="22"/>
          <w:szCs w:val="22"/>
        </w:rPr>
        <w:t xml:space="preserve">If paragraph (b) above can be understood as enabling other activities to undergo climate change adaptation, paragraph (a) clearly refers to the adaptation of the activity (company) itself. Therefore, for the environmental objective climate change adaptation, turnover can be counted where the activity enables other activities to undergo climate change adaptation as put forward by ESMA but </w:t>
      </w:r>
      <w:r w:rsidRPr="00DB2F96">
        <w:rPr>
          <w:rFonts w:asciiTheme="minorHAnsi" w:hAnsiTheme="minorHAnsi" w:cstheme="minorHAnsi"/>
          <w:b/>
          <w:bCs/>
          <w:sz w:val="22"/>
          <w:szCs w:val="22"/>
        </w:rPr>
        <w:t xml:space="preserve">also where the activity </w:t>
      </w:r>
      <w:r w:rsidRPr="00DB2F96">
        <w:rPr>
          <w:rFonts w:asciiTheme="minorHAnsi" w:hAnsiTheme="minorHAnsi" w:cstheme="minorHAnsi"/>
          <w:b/>
          <w:bCs/>
          <w:sz w:val="22"/>
          <w:szCs w:val="22"/>
          <w:u w:val="single"/>
        </w:rPr>
        <w:t>includes adaptation solutions</w:t>
      </w:r>
      <w:r w:rsidRPr="00DB2F96">
        <w:rPr>
          <w:rFonts w:asciiTheme="minorHAnsi" w:hAnsiTheme="minorHAnsi" w:cstheme="minorHAnsi"/>
          <w:b/>
          <w:bCs/>
          <w:sz w:val="22"/>
          <w:szCs w:val="22"/>
        </w:rPr>
        <w:t xml:space="preserve"> that either substantially reduce the risk of the adverse impact of the current climate and the expected future climate </w:t>
      </w:r>
      <w:r w:rsidRPr="00DB2F96">
        <w:rPr>
          <w:rFonts w:asciiTheme="minorHAnsi" w:hAnsiTheme="minorHAnsi" w:cstheme="minorHAnsi"/>
          <w:b/>
          <w:bCs/>
          <w:sz w:val="22"/>
          <w:szCs w:val="22"/>
          <w:u w:val="single"/>
        </w:rPr>
        <w:t>on that economic activity</w:t>
      </w:r>
      <w:r w:rsidR="002D54A7" w:rsidRPr="002D54A7">
        <w:rPr>
          <w:rFonts w:asciiTheme="minorHAnsi" w:hAnsiTheme="minorHAnsi" w:cstheme="minorHAnsi"/>
          <w:sz w:val="22"/>
          <w:szCs w:val="22"/>
        </w:rPr>
        <w:t>.</w:t>
      </w:r>
      <w:permEnd w:id="1123047147"/>
      <w:r w:rsidR="00492B3A">
        <w:t>&lt;ESMA_QUESTION_TRART8_2&gt;</w:t>
      </w:r>
    </w:p>
    <w:p w14:paraId="3DF6FFDF" w14:textId="77777777" w:rsidR="00492B3A" w:rsidRDefault="00492B3A" w:rsidP="00492B3A"/>
    <w:p w14:paraId="47C2F5CA" w14:textId="0B6775F1" w:rsidR="00492B3A" w:rsidRDefault="00492B3A" w:rsidP="00492B3A">
      <w:pPr>
        <w:pStyle w:val="Questionstyle"/>
      </w:pPr>
      <w:r>
        <w:t>For this KPI, do you agree with the proposed approach to defining CapEx (bullet a in the draft advice)?</w:t>
      </w:r>
    </w:p>
    <w:p w14:paraId="1D5C0FD1" w14:textId="77777777" w:rsidR="00492B3A" w:rsidRDefault="00492B3A" w:rsidP="00492B3A">
      <w:r>
        <w:lastRenderedPageBreak/>
        <w:t>&lt;ESMA_QUESTION_TRART8_3&gt;</w:t>
      </w:r>
    </w:p>
    <w:p w14:paraId="12C659FA" w14:textId="59D30D2F" w:rsidR="00157C0C" w:rsidRPr="008139E0" w:rsidRDefault="00157C0C" w:rsidP="00157C0C">
      <w:pPr>
        <w:contextualSpacing/>
        <w:jc w:val="both"/>
        <w:rPr>
          <w:rFonts w:asciiTheme="minorHAnsi" w:hAnsiTheme="minorHAnsi" w:cstheme="minorHAnsi"/>
          <w:sz w:val="22"/>
          <w:szCs w:val="22"/>
          <w:lang w:val="en-US"/>
        </w:rPr>
      </w:pPr>
      <w:permStart w:id="1823616926" w:edGrp="everyone"/>
      <w:r w:rsidRPr="004F1FF1">
        <w:rPr>
          <w:rFonts w:asciiTheme="minorHAnsi" w:hAnsiTheme="minorHAnsi" w:cstheme="minorHAnsi"/>
          <w:b/>
          <w:bCs/>
          <w:sz w:val="22"/>
          <w:szCs w:val="22"/>
          <w:lang w:val="en-US"/>
        </w:rPr>
        <w:t>No, we disagree with this approach</w:t>
      </w:r>
      <w:r w:rsidRPr="008139E0">
        <w:rPr>
          <w:rFonts w:asciiTheme="minorHAnsi" w:hAnsiTheme="minorHAnsi" w:cstheme="minorHAnsi"/>
          <w:sz w:val="22"/>
          <w:szCs w:val="22"/>
          <w:lang w:val="en-US"/>
        </w:rPr>
        <w:t xml:space="preserve"> which </w:t>
      </w:r>
      <w:r>
        <w:rPr>
          <w:rFonts w:asciiTheme="minorHAnsi" w:hAnsiTheme="minorHAnsi" w:cstheme="minorHAnsi"/>
          <w:sz w:val="22"/>
          <w:szCs w:val="22"/>
          <w:lang w:val="en-US"/>
        </w:rPr>
        <w:t xml:space="preserve">can be misleading because of the </w:t>
      </w:r>
      <w:r w:rsidRPr="004F1FF1">
        <w:rPr>
          <w:rFonts w:asciiTheme="minorHAnsi" w:hAnsiTheme="minorHAnsi" w:cstheme="minorHAnsi"/>
          <w:b/>
          <w:bCs/>
          <w:sz w:val="22"/>
          <w:szCs w:val="22"/>
          <w:lang w:val="en-US"/>
        </w:rPr>
        <w:t>changes in the scope of consolidation and currency impacts</w:t>
      </w:r>
      <w:r>
        <w:rPr>
          <w:rFonts w:asciiTheme="minorHAnsi" w:hAnsiTheme="minorHAnsi" w:cstheme="minorHAnsi"/>
          <w:sz w:val="22"/>
          <w:szCs w:val="22"/>
          <w:lang w:val="en-US"/>
        </w:rPr>
        <w:t xml:space="preserve"> </w:t>
      </w:r>
      <w:r w:rsidRPr="008139E0">
        <w:rPr>
          <w:rFonts w:asciiTheme="minorHAnsi" w:hAnsiTheme="minorHAnsi" w:cstheme="minorHAnsi"/>
          <w:sz w:val="22"/>
          <w:szCs w:val="22"/>
          <w:lang w:val="en-US"/>
        </w:rPr>
        <w:t>(foreign currency exchange differences), which are essential</w:t>
      </w:r>
      <w:r>
        <w:rPr>
          <w:rFonts w:asciiTheme="minorHAnsi" w:hAnsiTheme="minorHAnsi" w:cstheme="minorHAnsi"/>
          <w:sz w:val="22"/>
          <w:szCs w:val="22"/>
          <w:lang w:val="en-US"/>
        </w:rPr>
        <w:t xml:space="preserve"> parts of </w:t>
      </w:r>
      <w:proofErr w:type="spellStart"/>
      <w:r w:rsidRPr="008139E0">
        <w:rPr>
          <w:rFonts w:asciiTheme="minorHAnsi" w:hAnsiTheme="minorHAnsi" w:cstheme="minorHAnsi"/>
          <w:sz w:val="22"/>
          <w:szCs w:val="22"/>
          <w:lang w:val="en-US"/>
        </w:rPr>
        <w:t>CapEx</w:t>
      </w:r>
      <w:proofErr w:type="spellEnd"/>
      <w:r>
        <w:rPr>
          <w:rFonts w:asciiTheme="minorHAnsi" w:hAnsiTheme="minorHAnsi" w:cstheme="minorHAnsi"/>
          <w:sz w:val="22"/>
          <w:szCs w:val="22"/>
          <w:lang w:val="en-US"/>
        </w:rPr>
        <w:t xml:space="preserve"> </w:t>
      </w:r>
      <w:r w:rsidR="001261A3">
        <w:rPr>
          <w:rFonts w:asciiTheme="minorHAnsi" w:hAnsiTheme="minorHAnsi" w:cstheme="minorHAnsi"/>
          <w:sz w:val="22"/>
          <w:szCs w:val="22"/>
          <w:lang w:val="en-US"/>
        </w:rPr>
        <w:t>computations</w:t>
      </w:r>
      <w:r w:rsidRPr="008139E0">
        <w:rPr>
          <w:rFonts w:asciiTheme="minorHAnsi" w:hAnsiTheme="minorHAnsi" w:cstheme="minorHAnsi"/>
          <w:sz w:val="22"/>
          <w:szCs w:val="22"/>
          <w:lang w:val="en-US"/>
        </w:rPr>
        <w:t>.</w:t>
      </w:r>
      <w:r>
        <w:rPr>
          <w:rFonts w:asciiTheme="minorHAnsi" w:hAnsiTheme="minorHAnsi" w:cstheme="minorHAnsi"/>
          <w:sz w:val="22"/>
          <w:szCs w:val="22"/>
          <w:lang w:val="en-US"/>
        </w:rPr>
        <w:t xml:space="preserve"> ESMA should clarify in its advice the treatment of business combinations</w:t>
      </w:r>
      <w:r w:rsidRPr="008139E0">
        <w:rPr>
          <w:rFonts w:asciiTheme="minorHAnsi" w:hAnsiTheme="minorHAnsi" w:cstheme="minorHAnsi"/>
          <w:sz w:val="22"/>
          <w:szCs w:val="22"/>
          <w:lang w:val="en-US"/>
        </w:rPr>
        <w:t>, as it represents an important transformation lever</w:t>
      </w:r>
      <w:r>
        <w:rPr>
          <w:rFonts w:asciiTheme="minorHAnsi" w:hAnsiTheme="minorHAnsi" w:cstheme="minorHAnsi"/>
          <w:sz w:val="22"/>
          <w:szCs w:val="22"/>
          <w:lang w:val="en-US"/>
        </w:rPr>
        <w:t>, t</w:t>
      </w:r>
      <w:r w:rsidRPr="008139E0">
        <w:rPr>
          <w:rFonts w:asciiTheme="minorHAnsi" w:hAnsiTheme="minorHAnsi" w:cstheme="minorHAnsi"/>
          <w:sz w:val="22"/>
          <w:szCs w:val="22"/>
          <w:lang w:val="en-US"/>
        </w:rPr>
        <w:t xml:space="preserve">he handling of unallocated </w:t>
      </w:r>
      <w:proofErr w:type="spellStart"/>
      <w:r w:rsidRPr="008139E0">
        <w:rPr>
          <w:rFonts w:asciiTheme="minorHAnsi" w:hAnsiTheme="minorHAnsi" w:cstheme="minorHAnsi"/>
          <w:sz w:val="22"/>
          <w:szCs w:val="22"/>
          <w:lang w:val="en-US"/>
        </w:rPr>
        <w:t>CapEx</w:t>
      </w:r>
      <w:proofErr w:type="spellEnd"/>
      <w:r w:rsidR="00D545A9">
        <w:rPr>
          <w:rFonts w:asciiTheme="minorHAnsi" w:hAnsiTheme="minorHAnsi" w:cstheme="minorHAnsi"/>
          <w:sz w:val="22"/>
          <w:szCs w:val="22"/>
          <w:lang w:val="en-US"/>
        </w:rPr>
        <w:t xml:space="preserve"> </w:t>
      </w:r>
      <w:r w:rsidR="00D545A9" w:rsidRPr="008139E0">
        <w:rPr>
          <w:rFonts w:asciiTheme="minorHAnsi" w:hAnsiTheme="minorHAnsi" w:cstheme="minorHAnsi"/>
          <w:sz w:val="22"/>
          <w:szCs w:val="22"/>
          <w:lang w:val="en-US"/>
        </w:rPr>
        <w:t xml:space="preserve">(headquarter, office serving for several activities…) </w:t>
      </w:r>
      <w:r>
        <w:rPr>
          <w:rFonts w:asciiTheme="minorHAnsi" w:hAnsiTheme="minorHAnsi" w:cstheme="minorHAnsi"/>
          <w:sz w:val="22"/>
          <w:szCs w:val="22"/>
          <w:lang w:val="en-US"/>
        </w:rPr>
        <w:t xml:space="preserve"> and of expenses for research and development activities (this last point is mentioned in the consultation paper but not addressed in the draft advice). </w:t>
      </w:r>
      <w:r w:rsidRPr="008139E0">
        <w:rPr>
          <w:rFonts w:asciiTheme="minorHAnsi" w:hAnsiTheme="minorHAnsi" w:cstheme="minorHAnsi"/>
          <w:sz w:val="22"/>
          <w:szCs w:val="22"/>
          <w:lang w:val="en-US"/>
        </w:rPr>
        <w:t xml:space="preserve">For companies reporting under IFRS, </w:t>
      </w:r>
      <w:r w:rsidRPr="004F1FF1">
        <w:rPr>
          <w:rFonts w:asciiTheme="minorHAnsi" w:hAnsiTheme="minorHAnsi" w:cstheme="minorHAnsi"/>
          <w:b/>
          <w:bCs/>
          <w:sz w:val="22"/>
          <w:szCs w:val="22"/>
          <w:lang w:val="en-US"/>
        </w:rPr>
        <w:t>the acquisition of rights of use on leased assets (IFRS16) should be included</w:t>
      </w:r>
      <w:r w:rsidRPr="008139E0">
        <w:rPr>
          <w:rFonts w:asciiTheme="minorHAnsi" w:hAnsiTheme="minorHAnsi" w:cstheme="minorHAnsi"/>
          <w:sz w:val="22"/>
          <w:szCs w:val="22"/>
          <w:lang w:val="en-US"/>
        </w:rPr>
        <w:t xml:space="preserve"> to avoid differential treatment of such assets. </w:t>
      </w:r>
    </w:p>
    <w:p w14:paraId="6D39DA2A" w14:textId="3397DF4D" w:rsidR="00536D32" w:rsidRPr="004F1FF1" w:rsidRDefault="00157C0C" w:rsidP="00157C0C">
      <w:pPr>
        <w:contextualSpacing/>
        <w:jc w:val="both"/>
        <w:rPr>
          <w:rFonts w:asciiTheme="minorHAnsi" w:hAnsiTheme="minorHAnsi" w:cstheme="minorHAnsi"/>
          <w:b/>
          <w:bCs/>
          <w:sz w:val="22"/>
          <w:szCs w:val="22"/>
          <w:lang w:val="en-US"/>
        </w:rPr>
      </w:pPr>
      <w:r w:rsidRPr="004F1FF1">
        <w:rPr>
          <w:rFonts w:asciiTheme="minorHAnsi" w:hAnsiTheme="minorHAnsi" w:cstheme="minorHAnsi"/>
          <w:b/>
          <w:bCs/>
          <w:sz w:val="22"/>
          <w:szCs w:val="22"/>
          <w:lang w:val="en-US"/>
        </w:rPr>
        <w:t>For companies establishing their financial statements under IFRS, we consider that the direct method based on the cash flow statement is appropriate.</w:t>
      </w:r>
    </w:p>
    <w:permEnd w:id="1823616926"/>
    <w:p w14:paraId="383E5893" w14:textId="77777777" w:rsidR="00492B3A" w:rsidRDefault="00492B3A" w:rsidP="00492B3A">
      <w:r>
        <w:t>&lt;ESMA_QUESTION_TRART8_3&gt;</w:t>
      </w:r>
    </w:p>
    <w:p w14:paraId="4AD8C875" w14:textId="77777777" w:rsidR="00492B3A" w:rsidRDefault="00492B3A" w:rsidP="00492B3A"/>
    <w:p w14:paraId="798F0E29" w14:textId="59B6BBDF" w:rsidR="00492B3A" w:rsidRDefault="00492B3A" w:rsidP="00492B3A">
      <w:pPr>
        <w:pStyle w:val="Questionstyle"/>
      </w:pPr>
      <w:r>
        <w:t>For this KPI, do you agree with the proposed approach to when CapEx can be counted, including the definition of ‘plan’ (bullet b in the draft advice)?</w:t>
      </w:r>
    </w:p>
    <w:p w14:paraId="001F3D0D" w14:textId="77777777" w:rsidR="00492B3A" w:rsidRDefault="00492B3A" w:rsidP="00492B3A">
      <w:r>
        <w:t>&lt;ESMA_QUESTION_TRART8_4&gt;</w:t>
      </w:r>
    </w:p>
    <w:p w14:paraId="309F1DF6" w14:textId="5F13E705" w:rsidR="00596DEE" w:rsidRPr="00F67A0B" w:rsidRDefault="00596DEE" w:rsidP="00596DEE">
      <w:pPr>
        <w:contextualSpacing/>
        <w:jc w:val="both"/>
        <w:rPr>
          <w:rFonts w:asciiTheme="minorHAnsi" w:hAnsiTheme="minorHAnsi" w:cstheme="minorHAnsi"/>
          <w:sz w:val="22"/>
          <w:szCs w:val="22"/>
        </w:rPr>
      </w:pPr>
      <w:permStart w:id="910372547" w:edGrp="everyone"/>
      <w:r w:rsidRPr="00411352">
        <w:rPr>
          <w:rFonts w:asciiTheme="minorHAnsi" w:hAnsiTheme="minorHAnsi" w:cstheme="minorHAnsi"/>
          <w:b/>
          <w:bCs/>
          <w:sz w:val="22"/>
          <w:szCs w:val="22"/>
        </w:rPr>
        <w:t>No, we disagree with the proposed approach.</w:t>
      </w:r>
      <w:r>
        <w:rPr>
          <w:rFonts w:asciiTheme="minorHAnsi" w:hAnsiTheme="minorHAnsi" w:cstheme="minorHAnsi"/>
          <w:sz w:val="22"/>
          <w:szCs w:val="22"/>
        </w:rPr>
        <w:t xml:space="preserve"> </w:t>
      </w:r>
      <w:r w:rsidRPr="00F67A0B">
        <w:rPr>
          <w:rFonts w:asciiTheme="minorHAnsi" w:hAnsiTheme="minorHAnsi" w:cstheme="minorHAnsi"/>
          <w:sz w:val="22"/>
          <w:szCs w:val="22"/>
        </w:rPr>
        <w:t xml:space="preserve">Article 8 of the Taxonomy Regulation requires companies to disclose the proportion of their capital expenditure and the proportion of their operating expenditure </w:t>
      </w:r>
      <w:r w:rsidRPr="00F67A0B">
        <w:rPr>
          <w:rFonts w:asciiTheme="minorHAnsi" w:hAnsiTheme="minorHAnsi" w:cstheme="minorHAnsi"/>
          <w:sz w:val="22"/>
          <w:szCs w:val="22"/>
          <w:u w:val="single"/>
        </w:rPr>
        <w:t>related to assets or processes associated with economic activities that qualify as environmentally sustainable</w:t>
      </w:r>
      <w:r w:rsidRPr="00F67A0B">
        <w:rPr>
          <w:rFonts w:asciiTheme="minorHAnsi" w:hAnsiTheme="minorHAnsi" w:cstheme="minorHAnsi"/>
          <w:sz w:val="22"/>
          <w:szCs w:val="22"/>
        </w:rPr>
        <w:t xml:space="preserve">. Adding a requirement that </w:t>
      </w:r>
      <w:proofErr w:type="spellStart"/>
      <w:r w:rsidRPr="00F67A0B">
        <w:rPr>
          <w:rFonts w:asciiTheme="minorHAnsi" w:hAnsiTheme="minorHAnsi" w:cstheme="minorHAnsi"/>
          <w:sz w:val="22"/>
          <w:szCs w:val="22"/>
        </w:rPr>
        <w:t>CapEx</w:t>
      </w:r>
      <w:proofErr w:type="spellEnd"/>
      <w:r w:rsidRPr="00F67A0B">
        <w:rPr>
          <w:rFonts w:asciiTheme="minorHAnsi" w:hAnsiTheme="minorHAnsi" w:cstheme="minorHAnsi"/>
          <w:sz w:val="22"/>
          <w:szCs w:val="22"/>
        </w:rPr>
        <w:t xml:space="preserve"> should be part of a plan </w:t>
      </w:r>
      <w:proofErr w:type="gramStart"/>
      <w:r w:rsidRPr="00F67A0B">
        <w:rPr>
          <w:rFonts w:asciiTheme="minorHAnsi" w:hAnsiTheme="minorHAnsi" w:cstheme="minorHAnsi"/>
          <w:sz w:val="22"/>
          <w:szCs w:val="22"/>
        </w:rPr>
        <w:t>in order to</w:t>
      </w:r>
      <w:proofErr w:type="gramEnd"/>
      <w:r w:rsidRPr="00F67A0B">
        <w:rPr>
          <w:rFonts w:asciiTheme="minorHAnsi" w:hAnsiTheme="minorHAnsi" w:cstheme="minorHAnsi"/>
          <w:sz w:val="22"/>
          <w:szCs w:val="22"/>
        </w:rPr>
        <w:t xml:space="preserve"> be counted </w:t>
      </w:r>
      <w:r w:rsidRPr="005F661F">
        <w:rPr>
          <w:rFonts w:asciiTheme="minorHAnsi" w:hAnsiTheme="minorHAnsi" w:cstheme="minorHAnsi"/>
          <w:b/>
          <w:bCs/>
          <w:sz w:val="22"/>
          <w:szCs w:val="22"/>
        </w:rPr>
        <w:t>results in adding a condition not laid down in level 1</w:t>
      </w:r>
      <w:r w:rsidRPr="00F67A0B">
        <w:rPr>
          <w:rFonts w:asciiTheme="minorHAnsi" w:hAnsiTheme="minorHAnsi" w:cstheme="minorHAnsi"/>
          <w:sz w:val="22"/>
          <w:szCs w:val="22"/>
        </w:rPr>
        <w:t xml:space="preserve"> in order to consider that the activity is sustainable.</w:t>
      </w:r>
    </w:p>
    <w:p w14:paraId="634D28AD" w14:textId="77777777" w:rsidR="00596DEE" w:rsidRPr="00F67A0B" w:rsidRDefault="00596DEE" w:rsidP="00596DEE">
      <w:pPr>
        <w:contextualSpacing/>
        <w:jc w:val="both"/>
        <w:rPr>
          <w:rFonts w:asciiTheme="minorHAnsi" w:hAnsiTheme="minorHAnsi" w:cstheme="minorHAnsi"/>
          <w:sz w:val="22"/>
          <w:szCs w:val="22"/>
        </w:rPr>
      </w:pPr>
      <w:proofErr w:type="gramStart"/>
      <w:r w:rsidRPr="00F67A0B">
        <w:rPr>
          <w:rFonts w:asciiTheme="minorHAnsi" w:hAnsiTheme="minorHAnsi" w:cstheme="minorHAnsi"/>
          <w:sz w:val="22"/>
          <w:szCs w:val="22"/>
        </w:rPr>
        <w:t>Furthermore :</w:t>
      </w:r>
      <w:proofErr w:type="gramEnd"/>
    </w:p>
    <w:p w14:paraId="221E6B89" w14:textId="77777777" w:rsidR="00596DEE" w:rsidRPr="00F67A0B" w:rsidRDefault="00596DEE" w:rsidP="00596DEE">
      <w:pPr>
        <w:pStyle w:val="Paragraphedeliste"/>
        <w:numPr>
          <w:ilvl w:val="0"/>
          <w:numId w:val="42"/>
        </w:numPr>
        <w:jc w:val="both"/>
        <w:rPr>
          <w:rFonts w:asciiTheme="minorHAnsi" w:hAnsiTheme="minorHAnsi" w:cstheme="minorHAnsi"/>
          <w:sz w:val="22"/>
          <w:szCs w:val="22"/>
        </w:rPr>
      </w:pPr>
      <w:r w:rsidRPr="005F661F">
        <w:rPr>
          <w:rFonts w:asciiTheme="minorHAnsi" w:hAnsiTheme="minorHAnsi" w:cstheme="minorHAnsi"/>
          <w:b/>
          <w:bCs/>
          <w:sz w:val="22"/>
          <w:szCs w:val="22"/>
        </w:rPr>
        <w:t xml:space="preserve">the 5-year period is totally </w:t>
      </w:r>
      <w:proofErr w:type="gramStart"/>
      <w:r w:rsidRPr="005F661F">
        <w:rPr>
          <w:rFonts w:asciiTheme="minorHAnsi" w:hAnsiTheme="minorHAnsi" w:cstheme="minorHAnsi"/>
          <w:b/>
          <w:bCs/>
          <w:sz w:val="22"/>
          <w:szCs w:val="22"/>
        </w:rPr>
        <w:t>arbitrary</w:t>
      </w:r>
      <w:proofErr w:type="gramEnd"/>
      <w:r w:rsidRPr="00F67A0B">
        <w:rPr>
          <w:rFonts w:asciiTheme="minorHAnsi" w:hAnsiTheme="minorHAnsi" w:cstheme="minorHAnsi"/>
          <w:sz w:val="22"/>
          <w:szCs w:val="22"/>
        </w:rPr>
        <w:t xml:space="preserve"> and we don’t see any reason why investments for a project that runs over 6, 10 or even 15 years could not be counted;</w:t>
      </w:r>
    </w:p>
    <w:p w14:paraId="041035D3" w14:textId="77777777" w:rsidR="00596DEE" w:rsidRPr="00F67A0B" w:rsidRDefault="00596DEE" w:rsidP="00596DEE">
      <w:pPr>
        <w:pStyle w:val="Paragraphedeliste"/>
        <w:numPr>
          <w:ilvl w:val="0"/>
          <w:numId w:val="42"/>
        </w:numPr>
        <w:jc w:val="both"/>
        <w:rPr>
          <w:rFonts w:asciiTheme="minorHAnsi" w:hAnsiTheme="minorHAnsi" w:cstheme="minorHAnsi"/>
          <w:sz w:val="22"/>
          <w:szCs w:val="22"/>
        </w:rPr>
      </w:pPr>
      <w:r w:rsidRPr="00F67A0B">
        <w:rPr>
          <w:rFonts w:asciiTheme="minorHAnsi" w:hAnsiTheme="minorHAnsi" w:cstheme="minorHAnsi"/>
          <w:sz w:val="22"/>
          <w:szCs w:val="22"/>
        </w:rPr>
        <w:t xml:space="preserve">approval of investments by the board varies according to the company and it’s </w:t>
      </w:r>
      <w:r w:rsidRPr="005F661F">
        <w:rPr>
          <w:rFonts w:asciiTheme="minorHAnsi" w:hAnsiTheme="minorHAnsi" w:cstheme="minorHAnsi"/>
          <w:b/>
          <w:bCs/>
          <w:sz w:val="22"/>
          <w:szCs w:val="22"/>
        </w:rPr>
        <w:t xml:space="preserve">not possible to determine a common </w:t>
      </w:r>
      <w:proofErr w:type="gramStart"/>
      <w:r w:rsidRPr="005F661F">
        <w:rPr>
          <w:rFonts w:asciiTheme="minorHAnsi" w:hAnsiTheme="minorHAnsi" w:cstheme="minorHAnsi"/>
          <w:b/>
          <w:bCs/>
          <w:sz w:val="22"/>
          <w:szCs w:val="22"/>
        </w:rPr>
        <w:t>threshold</w:t>
      </w:r>
      <w:r w:rsidRPr="00F67A0B">
        <w:rPr>
          <w:rFonts w:asciiTheme="minorHAnsi" w:hAnsiTheme="minorHAnsi" w:cstheme="minorHAnsi"/>
          <w:sz w:val="22"/>
          <w:szCs w:val="22"/>
        </w:rPr>
        <w:t>;</w:t>
      </w:r>
      <w:proofErr w:type="gramEnd"/>
    </w:p>
    <w:p w14:paraId="63CCF80A" w14:textId="77777777" w:rsidR="000145E9" w:rsidRPr="000145E9" w:rsidRDefault="00596DEE" w:rsidP="000145E9">
      <w:pPr>
        <w:pStyle w:val="Paragraphedeliste"/>
        <w:numPr>
          <w:ilvl w:val="0"/>
          <w:numId w:val="42"/>
        </w:numPr>
        <w:rPr>
          <w:rFonts w:asciiTheme="minorHAnsi" w:hAnsiTheme="minorHAnsi" w:cstheme="minorHAnsi"/>
          <w:sz w:val="22"/>
          <w:szCs w:val="22"/>
        </w:rPr>
      </w:pPr>
      <w:r w:rsidRPr="000145E9">
        <w:rPr>
          <w:rFonts w:asciiTheme="minorHAnsi" w:hAnsiTheme="minorHAnsi" w:cstheme="minorHAnsi"/>
          <w:sz w:val="22"/>
          <w:szCs w:val="22"/>
        </w:rPr>
        <w:t xml:space="preserve">disclosing the plan could </w:t>
      </w:r>
      <w:r w:rsidRPr="005F661F">
        <w:rPr>
          <w:rFonts w:asciiTheme="minorHAnsi" w:hAnsiTheme="minorHAnsi" w:cstheme="minorHAnsi"/>
          <w:b/>
          <w:bCs/>
          <w:sz w:val="22"/>
          <w:szCs w:val="22"/>
        </w:rPr>
        <w:t>result in disclosing sensitive strategic information</w:t>
      </w:r>
      <w:r w:rsidRPr="000145E9">
        <w:rPr>
          <w:rFonts w:asciiTheme="minorHAnsi" w:hAnsiTheme="minorHAnsi" w:cstheme="minorHAnsi"/>
          <w:sz w:val="22"/>
          <w:szCs w:val="22"/>
        </w:rPr>
        <w:t>.</w:t>
      </w:r>
    </w:p>
    <w:permEnd w:id="910372547"/>
    <w:p w14:paraId="44CC0988" w14:textId="49547871" w:rsidR="00492B3A" w:rsidRDefault="00492B3A" w:rsidP="00492B3A">
      <w:r>
        <w:t>&lt;ESMA_QUESTION_TRART8_4&gt;</w:t>
      </w:r>
    </w:p>
    <w:p w14:paraId="629688A3" w14:textId="77777777" w:rsidR="00492B3A" w:rsidRDefault="00492B3A" w:rsidP="00492B3A"/>
    <w:p w14:paraId="4404B413" w14:textId="386DAEEB" w:rsidR="00492B3A" w:rsidRDefault="00492B3A" w:rsidP="00492B3A">
      <w:pPr>
        <w:pStyle w:val="Questionstyle"/>
      </w:pPr>
      <w:r>
        <w:t>For this KPI, do you agree with the proposed approach to defining OpEx (bullet a in the draft advice)?</w:t>
      </w:r>
    </w:p>
    <w:p w14:paraId="037D1519" w14:textId="77777777" w:rsidR="00492B3A" w:rsidRDefault="00492B3A" w:rsidP="00492B3A">
      <w:r>
        <w:t>&lt;ESMA_QUESTION_TRART8_5&gt;</w:t>
      </w:r>
    </w:p>
    <w:p w14:paraId="499E4455" w14:textId="77777777" w:rsidR="00624269" w:rsidRPr="00FA7EF8" w:rsidRDefault="00624269" w:rsidP="00FA7EF8">
      <w:pPr>
        <w:pStyle w:val="Questionstyle"/>
        <w:numPr>
          <w:ilvl w:val="0"/>
          <w:numId w:val="0"/>
        </w:numPr>
        <w:spacing w:after="0" w:line="240" w:lineRule="auto"/>
        <w:rPr>
          <w:rFonts w:cstheme="minorHAnsi"/>
          <w:b w:val="0"/>
          <w:bCs/>
          <w:szCs w:val="22"/>
          <w:lang w:val="en-US"/>
        </w:rPr>
      </w:pPr>
      <w:permStart w:id="1454397300" w:edGrp="everyone"/>
      <w:r w:rsidRPr="005F661F">
        <w:rPr>
          <w:lang w:val="en-US"/>
        </w:rPr>
        <w:t xml:space="preserve">We strongly disagree with the proposed approach and question whether it is useful or relevant to publish the </w:t>
      </w:r>
      <w:proofErr w:type="spellStart"/>
      <w:r w:rsidRPr="005F661F">
        <w:rPr>
          <w:lang w:val="en-US"/>
        </w:rPr>
        <w:t>OpEx</w:t>
      </w:r>
      <w:proofErr w:type="spellEnd"/>
      <w:r w:rsidRPr="005F661F">
        <w:rPr>
          <w:lang w:val="en-US"/>
        </w:rPr>
        <w:t xml:space="preserve"> KPI</w:t>
      </w:r>
      <w:r>
        <w:rPr>
          <w:b w:val="0"/>
          <w:bCs/>
          <w:lang w:val="en-US"/>
        </w:rPr>
        <w:t xml:space="preserve">. We would like to remind that the institutional agreement between the co-legislators reached in December 2019 on the Commission’s proposal for a regulation establishing the Taxonomy required – under article 4 delta – the disclosure of </w:t>
      </w:r>
      <w:r w:rsidRPr="00546E4F">
        <w:rPr>
          <w:b w:val="0"/>
          <w:bCs/>
          <w:szCs w:val="22"/>
          <w:lang w:val="en-US"/>
        </w:rPr>
        <w:t>“</w:t>
      </w:r>
      <w:r w:rsidRPr="00386C2D">
        <w:rPr>
          <w:b w:val="0"/>
          <w:bCs/>
          <w:i/>
          <w:iCs/>
          <w:szCs w:val="22"/>
        </w:rPr>
        <w:t xml:space="preserve">the proportion of their total investments (Capital Expenditure) </w:t>
      </w:r>
      <w:r w:rsidRPr="00386C2D">
        <w:rPr>
          <w:i/>
          <w:iCs/>
          <w:szCs w:val="22"/>
          <w:u w:val="single"/>
        </w:rPr>
        <w:t>and/or</w:t>
      </w:r>
      <w:r w:rsidRPr="00386C2D">
        <w:rPr>
          <w:b w:val="0"/>
          <w:bCs/>
          <w:i/>
          <w:iCs/>
          <w:szCs w:val="22"/>
        </w:rPr>
        <w:t xml:space="preserve"> expenditures (Operating Expenditure) related to assets or processes associated with environmentally sustainable economic activities</w:t>
      </w:r>
      <w:r w:rsidRPr="00546E4F">
        <w:rPr>
          <w:b w:val="0"/>
          <w:bCs/>
          <w:szCs w:val="22"/>
        </w:rPr>
        <w:t>”</w:t>
      </w:r>
      <w:r>
        <w:rPr>
          <w:b w:val="0"/>
          <w:bCs/>
          <w:szCs w:val="22"/>
        </w:rPr>
        <w:t xml:space="preserve"> while the final version of the Regulation </w:t>
      </w:r>
      <w:r w:rsidRPr="007E55AC">
        <w:rPr>
          <w:b w:val="0"/>
          <w:bCs/>
          <w:szCs w:val="22"/>
        </w:rPr>
        <w:t xml:space="preserve">published </w:t>
      </w:r>
      <w:r>
        <w:rPr>
          <w:b w:val="0"/>
          <w:bCs/>
          <w:szCs w:val="22"/>
        </w:rPr>
        <w:t>requires under article 8 the disclosure of “</w:t>
      </w:r>
      <w:r w:rsidRPr="007E55AC">
        <w:rPr>
          <w:b w:val="0"/>
          <w:bCs/>
          <w:i/>
          <w:iCs/>
          <w:szCs w:val="22"/>
        </w:rPr>
        <w:t xml:space="preserve">the proportion of their capital expenditure </w:t>
      </w:r>
      <w:r w:rsidRPr="007E55AC">
        <w:rPr>
          <w:i/>
          <w:iCs/>
          <w:szCs w:val="22"/>
          <w:u w:val="single"/>
        </w:rPr>
        <w:t>and</w:t>
      </w:r>
      <w:r w:rsidRPr="007E55AC">
        <w:rPr>
          <w:b w:val="0"/>
          <w:bCs/>
          <w:i/>
          <w:iCs/>
          <w:szCs w:val="22"/>
        </w:rPr>
        <w:t xml:space="preserve"> the proportion of their operating </w:t>
      </w:r>
      <w:r w:rsidRPr="00FA7EF8">
        <w:rPr>
          <w:rFonts w:cstheme="minorHAnsi"/>
          <w:b w:val="0"/>
          <w:bCs/>
          <w:i/>
          <w:iCs/>
          <w:szCs w:val="22"/>
        </w:rPr>
        <w:t>expenditure</w:t>
      </w:r>
      <w:r w:rsidRPr="00FA7EF8">
        <w:rPr>
          <w:rFonts w:cstheme="minorHAnsi"/>
          <w:b w:val="0"/>
          <w:bCs/>
          <w:szCs w:val="22"/>
        </w:rPr>
        <w:t>”.</w:t>
      </w:r>
    </w:p>
    <w:p w14:paraId="4D195C53" w14:textId="365709F1" w:rsidR="00FA7EF8" w:rsidRDefault="00624269" w:rsidP="00FA7EF8">
      <w:pPr>
        <w:jc w:val="both"/>
        <w:rPr>
          <w:rFonts w:asciiTheme="minorHAnsi" w:hAnsiTheme="minorHAnsi" w:cstheme="minorHAnsi"/>
          <w:b/>
          <w:bCs/>
          <w:sz w:val="22"/>
          <w:szCs w:val="22"/>
        </w:rPr>
      </w:pPr>
      <w:r w:rsidRPr="00FA7EF8">
        <w:rPr>
          <w:rFonts w:asciiTheme="minorHAnsi" w:hAnsiTheme="minorHAnsi" w:cstheme="minorHAnsi"/>
          <w:bCs/>
          <w:sz w:val="22"/>
          <w:szCs w:val="22"/>
          <w:lang w:val="en-US"/>
        </w:rPr>
        <w:t xml:space="preserve">It is our understanding that the purpose of this disclosure was </w:t>
      </w:r>
      <w:r w:rsidRPr="00E874F8">
        <w:rPr>
          <w:rFonts w:asciiTheme="minorHAnsi" w:hAnsiTheme="minorHAnsi" w:cstheme="minorHAnsi"/>
          <w:b/>
          <w:sz w:val="22"/>
          <w:szCs w:val="22"/>
          <w:lang w:val="en-US"/>
        </w:rPr>
        <w:t>to focus on operating expenses that contribute to environmental objectives, such as research and development expenses</w:t>
      </w:r>
      <w:r w:rsidRPr="00FA7EF8">
        <w:rPr>
          <w:rFonts w:asciiTheme="minorHAnsi" w:hAnsiTheme="minorHAnsi" w:cstheme="minorHAnsi"/>
          <w:bCs/>
          <w:sz w:val="22"/>
          <w:szCs w:val="22"/>
          <w:lang w:val="en-US"/>
        </w:rPr>
        <w:t>, and not to capture the totality of operating expenses associated with the business. Computing all operating expenses at product line level requires the implementation of a dedicated analytical accounting process, which would be both impossible to implement and meaningless.</w:t>
      </w:r>
      <w:r w:rsidR="00FA7EF8" w:rsidRPr="00FA7EF8">
        <w:rPr>
          <w:rFonts w:asciiTheme="minorHAnsi" w:hAnsiTheme="minorHAnsi" w:cstheme="minorHAnsi"/>
          <w:bCs/>
          <w:sz w:val="22"/>
          <w:szCs w:val="22"/>
          <w:lang w:val="en-US"/>
        </w:rPr>
        <w:t xml:space="preserve"> W</w:t>
      </w:r>
      <w:proofErr w:type="spellStart"/>
      <w:r w:rsidRPr="00FA7EF8">
        <w:rPr>
          <w:rFonts w:asciiTheme="minorHAnsi" w:hAnsiTheme="minorHAnsi" w:cstheme="minorHAnsi"/>
          <w:bCs/>
          <w:sz w:val="22"/>
          <w:szCs w:val="22"/>
        </w:rPr>
        <w:t>e</w:t>
      </w:r>
      <w:proofErr w:type="spellEnd"/>
      <w:r w:rsidRPr="00FA7EF8">
        <w:rPr>
          <w:rFonts w:asciiTheme="minorHAnsi" w:hAnsiTheme="minorHAnsi" w:cstheme="minorHAnsi"/>
          <w:bCs/>
          <w:sz w:val="22"/>
          <w:szCs w:val="22"/>
        </w:rPr>
        <w:t xml:space="preserve"> consider therefore that </w:t>
      </w:r>
      <w:r w:rsidRPr="008A067C">
        <w:rPr>
          <w:rFonts w:asciiTheme="minorHAnsi" w:hAnsiTheme="minorHAnsi" w:cstheme="minorHAnsi"/>
          <w:b/>
          <w:sz w:val="22"/>
          <w:szCs w:val="22"/>
        </w:rPr>
        <w:t xml:space="preserve">flexibility should be given to companies to decide whether it is relevant to disclose an </w:t>
      </w:r>
      <w:proofErr w:type="spellStart"/>
      <w:r w:rsidRPr="008A067C">
        <w:rPr>
          <w:rFonts w:asciiTheme="minorHAnsi" w:hAnsiTheme="minorHAnsi" w:cstheme="minorHAnsi"/>
          <w:b/>
          <w:sz w:val="22"/>
          <w:szCs w:val="22"/>
        </w:rPr>
        <w:t>OpEx</w:t>
      </w:r>
      <w:proofErr w:type="spellEnd"/>
      <w:r w:rsidRPr="008A067C">
        <w:rPr>
          <w:rFonts w:asciiTheme="minorHAnsi" w:hAnsiTheme="minorHAnsi" w:cstheme="minorHAnsi"/>
          <w:b/>
          <w:sz w:val="22"/>
          <w:szCs w:val="22"/>
        </w:rPr>
        <w:t xml:space="preserve"> KPI</w:t>
      </w:r>
      <w:r w:rsidRPr="00FA7EF8">
        <w:rPr>
          <w:rFonts w:asciiTheme="minorHAnsi" w:hAnsiTheme="minorHAnsi" w:cstheme="minorHAnsi"/>
          <w:bCs/>
          <w:sz w:val="22"/>
          <w:szCs w:val="22"/>
        </w:rPr>
        <w:t xml:space="preserve"> considering the variety of business </w:t>
      </w:r>
      <w:r w:rsidRPr="00FA7EF8">
        <w:rPr>
          <w:rFonts w:asciiTheme="minorHAnsi" w:hAnsiTheme="minorHAnsi" w:cstheme="minorHAnsi"/>
          <w:bCs/>
          <w:sz w:val="22"/>
          <w:szCs w:val="22"/>
        </w:rPr>
        <w:lastRenderedPageBreak/>
        <w:t xml:space="preserve">models : ESMA should clarify in its advice that </w:t>
      </w:r>
      <w:r w:rsidRPr="008A067C">
        <w:rPr>
          <w:rFonts w:asciiTheme="minorHAnsi" w:hAnsiTheme="minorHAnsi" w:cstheme="minorHAnsi"/>
          <w:b/>
          <w:sz w:val="22"/>
          <w:szCs w:val="22"/>
        </w:rPr>
        <w:t xml:space="preserve">where the taxonomy compliant part of </w:t>
      </w:r>
      <w:proofErr w:type="spellStart"/>
      <w:r w:rsidRPr="008A067C">
        <w:rPr>
          <w:rFonts w:asciiTheme="minorHAnsi" w:hAnsiTheme="minorHAnsi" w:cstheme="minorHAnsi"/>
          <w:b/>
          <w:sz w:val="22"/>
          <w:szCs w:val="22"/>
        </w:rPr>
        <w:t>OpEx</w:t>
      </w:r>
      <w:proofErr w:type="spellEnd"/>
      <w:r w:rsidRPr="008A067C">
        <w:rPr>
          <w:rFonts w:asciiTheme="minorHAnsi" w:hAnsiTheme="minorHAnsi" w:cstheme="minorHAnsi"/>
          <w:b/>
          <w:sz w:val="22"/>
          <w:szCs w:val="22"/>
        </w:rPr>
        <w:t xml:space="preserve"> is not deemed relevant and/or significant, companies should be authorised to explain why their taxonomy compliant part of </w:t>
      </w:r>
      <w:proofErr w:type="spellStart"/>
      <w:r w:rsidRPr="008A067C">
        <w:rPr>
          <w:rFonts w:asciiTheme="minorHAnsi" w:hAnsiTheme="minorHAnsi" w:cstheme="minorHAnsi"/>
          <w:b/>
          <w:sz w:val="22"/>
          <w:szCs w:val="22"/>
        </w:rPr>
        <w:t>OpEx</w:t>
      </w:r>
      <w:proofErr w:type="spellEnd"/>
      <w:r w:rsidRPr="008A067C">
        <w:rPr>
          <w:rFonts w:asciiTheme="minorHAnsi" w:hAnsiTheme="minorHAnsi" w:cstheme="minorHAnsi"/>
          <w:b/>
          <w:sz w:val="22"/>
          <w:szCs w:val="22"/>
        </w:rPr>
        <w:t xml:space="preserve"> is not significant instead of disclosing a useless figure</w:t>
      </w:r>
      <w:r w:rsidRPr="00FA7EF8">
        <w:rPr>
          <w:rFonts w:asciiTheme="minorHAnsi" w:hAnsiTheme="minorHAnsi" w:cstheme="minorHAnsi"/>
          <w:bCs/>
          <w:sz w:val="22"/>
          <w:szCs w:val="22"/>
        </w:rPr>
        <w:t>.</w:t>
      </w:r>
    </w:p>
    <w:p w14:paraId="208A9476" w14:textId="036ECF75" w:rsidR="00492B3A" w:rsidRDefault="00931163" w:rsidP="00492B3A">
      <w:proofErr w:type="gramStart"/>
      <w:r w:rsidRPr="00772408">
        <w:rPr>
          <w:rFonts w:cs="Arial"/>
          <w:szCs w:val="20"/>
        </w:rPr>
        <w:t>.</w:t>
      </w:r>
      <w:permEnd w:id="1454397300"/>
      <w:r w:rsidR="00492B3A">
        <w:t>&lt;</w:t>
      </w:r>
      <w:proofErr w:type="gramEnd"/>
      <w:r w:rsidR="00492B3A">
        <w:t>ESMA_QUESTION_TRART8_5&gt;</w:t>
      </w:r>
    </w:p>
    <w:p w14:paraId="7F6E38EC" w14:textId="77777777" w:rsidR="00492B3A" w:rsidRDefault="00492B3A" w:rsidP="00492B3A"/>
    <w:p w14:paraId="428AAF91" w14:textId="35434FB5" w:rsidR="00492B3A" w:rsidRDefault="00492B3A" w:rsidP="00492B3A">
      <w:pPr>
        <w:pStyle w:val="Questionstyle"/>
      </w:pPr>
      <w:r>
        <w:t>For this KPI, do you agree with the proposed approach to when OpEx can be counted, including the definition of ‘plan’ (bullet b in the draft advice)? With reference to the TEG’s inclusion of the words “if relevant” in relation to OpEx, in which situations should it be possible to count OpEx as Taxonomy-aligned?</w:t>
      </w:r>
    </w:p>
    <w:p w14:paraId="5D7E3500" w14:textId="77777777" w:rsidR="00492B3A" w:rsidRDefault="00492B3A" w:rsidP="00492B3A">
      <w:r>
        <w:t>&lt;ESMA_QUESTION_TRART8_6&gt;</w:t>
      </w:r>
    </w:p>
    <w:p w14:paraId="40617854" w14:textId="77777777" w:rsidR="006E04D4" w:rsidRPr="00F67A0B" w:rsidRDefault="006E04D4" w:rsidP="006E04D4">
      <w:pPr>
        <w:contextualSpacing/>
        <w:jc w:val="both"/>
        <w:rPr>
          <w:rFonts w:asciiTheme="minorHAnsi" w:hAnsiTheme="minorHAnsi" w:cstheme="minorHAnsi"/>
          <w:sz w:val="22"/>
          <w:szCs w:val="22"/>
        </w:rPr>
      </w:pPr>
      <w:permStart w:id="164587406" w:edGrp="everyone"/>
      <w:r w:rsidRPr="002C7E03">
        <w:rPr>
          <w:rFonts w:asciiTheme="minorHAnsi" w:hAnsiTheme="minorHAnsi" w:cstheme="minorHAnsi"/>
          <w:b/>
          <w:bCs/>
          <w:sz w:val="22"/>
          <w:szCs w:val="22"/>
        </w:rPr>
        <w:t>No, we disagree with the approach and the requirement to be part of a « plan »</w:t>
      </w:r>
      <w:r w:rsidRPr="00F67A0B">
        <w:rPr>
          <w:rFonts w:asciiTheme="minorHAnsi" w:hAnsiTheme="minorHAnsi" w:cstheme="minorHAnsi"/>
          <w:sz w:val="22"/>
          <w:szCs w:val="22"/>
        </w:rPr>
        <w:t xml:space="preserve"> </w:t>
      </w:r>
      <w:r>
        <w:rPr>
          <w:rFonts w:asciiTheme="minorHAnsi" w:hAnsiTheme="minorHAnsi" w:cstheme="minorHAnsi"/>
          <w:sz w:val="22"/>
          <w:szCs w:val="22"/>
        </w:rPr>
        <w:t>(p</w:t>
      </w:r>
      <w:r w:rsidRPr="00F67A0B">
        <w:rPr>
          <w:rFonts w:asciiTheme="minorHAnsi" w:hAnsiTheme="minorHAnsi" w:cstheme="minorHAnsi"/>
          <w:sz w:val="22"/>
          <w:szCs w:val="22"/>
        </w:rPr>
        <w:t>lease refer to our answer to question 4</w:t>
      </w:r>
      <w:r>
        <w:rPr>
          <w:rFonts w:asciiTheme="minorHAnsi" w:hAnsiTheme="minorHAnsi" w:cstheme="minorHAnsi"/>
          <w:sz w:val="22"/>
          <w:szCs w:val="22"/>
        </w:rPr>
        <w:t xml:space="preserve">) unless this KPI aims at identifying </w:t>
      </w:r>
      <w:proofErr w:type="spellStart"/>
      <w:r>
        <w:rPr>
          <w:rFonts w:asciiTheme="minorHAnsi" w:hAnsiTheme="minorHAnsi" w:cstheme="minorHAnsi"/>
          <w:sz w:val="22"/>
          <w:szCs w:val="22"/>
        </w:rPr>
        <w:t>OpEx</w:t>
      </w:r>
      <w:proofErr w:type="spellEnd"/>
      <w:r>
        <w:rPr>
          <w:rFonts w:asciiTheme="minorHAnsi" w:hAnsiTheme="minorHAnsi" w:cstheme="minorHAnsi"/>
          <w:sz w:val="22"/>
          <w:szCs w:val="22"/>
        </w:rPr>
        <w:t xml:space="preserve"> that arise directly from a strategy to contribute to an environmental objective as mentioned in our answer to question 5</w:t>
      </w:r>
      <w:r w:rsidRPr="00F67A0B">
        <w:rPr>
          <w:rFonts w:asciiTheme="minorHAnsi" w:hAnsiTheme="minorHAnsi" w:cstheme="minorHAnsi"/>
          <w:sz w:val="22"/>
          <w:szCs w:val="22"/>
        </w:rPr>
        <w:t>.</w:t>
      </w:r>
      <w:r>
        <w:rPr>
          <w:rFonts w:asciiTheme="minorHAnsi" w:hAnsiTheme="minorHAnsi" w:cstheme="minorHAnsi"/>
          <w:sz w:val="22"/>
          <w:szCs w:val="22"/>
        </w:rPr>
        <w:t xml:space="preserve"> In such a case the </w:t>
      </w:r>
      <w:proofErr w:type="spellStart"/>
      <w:r>
        <w:rPr>
          <w:rFonts w:asciiTheme="minorHAnsi" w:hAnsiTheme="minorHAnsi" w:cstheme="minorHAnsi"/>
          <w:sz w:val="22"/>
          <w:szCs w:val="22"/>
        </w:rPr>
        <w:t>OpEx</w:t>
      </w:r>
      <w:proofErr w:type="spellEnd"/>
      <w:r>
        <w:rPr>
          <w:rFonts w:asciiTheme="minorHAnsi" w:hAnsiTheme="minorHAnsi" w:cstheme="minorHAnsi"/>
          <w:sz w:val="22"/>
          <w:szCs w:val="22"/>
        </w:rPr>
        <w:t xml:space="preserve"> taken into account to calculate the numerator should be restricted to expenses incurred for the implementation of said strategy and we would still disagree with the conditions put forward by ESMA to comply with the plan and in particular the 5-year horizon to achieve the objectives. </w:t>
      </w:r>
    </w:p>
    <w:p w14:paraId="7A0C7BD5" w14:textId="2BD5B3DA" w:rsidR="00492B3A" w:rsidRDefault="00367ECE" w:rsidP="00492B3A">
      <w:proofErr w:type="gramStart"/>
      <w:r>
        <w:t>.</w:t>
      </w:r>
      <w:permEnd w:id="164587406"/>
      <w:r w:rsidR="00492B3A">
        <w:t>&lt;</w:t>
      </w:r>
      <w:proofErr w:type="gramEnd"/>
      <w:r w:rsidR="00492B3A">
        <w:t>ESMA_QUESTION_TRART8_6&gt;</w:t>
      </w:r>
    </w:p>
    <w:p w14:paraId="4BF785AD" w14:textId="77777777" w:rsidR="00492B3A" w:rsidRDefault="00492B3A" w:rsidP="00492B3A"/>
    <w:p w14:paraId="71D01BE1" w14:textId="5A6C64AB" w:rsidR="00492B3A" w:rsidRDefault="00492B3A" w:rsidP="00492B3A">
      <w:pPr>
        <w:pStyle w:val="Questionstyle"/>
      </w:pPr>
      <w:r>
        <w:t>Do you believe that any of the suggested approaches covered in questions 1 to 6 above will impose additional costs on non-financial undertakings? If yes, please specify the type of those costs, including whether they are one-off or ongoing, and provide your best quantitative estimate of their size.</w:t>
      </w:r>
    </w:p>
    <w:p w14:paraId="57CA855E" w14:textId="77777777" w:rsidR="00492B3A" w:rsidRDefault="00492B3A" w:rsidP="00492B3A">
      <w:r>
        <w:t>&lt;ESMA_QUESTION_TRART8_7&gt;</w:t>
      </w:r>
    </w:p>
    <w:p w14:paraId="33223C4E" w14:textId="77777777" w:rsidR="00E63ED3" w:rsidRPr="00F67A0B" w:rsidRDefault="00E63ED3" w:rsidP="00E63ED3">
      <w:pPr>
        <w:contextualSpacing/>
        <w:jc w:val="both"/>
        <w:rPr>
          <w:rFonts w:asciiTheme="minorHAnsi" w:hAnsiTheme="minorHAnsi" w:cstheme="minorHAnsi"/>
          <w:sz w:val="22"/>
          <w:szCs w:val="22"/>
        </w:rPr>
      </w:pPr>
      <w:permStart w:id="1191210126" w:edGrp="everyone"/>
      <w:r w:rsidRPr="00F67A0B">
        <w:rPr>
          <w:rFonts w:asciiTheme="minorHAnsi" w:hAnsiTheme="minorHAnsi" w:cstheme="minorHAnsi"/>
          <w:sz w:val="22"/>
          <w:szCs w:val="22"/>
        </w:rPr>
        <w:t xml:space="preserve">Disclosing new KPIs will </w:t>
      </w:r>
      <w:r w:rsidRPr="001C1ADA">
        <w:rPr>
          <w:rFonts w:asciiTheme="minorHAnsi" w:hAnsiTheme="minorHAnsi" w:cstheme="minorHAnsi"/>
          <w:b/>
          <w:bCs/>
          <w:sz w:val="22"/>
          <w:szCs w:val="22"/>
        </w:rPr>
        <w:t>necessarily generate additional costs for preparers</w:t>
      </w:r>
      <w:r>
        <w:rPr>
          <w:rFonts w:asciiTheme="minorHAnsi" w:hAnsiTheme="minorHAnsi" w:cstheme="minorHAnsi"/>
          <w:sz w:val="22"/>
          <w:szCs w:val="22"/>
        </w:rPr>
        <w:t xml:space="preserve"> for the following reasons, although at this stage and within the deadline of the consultation it is not possible to assess these costs:</w:t>
      </w:r>
    </w:p>
    <w:p w14:paraId="43705A12" w14:textId="7310AB4C" w:rsidR="00E63ED3" w:rsidRDefault="00E63ED3" w:rsidP="00E63ED3">
      <w:pPr>
        <w:pStyle w:val="Paragraphedeliste"/>
        <w:numPr>
          <w:ilvl w:val="0"/>
          <w:numId w:val="45"/>
        </w:numPr>
        <w:jc w:val="both"/>
        <w:rPr>
          <w:rFonts w:asciiTheme="minorHAnsi" w:hAnsiTheme="minorHAnsi" w:cstheme="minorHAnsi"/>
          <w:sz w:val="22"/>
          <w:szCs w:val="22"/>
        </w:rPr>
      </w:pPr>
      <w:r>
        <w:rPr>
          <w:rFonts w:asciiTheme="minorHAnsi" w:hAnsiTheme="minorHAnsi" w:cstheme="minorHAnsi"/>
          <w:sz w:val="22"/>
          <w:szCs w:val="22"/>
        </w:rPr>
        <w:t xml:space="preserve">In our view, the </w:t>
      </w:r>
      <w:r w:rsidRPr="001C1ADA">
        <w:rPr>
          <w:rFonts w:asciiTheme="minorHAnsi" w:hAnsiTheme="minorHAnsi" w:cstheme="minorHAnsi"/>
          <w:b/>
          <w:bCs/>
          <w:sz w:val="22"/>
          <w:szCs w:val="22"/>
        </w:rPr>
        <w:t>main source of new costs will come from</w:t>
      </w:r>
      <w:r w:rsidR="007841C8" w:rsidRPr="001C1ADA">
        <w:rPr>
          <w:rFonts w:asciiTheme="minorHAnsi" w:hAnsiTheme="minorHAnsi" w:cstheme="minorHAnsi"/>
          <w:b/>
          <w:bCs/>
          <w:sz w:val="22"/>
          <w:szCs w:val="22"/>
        </w:rPr>
        <w:t xml:space="preserve"> </w:t>
      </w:r>
      <w:r w:rsidRPr="001C1ADA">
        <w:rPr>
          <w:rFonts w:asciiTheme="minorHAnsi" w:hAnsiTheme="minorHAnsi" w:cstheme="minorHAnsi"/>
          <w:b/>
          <w:bCs/>
          <w:sz w:val="22"/>
          <w:szCs w:val="22"/>
        </w:rPr>
        <w:t>the obligation to assess whether a company’s activities are Taxonomy compliant</w:t>
      </w:r>
      <w:r>
        <w:rPr>
          <w:rFonts w:asciiTheme="minorHAnsi" w:hAnsiTheme="minorHAnsi" w:cstheme="minorHAnsi"/>
          <w:sz w:val="22"/>
          <w:szCs w:val="22"/>
        </w:rPr>
        <w:t>. In some cases given the activities concerned and for some conditions and criteria laid down in</w:t>
      </w:r>
      <w:r w:rsidR="00281174">
        <w:rPr>
          <w:rFonts w:asciiTheme="minorHAnsi" w:hAnsiTheme="minorHAnsi" w:cstheme="minorHAnsi"/>
          <w:sz w:val="22"/>
          <w:szCs w:val="22"/>
        </w:rPr>
        <w:t xml:space="preserve"> </w:t>
      </w:r>
      <w:r>
        <w:rPr>
          <w:rFonts w:asciiTheme="minorHAnsi" w:hAnsiTheme="minorHAnsi" w:cstheme="minorHAnsi"/>
          <w:sz w:val="22"/>
          <w:szCs w:val="22"/>
        </w:rPr>
        <w:t xml:space="preserve">European legislation – such as the Do No Significant Harm criterion of the Taxonomy Regulation – the assessment will have to be performed at a very detailed level </w:t>
      </w:r>
      <w:r w:rsidR="00281174">
        <w:rPr>
          <w:rFonts w:asciiTheme="minorHAnsi" w:hAnsiTheme="minorHAnsi" w:cstheme="minorHAnsi"/>
          <w:sz w:val="22"/>
          <w:szCs w:val="22"/>
        </w:rPr>
        <w:t xml:space="preserve">– </w:t>
      </w:r>
      <w:r>
        <w:rPr>
          <w:rFonts w:asciiTheme="minorHAnsi" w:hAnsiTheme="minorHAnsi" w:cstheme="minorHAnsi"/>
          <w:sz w:val="22"/>
          <w:szCs w:val="22"/>
        </w:rPr>
        <w:t xml:space="preserve"> site or product line level </w:t>
      </w:r>
      <w:r w:rsidR="00281174">
        <w:rPr>
          <w:rFonts w:asciiTheme="minorHAnsi" w:hAnsiTheme="minorHAnsi" w:cstheme="minorHAnsi"/>
          <w:sz w:val="22"/>
          <w:szCs w:val="22"/>
        </w:rPr>
        <w:t xml:space="preserve">– </w:t>
      </w:r>
      <w:r>
        <w:rPr>
          <w:rFonts w:asciiTheme="minorHAnsi" w:hAnsiTheme="minorHAnsi" w:cstheme="minorHAnsi"/>
          <w:sz w:val="22"/>
          <w:szCs w:val="22"/>
        </w:rPr>
        <w:t xml:space="preserve">which will be very burdensome and costly to implement. Furthermore, the Taxonomy Regulation does not state clearly whether the assessment shall be made once for all or if it needs to be performed every year but the second option seems reasonable since the KPIs will be required every year in the non-financial statement. Therefore, </w:t>
      </w:r>
      <w:r w:rsidRPr="001C1ADA">
        <w:rPr>
          <w:rFonts w:asciiTheme="minorHAnsi" w:hAnsiTheme="minorHAnsi" w:cstheme="minorHAnsi"/>
          <w:b/>
          <w:bCs/>
          <w:sz w:val="22"/>
          <w:szCs w:val="22"/>
        </w:rPr>
        <w:t>assessments costs will be one-off and on-going costs</w:t>
      </w:r>
      <w:r>
        <w:rPr>
          <w:rFonts w:asciiTheme="minorHAnsi" w:hAnsiTheme="minorHAnsi" w:cstheme="minorHAnsi"/>
          <w:sz w:val="22"/>
          <w:szCs w:val="22"/>
        </w:rPr>
        <w:t>.</w:t>
      </w:r>
    </w:p>
    <w:p w14:paraId="483C474B" w14:textId="06019DBB" w:rsidR="00E63ED3" w:rsidRPr="00C1048B" w:rsidRDefault="00E63ED3" w:rsidP="00E63ED3">
      <w:pPr>
        <w:pStyle w:val="Paragraphedeliste"/>
        <w:numPr>
          <w:ilvl w:val="0"/>
          <w:numId w:val="45"/>
        </w:numPr>
        <w:jc w:val="both"/>
        <w:rPr>
          <w:rFonts w:asciiTheme="minorHAnsi" w:hAnsiTheme="minorHAnsi" w:cstheme="minorHAnsi"/>
          <w:sz w:val="22"/>
          <w:szCs w:val="22"/>
        </w:rPr>
      </w:pPr>
      <w:r w:rsidRPr="00BD2D9A">
        <w:rPr>
          <w:rFonts w:asciiTheme="minorHAnsi" w:hAnsiTheme="minorHAnsi" w:cstheme="minorHAnsi"/>
          <w:sz w:val="22"/>
          <w:szCs w:val="22"/>
        </w:rPr>
        <w:t xml:space="preserve">Companies </w:t>
      </w:r>
      <w:r w:rsidRPr="001C1ADA">
        <w:rPr>
          <w:rFonts w:asciiTheme="minorHAnsi" w:hAnsiTheme="minorHAnsi" w:cstheme="minorHAnsi"/>
          <w:b/>
          <w:bCs/>
          <w:sz w:val="22"/>
          <w:szCs w:val="22"/>
        </w:rPr>
        <w:t>reporting processes and IT systems are not organised according to the NACE classification</w:t>
      </w:r>
      <w:r w:rsidRPr="00BD2D9A">
        <w:rPr>
          <w:rFonts w:asciiTheme="minorHAnsi" w:hAnsiTheme="minorHAnsi" w:cstheme="minorHAnsi"/>
          <w:sz w:val="22"/>
          <w:szCs w:val="22"/>
        </w:rPr>
        <w:t>. Neither is the operating segments reporting under IFRS 8.</w:t>
      </w:r>
      <w:r>
        <w:rPr>
          <w:rFonts w:asciiTheme="minorHAnsi" w:hAnsiTheme="minorHAnsi" w:cstheme="minorHAnsi"/>
          <w:sz w:val="22"/>
          <w:szCs w:val="22"/>
        </w:rPr>
        <w:t xml:space="preserve"> Those KPIs, somewhere between accounting and non-financial information will require numerous </w:t>
      </w:r>
      <w:r w:rsidRPr="005E07F6">
        <w:rPr>
          <w:rFonts w:asciiTheme="minorHAnsi" w:hAnsiTheme="minorHAnsi" w:cstheme="minorHAnsi"/>
          <w:i/>
          <w:iCs/>
          <w:sz w:val="22"/>
          <w:szCs w:val="22"/>
        </w:rPr>
        <w:t>ad hoc</w:t>
      </w:r>
      <w:r>
        <w:rPr>
          <w:rFonts w:asciiTheme="minorHAnsi" w:hAnsiTheme="minorHAnsi" w:cstheme="minorHAnsi"/>
          <w:sz w:val="22"/>
          <w:szCs w:val="22"/>
        </w:rPr>
        <w:t xml:space="preserve"> treatments</w:t>
      </w:r>
      <w:r w:rsidRPr="00C1048B">
        <w:rPr>
          <w:rFonts w:asciiTheme="minorHAnsi" w:hAnsiTheme="minorHAnsi" w:cstheme="minorHAnsi"/>
          <w:sz w:val="22"/>
          <w:szCs w:val="22"/>
        </w:rPr>
        <w:t xml:space="preserve"> (for instance to</w:t>
      </w:r>
      <w:r w:rsidR="00520811">
        <w:rPr>
          <w:rFonts w:asciiTheme="minorHAnsi" w:hAnsiTheme="minorHAnsi" w:cstheme="minorHAnsi"/>
          <w:sz w:val="22"/>
          <w:szCs w:val="22"/>
        </w:rPr>
        <w:t xml:space="preserve"> restate</w:t>
      </w:r>
      <w:r w:rsidRPr="00C1048B">
        <w:rPr>
          <w:rFonts w:asciiTheme="minorHAnsi" w:hAnsiTheme="minorHAnsi" w:cstheme="minorHAnsi"/>
          <w:sz w:val="22"/>
          <w:szCs w:val="22"/>
        </w:rPr>
        <w:t xml:space="preserve"> intercompany flows), which will be very burdensome. </w:t>
      </w:r>
      <w:r>
        <w:rPr>
          <w:rFonts w:asciiTheme="minorHAnsi" w:hAnsiTheme="minorHAnsi" w:cstheme="minorHAnsi"/>
          <w:sz w:val="22"/>
          <w:szCs w:val="22"/>
        </w:rPr>
        <w:t>Besides, f</w:t>
      </w:r>
      <w:r w:rsidRPr="00C1048B">
        <w:rPr>
          <w:rFonts w:asciiTheme="minorHAnsi" w:hAnsiTheme="minorHAnsi" w:cstheme="minorHAnsi"/>
          <w:sz w:val="22"/>
          <w:szCs w:val="22"/>
        </w:rPr>
        <w:t xml:space="preserve">or some industries, a finer analysis than at the NACE code level could be needed, generating costly treatments. </w:t>
      </w:r>
    </w:p>
    <w:p w14:paraId="4B87F185" w14:textId="77777777" w:rsidR="00E63ED3" w:rsidRPr="00BD2D9A" w:rsidRDefault="00E63ED3" w:rsidP="00E63ED3">
      <w:pPr>
        <w:pStyle w:val="Paragraphedeliste"/>
        <w:numPr>
          <w:ilvl w:val="0"/>
          <w:numId w:val="45"/>
        </w:numPr>
        <w:jc w:val="both"/>
        <w:rPr>
          <w:rFonts w:asciiTheme="minorHAnsi" w:hAnsiTheme="minorHAnsi" w:cstheme="minorHAnsi"/>
          <w:sz w:val="22"/>
          <w:szCs w:val="22"/>
        </w:rPr>
      </w:pPr>
      <w:r w:rsidRPr="00330C5A">
        <w:rPr>
          <w:rFonts w:asciiTheme="minorHAnsi" w:hAnsiTheme="minorHAnsi" w:cstheme="minorHAnsi"/>
          <w:b/>
          <w:bCs/>
          <w:sz w:val="22"/>
          <w:szCs w:val="22"/>
        </w:rPr>
        <w:t>Collecting and compiling new data will generate additional work and costs including costs due to staff training</w:t>
      </w:r>
      <w:r w:rsidRPr="00BD2D9A">
        <w:rPr>
          <w:rFonts w:asciiTheme="minorHAnsi" w:hAnsiTheme="minorHAnsi" w:cstheme="minorHAnsi"/>
          <w:sz w:val="22"/>
          <w:szCs w:val="22"/>
        </w:rPr>
        <w:t>.</w:t>
      </w:r>
    </w:p>
    <w:p w14:paraId="39495D06" w14:textId="77777777" w:rsidR="00E63ED3" w:rsidRDefault="00E63ED3" w:rsidP="00E63ED3">
      <w:pPr>
        <w:pStyle w:val="Paragraphedeliste"/>
        <w:numPr>
          <w:ilvl w:val="0"/>
          <w:numId w:val="45"/>
        </w:numPr>
        <w:jc w:val="both"/>
        <w:rPr>
          <w:rFonts w:asciiTheme="minorHAnsi" w:hAnsiTheme="minorHAnsi" w:cstheme="minorHAnsi"/>
          <w:sz w:val="22"/>
          <w:szCs w:val="22"/>
        </w:rPr>
      </w:pPr>
      <w:r w:rsidRPr="00BD2D9A">
        <w:rPr>
          <w:rFonts w:asciiTheme="minorHAnsi" w:hAnsiTheme="minorHAnsi" w:cstheme="minorHAnsi"/>
          <w:sz w:val="22"/>
          <w:szCs w:val="22"/>
        </w:rPr>
        <w:t xml:space="preserve">Since the KPIs are included in the non-financial statement, this will generate </w:t>
      </w:r>
      <w:r w:rsidRPr="00330C5A">
        <w:rPr>
          <w:rFonts w:asciiTheme="minorHAnsi" w:hAnsiTheme="minorHAnsi" w:cstheme="minorHAnsi"/>
          <w:b/>
          <w:bCs/>
          <w:sz w:val="22"/>
          <w:szCs w:val="22"/>
        </w:rPr>
        <w:t>additional on-going verification costs for companies</w:t>
      </w:r>
      <w:r w:rsidRPr="00BD2D9A">
        <w:rPr>
          <w:rFonts w:asciiTheme="minorHAnsi" w:hAnsiTheme="minorHAnsi" w:cstheme="minorHAnsi"/>
          <w:sz w:val="22"/>
          <w:szCs w:val="22"/>
        </w:rPr>
        <w:t xml:space="preserve"> : in France the non-financial statement must be verified by an independent assurance services provider</w:t>
      </w:r>
      <w:r>
        <w:rPr>
          <w:rFonts w:asciiTheme="minorHAnsi" w:hAnsiTheme="minorHAnsi" w:cstheme="minorHAnsi"/>
          <w:sz w:val="22"/>
          <w:szCs w:val="22"/>
        </w:rPr>
        <w:t xml:space="preserve"> and we understand that in the context of the review of </w:t>
      </w:r>
      <w:r>
        <w:rPr>
          <w:rFonts w:asciiTheme="minorHAnsi" w:hAnsiTheme="minorHAnsi" w:cstheme="minorHAnsi"/>
          <w:sz w:val="22"/>
          <w:szCs w:val="22"/>
        </w:rPr>
        <w:lastRenderedPageBreak/>
        <w:t>the NFRD, verification of non-financial information by an independent third-party could be made mandatory for all companies</w:t>
      </w:r>
      <w:r w:rsidRPr="00C75E93">
        <w:rPr>
          <w:rFonts w:asciiTheme="minorHAnsi" w:hAnsiTheme="minorHAnsi" w:cstheme="minorHAnsi"/>
          <w:sz w:val="22"/>
          <w:szCs w:val="22"/>
        </w:rPr>
        <w:t>.</w:t>
      </w:r>
    </w:p>
    <w:p w14:paraId="7EFE1789" w14:textId="2A90151C" w:rsidR="00210FCC" w:rsidRPr="00E63ED3" w:rsidRDefault="00E63ED3" w:rsidP="00E63ED3">
      <w:pPr>
        <w:pStyle w:val="Paragraphedeliste"/>
        <w:numPr>
          <w:ilvl w:val="0"/>
          <w:numId w:val="45"/>
        </w:numPr>
        <w:jc w:val="both"/>
        <w:rPr>
          <w:rFonts w:asciiTheme="minorHAnsi" w:hAnsiTheme="minorHAnsi" w:cstheme="minorHAnsi"/>
          <w:sz w:val="22"/>
          <w:szCs w:val="22"/>
        </w:rPr>
      </w:pPr>
      <w:r w:rsidRPr="00330C5A">
        <w:rPr>
          <w:rFonts w:asciiTheme="minorHAnsi" w:hAnsiTheme="minorHAnsi" w:cstheme="minorHAnsi"/>
          <w:b/>
          <w:bCs/>
          <w:sz w:val="22"/>
          <w:szCs w:val="22"/>
        </w:rPr>
        <w:t>Disclosure requirements under article 8 may evolve and companies may have to adapt to any changes or updates to the methodology thus incurring on-going maintenance costs</w:t>
      </w:r>
      <w:r>
        <w:rPr>
          <w:rFonts w:asciiTheme="minorHAnsi" w:hAnsiTheme="minorHAnsi" w:cstheme="minorHAnsi"/>
          <w:sz w:val="22"/>
          <w:szCs w:val="22"/>
        </w:rPr>
        <w:t xml:space="preserve">. The progressive additions to the taxonomy (achievement of the other environmental objectives, then potential developments of social objectives as envisaged by article 26 of </w:t>
      </w:r>
      <w:r w:rsidR="00622271">
        <w:rPr>
          <w:rFonts w:asciiTheme="minorHAnsi" w:hAnsiTheme="minorHAnsi" w:cstheme="minorHAnsi"/>
          <w:sz w:val="22"/>
          <w:szCs w:val="22"/>
        </w:rPr>
        <w:t>the T</w:t>
      </w:r>
      <w:r>
        <w:rPr>
          <w:rFonts w:asciiTheme="minorHAnsi" w:hAnsiTheme="minorHAnsi" w:cstheme="minorHAnsi"/>
          <w:sz w:val="22"/>
          <w:szCs w:val="22"/>
        </w:rPr>
        <w:t xml:space="preserve">axonomy </w:t>
      </w:r>
      <w:r w:rsidR="00622271">
        <w:rPr>
          <w:rFonts w:asciiTheme="minorHAnsi" w:hAnsiTheme="minorHAnsi" w:cstheme="minorHAnsi"/>
          <w:sz w:val="22"/>
          <w:szCs w:val="22"/>
        </w:rPr>
        <w:t>R</w:t>
      </w:r>
      <w:r>
        <w:rPr>
          <w:rFonts w:asciiTheme="minorHAnsi" w:hAnsiTheme="minorHAnsi" w:cstheme="minorHAnsi"/>
          <w:sz w:val="22"/>
          <w:szCs w:val="22"/>
        </w:rPr>
        <w:t>egulation) will generate successive adaptation costs for several years.</w:t>
      </w:r>
    </w:p>
    <w:permEnd w:id="1191210126"/>
    <w:p w14:paraId="20867D23" w14:textId="77777777" w:rsidR="00492B3A" w:rsidRDefault="00492B3A" w:rsidP="00492B3A">
      <w:r>
        <w:t>&lt;ESMA_QUESTION_TRART8_7&gt;</w:t>
      </w:r>
    </w:p>
    <w:p w14:paraId="627B65D4" w14:textId="77777777" w:rsidR="00492B3A" w:rsidRDefault="00492B3A" w:rsidP="00492B3A"/>
    <w:p w14:paraId="32FE661C" w14:textId="4F9A21D5" w:rsidR="00492B3A" w:rsidRDefault="00492B3A" w:rsidP="00492B3A">
      <w:pPr>
        <w:pStyle w:val="Questionstyle"/>
      </w:pPr>
      <w:r>
        <w:t>Do you agree that sectoral specificities should not be addressed in the advice, as proposed in Section 3.2.3?</w:t>
      </w:r>
    </w:p>
    <w:p w14:paraId="64A00FD2" w14:textId="77777777" w:rsidR="00492B3A" w:rsidRDefault="00492B3A" w:rsidP="00492B3A">
      <w:r>
        <w:t>&lt;ESMA_QUESTION_TRART8_8&gt;</w:t>
      </w:r>
    </w:p>
    <w:p w14:paraId="6B8BC859" w14:textId="18146E77" w:rsidR="00492B3A" w:rsidRDefault="00C41658" w:rsidP="00C41658">
      <w:pPr>
        <w:jc w:val="both"/>
      </w:pPr>
      <w:permStart w:id="21103909" w:edGrp="everyone"/>
      <w:r>
        <w:rPr>
          <w:rFonts w:asciiTheme="minorHAnsi" w:hAnsiTheme="minorHAnsi" w:cstheme="minorHAnsi"/>
          <w:sz w:val="22"/>
          <w:szCs w:val="22"/>
        </w:rPr>
        <w:t xml:space="preserve">We could agree that the KPIs are relevant for all economic sectors notwithstanding our reservations regarding </w:t>
      </w:r>
      <w:proofErr w:type="spellStart"/>
      <w:r>
        <w:rPr>
          <w:rFonts w:asciiTheme="minorHAnsi" w:hAnsiTheme="minorHAnsi" w:cstheme="minorHAnsi"/>
          <w:sz w:val="22"/>
          <w:szCs w:val="22"/>
        </w:rPr>
        <w:t>OpEx</w:t>
      </w:r>
      <w:proofErr w:type="spellEnd"/>
      <w:r>
        <w:rPr>
          <w:rFonts w:asciiTheme="minorHAnsi" w:hAnsiTheme="minorHAnsi" w:cstheme="minorHAnsi"/>
          <w:sz w:val="22"/>
          <w:szCs w:val="22"/>
        </w:rPr>
        <w:t xml:space="preserve">. However, given the diversity of business models we consider that </w:t>
      </w:r>
      <w:r w:rsidRPr="00AE5404">
        <w:rPr>
          <w:rFonts w:asciiTheme="minorHAnsi" w:hAnsiTheme="minorHAnsi" w:cstheme="minorHAnsi"/>
          <w:b/>
          <w:bCs/>
          <w:sz w:val="22"/>
          <w:szCs w:val="22"/>
        </w:rPr>
        <w:t>it would not be appropriate as regards the methodology to adopt a one-size-fits-all approach for the sake of comparability</w:t>
      </w:r>
      <w:r>
        <w:rPr>
          <w:rFonts w:asciiTheme="minorHAnsi" w:hAnsiTheme="minorHAnsi" w:cstheme="minorHAnsi"/>
          <w:sz w:val="22"/>
          <w:szCs w:val="22"/>
        </w:rPr>
        <w:t xml:space="preserve">. We believe that investors and other stakeholders as well as the management of companies need first and foremost relevant and meaningful information. End-users themselves need to compare performance within a same sector and therefore need to incorporate in their assessment specificities of each sector. </w:t>
      </w:r>
      <w:r w:rsidRPr="00DB03AA">
        <w:rPr>
          <w:rFonts w:asciiTheme="minorHAnsi" w:hAnsiTheme="minorHAnsi" w:cstheme="minorHAnsi"/>
          <w:b/>
          <w:bCs/>
          <w:sz w:val="22"/>
          <w:szCs w:val="22"/>
        </w:rPr>
        <w:t xml:space="preserve">Regarding </w:t>
      </w:r>
      <w:proofErr w:type="spellStart"/>
      <w:r w:rsidRPr="00DB03AA">
        <w:rPr>
          <w:rFonts w:asciiTheme="minorHAnsi" w:hAnsiTheme="minorHAnsi" w:cstheme="minorHAnsi"/>
          <w:b/>
          <w:bCs/>
          <w:sz w:val="22"/>
          <w:szCs w:val="22"/>
        </w:rPr>
        <w:t>OpEx</w:t>
      </w:r>
      <w:proofErr w:type="spellEnd"/>
      <w:r w:rsidRPr="00DB03AA">
        <w:rPr>
          <w:rFonts w:asciiTheme="minorHAnsi" w:hAnsiTheme="minorHAnsi" w:cstheme="minorHAnsi"/>
          <w:b/>
          <w:bCs/>
          <w:sz w:val="22"/>
          <w:szCs w:val="22"/>
        </w:rPr>
        <w:t xml:space="preserve"> we consider that requiring systematic disclosure of this KPI would be counterproductive</w:t>
      </w:r>
      <w:r>
        <w:rPr>
          <w:rFonts w:asciiTheme="minorHAnsi" w:hAnsiTheme="minorHAnsi" w:cstheme="minorHAnsi"/>
          <w:sz w:val="22"/>
          <w:szCs w:val="22"/>
        </w:rPr>
        <w:t xml:space="preserve"> as it will be very burdensome and generate significant costs for little added value.</w:t>
      </w:r>
    </w:p>
    <w:permEnd w:id="21103909"/>
    <w:p w14:paraId="6C91EF19" w14:textId="77777777" w:rsidR="00492B3A" w:rsidRDefault="00492B3A" w:rsidP="00492B3A">
      <w:r>
        <w:t>&lt;ESMA_QUESTION_TRART8_8&gt;</w:t>
      </w:r>
    </w:p>
    <w:p w14:paraId="358E7A29" w14:textId="77777777" w:rsidR="00492B3A" w:rsidRDefault="00492B3A" w:rsidP="00492B3A"/>
    <w:p w14:paraId="35F135E9" w14:textId="08007B24" w:rsidR="00492B3A" w:rsidRDefault="00492B3A" w:rsidP="00492B3A">
      <w:pPr>
        <w:pStyle w:val="Questionstyle"/>
      </w:pPr>
      <w:r>
        <w:t>Do you agree with the requirements for accompanying information which ESMA has proposed for the three KPIs?</w:t>
      </w:r>
    </w:p>
    <w:p w14:paraId="01ADFC46" w14:textId="77777777" w:rsidR="00492B3A" w:rsidRDefault="00492B3A" w:rsidP="00492B3A">
      <w:r>
        <w:t>&lt;ESMA_QUESTION_TRART8_9&gt;</w:t>
      </w:r>
    </w:p>
    <w:p w14:paraId="61079D9D" w14:textId="32D08029" w:rsidR="00C619E6" w:rsidRDefault="00C619E6" w:rsidP="00C619E6">
      <w:pPr>
        <w:pStyle w:val="Default"/>
        <w:jc w:val="both"/>
        <w:rPr>
          <w:rFonts w:asciiTheme="minorHAnsi" w:eastAsiaTheme="minorHAnsi" w:hAnsiTheme="minorHAnsi" w:cstheme="minorHAnsi"/>
          <w:noProof/>
          <w:sz w:val="22"/>
          <w:szCs w:val="22"/>
          <w:lang w:val="en-US" w:eastAsia="en-US"/>
        </w:rPr>
      </w:pPr>
      <w:permStart w:id="70807355" w:edGrp="everyone"/>
      <w:r w:rsidRPr="00DB03AA">
        <w:rPr>
          <w:rFonts w:asciiTheme="minorHAnsi" w:hAnsiTheme="minorHAnsi" w:cstheme="minorHAnsi"/>
          <w:b/>
          <w:bCs/>
          <w:sz w:val="22"/>
          <w:szCs w:val="22"/>
          <w:lang w:val="en-GB"/>
        </w:rPr>
        <w:t>We agree that companies should provide accompanying information.</w:t>
      </w:r>
      <w:r w:rsidRPr="00705942">
        <w:rPr>
          <w:rFonts w:asciiTheme="minorHAnsi" w:hAnsiTheme="minorHAnsi" w:cstheme="minorHAnsi"/>
          <w:sz w:val="22"/>
          <w:szCs w:val="22"/>
          <w:lang w:val="en-GB"/>
        </w:rPr>
        <w:t xml:space="preserve"> However</w:t>
      </w:r>
      <w:r>
        <w:rPr>
          <w:rFonts w:asciiTheme="minorHAnsi" w:hAnsiTheme="minorHAnsi" w:cstheme="minorHAnsi"/>
          <w:sz w:val="22"/>
          <w:szCs w:val="22"/>
          <w:lang w:val="en-GB"/>
        </w:rPr>
        <w:t>,</w:t>
      </w:r>
      <w:r w:rsidRPr="00705942">
        <w:rPr>
          <w:rFonts w:asciiTheme="minorHAnsi" w:hAnsiTheme="minorHAnsi" w:cstheme="minorHAnsi"/>
          <w:sz w:val="22"/>
          <w:szCs w:val="22"/>
          <w:lang w:val="en-GB"/>
        </w:rPr>
        <w:t xml:space="preserve"> </w:t>
      </w:r>
      <w:r w:rsidRPr="00DB03AA">
        <w:rPr>
          <w:rFonts w:asciiTheme="minorHAnsi" w:hAnsiTheme="minorHAnsi" w:cstheme="minorHAnsi"/>
          <w:b/>
          <w:bCs/>
          <w:noProof/>
          <w:sz w:val="22"/>
          <w:szCs w:val="22"/>
        </w:rPr>
        <w:t xml:space="preserve">regarding </w:t>
      </w:r>
      <w:r w:rsidR="002A582E" w:rsidRPr="00DB03AA">
        <w:rPr>
          <w:rFonts w:asciiTheme="minorHAnsi" w:eastAsiaTheme="minorHAnsi" w:hAnsiTheme="minorHAnsi" w:cstheme="minorHAnsi"/>
          <w:b/>
          <w:bCs/>
          <w:sz w:val="22"/>
          <w:szCs w:val="22"/>
          <w:lang w:val="en-US" w:eastAsia="en-US"/>
        </w:rPr>
        <w:t xml:space="preserve">information </w:t>
      </w:r>
      <w:r w:rsidR="005E5D45" w:rsidRPr="00DB03AA">
        <w:rPr>
          <w:rFonts w:asciiTheme="minorHAnsi" w:eastAsiaTheme="minorHAnsi" w:hAnsiTheme="minorHAnsi" w:cstheme="minorHAnsi"/>
          <w:b/>
          <w:bCs/>
          <w:sz w:val="22"/>
          <w:szCs w:val="22"/>
          <w:lang w:val="en-US" w:eastAsia="en-US"/>
        </w:rPr>
        <w:t xml:space="preserve">on the context </w:t>
      </w:r>
      <w:r w:rsidR="002A582E" w:rsidRPr="00DB03AA">
        <w:rPr>
          <w:rFonts w:asciiTheme="minorHAnsi" w:eastAsiaTheme="minorHAnsi" w:hAnsiTheme="minorHAnsi" w:cstheme="minorHAnsi"/>
          <w:b/>
          <w:bCs/>
          <w:sz w:val="22"/>
          <w:szCs w:val="22"/>
          <w:lang w:val="en-US" w:eastAsia="en-US"/>
        </w:rPr>
        <w:t xml:space="preserve">mentioned in paragraph 105 (b) of the consultation paper </w:t>
      </w:r>
      <w:r w:rsidR="005E5D45" w:rsidRPr="00DB03AA">
        <w:rPr>
          <w:rFonts w:asciiTheme="minorHAnsi" w:eastAsiaTheme="minorHAnsi" w:hAnsiTheme="minorHAnsi" w:cstheme="minorHAnsi"/>
          <w:b/>
          <w:bCs/>
          <w:sz w:val="22"/>
          <w:szCs w:val="22"/>
          <w:lang w:val="en-US" w:eastAsia="en-US"/>
        </w:rPr>
        <w:t>(“</w:t>
      </w:r>
      <w:r w:rsidRPr="00DB03AA">
        <w:rPr>
          <w:rFonts w:asciiTheme="minorHAnsi" w:eastAsiaTheme="minorHAnsi" w:hAnsiTheme="minorHAnsi" w:cstheme="minorHAnsi"/>
          <w:b/>
          <w:bCs/>
          <w:sz w:val="22"/>
          <w:szCs w:val="22"/>
          <w:lang w:val="en-US" w:eastAsia="en-US"/>
        </w:rPr>
        <w:t>Explain what each KPI shows and why it increased or decreased in the reporting period</w:t>
      </w:r>
      <w:r w:rsidRPr="00DB03AA">
        <w:rPr>
          <w:rFonts w:asciiTheme="minorHAnsi" w:eastAsiaTheme="minorHAnsi" w:hAnsiTheme="minorHAnsi" w:cstheme="minorHAnsi"/>
          <w:b/>
          <w:bCs/>
          <w:noProof/>
          <w:sz w:val="22"/>
          <w:szCs w:val="22"/>
          <w:lang w:val="en-US" w:eastAsia="en-US"/>
        </w:rPr>
        <w:t>"</w:t>
      </w:r>
      <w:r w:rsidR="005E5D45" w:rsidRPr="00DB03AA">
        <w:rPr>
          <w:rFonts w:asciiTheme="minorHAnsi" w:eastAsiaTheme="minorHAnsi" w:hAnsiTheme="minorHAnsi" w:cstheme="minorHAnsi"/>
          <w:b/>
          <w:bCs/>
          <w:noProof/>
          <w:sz w:val="22"/>
          <w:szCs w:val="22"/>
          <w:lang w:val="en-US" w:eastAsia="en-US"/>
        </w:rPr>
        <w:t>)</w:t>
      </w:r>
      <w:r w:rsidRPr="00DB03AA">
        <w:rPr>
          <w:rFonts w:asciiTheme="minorHAnsi" w:eastAsiaTheme="minorHAnsi" w:hAnsiTheme="minorHAnsi" w:cstheme="minorHAnsi"/>
          <w:b/>
          <w:bCs/>
          <w:noProof/>
          <w:sz w:val="22"/>
          <w:szCs w:val="22"/>
          <w:lang w:val="en-US" w:eastAsia="en-US"/>
        </w:rPr>
        <w:t>, flexibility should be given</w:t>
      </w:r>
      <w:r w:rsidRPr="00705942">
        <w:rPr>
          <w:rFonts w:asciiTheme="minorHAnsi" w:eastAsiaTheme="minorHAnsi" w:hAnsiTheme="minorHAnsi" w:cstheme="minorHAnsi"/>
          <w:noProof/>
          <w:sz w:val="22"/>
          <w:szCs w:val="22"/>
          <w:lang w:val="en-US" w:eastAsia="en-US"/>
        </w:rPr>
        <w:t xml:space="preserve"> to reporting undertakings to explain variations in KPIs. Detailed reporting would be burdensome and cause increased reporting costs with little value added.</w:t>
      </w:r>
    </w:p>
    <w:p w14:paraId="0AB3A7A1" w14:textId="0ADA36CC" w:rsidR="00492B3A" w:rsidRPr="00C619E6" w:rsidRDefault="00C619E6" w:rsidP="00C619E6">
      <w:pPr>
        <w:pStyle w:val="Default"/>
        <w:jc w:val="both"/>
        <w:rPr>
          <w:rFonts w:asciiTheme="minorHAnsi" w:eastAsiaTheme="minorHAnsi" w:hAnsiTheme="minorHAnsi" w:cstheme="minorHAnsi"/>
          <w:sz w:val="22"/>
          <w:szCs w:val="22"/>
          <w:lang w:eastAsia="en-US"/>
        </w:rPr>
      </w:pPr>
      <w:r>
        <w:rPr>
          <w:rFonts w:asciiTheme="minorHAnsi" w:eastAsiaTheme="minorHAnsi" w:hAnsiTheme="minorHAnsi" w:cstheme="minorHAnsi"/>
          <w:noProof/>
          <w:sz w:val="22"/>
          <w:szCs w:val="22"/>
          <w:lang w:val="en-US" w:eastAsia="en-US"/>
        </w:rPr>
        <w:t xml:space="preserve">Furthermore, </w:t>
      </w:r>
      <w:r w:rsidRPr="00DB03AA">
        <w:rPr>
          <w:rFonts w:asciiTheme="minorHAnsi" w:hAnsiTheme="minorHAnsi" w:cstheme="minorHAnsi"/>
          <w:b/>
          <w:bCs/>
          <w:sz w:val="22"/>
          <w:szCs w:val="22"/>
          <w:lang w:val="en-GB"/>
        </w:rPr>
        <w:t xml:space="preserve">we do not agree with ESMA’s proposal to require a reference to the related line items in the financial statements or an explanation </w:t>
      </w:r>
      <w:r w:rsidRPr="00DB03AA">
        <w:rPr>
          <w:rFonts w:asciiTheme="minorHAnsi" w:eastAsiaTheme="minorHAnsi" w:hAnsiTheme="minorHAnsi" w:cstheme="minorHAnsi"/>
          <w:b/>
          <w:bCs/>
          <w:sz w:val="22"/>
          <w:szCs w:val="22"/>
          <w:lang w:val="en-GB" w:eastAsia="en-US"/>
        </w:rPr>
        <w:t xml:space="preserve"> whether the KPIs differ from any alternative performance measures (APMs)</w:t>
      </w:r>
      <w:r w:rsidRPr="00705942">
        <w:rPr>
          <w:rFonts w:asciiTheme="minorHAnsi" w:eastAsiaTheme="minorHAnsi" w:hAnsiTheme="minorHAnsi" w:cstheme="minorHAnsi"/>
          <w:sz w:val="22"/>
          <w:szCs w:val="22"/>
          <w:lang w:val="en-GB" w:eastAsia="en-US"/>
        </w:rPr>
        <w:t xml:space="preserve"> « </w:t>
      </w:r>
      <w:r w:rsidRPr="00705942">
        <w:rPr>
          <w:rFonts w:asciiTheme="minorHAnsi" w:eastAsiaTheme="minorHAnsi" w:hAnsiTheme="minorHAnsi" w:cstheme="minorHAnsi"/>
          <w:i/>
          <w:iCs/>
          <w:sz w:val="22"/>
          <w:szCs w:val="22"/>
          <w:lang w:val="en-GB" w:eastAsia="en-US"/>
        </w:rPr>
        <w:t>which are labelled in the same way or that depict items of turnover, capital expenditures and operating expenditures</w:t>
      </w:r>
      <w:r w:rsidRPr="00705942">
        <w:rPr>
          <w:rFonts w:asciiTheme="minorHAnsi" w:eastAsiaTheme="minorHAnsi" w:hAnsiTheme="minorHAnsi" w:cstheme="minorHAnsi"/>
          <w:sz w:val="22"/>
          <w:szCs w:val="22"/>
          <w:lang w:val="en-GB" w:eastAsia="en-US"/>
        </w:rPr>
        <w:t xml:space="preserve"> ». KPIs to be disclosed under article 8 are not GAAP measures nor measures used to assess the financial performance of the </w:t>
      </w:r>
      <w:proofErr w:type="gramStart"/>
      <w:r w:rsidRPr="00705942">
        <w:rPr>
          <w:rFonts w:asciiTheme="minorHAnsi" w:eastAsiaTheme="minorHAnsi" w:hAnsiTheme="minorHAnsi" w:cstheme="minorHAnsi"/>
          <w:sz w:val="22"/>
          <w:szCs w:val="22"/>
          <w:lang w:val="en-GB" w:eastAsia="en-US"/>
        </w:rPr>
        <w:t>company</w:t>
      </w:r>
      <w:proofErr w:type="gramEnd"/>
      <w:r w:rsidRPr="00705942">
        <w:rPr>
          <w:rFonts w:asciiTheme="minorHAnsi" w:eastAsiaTheme="minorHAnsi" w:hAnsiTheme="minorHAnsi" w:cstheme="minorHAnsi"/>
          <w:sz w:val="22"/>
          <w:szCs w:val="22"/>
          <w:lang w:val="en-GB" w:eastAsia="en-US"/>
        </w:rPr>
        <w:t xml:space="preserve"> but specific indicators made public to assess the environmental contribution of economic activities. Since </w:t>
      </w:r>
      <w:r w:rsidRPr="00DB03AA">
        <w:rPr>
          <w:rFonts w:asciiTheme="minorHAnsi" w:eastAsiaTheme="minorHAnsi" w:hAnsiTheme="minorHAnsi" w:cstheme="minorHAnsi"/>
          <w:b/>
          <w:bCs/>
          <w:sz w:val="22"/>
          <w:szCs w:val="22"/>
          <w:lang w:val="en-GB" w:eastAsia="en-US"/>
        </w:rPr>
        <w:t xml:space="preserve">the purpose of these KPI is different we </w:t>
      </w:r>
      <w:proofErr w:type="gramStart"/>
      <w:r w:rsidRPr="00DB03AA">
        <w:rPr>
          <w:rFonts w:asciiTheme="minorHAnsi" w:eastAsiaTheme="minorHAnsi" w:hAnsiTheme="minorHAnsi" w:cstheme="minorHAnsi"/>
          <w:b/>
          <w:bCs/>
          <w:sz w:val="22"/>
          <w:szCs w:val="22"/>
          <w:lang w:val="en-GB" w:eastAsia="en-US"/>
        </w:rPr>
        <w:t>don’t</w:t>
      </w:r>
      <w:proofErr w:type="gramEnd"/>
      <w:r w:rsidRPr="00DB03AA">
        <w:rPr>
          <w:rFonts w:asciiTheme="minorHAnsi" w:eastAsiaTheme="minorHAnsi" w:hAnsiTheme="minorHAnsi" w:cstheme="minorHAnsi"/>
          <w:b/>
          <w:bCs/>
          <w:sz w:val="22"/>
          <w:szCs w:val="22"/>
          <w:lang w:val="en-GB" w:eastAsia="en-US"/>
        </w:rPr>
        <w:t xml:space="preserve"> see the rationale and the need for such a reference</w:t>
      </w:r>
      <w:r w:rsidRPr="00705942">
        <w:rPr>
          <w:rFonts w:asciiTheme="minorHAnsi" w:eastAsiaTheme="minorHAnsi" w:hAnsiTheme="minorHAnsi" w:cstheme="minorHAnsi"/>
          <w:sz w:val="22"/>
          <w:szCs w:val="22"/>
          <w:lang w:val="en-GB" w:eastAsia="en-US"/>
        </w:rPr>
        <w:t xml:space="preserve">. As regards APMs, Afep members who use non-GAAP measures comply with ESMA and the French Competent Authority’s guidance and do disclose a definition of these measures. Therefore, </w:t>
      </w:r>
      <w:r w:rsidRPr="00104856">
        <w:rPr>
          <w:rFonts w:asciiTheme="minorHAnsi" w:eastAsiaTheme="minorHAnsi" w:hAnsiTheme="minorHAnsi" w:cstheme="minorHAnsi"/>
          <w:b/>
          <w:bCs/>
          <w:sz w:val="22"/>
          <w:szCs w:val="22"/>
          <w:lang w:val="en-GB" w:eastAsia="en-US"/>
        </w:rPr>
        <w:t xml:space="preserve">we </w:t>
      </w:r>
      <w:proofErr w:type="gramStart"/>
      <w:r w:rsidRPr="00104856">
        <w:rPr>
          <w:rFonts w:asciiTheme="minorHAnsi" w:eastAsiaTheme="minorHAnsi" w:hAnsiTheme="minorHAnsi" w:cstheme="minorHAnsi"/>
          <w:b/>
          <w:bCs/>
          <w:sz w:val="22"/>
          <w:szCs w:val="22"/>
          <w:lang w:val="en-GB" w:eastAsia="en-US"/>
        </w:rPr>
        <w:t>don’t</w:t>
      </w:r>
      <w:proofErr w:type="gramEnd"/>
      <w:r w:rsidRPr="00104856">
        <w:rPr>
          <w:rFonts w:asciiTheme="minorHAnsi" w:eastAsiaTheme="minorHAnsi" w:hAnsiTheme="minorHAnsi" w:cstheme="minorHAnsi"/>
          <w:b/>
          <w:bCs/>
          <w:sz w:val="22"/>
          <w:szCs w:val="22"/>
          <w:lang w:val="en-GB" w:eastAsia="en-US"/>
        </w:rPr>
        <w:t xml:space="preserve"> consider that there could be a risk of confusion between APMs commonly used in financial communications and Taxonomy-related disclosures</w:t>
      </w:r>
      <w:r w:rsidRPr="00705942">
        <w:rPr>
          <w:rFonts w:asciiTheme="minorHAnsi" w:eastAsiaTheme="minorHAnsi" w:hAnsiTheme="minorHAnsi" w:cstheme="minorHAnsi"/>
          <w:sz w:val="22"/>
          <w:szCs w:val="22"/>
          <w:lang w:val="en-GB" w:eastAsia="en-US"/>
        </w:rPr>
        <w:t>.</w:t>
      </w:r>
    </w:p>
    <w:permEnd w:id="70807355"/>
    <w:p w14:paraId="293286B0" w14:textId="77777777" w:rsidR="00492B3A" w:rsidRDefault="00492B3A" w:rsidP="00492B3A">
      <w:r>
        <w:t>&lt;ESMA_QUESTION_TRART8_9&gt;</w:t>
      </w:r>
    </w:p>
    <w:p w14:paraId="1265C514" w14:textId="77777777" w:rsidR="00492B3A" w:rsidRDefault="00492B3A" w:rsidP="00492B3A"/>
    <w:p w14:paraId="65464EDE" w14:textId="09C1D542" w:rsidR="00492B3A" w:rsidRDefault="00492B3A" w:rsidP="00492B3A">
      <w:pPr>
        <w:pStyle w:val="Questionstyle"/>
      </w:pPr>
      <w:r>
        <w:t>Do you consider that the requirement to refer to the relevant line item(s) in the financial statements for each KPI ensures sufficient integration between the KPIs and the financial statements?</w:t>
      </w:r>
    </w:p>
    <w:p w14:paraId="554C7E7D" w14:textId="77777777" w:rsidR="00492B3A" w:rsidRDefault="00492B3A" w:rsidP="00492B3A">
      <w:r>
        <w:t>&lt;ESMA_QUESTION_TRART8_10&gt;</w:t>
      </w:r>
    </w:p>
    <w:p w14:paraId="729D6FDA" w14:textId="40035231" w:rsidR="00492B3A" w:rsidRPr="00B33DA3" w:rsidRDefault="00B33DA3" w:rsidP="00B33DA3">
      <w:pPr>
        <w:contextualSpacing/>
        <w:jc w:val="both"/>
        <w:rPr>
          <w:rFonts w:asciiTheme="minorHAnsi" w:hAnsiTheme="minorHAnsi" w:cstheme="minorHAnsi"/>
          <w:sz w:val="22"/>
          <w:szCs w:val="22"/>
        </w:rPr>
      </w:pPr>
      <w:permStart w:id="1969951227" w:edGrp="everyone"/>
      <w:r w:rsidRPr="00104856">
        <w:rPr>
          <w:rFonts w:asciiTheme="minorHAnsi" w:hAnsiTheme="minorHAnsi" w:cstheme="minorHAnsi"/>
          <w:b/>
          <w:bCs/>
          <w:sz w:val="22"/>
          <w:szCs w:val="22"/>
        </w:rPr>
        <w:lastRenderedPageBreak/>
        <w:t xml:space="preserve">No, we disagree with ESMA’s proposal to require a reference to the financial statements </w:t>
      </w:r>
      <w:r>
        <w:rPr>
          <w:rFonts w:asciiTheme="minorHAnsi" w:hAnsiTheme="minorHAnsi" w:cstheme="minorHAnsi"/>
          <w:sz w:val="22"/>
          <w:szCs w:val="22"/>
        </w:rPr>
        <w:t>(please refer to our answer to question 9).</w:t>
      </w:r>
    </w:p>
    <w:permEnd w:id="1969951227"/>
    <w:p w14:paraId="1CD8F45C" w14:textId="77777777" w:rsidR="00492B3A" w:rsidRDefault="00492B3A" w:rsidP="00492B3A">
      <w:r>
        <w:t>&lt;ESMA_QUESTION_TRART8_10&gt;</w:t>
      </w:r>
    </w:p>
    <w:p w14:paraId="4A233221" w14:textId="77777777" w:rsidR="00492B3A" w:rsidRDefault="00492B3A" w:rsidP="00492B3A"/>
    <w:p w14:paraId="43470B7B" w14:textId="7E3668E4" w:rsidR="00492B3A" w:rsidRDefault="00492B3A" w:rsidP="00492B3A">
      <w:pPr>
        <w:pStyle w:val="Questionstyle"/>
      </w:pPr>
      <w:r>
        <w:t>Do you agree with ESMA’s suggestion to permit compliance by reference, so that non-financial undertakings may present the accompanying information elsewhere in the non-financial statement than in the immediate vicinity of the KPIs, as long as they provide a hyperlink to the location of the accompanying information?</w:t>
      </w:r>
    </w:p>
    <w:p w14:paraId="17905251" w14:textId="77777777" w:rsidR="00492B3A" w:rsidRDefault="00492B3A" w:rsidP="00492B3A">
      <w:r>
        <w:t>&lt;ESMA_QUESTION_TRART8_11&gt;</w:t>
      </w:r>
    </w:p>
    <w:p w14:paraId="16B29EBB" w14:textId="721930CF" w:rsidR="00492B3A" w:rsidRPr="00B15091" w:rsidRDefault="008645BC" w:rsidP="00492B3A">
      <w:pPr>
        <w:rPr>
          <w:rFonts w:asciiTheme="minorHAnsi" w:hAnsiTheme="minorHAnsi" w:cstheme="minorHAnsi"/>
          <w:sz w:val="22"/>
          <w:szCs w:val="22"/>
        </w:rPr>
      </w:pPr>
      <w:permStart w:id="947678092" w:edGrp="everyone"/>
      <w:r w:rsidRPr="00D236F5">
        <w:rPr>
          <w:rFonts w:asciiTheme="minorHAnsi" w:hAnsiTheme="minorHAnsi" w:cstheme="minorHAnsi"/>
          <w:b/>
          <w:bCs/>
          <w:sz w:val="22"/>
          <w:szCs w:val="22"/>
        </w:rPr>
        <w:t>Yes, we agree</w:t>
      </w:r>
      <w:r w:rsidRPr="00B15091">
        <w:rPr>
          <w:rFonts w:asciiTheme="minorHAnsi" w:hAnsiTheme="minorHAnsi" w:cstheme="minorHAnsi"/>
          <w:sz w:val="22"/>
          <w:szCs w:val="22"/>
        </w:rPr>
        <w:t xml:space="preserve"> with ESMA’s suggestion to permit </w:t>
      </w:r>
      <w:r w:rsidR="00B94A42" w:rsidRPr="00B15091">
        <w:rPr>
          <w:rFonts w:asciiTheme="minorHAnsi" w:hAnsiTheme="minorHAnsi" w:cstheme="minorHAnsi"/>
          <w:sz w:val="22"/>
          <w:szCs w:val="22"/>
        </w:rPr>
        <w:t>compliance by reference.</w:t>
      </w:r>
    </w:p>
    <w:permEnd w:id="947678092"/>
    <w:p w14:paraId="5D803357" w14:textId="77777777" w:rsidR="00492B3A" w:rsidRDefault="00492B3A" w:rsidP="00492B3A">
      <w:r>
        <w:t>&lt;ESMA_QUESTION_TRART8_11&gt;</w:t>
      </w:r>
    </w:p>
    <w:p w14:paraId="1A3E6E6B" w14:textId="77777777" w:rsidR="00492B3A" w:rsidRDefault="00492B3A" w:rsidP="00492B3A"/>
    <w:p w14:paraId="681EC23B" w14:textId="56FB4CB0" w:rsidR="00492B3A" w:rsidRDefault="00492B3A" w:rsidP="00492B3A">
      <w:pPr>
        <w:pStyle w:val="Questionstyle"/>
      </w:pPr>
      <w:r>
        <w:t>Do you consider there are additional topics that should be considered by ESMA in order to specify the content of the three KPIs? If yes, please elaborate and explain the relevance of these topics.</w:t>
      </w:r>
    </w:p>
    <w:p w14:paraId="7F0E3695" w14:textId="77777777" w:rsidR="00492B3A" w:rsidRDefault="00492B3A" w:rsidP="00492B3A">
      <w:r>
        <w:t>&lt;ESMA_QUESTION_TRART8_12&gt;</w:t>
      </w:r>
    </w:p>
    <w:p w14:paraId="5F50FA92" w14:textId="09570B11" w:rsidR="00492B3A" w:rsidRDefault="00316D4E" w:rsidP="00492B3A">
      <w:permStart w:id="575285207" w:edGrp="everyone"/>
      <w:r w:rsidRPr="00D236F5">
        <w:rPr>
          <w:rFonts w:asciiTheme="minorHAnsi" w:hAnsiTheme="minorHAnsi" w:cstheme="minorHAnsi"/>
          <w:b/>
          <w:bCs/>
          <w:sz w:val="22"/>
          <w:szCs w:val="22"/>
          <w:lang w:val="en-US"/>
        </w:rPr>
        <w:t>Please refer to our answer to question 5</w:t>
      </w:r>
      <w:r w:rsidRPr="000B435F">
        <w:rPr>
          <w:rFonts w:asciiTheme="minorHAnsi" w:hAnsiTheme="minorHAnsi" w:cstheme="minorHAnsi"/>
          <w:sz w:val="22"/>
          <w:szCs w:val="22"/>
          <w:lang w:val="en-US"/>
        </w:rPr>
        <w:t xml:space="preserve"> regarding research and development expenses.</w:t>
      </w:r>
    </w:p>
    <w:permEnd w:id="575285207"/>
    <w:p w14:paraId="40A9AA66" w14:textId="77777777" w:rsidR="00492B3A" w:rsidRDefault="00492B3A" w:rsidP="00492B3A">
      <w:r>
        <w:t>&lt;ESMA_QUESTION_TRART8_12&gt;</w:t>
      </w:r>
    </w:p>
    <w:p w14:paraId="47FAF275" w14:textId="77777777" w:rsidR="00492B3A" w:rsidRDefault="00492B3A" w:rsidP="00492B3A"/>
    <w:p w14:paraId="01343F76" w14:textId="51762306" w:rsidR="00492B3A" w:rsidRDefault="00492B3A" w:rsidP="00492B3A">
      <w:pPr>
        <w:pStyle w:val="Questionstyle"/>
      </w:pPr>
      <w:r>
        <w:t>Do you believe that providing the suggested accompanying information will impose additional costs on non-financial undertakings? If yes, please specify the type of those costs, including whether they are one-off or on-going, and provide your best quantitative estimate of their size.</w:t>
      </w:r>
    </w:p>
    <w:p w14:paraId="4C7333E2" w14:textId="77777777" w:rsidR="00492B3A" w:rsidRDefault="00492B3A" w:rsidP="00492B3A">
      <w:r>
        <w:t>&lt;ESMA_QUESTION_TRART8_13&gt;</w:t>
      </w:r>
    </w:p>
    <w:p w14:paraId="7A9A50C5" w14:textId="5348CAA5" w:rsidR="00492B3A" w:rsidRDefault="00903861" w:rsidP="00903861">
      <w:pPr>
        <w:jc w:val="both"/>
      </w:pPr>
      <w:permStart w:id="384379543" w:edGrp="everyone"/>
      <w:r w:rsidRPr="00D236F5">
        <w:rPr>
          <w:rFonts w:asciiTheme="minorHAnsi" w:hAnsiTheme="minorHAnsi" w:cstheme="minorHAnsi"/>
          <w:b/>
          <w:bCs/>
          <w:sz w:val="22"/>
          <w:szCs w:val="22"/>
          <w:lang w:val="en-US"/>
        </w:rPr>
        <w:t xml:space="preserve">Yes, this will generate significant cost. Turnover and </w:t>
      </w:r>
      <w:proofErr w:type="spellStart"/>
      <w:r w:rsidRPr="00D236F5">
        <w:rPr>
          <w:rFonts w:asciiTheme="minorHAnsi" w:hAnsiTheme="minorHAnsi" w:cstheme="minorHAnsi"/>
          <w:b/>
          <w:bCs/>
          <w:sz w:val="22"/>
          <w:szCs w:val="22"/>
          <w:lang w:val="en-US"/>
        </w:rPr>
        <w:t>CapEx</w:t>
      </w:r>
      <w:proofErr w:type="spellEnd"/>
      <w:r w:rsidRPr="00D236F5">
        <w:rPr>
          <w:rFonts w:asciiTheme="minorHAnsi" w:hAnsiTheme="minorHAnsi" w:cstheme="minorHAnsi"/>
          <w:b/>
          <w:bCs/>
          <w:sz w:val="22"/>
          <w:szCs w:val="22"/>
          <w:lang w:val="en-US"/>
        </w:rPr>
        <w:t xml:space="preserve"> will require detailed analysis, at product line or project level. </w:t>
      </w:r>
      <w:proofErr w:type="spellStart"/>
      <w:r w:rsidRPr="00D236F5">
        <w:rPr>
          <w:rFonts w:asciiTheme="minorHAnsi" w:hAnsiTheme="minorHAnsi" w:cstheme="minorHAnsi"/>
          <w:b/>
          <w:bCs/>
          <w:sz w:val="22"/>
          <w:szCs w:val="22"/>
          <w:lang w:val="en-US"/>
        </w:rPr>
        <w:t>OpEx</w:t>
      </w:r>
      <w:proofErr w:type="spellEnd"/>
      <w:r w:rsidRPr="00D236F5">
        <w:rPr>
          <w:rFonts w:asciiTheme="minorHAnsi" w:hAnsiTheme="minorHAnsi" w:cstheme="minorHAnsi"/>
          <w:b/>
          <w:bCs/>
          <w:sz w:val="22"/>
          <w:szCs w:val="22"/>
          <w:lang w:val="en-US"/>
        </w:rPr>
        <w:t xml:space="preserve"> appears impossible to compute</w:t>
      </w:r>
      <w:r w:rsidRPr="000B435F">
        <w:rPr>
          <w:rFonts w:asciiTheme="minorHAnsi" w:hAnsiTheme="minorHAnsi" w:cstheme="minorHAnsi"/>
          <w:sz w:val="22"/>
          <w:szCs w:val="22"/>
          <w:lang w:val="en-US"/>
        </w:rPr>
        <w:t xml:space="preserve"> except if it is defined in a narrow sense, focused on ‘transformative’ </w:t>
      </w:r>
      <w:proofErr w:type="spellStart"/>
      <w:r w:rsidRPr="000B435F">
        <w:rPr>
          <w:rFonts w:asciiTheme="minorHAnsi" w:hAnsiTheme="minorHAnsi" w:cstheme="minorHAnsi"/>
          <w:sz w:val="22"/>
          <w:szCs w:val="22"/>
          <w:lang w:val="en-US"/>
        </w:rPr>
        <w:t>OpEx</w:t>
      </w:r>
      <w:proofErr w:type="spellEnd"/>
      <w:r w:rsidRPr="000B435F">
        <w:rPr>
          <w:rFonts w:asciiTheme="minorHAnsi" w:hAnsiTheme="minorHAnsi" w:cstheme="minorHAnsi"/>
          <w:sz w:val="22"/>
          <w:szCs w:val="22"/>
          <w:lang w:val="en-US"/>
        </w:rPr>
        <w:t xml:space="preserve">. </w:t>
      </w:r>
      <w:proofErr w:type="gramStart"/>
      <w:r w:rsidRPr="000B435F">
        <w:rPr>
          <w:rFonts w:asciiTheme="minorHAnsi" w:hAnsiTheme="minorHAnsi" w:cstheme="minorHAnsi"/>
          <w:sz w:val="22"/>
          <w:szCs w:val="22"/>
          <w:lang w:val="en-US"/>
        </w:rPr>
        <w:t>Generally speaking, these</w:t>
      </w:r>
      <w:proofErr w:type="gramEnd"/>
      <w:r w:rsidRPr="000B435F">
        <w:rPr>
          <w:rFonts w:asciiTheme="minorHAnsi" w:hAnsiTheme="minorHAnsi" w:cstheme="minorHAnsi"/>
          <w:sz w:val="22"/>
          <w:szCs w:val="22"/>
          <w:lang w:val="en-US"/>
        </w:rPr>
        <w:t xml:space="preserve"> new disclosure requirements will generate both on</w:t>
      </w:r>
      <w:r w:rsidR="009D6318">
        <w:rPr>
          <w:rFonts w:asciiTheme="minorHAnsi" w:hAnsiTheme="minorHAnsi" w:cstheme="minorHAnsi"/>
          <w:sz w:val="22"/>
          <w:szCs w:val="22"/>
          <w:lang w:val="en-US"/>
        </w:rPr>
        <w:t>e</w:t>
      </w:r>
      <w:r w:rsidRPr="000B435F">
        <w:rPr>
          <w:rFonts w:asciiTheme="minorHAnsi" w:hAnsiTheme="minorHAnsi" w:cstheme="minorHAnsi"/>
          <w:sz w:val="22"/>
          <w:szCs w:val="22"/>
          <w:lang w:val="en-US"/>
        </w:rPr>
        <w:t xml:space="preserve">-off and on-going costs </w:t>
      </w:r>
      <w:r w:rsidRPr="00D236F5">
        <w:rPr>
          <w:rFonts w:asciiTheme="minorHAnsi" w:hAnsiTheme="minorHAnsi" w:cstheme="minorHAnsi"/>
          <w:b/>
          <w:bCs/>
          <w:sz w:val="22"/>
          <w:szCs w:val="22"/>
          <w:lang w:val="en-US"/>
        </w:rPr>
        <w:t>(please refer to our answer to question 7)</w:t>
      </w:r>
      <w:r w:rsidRPr="000B435F">
        <w:rPr>
          <w:rFonts w:asciiTheme="minorHAnsi" w:hAnsiTheme="minorHAnsi" w:cstheme="minorHAnsi"/>
          <w:sz w:val="22"/>
          <w:szCs w:val="22"/>
          <w:lang w:val="en-US"/>
        </w:rPr>
        <w:t>.</w:t>
      </w:r>
    </w:p>
    <w:permEnd w:id="384379543"/>
    <w:p w14:paraId="0D19A1E9" w14:textId="77777777" w:rsidR="00492B3A" w:rsidRDefault="00492B3A" w:rsidP="00492B3A">
      <w:r>
        <w:t>&lt;ESMA_QUESTION_TRART8_13&gt;</w:t>
      </w:r>
    </w:p>
    <w:p w14:paraId="2B65235D" w14:textId="77777777" w:rsidR="00492B3A" w:rsidRDefault="00492B3A" w:rsidP="00492B3A"/>
    <w:p w14:paraId="620A77B5" w14:textId="464FAA88" w:rsidR="00492B3A" w:rsidRDefault="00492B3A" w:rsidP="00492B3A">
      <w:pPr>
        <w:pStyle w:val="Questionstyle"/>
      </w:pPr>
      <w:r>
        <w:t>Do you agree that non-financial undertakings should provide the three KPIs per economic activity and also provide a total of the three KPIs at the level of the undertaking / group? If not, please provide your reasons and address the impact of your proposal to financial market participants along the investment chain.</w:t>
      </w:r>
    </w:p>
    <w:p w14:paraId="469F3B30" w14:textId="77777777" w:rsidR="00492B3A" w:rsidRDefault="00492B3A" w:rsidP="00492B3A">
      <w:r>
        <w:t>&lt;ESMA_QUESTION_TRART8_14&gt;</w:t>
      </w:r>
    </w:p>
    <w:p w14:paraId="65AE7182" w14:textId="417A5E43" w:rsidR="00492B3A" w:rsidRPr="00FD5DAF" w:rsidRDefault="00B647D7" w:rsidP="00492B3A">
      <w:pPr>
        <w:rPr>
          <w:rFonts w:asciiTheme="minorHAnsi" w:hAnsiTheme="minorHAnsi" w:cstheme="minorHAnsi"/>
          <w:b/>
          <w:bCs/>
          <w:sz w:val="22"/>
          <w:szCs w:val="22"/>
        </w:rPr>
      </w:pPr>
      <w:permStart w:id="1844913490" w:edGrp="everyone"/>
      <w:r w:rsidRPr="00FD5DAF">
        <w:rPr>
          <w:rFonts w:asciiTheme="minorHAnsi" w:hAnsiTheme="minorHAnsi" w:cstheme="minorHAnsi"/>
          <w:b/>
          <w:bCs/>
          <w:sz w:val="22"/>
          <w:szCs w:val="22"/>
        </w:rPr>
        <w:t>Yes, we agree with ESMA’s proposal.</w:t>
      </w:r>
    </w:p>
    <w:permEnd w:id="1844913490"/>
    <w:p w14:paraId="70457698" w14:textId="77777777" w:rsidR="00492B3A" w:rsidRDefault="00492B3A" w:rsidP="00492B3A">
      <w:r>
        <w:t>&lt;ESMA_QUESTION_TRART8_14&gt;</w:t>
      </w:r>
    </w:p>
    <w:p w14:paraId="33E3946A" w14:textId="77777777" w:rsidR="00492B3A" w:rsidRDefault="00492B3A" w:rsidP="00492B3A"/>
    <w:p w14:paraId="3CC16F44" w14:textId="4015EA44" w:rsidR="00492B3A" w:rsidRDefault="00492B3A" w:rsidP="00492B3A">
      <w:pPr>
        <w:pStyle w:val="Questionstyle"/>
      </w:pPr>
      <w:r>
        <w:t>Do you agree that where an economic activity contributes to more than one environmental objective, non-financial undertakings should explain how they allocated the turnover / CapEx / OpEx of that activity across environmental objectives and where relevant the reasons for choosing one objective over another?</w:t>
      </w:r>
    </w:p>
    <w:p w14:paraId="63D6457D" w14:textId="77777777" w:rsidR="00492B3A" w:rsidRDefault="00492B3A" w:rsidP="00492B3A">
      <w:r>
        <w:t>&lt;ESMA_QUESTION_TRART8_15&gt;</w:t>
      </w:r>
    </w:p>
    <w:p w14:paraId="2E34B8AF" w14:textId="5812E064" w:rsidR="00492B3A" w:rsidRPr="003D12D0" w:rsidRDefault="003D12D0" w:rsidP="00B15091">
      <w:pPr>
        <w:jc w:val="both"/>
        <w:rPr>
          <w:rFonts w:ascii="Calibri" w:hAnsi="Calibri"/>
          <w:szCs w:val="22"/>
          <w:lang w:val="en-US" w:eastAsia="en-US"/>
        </w:rPr>
      </w:pPr>
      <w:permStart w:id="1403017900" w:edGrp="everyone"/>
      <w:r w:rsidRPr="00FD5DAF">
        <w:rPr>
          <w:rFonts w:asciiTheme="minorHAnsi" w:hAnsiTheme="minorHAnsi" w:cstheme="minorHAnsi"/>
          <w:b/>
          <w:bCs/>
          <w:sz w:val="22"/>
          <w:szCs w:val="22"/>
        </w:rPr>
        <w:lastRenderedPageBreak/>
        <w:t>No, we disagree with ESMA’s proposal which, in our views, goes beyond the regulation requirement.</w:t>
      </w:r>
      <w:r w:rsidRPr="00FB2755">
        <w:rPr>
          <w:lang w:val="en-US"/>
        </w:rPr>
        <w:t xml:space="preserve"> </w:t>
      </w:r>
      <w:r w:rsidRPr="000B435F">
        <w:rPr>
          <w:rFonts w:asciiTheme="minorHAnsi" w:hAnsiTheme="minorHAnsi" w:cstheme="minorHAnsi"/>
          <w:sz w:val="22"/>
          <w:szCs w:val="22"/>
          <w:lang w:val="en-US"/>
        </w:rPr>
        <w:t xml:space="preserve">Furthermore, we consider that </w:t>
      </w:r>
      <w:r w:rsidRPr="00FD5DAF">
        <w:rPr>
          <w:rFonts w:asciiTheme="minorHAnsi" w:hAnsiTheme="minorHAnsi" w:cstheme="minorHAnsi"/>
          <w:b/>
          <w:bCs/>
          <w:sz w:val="22"/>
          <w:szCs w:val="22"/>
          <w:lang w:val="en-US"/>
        </w:rPr>
        <w:t>if an activity contributes to several environmental objectives, it should be counted for each objective</w:t>
      </w:r>
      <w:r w:rsidRPr="000B435F">
        <w:rPr>
          <w:rFonts w:asciiTheme="minorHAnsi" w:hAnsiTheme="minorHAnsi" w:cstheme="minorHAnsi"/>
          <w:sz w:val="22"/>
          <w:szCs w:val="22"/>
          <w:lang w:val="en-US"/>
        </w:rPr>
        <w:t>. Key issues are avoiding double-counting and providing necessary explanations in the accompanying information for end-users</w:t>
      </w:r>
      <w:r>
        <w:rPr>
          <w:rFonts w:asciiTheme="minorHAnsi" w:hAnsiTheme="minorHAnsi" w:cstheme="minorHAnsi"/>
          <w:sz w:val="22"/>
          <w:szCs w:val="22"/>
          <w:lang w:val="en-US"/>
        </w:rPr>
        <w:t>.</w:t>
      </w:r>
    </w:p>
    <w:permEnd w:id="1403017900"/>
    <w:p w14:paraId="379DD71C" w14:textId="77777777" w:rsidR="00492B3A" w:rsidRDefault="00492B3A" w:rsidP="00492B3A">
      <w:r>
        <w:t>&lt;ESMA_QUESTION_TRART8_15&gt;</w:t>
      </w:r>
    </w:p>
    <w:p w14:paraId="3D52163A" w14:textId="77777777" w:rsidR="00492B3A" w:rsidRDefault="00492B3A" w:rsidP="00492B3A"/>
    <w:p w14:paraId="112B8CBC" w14:textId="727487DB" w:rsidR="00492B3A" w:rsidRDefault="00492B3A" w:rsidP="00492B3A">
      <w:pPr>
        <w:pStyle w:val="Questionstyle"/>
      </w:pPr>
      <w:r>
        <w:t>Do you agree that non-financial undertakings should provide information on enabling and transitional activities?</w:t>
      </w:r>
    </w:p>
    <w:p w14:paraId="4EC2BDB8" w14:textId="77777777" w:rsidR="00492B3A" w:rsidRDefault="00492B3A" w:rsidP="00492B3A">
      <w:r>
        <w:t>&lt;ESMA_QUESTION_TRART8_16&gt;</w:t>
      </w:r>
    </w:p>
    <w:p w14:paraId="6B898FF3" w14:textId="77777777" w:rsidR="00EA211A" w:rsidRPr="00B15091" w:rsidRDefault="00DF35C7" w:rsidP="00B15091">
      <w:pPr>
        <w:contextualSpacing/>
        <w:jc w:val="both"/>
        <w:rPr>
          <w:rFonts w:asciiTheme="minorHAnsi" w:hAnsiTheme="minorHAnsi" w:cstheme="minorHAnsi"/>
          <w:sz w:val="22"/>
          <w:szCs w:val="22"/>
        </w:rPr>
      </w:pPr>
      <w:permStart w:id="1046510351" w:edGrp="everyone"/>
      <w:r w:rsidRPr="00B15091">
        <w:rPr>
          <w:rFonts w:asciiTheme="minorHAnsi" w:hAnsiTheme="minorHAnsi" w:cstheme="minorHAnsi"/>
          <w:sz w:val="22"/>
          <w:szCs w:val="22"/>
        </w:rPr>
        <w:t xml:space="preserve">We understand that </w:t>
      </w:r>
      <w:r w:rsidRPr="00FD5DAF">
        <w:rPr>
          <w:rFonts w:asciiTheme="minorHAnsi" w:hAnsiTheme="minorHAnsi" w:cstheme="minorHAnsi"/>
          <w:b/>
          <w:bCs/>
          <w:sz w:val="22"/>
          <w:szCs w:val="22"/>
        </w:rPr>
        <w:t>t</w:t>
      </w:r>
      <w:r w:rsidR="004E20FB" w:rsidRPr="00FD5DAF">
        <w:rPr>
          <w:rFonts w:asciiTheme="minorHAnsi" w:hAnsiTheme="minorHAnsi" w:cstheme="minorHAnsi"/>
          <w:b/>
          <w:bCs/>
          <w:sz w:val="22"/>
          <w:szCs w:val="22"/>
        </w:rPr>
        <w:t xml:space="preserve">ransitional activities are only mentioned </w:t>
      </w:r>
      <w:r w:rsidR="0001556B" w:rsidRPr="00FD5DAF">
        <w:rPr>
          <w:rFonts w:asciiTheme="minorHAnsi" w:hAnsiTheme="minorHAnsi" w:cstheme="minorHAnsi"/>
          <w:b/>
          <w:bCs/>
          <w:sz w:val="22"/>
          <w:szCs w:val="22"/>
        </w:rPr>
        <w:t xml:space="preserve">in article 10 </w:t>
      </w:r>
      <w:r w:rsidR="00EA211A" w:rsidRPr="00FD5DAF">
        <w:rPr>
          <w:rFonts w:asciiTheme="minorHAnsi" w:hAnsiTheme="minorHAnsi" w:cstheme="minorHAnsi"/>
          <w:b/>
          <w:bCs/>
          <w:sz w:val="22"/>
          <w:szCs w:val="22"/>
        </w:rPr>
        <w:t xml:space="preserve">paragraph 2 </w:t>
      </w:r>
      <w:r w:rsidR="0001556B" w:rsidRPr="00FD5DAF">
        <w:rPr>
          <w:rFonts w:asciiTheme="minorHAnsi" w:hAnsiTheme="minorHAnsi" w:cstheme="minorHAnsi"/>
          <w:b/>
          <w:bCs/>
          <w:sz w:val="22"/>
          <w:szCs w:val="22"/>
        </w:rPr>
        <w:t>of the Taxonomy Regulation</w:t>
      </w:r>
      <w:r w:rsidR="00EA211A" w:rsidRPr="00B15091">
        <w:rPr>
          <w:rFonts w:asciiTheme="minorHAnsi" w:hAnsiTheme="minorHAnsi" w:cstheme="minorHAnsi"/>
          <w:sz w:val="22"/>
          <w:szCs w:val="22"/>
        </w:rPr>
        <w:t xml:space="preserve">: </w:t>
      </w:r>
    </w:p>
    <w:p w14:paraId="7C6F36F3" w14:textId="77777777" w:rsidR="00EA211A" w:rsidRPr="00B15091" w:rsidRDefault="00EA211A" w:rsidP="00B15091">
      <w:pPr>
        <w:contextualSpacing/>
        <w:jc w:val="both"/>
        <w:rPr>
          <w:rFonts w:asciiTheme="minorHAnsi" w:hAnsiTheme="minorHAnsi" w:cstheme="minorHAnsi"/>
          <w:sz w:val="22"/>
          <w:szCs w:val="22"/>
        </w:rPr>
      </w:pPr>
      <w:r w:rsidRPr="00B15091">
        <w:rPr>
          <w:rFonts w:asciiTheme="minorHAnsi" w:hAnsiTheme="minorHAnsi" w:cstheme="minorHAnsi"/>
          <w:sz w:val="22"/>
          <w:szCs w:val="22"/>
        </w:rPr>
        <w:t xml:space="preserve">« For the purposes of paragraph 1, an economic activity for which there is no technologically and economically feasible low-carbon alternative shall qualify as contributing substantially to climate change mitigation where it supports the transition to a climate-neutral economy consistent with a pathway to limit the temperature increase to 1,5 0C above pre- industrial levels, including by phasing out greenhouse gas emissions, in particular emissions from solid fossil fuels, and where that activity: </w:t>
      </w:r>
    </w:p>
    <w:p w14:paraId="69E449AB" w14:textId="77777777" w:rsidR="00EA211A" w:rsidRPr="00B15091" w:rsidRDefault="00EA211A" w:rsidP="00B15091">
      <w:pPr>
        <w:contextualSpacing/>
        <w:jc w:val="both"/>
        <w:rPr>
          <w:rFonts w:asciiTheme="minorHAnsi" w:hAnsiTheme="minorHAnsi" w:cstheme="minorHAnsi"/>
          <w:sz w:val="22"/>
          <w:szCs w:val="22"/>
        </w:rPr>
      </w:pPr>
      <w:r w:rsidRPr="00B15091">
        <w:rPr>
          <w:rFonts w:asciiTheme="minorHAnsi" w:hAnsiTheme="minorHAnsi" w:cstheme="minorHAnsi"/>
          <w:sz w:val="22"/>
          <w:szCs w:val="22"/>
        </w:rPr>
        <w:t xml:space="preserve">(a) has greenhouse gas emission levels that correspond to the best performance in the sector or </w:t>
      </w:r>
      <w:proofErr w:type="gramStart"/>
      <w:r w:rsidRPr="00B15091">
        <w:rPr>
          <w:rFonts w:asciiTheme="minorHAnsi" w:hAnsiTheme="minorHAnsi" w:cstheme="minorHAnsi"/>
          <w:sz w:val="22"/>
          <w:szCs w:val="22"/>
        </w:rPr>
        <w:t>industry;</w:t>
      </w:r>
      <w:proofErr w:type="gramEnd"/>
      <w:r w:rsidRPr="00B15091">
        <w:rPr>
          <w:rFonts w:asciiTheme="minorHAnsi" w:hAnsiTheme="minorHAnsi" w:cstheme="minorHAnsi"/>
          <w:sz w:val="22"/>
          <w:szCs w:val="22"/>
        </w:rPr>
        <w:t xml:space="preserve"> </w:t>
      </w:r>
    </w:p>
    <w:p w14:paraId="55187FF5" w14:textId="77777777" w:rsidR="00EA211A" w:rsidRPr="00B15091" w:rsidRDefault="00EA211A" w:rsidP="00B15091">
      <w:pPr>
        <w:contextualSpacing/>
        <w:jc w:val="both"/>
        <w:rPr>
          <w:rFonts w:asciiTheme="minorHAnsi" w:hAnsiTheme="minorHAnsi" w:cstheme="minorHAnsi"/>
          <w:sz w:val="22"/>
          <w:szCs w:val="22"/>
        </w:rPr>
      </w:pPr>
      <w:r w:rsidRPr="00B15091">
        <w:rPr>
          <w:rFonts w:asciiTheme="minorHAnsi" w:hAnsiTheme="minorHAnsi" w:cstheme="minorHAnsi"/>
          <w:sz w:val="22"/>
          <w:szCs w:val="22"/>
        </w:rPr>
        <w:t xml:space="preserve">(b) does not hamper the development and deployment of low-carbon alternatives; and </w:t>
      </w:r>
    </w:p>
    <w:p w14:paraId="1FF5293E" w14:textId="676D63AD" w:rsidR="00492B3A" w:rsidRPr="00B15091" w:rsidRDefault="00EA211A" w:rsidP="00B15091">
      <w:pPr>
        <w:contextualSpacing/>
        <w:jc w:val="both"/>
        <w:rPr>
          <w:rFonts w:asciiTheme="minorHAnsi" w:hAnsiTheme="minorHAnsi" w:cstheme="minorHAnsi"/>
          <w:sz w:val="22"/>
          <w:szCs w:val="22"/>
        </w:rPr>
      </w:pPr>
      <w:r w:rsidRPr="00B15091">
        <w:rPr>
          <w:rFonts w:asciiTheme="minorHAnsi" w:hAnsiTheme="minorHAnsi" w:cstheme="minorHAnsi"/>
          <w:sz w:val="22"/>
          <w:szCs w:val="22"/>
        </w:rPr>
        <w:t xml:space="preserve">(c) does not lead to a lock-in of carbon-intensive assets, considering the economic lifetime of those </w:t>
      </w:r>
      <w:proofErr w:type="gramStart"/>
      <w:r w:rsidRPr="00B15091">
        <w:rPr>
          <w:rFonts w:asciiTheme="minorHAnsi" w:hAnsiTheme="minorHAnsi" w:cstheme="minorHAnsi"/>
          <w:sz w:val="22"/>
          <w:szCs w:val="22"/>
        </w:rPr>
        <w:t>assets.»</w:t>
      </w:r>
      <w:proofErr w:type="gramEnd"/>
    </w:p>
    <w:p w14:paraId="0E9AAF1A" w14:textId="0D16C087" w:rsidR="00F728E7" w:rsidRPr="00B15091" w:rsidRDefault="00F728E7" w:rsidP="00B15091">
      <w:pPr>
        <w:contextualSpacing/>
        <w:jc w:val="both"/>
        <w:rPr>
          <w:rFonts w:asciiTheme="minorHAnsi" w:hAnsiTheme="minorHAnsi" w:cstheme="minorHAnsi"/>
          <w:sz w:val="22"/>
          <w:szCs w:val="22"/>
        </w:rPr>
      </w:pPr>
      <w:proofErr w:type="gramStart"/>
      <w:r w:rsidRPr="00B15091">
        <w:rPr>
          <w:rFonts w:asciiTheme="minorHAnsi" w:hAnsiTheme="minorHAnsi" w:cstheme="minorHAnsi"/>
          <w:sz w:val="22"/>
          <w:szCs w:val="22"/>
        </w:rPr>
        <w:t>Therefore</w:t>
      </w:r>
      <w:proofErr w:type="gramEnd"/>
      <w:r w:rsidRPr="00B15091">
        <w:rPr>
          <w:rFonts w:asciiTheme="minorHAnsi" w:hAnsiTheme="minorHAnsi" w:cstheme="minorHAnsi"/>
          <w:sz w:val="22"/>
          <w:szCs w:val="22"/>
        </w:rPr>
        <w:t xml:space="preserve"> transitional activities are by definition activities that substantially contribute to the first objective of climate change mitigation.</w:t>
      </w:r>
    </w:p>
    <w:p w14:paraId="72721808" w14:textId="77777777" w:rsidR="00E83818" w:rsidRPr="00B15091" w:rsidRDefault="00F728E7" w:rsidP="00B15091">
      <w:pPr>
        <w:contextualSpacing/>
        <w:jc w:val="both"/>
        <w:rPr>
          <w:rFonts w:asciiTheme="minorHAnsi" w:hAnsiTheme="minorHAnsi" w:cstheme="minorHAnsi"/>
          <w:sz w:val="22"/>
          <w:szCs w:val="22"/>
        </w:rPr>
      </w:pPr>
      <w:r w:rsidRPr="00B15091">
        <w:rPr>
          <w:rFonts w:asciiTheme="minorHAnsi" w:hAnsiTheme="minorHAnsi" w:cstheme="minorHAnsi"/>
          <w:sz w:val="22"/>
          <w:szCs w:val="22"/>
        </w:rPr>
        <w:t xml:space="preserve">For the sake of </w:t>
      </w:r>
      <w:proofErr w:type="gramStart"/>
      <w:r w:rsidRPr="00B15091">
        <w:rPr>
          <w:rFonts w:asciiTheme="minorHAnsi" w:hAnsiTheme="minorHAnsi" w:cstheme="minorHAnsi"/>
          <w:sz w:val="22"/>
          <w:szCs w:val="22"/>
        </w:rPr>
        <w:t>simplicity</w:t>
      </w:r>
      <w:proofErr w:type="gramEnd"/>
      <w:r w:rsidRPr="00B15091">
        <w:rPr>
          <w:rFonts w:asciiTheme="minorHAnsi" w:hAnsiTheme="minorHAnsi" w:cstheme="minorHAnsi"/>
          <w:sz w:val="22"/>
          <w:szCs w:val="22"/>
        </w:rPr>
        <w:t xml:space="preserve"> </w:t>
      </w:r>
      <w:r w:rsidRPr="00FD5DAF">
        <w:rPr>
          <w:rFonts w:asciiTheme="minorHAnsi" w:hAnsiTheme="minorHAnsi" w:cstheme="minorHAnsi"/>
          <w:b/>
          <w:bCs/>
          <w:sz w:val="22"/>
          <w:szCs w:val="22"/>
        </w:rPr>
        <w:t xml:space="preserve">we advise ESMA to not require a specific column </w:t>
      </w:r>
      <w:r w:rsidR="008D1FE9" w:rsidRPr="00FD5DAF">
        <w:rPr>
          <w:rFonts w:asciiTheme="minorHAnsi" w:hAnsiTheme="minorHAnsi" w:cstheme="minorHAnsi"/>
          <w:b/>
          <w:bCs/>
          <w:sz w:val="22"/>
          <w:szCs w:val="22"/>
        </w:rPr>
        <w:t>regarding transitional activities</w:t>
      </w:r>
      <w:r w:rsidR="008D1FE9" w:rsidRPr="00B15091">
        <w:rPr>
          <w:rFonts w:asciiTheme="minorHAnsi" w:hAnsiTheme="minorHAnsi" w:cstheme="minorHAnsi"/>
          <w:sz w:val="22"/>
          <w:szCs w:val="22"/>
        </w:rPr>
        <w:t xml:space="preserve">. </w:t>
      </w:r>
      <w:r w:rsidR="00FE2F2A" w:rsidRPr="00B15091">
        <w:rPr>
          <w:rFonts w:asciiTheme="minorHAnsi" w:hAnsiTheme="minorHAnsi" w:cstheme="minorHAnsi"/>
          <w:sz w:val="22"/>
          <w:szCs w:val="22"/>
        </w:rPr>
        <w:t xml:space="preserve">Such activities can be </w:t>
      </w:r>
      <w:r w:rsidR="001027C1" w:rsidRPr="00B15091">
        <w:rPr>
          <w:rFonts w:asciiTheme="minorHAnsi" w:hAnsiTheme="minorHAnsi" w:cstheme="minorHAnsi"/>
          <w:sz w:val="22"/>
          <w:szCs w:val="22"/>
        </w:rPr>
        <w:t>identified in footnotes or accompanying information</w:t>
      </w:r>
      <w:r w:rsidR="00E83818" w:rsidRPr="00B15091">
        <w:rPr>
          <w:rFonts w:asciiTheme="minorHAnsi" w:hAnsiTheme="minorHAnsi" w:cstheme="minorHAnsi"/>
          <w:sz w:val="22"/>
          <w:szCs w:val="22"/>
        </w:rPr>
        <w:t>.</w:t>
      </w:r>
    </w:p>
    <w:permEnd w:id="1046510351"/>
    <w:p w14:paraId="1B3BEA7F" w14:textId="1E10DD06" w:rsidR="00492B3A" w:rsidRDefault="00492B3A" w:rsidP="00492B3A">
      <w:r>
        <w:t>&lt;ESMA_QUESTION_TRART8_16&gt;</w:t>
      </w:r>
    </w:p>
    <w:p w14:paraId="649FBBBD" w14:textId="77777777" w:rsidR="00492B3A" w:rsidRDefault="00492B3A" w:rsidP="00492B3A"/>
    <w:p w14:paraId="5EF224F0" w14:textId="645A4977" w:rsidR="00492B3A" w:rsidRDefault="00492B3A" w:rsidP="00492B3A">
      <w:pPr>
        <w:pStyle w:val="Questionstyle"/>
      </w:pPr>
      <w:r>
        <w:t>Do you agree that the three KPIs should be provided per environmental objective as well as a total at undertaking or group level across all objectives? If not, please provide your reasons and address the impact of your proposal to financial market participants along the investment chain.</w:t>
      </w:r>
    </w:p>
    <w:p w14:paraId="0A7FFEE1" w14:textId="77777777" w:rsidR="00492B3A" w:rsidRDefault="00492B3A" w:rsidP="00492B3A">
      <w:r>
        <w:t>&lt;ESMA_QUESTION_TRART8_17&gt;</w:t>
      </w:r>
    </w:p>
    <w:p w14:paraId="20733EA7" w14:textId="053B0976" w:rsidR="00492B3A" w:rsidRDefault="0004134C" w:rsidP="00492B3A">
      <w:permStart w:id="1692017174" w:edGrp="everyone"/>
      <w:r w:rsidRPr="00FD5DAF">
        <w:rPr>
          <w:rFonts w:asciiTheme="minorHAnsi" w:hAnsiTheme="minorHAnsi" w:cstheme="minorHAnsi"/>
          <w:b/>
          <w:bCs/>
          <w:sz w:val="22"/>
          <w:szCs w:val="22"/>
        </w:rPr>
        <w:t xml:space="preserve">Yes, we agree with ESMA’s proposal notwithstanding our reservations about disclosing the proportion of </w:t>
      </w:r>
      <w:proofErr w:type="spellStart"/>
      <w:r w:rsidRPr="00FD5DAF">
        <w:rPr>
          <w:rFonts w:asciiTheme="minorHAnsi" w:hAnsiTheme="minorHAnsi" w:cstheme="minorHAnsi"/>
          <w:b/>
          <w:bCs/>
          <w:sz w:val="22"/>
          <w:szCs w:val="22"/>
        </w:rPr>
        <w:t>OpEx</w:t>
      </w:r>
      <w:proofErr w:type="spellEnd"/>
      <w:r w:rsidRPr="00FD5DAF">
        <w:rPr>
          <w:rFonts w:asciiTheme="minorHAnsi" w:hAnsiTheme="minorHAnsi" w:cstheme="minorHAnsi"/>
          <w:sz w:val="22"/>
          <w:szCs w:val="22"/>
        </w:rPr>
        <w:t xml:space="preserve"> associated with sustainable </w:t>
      </w:r>
      <w:proofErr w:type="gramStart"/>
      <w:r w:rsidRPr="00FD5DAF">
        <w:rPr>
          <w:rFonts w:asciiTheme="minorHAnsi" w:hAnsiTheme="minorHAnsi" w:cstheme="minorHAnsi"/>
          <w:sz w:val="22"/>
          <w:szCs w:val="22"/>
        </w:rPr>
        <w:t>activities</w:t>
      </w:r>
      <w:r>
        <w:t>.</w:t>
      </w:r>
      <w:permEnd w:id="1692017174"/>
      <w:r w:rsidR="00492B3A">
        <w:t>&lt;</w:t>
      </w:r>
      <w:proofErr w:type="gramEnd"/>
      <w:r w:rsidR="00492B3A">
        <w:t>ESMA_QUESTION_TRART8_17&gt;</w:t>
      </w:r>
    </w:p>
    <w:p w14:paraId="003742D8" w14:textId="77777777" w:rsidR="00492B3A" w:rsidRDefault="00492B3A" w:rsidP="00492B3A"/>
    <w:p w14:paraId="630C1875" w14:textId="71E26F90" w:rsidR="00492B3A" w:rsidRDefault="00492B3A" w:rsidP="00492B3A">
      <w:pPr>
        <w:pStyle w:val="Questionstyle"/>
      </w:pPr>
      <w:r>
        <w:t>Do you agree that non-financial undertakings should be required to provide the three KPIs for economic activities which are covered by the Taxonomy, economic activities which are covered by the Taxonomy but for which the relevant criteria are not met and therefore are not Taxonomy-aligned as well as for economic activities which are not covered by the Taxonomy?</w:t>
      </w:r>
    </w:p>
    <w:p w14:paraId="62131EFD" w14:textId="77777777" w:rsidR="00492B3A" w:rsidRDefault="00492B3A" w:rsidP="00492B3A">
      <w:r>
        <w:t>&lt;ESMA_QUESTION_TRART8_18&gt;</w:t>
      </w:r>
    </w:p>
    <w:p w14:paraId="351E5A08" w14:textId="77777777" w:rsidR="003C1FF4" w:rsidRDefault="003C1FF4" w:rsidP="003C1FF4">
      <w:pPr>
        <w:contextualSpacing/>
        <w:jc w:val="both"/>
        <w:rPr>
          <w:rFonts w:asciiTheme="minorHAnsi" w:hAnsiTheme="minorHAnsi" w:cstheme="minorHAnsi"/>
          <w:sz w:val="22"/>
          <w:szCs w:val="22"/>
        </w:rPr>
      </w:pPr>
      <w:permStart w:id="2067675786" w:edGrp="everyone"/>
      <w:r w:rsidRPr="00F67A0B">
        <w:rPr>
          <w:rFonts w:asciiTheme="minorHAnsi" w:hAnsiTheme="minorHAnsi" w:cstheme="minorHAnsi"/>
          <w:sz w:val="22"/>
          <w:szCs w:val="22"/>
        </w:rPr>
        <w:t xml:space="preserve">We consider that companies </w:t>
      </w:r>
      <w:r w:rsidRPr="00FD5DAF">
        <w:rPr>
          <w:rFonts w:asciiTheme="minorHAnsi" w:hAnsiTheme="minorHAnsi" w:cstheme="minorHAnsi"/>
          <w:b/>
          <w:bCs/>
          <w:sz w:val="22"/>
          <w:szCs w:val="22"/>
        </w:rPr>
        <w:t>should not have to disclose the KPIs for economic activities which are covered by the Taxonomy but for which the relevant criteria are not met</w:t>
      </w:r>
      <w:r w:rsidRPr="00F67A0B">
        <w:rPr>
          <w:rFonts w:asciiTheme="minorHAnsi" w:hAnsiTheme="minorHAnsi" w:cstheme="minorHAnsi"/>
          <w:sz w:val="22"/>
          <w:szCs w:val="22"/>
        </w:rPr>
        <w:t xml:space="preserve"> and therefore are not Taxonomy-aligned.</w:t>
      </w:r>
      <w:r>
        <w:rPr>
          <w:rFonts w:asciiTheme="minorHAnsi" w:hAnsiTheme="minorHAnsi" w:cstheme="minorHAnsi"/>
          <w:sz w:val="22"/>
          <w:szCs w:val="22"/>
        </w:rPr>
        <w:t xml:space="preserve"> </w:t>
      </w:r>
      <w:r w:rsidRPr="00F67A0B">
        <w:rPr>
          <w:rFonts w:asciiTheme="minorHAnsi" w:hAnsiTheme="minorHAnsi" w:cstheme="minorHAnsi"/>
          <w:sz w:val="22"/>
          <w:szCs w:val="22"/>
        </w:rPr>
        <w:t>Article 8 of the Taxonomy Regulation requires only the disclosure of the proportion associated with sustainable activities.</w:t>
      </w:r>
    </w:p>
    <w:p w14:paraId="30712484" w14:textId="3439D3BD" w:rsidR="000161E6" w:rsidRPr="003C1FF4" w:rsidRDefault="003C1FF4" w:rsidP="003C1FF4">
      <w:pPr>
        <w:contextualSpacing/>
        <w:jc w:val="both"/>
        <w:rPr>
          <w:rFonts w:ascii="Calibri" w:hAnsi="Calibri"/>
          <w:szCs w:val="22"/>
          <w:lang w:val="en-US" w:eastAsia="en-US"/>
        </w:rPr>
      </w:pPr>
      <w:r w:rsidRPr="000B435F">
        <w:rPr>
          <w:rFonts w:asciiTheme="minorHAnsi" w:hAnsiTheme="minorHAnsi" w:cstheme="minorHAnsi"/>
          <w:sz w:val="22"/>
          <w:szCs w:val="22"/>
          <w:lang w:val="en-US"/>
        </w:rPr>
        <w:t xml:space="preserve">Companies </w:t>
      </w:r>
      <w:r w:rsidRPr="00FD5DAF">
        <w:rPr>
          <w:rFonts w:asciiTheme="minorHAnsi" w:hAnsiTheme="minorHAnsi" w:cstheme="minorHAnsi"/>
          <w:b/>
          <w:bCs/>
          <w:sz w:val="22"/>
          <w:szCs w:val="22"/>
          <w:lang w:val="en-US"/>
        </w:rPr>
        <w:t>should have flexibility to decide to disclose revenue from economic activities that have not yet been reviewed and are not covered by the Taxonomy</w:t>
      </w:r>
      <w:r w:rsidRPr="000B435F">
        <w:rPr>
          <w:rFonts w:asciiTheme="minorHAnsi" w:hAnsiTheme="minorHAnsi" w:cstheme="minorHAnsi"/>
          <w:sz w:val="22"/>
          <w:szCs w:val="22"/>
          <w:lang w:val="en-US"/>
        </w:rPr>
        <w:t xml:space="preserve"> as it will be often necessary to provide contextual information to understand the overall percentage.</w:t>
      </w:r>
    </w:p>
    <w:permEnd w:id="2067675786"/>
    <w:p w14:paraId="0824C05D" w14:textId="77777777" w:rsidR="00492B3A" w:rsidRDefault="00492B3A" w:rsidP="00492B3A">
      <w:r>
        <w:lastRenderedPageBreak/>
        <w:t>&lt;ESMA_QUESTION_TRART8_18&gt;</w:t>
      </w:r>
    </w:p>
    <w:p w14:paraId="04F456E7" w14:textId="77777777" w:rsidR="00492B3A" w:rsidRDefault="00492B3A" w:rsidP="00492B3A"/>
    <w:p w14:paraId="2CB6885A" w14:textId="000888D8" w:rsidR="00492B3A" w:rsidRDefault="00492B3A" w:rsidP="00492B3A">
      <w:pPr>
        <w:pStyle w:val="Questionstyle"/>
      </w:pPr>
      <w:r>
        <w:t>Do you agree with the proposal not to require retroactive disclosure concerning the four environmental objectives relating to the financial year 2021?</w:t>
      </w:r>
    </w:p>
    <w:p w14:paraId="7199B384" w14:textId="77777777" w:rsidR="00492B3A" w:rsidRDefault="00492B3A" w:rsidP="00492B3A">
      <w:r>
        <w:t>&lt;ESMA_QUESTION_TRART8_19&gt;</w:t>
      </w:r>
    </w:p>
    <w:p w14:paraId="10FE76B3" w14:textId="3F66F610" w:rsidR="00154F09" w:rsidRPr="00AD0094" w:rsidRDefault="005D312D" w:rsidP="00154F09">
      <w:pPr>
        <w:jc w:val="both"/>
        <w:rPr>
          <w:rFonts w:asciiTheme="minorHAnsi" w:hAnsiTheme="minorHAnsi" w:cstheme="minorHAnsi"/>
          <w:sz w:val="22"/>
          <w:szCs w:val="22"/>
        </w:rPr>
      </w:pPr>
      <w:permStart w:id="1373325572" w:edGrp="everyone"/>
      <w:r w:rsidRPr="006E1181">
        <w:rPr>
          <w:rFonts w:asciiTheme="minorHAnsi" w:hAnsiTheme="minorHAnsi" w:cstheme="minorHAnsi"/>
          <w:b/>
          <w:bCs/>
          <w:sz w:val="22"/>
          <w:szCs w:val="22"/>
        </w:rPr>
        <w:t>Yes, we agree with ESMA’s proposal not to require retroactive disclosure</w:t>
      </w:r>
      <w:r w:rsidRPr="00F67A0B">
        <w:rPr>
          <w:rFonts w:asciiTheme="minorHAnsi" w:hAnsiTheme="minorHAnsi" w:cstheme="minorHAnsi"/>
          <w:sz w:val="22"/>
          <w:szCs w:val="22"/>
        </w:rPr>
        <w:t xml:space="preserve"> concerning the </w:t>
      </w:r>
      <w:r>
        <w:rPr>
          <w:rFonts w:asciiTheme="minorHAnsi" w:hAnsiTheme="minorHAnsi" w:cstheme="minorHAnsi"/>
          <w:sz w:val="22"/>
          <w:szCs w:val="22"/>
        </w:rPr>
        <w:t xml:space="preserve">last </w:t>
      </w:r>
      <w:r w:rsidRPr="00F67A0B">
        <w:rPr>
          <w:rFonts w:asciiTheme="minorHAnsi" w:hAnsiTheme="minorHAnsi" w:cstheme="minorHAnsi"/>
          <w:sz w:val="22"/>
          <w:szCs w:val="22"/>
        </w:rPr>
        <w:t>four environmental objectives.</w:t>
      </w:r>
      <w:r>
        <w:rPr>
          <w:rFonts w:asciiTheme="minorHAnsi" w:hAnsiTheme="minorHAnsi" w:cstheme="minorHAnsi"/>
          <w:sz w:val="22"/>
          <w:szCs w:val="22"/>
        </w:rPr>
        <w:t xml:space="preserve"> We consider that the reporting requirements regarding the first two objectives should apply to financial reporting periods starting on or after 1 January 2022. The reporting requirements regarding the last four objectives should therefore apply to financial reporting periods starting on or after 1 January 2023</w:t>
      </w:r>
      <w:r w:rsidR="00AD0094">
        <w:rPr>
          <w:rFonts w:asciiTheme="minorHAnsi" w:hAnsiTheme="minorHAnsi" w:cstheme="minorHAnsi"/>
          <w:sz w:val="22"/>
          <w:szCs w:val="22"/>
        </w:rPr>
        <w:t xml:space="preserve"> </w:t>
      </w:r>
      <w:r w:rsidR="00AD0094" w:rsidRPr="00AD0094">
        <w:rPr>
          <w:rFonts w:ascii="Calibri" w:hAnsi="Calibri" w:cs="Calibri"/>
          <w:sz w:val="22"/>
          <w:szCs w:val="22"/>
          <w:lang w:val="en-US" w:eastAsia="en-US"/>
        </w:rPr>
        <w:t>assuming that criteria are made available sufficiently early</w:t>
      </w:r>
      <w:r w:rsidRPr="00AD0094">
        <w:rPr>
          <w:rFonts w:asciiTheme="minorHAnsi" w:hAnsiTheme="minorHAnsi" w:cstheme="minorHAnsi"/>
          <w:sz w:val="22"/>
          <w:szCs w:val="22"/>
        </w:rPr>
        <w:t xml:space="preserve">. </w:t>
      </w:r>
    </w:p>
    <w:p w14:paraId="0BFE7D97" w14:textId="5BF9960E" w:rsidR="00492B3A" w:rsidRDefault="001D2EDF" w:rsidP="00492B3A">
      <w:proofErr w:type="gramStart"/>
      <w:r>
        <w:t>.</w:t>
      </w:r>
      <w:permEnd w:id="1373325572"/>
      <w:r w:rsidR="00492B3A">
        <w:t>&lt;</w:t>
      </w:r>
      <w:proofErr w:type="gramEnd"/>
      <w:r w:rsidR="00492B3A">
        <w:t>ESMA_QUESTION_TRART8_19&gt;</w:t>
      </w:r>
    </w:p>
    <w:p w14:paraId="3D24CE57" w14:textId="77777777" w:rsidR="00492B3A" w:rsidRDefault="00492B3A" w:rsidP="00492B3A"/>
    <w:p w14:paraId="480CBA32" w14:textId="73EF4494" w:rsidR="00492B3A" w:rsidRDefault="00492B3A" w:rsidP="00492B3A">
      <w:pPr>
        <w:pStyle w:val="Questionstyle"/>
      </w:pPr>
      <w:r>
        <w:t>Do you consider that there are specific elements in ESMA’s draft advice which are not in line with the information needed by financial market participants in order to comply with their own obligations under the Taxonomy Regulation and the SFDR? If yes, please specify in your answer.</w:t>
      </w:r>
    </w:p>
    <w:p w14:paraId="2B4FDACB" w14:textId="77777777" w:rsidR="00492B3A" w:rsidRDefault="00492B3A" w:rsidP="00492B3A">
      <w:r>
        <w:t>&lt;ESMA_QUESTION_TRART8_20&gt;</w:t>
      </w:r>
    </w:p>
    <w:p w14:paraId="3189744A" w14:textId="77777777" w:rsidR="00492B3A" w:rsidRDefault="00492B3A" w:rsidP="00492B3A">
      <w:permStart w:id="1139373962" w:edGrp="everyone"/>
      <w:r>
        <w:t>TYPE YOUR TEXT HERE</w:t>
      </w:r>
    </w:p>
    <w:permEnd w:id="1139373962"/>
    <w:p w14:paraId="013F0CDC" w14:textId="77777777" w:rsidR="00492B3A" w:rsidRDefault="00492B3A" w:rsidP="00492B3A">
      <w:r>
        <w:t>&lt;ESMA_QUESTION_TRART8_20&gt;</w:t>
      </w:r>
    </w:p>
    <w:p w14:paraId="6ADCFC75" w14:textId="77777777" w:rsidR="00492B3A" w:rsidRDefault="00492B3A" w:rsidP="00492B3A"/>
    <w:p w14:paraId="3ACDF89C" w14:textId="1758DD30" w:rsidR="00492B3A" w:rsidRDefault="00492B3A" w:rsidP="00492B3A">
      <w:pPr>
        <w:pStyle w:val="Questionstyle"/>
      </w:pPr>
      <w:r>
        <w:t>Are there points that should be addressed in ESMA’s advice in order to facilitate compliance of financial market participants across the investment chain? If yes, please specify.</w:t>
      </w:r>
    </w:p>
    <w:p w14:paraId="0AC75177" w14:textId="77777777" w:rsidR="00492B3A" w:rsidRDefault="00492B3A" w:rsidP="00492B3A">
      <w:r>
        <w:t>&lt;ESMA_QUESTION_TRART8_21&gt;</w:t>
      </w:r>
    </w:p>
    <w:p w14:paraId="1B8CFF13" w14:textId="77777777" w:rsidR="00492B3A" w:rsidRDefault="00492B3A" w:rsidP="00492B3A">
      <w:permStart w:id="1800012995" w:edGrp="everyone"/>
      <w:r>
        <w:t>TYPE YOUR TEXT HERE</w:t>
      </w:r>
    </w:p>
    <w:permEnd w:id="1800012995"/>
    <w:p w14:paraId="0B224243" w14:textId="77777777" w:rsidR="00492B3A" w:rsidRDefault="00492B3A" w:rsidP="00492B3A">
      <w:r>
        <w:t>&lt;ESMA_QUESTION_TRART8_21&gt;</w:t>
      </w:r>
    </w:p>
    <w:p w14:paraId="3C54CD52" w14:textId="77777777" w:rsidR="00492B3A" w:rsidRDefault="00492B3A" w:rsidP="00492B3A"/>
    <w:p w14:paraId="1C55997C" w14:textId="3797E289" w:rsidR="00492B3A" w:rsidRDefault="00492B3A" w:rsidP="00492B3A">
      <w:pPr>
        <w:pStyle w:val="Questionstyle"/>
      </w:pPr>
      <w:r>
        <w:t>Do you believe that ESMA’s detailed proposals under Section 3.3 will impose additional costs on non-financial undertakings? If yes, please specify the type of those costs, to which specific proposal they relate including whether they are one-off or on-going, and provide your best quantitative estimate of their size.</w:t>
      </w:r>
    </w:p>
    <w:p w14:paraId="1AEDE398" w14:textId="77777777" w:rsidR="00492B3A" w:rsidRDefault="00492B3A" w:rsidP="00492B3A">
      <w:r>
        <w:t>&lt;ESMA_QUESTION_TRART8_22&gt;</w:t>
      </w:r>
    </w:p>
    <w:p w14:paraId="6064EA3A" w14:textId="06AE8D35" w:rsidR="00492B3A" w:rsidRDefault="00C51401" w:rsidP="00492B3A">
      <w:permStart w:id="449525443" w:edGrp="everyone"/>
      <w:r w:rsidRPr="006E1181">
        <w:rPr>
          <w:rFonts w:asciiTheme="minorHAnsi" w:hAnsiTheme="minorHAnsi" w:cstheme="minorHAnsi"/>
          <w:b/>
          <w:bCs/>
          <w:sz w:val="22"/>
          <w:szCs w:val="22"/>
        </w:rPr>
        <w:t xml:space="preserve">Yes, </w:t>
      </w:r>
      <w:r w:rsidR="001425F3" w:rsidRPr="006E1181">
        <w:rPr>
          <w:rFonts w:asciiTheme="minorHAnsi" w:hAnsiTheme="minorHAnsi" w:cstheme="minorHAnsi"/>
          <w:b/>
          <w:bCs/>
          <w:sz w:val="22"/>
          <w:szCs w:val="22"/>
        </w:rPr>
        <w:t xml:space="preserve">we believe that the new reporting requirements will generate additional costs. Please refer to our answer to question </w:t>
      </w:r>
      <w:proofErr w:type="gramStart"/>
      <w:r w:rsidR="001425F3" w:rsidRPr="006E1181">
        <w:rPr>
          <w:rFonts w:asciiTheme="minorHAnsi" w:hAnsiTheme="minorHAnsi" w:cstheme="minorHAnsi"/>
          <w:b/>
          <w:bCs/>
          <w:sz w:val="22"/>
          <w:szCs w:val="22"/>
        </w:rPr>
        <w:t>7</w:t>
      </w:r>
      <w:r w:rsidR="001425F3">
        <w:t>.</w:t>
      </w:r>
      <w:permEnd w:id="449525443"/>
      <w:r w:rsidR="00492B3A">
        <w:t>&lt;</w:t>
      </w:r>
      <w:proofErr w:type="gramEnd"/>
      <w:r w:rsidR="00492B3A">
        <w:t>ESMA_QUESTION_TRART8_22&gt;</w:t>
      </w:r>
    </w:p>
    <w:p w14:paraId="1A7A9FA5" w14:textId="77777777" w:rsidR="00492B3A" w:rsidRDefault="00492B3A" w:rsidP="00492B3A"/>
    <w:p w14:paraId="6D4B37FC" w14:textId="4EF0566C" w:rsidR="00492B3A" w:rsidRDefault="00492B3A" w:rsidP="00492B3A">
      <w:pPr>
        <w:pStyle w:val="Questionstyle"/>
      </w:pPr>
      <w:r>
        <w:t>Do you consider there are additional topics that should be considered by ESMA in order to specify the methodology that non-financial undertakings should follow? If yes, please elaborate and explain the relevance of these topics.</w:t>
      </w:r>
    </w:p>
    <w:p w14:paraId="79AF9D7A" w14:textId="77777777" w:rsidR="00492B3A" w:rsidRDefault="00492B3A" w:rsidP="00492B3A">
      <w:r>
        <w:t>&lt;ESMA_QUESTION_TRART8_23&gt;</w:t>
      </w:r>
    </w:p>
    <w:p w14:paraId="613956EA" w14:textId="506F30DF" w:rsidR="00492B3A" w:rsidRPr="00C437B5" w:rsidRDefault="00C437B5" w:rsidP="00C437B5">
      <w:pPr>
        <w:contextualSpacing/>
        <w:jc w:val="both"/>
        <w:rPr>
          <w:rFonts w:asciiTheme="minorHAnsi" w:hAnsiTheme="minorHAnsi" w:cstheme="minorHAnsi"/>
          <w:sz w:val="22"/>
          <w:szCs w:val="22"/>
        </w:rPr>
      </w:pPr>
      <w:permStart w:id="1857751903" w:edGrp="everyone"/>
      <w:r w:rsidRPr="00F67A0B">
        <w:rPr>
          <w:rFonts w:asciiTheme="minorHAnsi" w:hAnsiTheme="minorHAnsi" w:cstheme="minorHAnsi"/>
          <w:sz w:val="22"/>
          <w:szCs w:val="22"/>
        </w:rPr>
        <w:t xml:space="preserve">Guidance from ESMA regarding </w:t>
      </w:r>
      <w:r w:rsidRPr="006E1181">
        <w:rPr>
          <w:rFonts w:asciiTheme="minorHAnsi" w:hAnsiTheme="minorHAnsi" w:cstheme="minorHAnsi"/>
          <w:b/>
          <w:bCs/>
          <w:sz w:val="22"/>
          <w:szCs w:val="22"/>
        </w:rPr>
        <w:t>how to account for services and products sold in third countries</w:t>
      </w:r>
      <w:r w:rsidRPr="00F67A0B">
        <w:rPr>
          <w:rFonts w:asciiTheme="minorHAnsi" w:hAnsiTheme="minorHAnsi" w:cstheme="minorHAnsi"/>
          <w:sz w:val="22"/>
          <w:szCs w:val="22"/>
        </w:rPr>
        <w:t xml:space="preserve"> would be useful.</w:t>
      </w:r>
    </w:p>
    <w:permEnd w:id="1857751903"/>
    <w:p w14:paraId="6FC84A1D" w14:textId="77777777" w:rsidR="00492B3A" w:rsidRDefault="00492B3A" w:rsidP="00492B3A">
      <w:r>
        <w:t>&lt;ESMA_QUESTION_TRART8_23&gt;</w:t>
      </w:r>
    </w:p>
    <w:p w14:paraId="71D02515" w14:textId="77777777" w:rsidR="00492B3A" w:rsidRDefault="00492B3A" w:rsidP="00492B3A"/>
    <w:p w14:paraId="592B7BDB" w14:textId="5B007498" w:rsidR="00492B3A" w:rsidRDefault="00492B3A" w:rsidP="00492B3A">
      <w:pPr>
        <w:pStyle w:val="Questionstyle"/>
      </w:pPr>
      <w:r>
        <w:lastRenderedPageBreak/>
        <w:t>Do you agree that in order to ensure the comparability of the information disclosed under Article 8(2) of the Taxonomy Regulation and as such facilitate its usage, ESMA should propose the use of a standardised table?</w:t>
      </w:r>
    </w:p>
    <w:p w14:paraId="743B69AE" w14:textId="77777777" w:rsidR="00492B3A" w:rsidRDefault="00492B3A" w:rsidP="00492B3A">
      <w:r>
        <w:t>&lt;ESMA_QUESTION_TRART8_24&gt;</w:t>
      </w:r>
    </w:p>
    <w:p w14:paraId="1576AE38" w14:textId="0E82D3F0" w:rsidR="006D1742" w:rsidRPr="004C7F86" w:rsidRDefault="004C7F86" w:rsidP="004C7F86">
      <w:pPr>
        <w:contextualSpacing/>
        <w:jc w:val="both"/>
        <w:rPr>
          <w:rFonts w:asciiTheme="minorHAnsi" w:hAnsiTheme="minorHAnsi" w:cstheme="minorHAnsi"/>
          <w:sz w:val="22"/>
          <w:szCs w:val="22"/>
        </w:rPr>
      </w:pPr>
      <w:permStart w:id="2059688895" w:edGrp="everyone"/>
      <w:r w:rsidRPr="00F67A0B">
        <w:rPr>
          <w:rFonts w:asciiTheme="minorHAnsi" w:hAnsiTheme="minorHAnsi" w:cstheme="minorHAnsi"/>
          <w:sz w:val="22"/>
          <w:szCs w:val="22"/>
        </w:rPr>
        <w:t>Providing a standardised table could be useful</w:t>
      </w:r>
      <w:r>
        <w:rPr>
          <w:rFonts w:asciiTheme="minorHAnsi" w:hAnsiTheme="minorHAnsi" w:cstheme="minorHAnsi"/>
          <w:sz w:val="22"/>
          <w:szCs w:val="22"/>
        </w:rPr>
        <w:t xml:space="preserve"> </w:t>
      </w:r>
      <w:r w:rsidR="006E1181">
        <w:rPr>
          <w:rFonts w:asciiTheme="minorHAnsi" w:hAnsiTheme="minorHAnsi" w:cstheme="minorHAnsi"/>
          <w:sz w:val="22"/>
          <w:szCs w:val="22"/>
        </w:rPr>
        <w:t>h</w:t>
      </w:r>
      <w:r>
        <w:rPr>
          <w:rFonts w:asciiTheme="minorHAnsi" w:hAnsiTheme="minorHAnsi" w:cstheme="minorHAnsi"/>
          <w:sz w:val="22"/>
          <w:szCs w:val="22"/>
        </w:rPr>
        <w:t xml:space="preserve">owever </w:t>
      </w:r>
      <w:r w:rsidRPr="006E1181">
        <w:rPr>
          <w:rFonts w:asciiTheme="minorHAnsi" w:hAnsiTheme="minorHAnsi" w:cstheme="minorHAnsi"/>
          <w:b/>
          <w:bCs/>
          <w:sz w:val="22"/>
          <w:szCs w:val="22"/>
        </w:rPr>
        <w:t>we believe that this template should not be mandatory</w:t>
      </w:r>
      <w:r>
        <w:rPr>
          <w:rFonts w:asciiTheme="minorHAnsi" w:hAnsiTheme="minorHAnsi" w:cstheme="minorHAnsi"/>
          <w:sz w:val="22"/>
          <w:szCs w:val="22"/>
        </w:rPr>
        <w:t xml:space="preserve"> </w:t>
      </w:r>
      <w:proofErr w:type="gramStart"/>
      <w:r>
        <w:rPr>
          <w:rFonts w:asciiTheme="minorHAnsi" w:hAnsiTheme="minorHAnsi" w:cstheme="minorHAnsi"/>
          <w:sz w:val="22"/>
          <w:szCs w:val="22"/>
        </w:rPr>
        <w:t>as long as</w:t>
      </w:r>
      <w:proofErr w:type="gramEnd"/>
      <w:r>
        <w:rPr>
          <w:rFonts w:asciiTheme="minorHAnsi" w:hAnsiTheme="minorHAnsi" w:cstheme="minorHAnsi"/>
          <w:sz w:val="22"/>
          <w:szCs w:val="22"/>
        </w:rPr>
        <w:t xml:space="preserve"> the information is clearly displayed, not misleading and comparability is not impaired. Companies should have flexibility to ensure consistency with their (financial) reporting practices.</w:t>
      </w:r>
    </w:p>
    <w:permEnd w:id="2059688895"/>
    <w:p w14:paraId="3A6236CE" w14:textId="77777777" w:rsidR="00492B3A" w:rsidRDefault="00492B3A" w:rsidP="00492B3A">
      <w:r>
        <w:t>&lt;ESMA_QUESTION_TRART8_24&gt;</w:t>
      </w:r>
    </w:p>
    <w:p w14:paraId="64DD58B2" w14:textId="77777777" w:rsidR="00492B3A" w:rsidRDefault="00492B3A" w:rsidP="00492B3A"/>
    <w:p w14:paraId="1AA09908" w14:textId="0936C4AE" w:rsidR="00492B3A" w:rsidRDefault="00492B3A" w:rsidP="00492B3A">
      <w:pPr>
        <w:pStyle w:val="Questionstyle"/>
      </w:pPr>
      <w:r>
        <w:t>Do you consider that the standard table provided in Annex III of this Consultation Paper is fit for purpose? Do you think the standard table provides the right information, taking into account the burden on non-financial undertakings of compiling the data versus the benefit to users of receiving the data? If not, please explain and provide alternative suggestions to promote the standardisation of the disclosure obligations pursuant to Article 8 of the Taxonomy Regulation.</w:t>
      </w:r>
    </w:p>
    <w:p w14:paraId="1E1B7EC2" w14:textId="77777777" w:rsidR="00492B3A" w:rsidRDefault="00492B3A" w:rsidP="00492B3A">
      <w:r>
        <w:t>&lt;ESMA_QUESTION_TRART8_25&gt;</w:t>
      </w:r>
    </w:p>
    <w:p w14:paraId="54130A9B" w14:textId="2ED1F091" w:rsidR="00B859EC" w:rsidRPr="004C7F86" w:rsidRDefault="00B859EC" w:rsidP="00492B3A">
      <w:pPr>
        <w:rPr>
          <w:rFonts w:asciiTheme="minorHAnsi" w:hAnsiTheme="minorHAnsi" w:cstheme="minorHAnsi"/>
          <w:sz w:val="22"/>
          <w:szCs w:val="22"/>
        </w:rPr>
      </w:pPr>
      <w:permStart w:id="1618612787" w:edGrp="everyone"/>
      <w:r w:rsidRPr="004C7F86">
        <w:rPr>
          <w:rFonts w:asciiTheme="minorHAnsi" w:hAnsiTheme="minorHAnsi" w:cstheme="minorHAnsi"/>
          <w:sz w:val="22"/>
          <w:szCs w:val="22"/>
        </w:rPr>
        <w:t>Pleas</w:t>
      </w:r>
      <w:r w:rsidR="004C7F86" w:rsidRPr="004C7F86">
        <w:rPr>
          <w:rFonts w:asciiTheme="minorHAnsi" w:hAnsiTheme="minorHAnsi" w:cstheme="minorHAnsi"/>
          <w:sz w:val="22"/>
          <w:szCs w:val="22"/>
        </w:rPr>
        <w:t>e</w:t>
      </w:r>
      <w:r w:rsidRPr="004C7F86">
        <w:rPr>
          <w:rFonts w:asciiTheme="minorHAnsi" w:hAnsiTheme="minorHAnsi" w:cstheme="minorHAnsi"/>
          <w:sz w:val="22"/>
          <w:szCs w:val="22"/>
        </w:rPr>
        <w:t xml:space="preserve"> refer to our answer to the previous question.</w:t>
      </w:r>
    </w:p>
    <w:permEnd w:id="1618612787"/>
    <w:p w14:paraId="1DFE63E7" w14:textId="77777777" w:rsidR="00492B3A" w:rsidRDefault="00492B3A" w:rsidP="00492B3A">
      <w:r>
        <w:t>&lt;ESMA_QUESTION_TRART8_25&gt;</w:t>
      </w:r>
    </w:p>
    <w:p w14:paraId="434B4DA4" w14:textId="77777777" w:rsidR="00492B3A" w:rsidRDefault="00492B3A" w:rsidP="00492B3A"/>
    <w:p w14:paraId="3AEE5350" w14:textId="1252AAF1" w:rsidR="00492B3A" w:rsidRDefault="00492B3A" w:rsidP="00492B3A">
      <w:pPr>
        <w:pStyle w:val="Questionstyle"/>
      </w:pPr>
      <w:r>
        <w:t>Do you agree that the disclosure in the three standard tables should comply with the formatting rules mentioned in Table 5?</w:t>
      </w:r>
    </w:p>
    <w:p w14:paraId="63FEE985" w14:textId="77777777" w:rsidR="00492B3A" w:rsidRDefault="00492B3A" w:rsidP="00492B3A">
      <w:r>
        <w:t>&lt;ESMA_QUESTION_TRART8_26&gt;</w:t>
      </w:r>
    </w:p>
    <w:p w14:paraId="45517BC4" w14:textId="77777777" w:rsidR="00492B3A" w:rsidRDefault="00492B3A" w:rsidP="00492B3A">
      <w:permStart w:id="300711497" w:edGrp="everyone"/>
      <w:r>
        <w:t>TYPE YOUR TEXT HERE</w:t>
      </w:r>
    </w:p>
    <w:permEnd w:id="300711497"/>
    <w:p w14:paraId="6205EFFC" w14:textId="77777777" w:rsidR="00492B3A" w:rsidRDefault="00492B3A" w:rsidP="00492B3A">
      <w:r>
        <w:t>&lt;ESMA_QUESTION_TRART8_26&gt;</w:t>
      </w:r>
    </w:p>
    <w:p w14:paraId="18D471F6" w14:textId="77777777" w:rsidR="00492B3A" w:rsidRDefault="00492B3A" w:rsidP="00492B3A"/>
    <w:p w14:paraId="2924B4EC" w14:textId="7E5E2100" w:rsidR="00492B3A" w:rsidRDefault="00492B3A" w:rsidP="00492B3A">
      <w:pPr>
        <w:pStyle w:val="Questionstyle"/>
      </w:pPr>
      <w:r>
        <w:t>Do you believe that ESMA’s detailed proposals under Section 3.4 will impose additional costs on non-financial undertakings? If yes, please specify the type of those costs, to which specific proposal they relate including whether they are one-off or on-going, and provide your best quantitative estimate of their size.</w:t>
      </w:r>
    </w:p>
    <w:p w14:paraId="003D9150" w14:textId="77777777" w:rsidR="00492B3A" w:rsidRDefault="00492B3A" w:rsidP="00492B3A">
      <w:r>
        <w:t>&lt;ESMA_QUESTION_TRART8_27&gt;</w:t>
      </w:r>
    </w:p>
    <w:p w14:paraId="54FC59CA" w14:textId="60C02999" w:rsidR="00492B3A" w:rsidRDefault="00293EAC" w:rsidP="00492B3A">
      <w:permStart w:id="1094988904" w:edGrp="everyone"/>
      <w:r>
        <w:rPr>
          <w:rFonts w:asciiTheme="minorHAnsi" w:hAnsiTheme="minorHAnsi" w:cstheme="minorHAnsi"/>
          <w:sz w:val="22"/>
          <w:szCs w:val="22"/>
        </w:rPr>
        <w:t xml:space="preserve">Companies </w:t>
      </w:r>
      <w:r w:rsidRPr="006E1181">
        <w:rPr>
          <w:rFonts w:asciiTheme="minorHAnsi" w:hAnsiTheme="minorHAnsi" w:cstheme="minorHAnsi"/>
          <w:b/>
          <w:bCs/>
          <w:sz w:val="22"/>
          <w:szCs w:val="22"/>
        </w:rPr>
        <w:t>should have flexibility to adapt the format of reporting to their current format and practices</w:t>
      </w:r>
      <w:r>
        <w:rPr>
          <w:rFonts w:asciiTheme="minorHAnsi" w:hAnsiTheme="minorHAnsi" w:cstheme="minorHAnsi"/>
          <w:sz w:val="22"/>
          <w:szCs w:val="22"/>
        </w:rPr>
        <w:t xml:space="preserve"> in terms of reporting. ESMA should lay down principles to ensure usability of the reporting but should not impose detailed requirements.</w:t>
      </w:r>
    </w:p>
    <w:permEnd w:id="1094988904"/>
    <w:p w14:paraId="700D8F45" w14:textId="77777777" w:rsidR="00492B3A" w:rsidRDefault="00492B3A" w:rsidP="00492B3A">
      <w:r>
        <w:t>&lt;ESMA_QUESTION_TRART8_27&gt;</w:t>
      </w:r>
    </w:p>
    <w:p w14:paraId="533E4014" w14:textId="77777777" w:rsidR="00492B3A" w:rsidRDefault="00492B3A" w:rsidP="00492B3A"/>
    <w:p w14:paraId="162D1C68" w14:textId="318E4B96" w:rsidR="00492B3A" w:rsidRDefault="00492B3A" w:rsidP="00492B3A">
      <w:pPr>
        <w:pStyle w:val="Questionstyle"/>
      </w:pPr>
      <w:r>
        <w:t>Do you agree that a share of investments is an appropriate KPI for asset managers? If you do not, what other KPI could be appropriate, please justify.</w:t>
      </w:r>
    </w:p>
    <w:p w14:paraId="5BA76CCA" w14:textId="77777777" w:rsidR="00492B3A" w:rsidRDefault="00492B3A" w:rsidP="00492B3A">
      <w:r>
        <w:t>&lt;ESMA_QUESTION_TRART8_28&gt;</w:t>
      </w:r>
    </w:p>
    <w:p w14:paraId="41056543" w14:textId="77777777" w:rsidR="00492B3A" w:rsidRDefault="00492B3A" w:rsidP="00492B3A">
      <w:permStart w:id="1382092212" w:edGrp="everyone"/>
      <w:r>
        <w:t>TYPE YOUR TEXT HERE</w:t>
      </w:r>
    </w:p>
    <w:permEnd w:id="1382092212"/>
    <w:p w14:paraId="070A9A0E" w14:textId="77777777" w:rsidR="00492B3A" w:rsidRDefault="00492B3A" w:rsidP="00492B3A">
      <w:r>
        <w:t>&lt;ESMA_QUESTION_TRART8_28&gt;</w:t>
      </w:r>
    </w:p>
    <w:p w14:paraId="3CC4AEFA" w14:textId="77777777" w:rsidR="00492B3A" w:rsidRDefault="00492B3A" w:rsidP="00492B3A"/>
    <w:p w14:paraId="607986E2" w14:textId="2125AE0D" w:rsidR="00492B3A" w:rsidRDefault="00492B3A" w:rsidP="00492B3A">
      <w:pPr>
        <w:pStyle w:val="Questionstyle"/>
      </w:pPr>
      <w:r>
        <w:t xml:space="preserve">This advice focuses on the collective portfolio management activities of asset managers. Should this advice also cover potentially any other activities that asset managers may have a </w:t>
      </w:r>
      <w:r>
        <w:lastRenderedPageBreak/>
        <w:t>license for, such as individual portfolio management, investment advice, safekeeping and administration or reception and transmission of orders (‘RTO’)?</w:t>
      </w:r>
    </w:p>
    <w:p w14:paraId="313872AE" w14:textId="77777777" w:rsidR="00492B3A" w:rsidRDefault="00492B3A" w:rsidP="00492B3A">
      <w:r>
        <w:t>&lt;ESMA_QUESTION_TRART8_29&gt;</w:t>
      </w:r>
    </w:p>
    <w:p w14:paraId="5D944A3C" w14:textId="77777777" w:rsidR="00492B3A" w:rsidRDefault="00492B3A" w:rsidP="00492B3A">
      <w:permStart w:id="1069877549" w:edGrp="everyone"/>
      <w:r>
        <w:t>TYPE YOUR TEXT HERE</w:t>
      </w:r>
    </w:p>
    <w:permEnd w:id="1069877549"/>
    <w:p w14:paraId="1CF0D583" w14:textId="77777777" w:rsidR="00492B3A" w:rsidRDefault="00492B3A" w:rsidP="00492B3A">
      <w:r>
        <w:t>&lt;ESMA_QUESTION_TRART8_29&gt;</w:t>
      </w:r>
    </w:p>
    <w:p w14:paraId="5E3BC3C7" w14:textId="77777777" w:rsidR="00492B3A" w:rsidRDefault="00492B3A" w:rsidP="00492B3A"/>
    <w:p w14:paraId="35D2842F" w14:textId="4A71B005" w:rsidR="00492B3A" w:rsidRDefault="00492B3A" w:rsidP="00492B3A">
      <w:pPr>
        <w:pStyle w:val="Questionstyle"/>
      </w:pPr>
      <w:r>
        <w:t>Do you agree that for the numerator of the KPI the asset manager should consider a weighted average of the investments exposed to investee companies based on the share of turnover derived from Taxonomy-aligned activities of the investee companies? If not please propose and justify an alternative.</w:t>
      </w:r>
    </w:p>
    <w:p w14:paraId="6825BF36" w14:textId="77777777" w:rsidR="00492B3A" w:rsidRDefault="00492B3A" w:rsidP="00492B3A">
      <w:r>
        <w:t>&lt;ESMA_QUESTION_TRART8_30&gt;</w:t>
      </w:r>
    </w:p>
    <w:p w14:paraId="0B25670B" w14:textId="77777777" w:rsidR="00492B3A" w:rsidRDefault="00492B3A" w:rsidP="00492B3A">
      <w:permStart w:id="1684879065" w:edGrp="everyone"/>
      <w:r>
        <w:t>TYPE YOUR TEXT HERE</w:t>
      </w:r>
    </w:p>
    <w:permEnd w:id="1684879065"/>
    <w:p w14:paraId="34EEBE1B" w14:textId="77777777" w:rsidR="00492B3A" w:rsidRDefault="00492B3A" w:rsidP="00492B3A">
      <w:r>
        <w:t>&lt;ESMA_QUESTION_TRART8_30&gt;</w:t>
      </w:r>
    </w:p>
    <w:p w14:paraId="45FFD29F" w14:textId="77777777" w:rsidR="00492B3A" w:rsidRDefault="00492B3A" w:rsidP="00492B3A"/>
    <w:p w14:paraId="023FFC2D" w14:textId="27C5EF45" w:rsidR="00492B3A" w:rsidRDefault="00492B3A" w:rsidP="00492B3A">
      <w:pPr>
        <w:pStyle w:val="Questionstyle"/>
      </w:pPr>
      <w:r>
        <w:t>Do you agree that in addition to a main turnover-derived Taxonomy-alignment KPI, there is merit in requiring the disclosure of CapEx and OpEx-derived figures for Taxonomy-alignment of an asset managers’ investments?</w:t>
      </w:r>
    </w:p>
    <w:p w14:paraId="6BB9F8BA" w14:textId="77777777" w:rsidR="00492B3A" w:rsidRDefault="00492B3A" w:rsidP="00492B3A">
      <w:r>
        <w:t>&lt;ESMA_QUESTION_TRART8_31&gt;</w:t>
      </w:r>
    </w:p>
    <w:p w14:paraId="5887E21F" w14:textId="77777777" w:rsidR="00492B3A" w:rsidRDefault="00492B3A" w:rsidP="00492B3A">
      <w:permStart w:id="830504005" w:edGrp="everyone"/>
      <w:r>
        <w:t>TYPE YOUR TEXT HERE</w:t>
      </w:r>
    </w:p>
    <w:permEnd w:id="830504005"/>
    <w:p w14:paraId="6FFA950D" w14:textId="77777777" w:rsidR="00492B3A" w:rsidRDefault="00492B3A" w:rsidP="00492B3A">
      <w:r>
        <w:t>&lt;ESMA_QUESTION_TRART8_31&gt;</w:t>
      </w:r>
    </w:p>
    <w:p w14:paraId="7B351319" w14:textId="77777777" w:rsidR="00492B3A" w:rsidRDefault="00492B3A" w:rsidP="00492B3A"/>
    <w:p w14:paraId="3E2A9E31" w14:textId="10AEABEC" w:rsidR="00492B3A" w:rsidRDefault="00492B3A" w:rsidP="00492B3A">
      <w:pPr>
        <w:pStyle w:val="Questionstyle"/>
      </w:pPr>
      <w:r>
        <w:t>Do you think sovereign exposures, such as sovereign bonds (but excluding green bonds complying with the EU Green Bond Standard) should be considered eligible investments and if so under what methodology?</w:t>
      </w:r>
    </w:p>
    <w:p w14:paraId="04039E3D" w14:textId="77777777" w:rsidR="00492B3A" w:rsidRDefault="00492B3A" w:rsidP="00492B3A">
      <w:r>
        <w:t>&lt;ESMA_QUESTION_TRART8_32&gt;</w:t>
      </w:r>
    </w:p>
    <w:p w14:paraId="19DA34DF" w14:textId="77777777" w:rsidR="00492B3A" w:rsidRDefault="00492B3A" w:rsidP="00492B3A">
      <w:permStart w:id="199520874" w:edGrp="everyone"/>
      <w:r>
        <w:t>TYPE YOUR TEXT HERE</w:t>
      </w:r>
    </w:p>
    <w:permEnd w:id="199520874"/>
    <w:p w14:paraId="632B1704" w14:textId="77777777" w:rsidR="00492B3A" w:rsidRDefault="00492B3A" w:rsidP="00492B3A">
      <w:r>
        <w:t>&lt;ESMA_QUESTION_TRART8_32&gt;</w:t>
      </w:r>
    </w:p>
    <w:p w14:paraId="071EE3A7" w14:textId="77777777" w:rsidR="00492B3A" w:rsidRDefault="00492B3A" w:rsidP="00492B3A"/>
    <w:p w14:paraId="4710200F" w14:textId="4137D07F" w:rsidR="00492B3A" w:rsidRDefault="00492B3A" w:rsidP="00492B3A">
      <w:pPr>
        <w:pStyle w:val="Questionstyle"/>
      </w:pPr>
      <w:r>
        <w:t>Do you agree that the denominator should consist of the value of eligible investments in the funds managed by the asset manager or should it be simply the value of all assets in the funds managed by the asset manager?</w:t>
      </w:r>
    </w:p>
    <w:p w14:paraId="50AAC799" w14:textId="77777777" w:rsidR="00492B3A" w:rsidRDefault="00492B3A" w:rsidP="00492B3A">
      <w:r>
        <w:t>&lt;ESMA_QUESTION_TRART8_33&gt;</w:t>
      </w:r>
    </w:p>
    <w:p w14:paraId="42B824DB" w14:textId="77777777" w:rsidR="00492B3A" w:rsidRDefault="00492B3A" w:rsidP="00492B3A">
      <w:permStart w:id="2027381222" w:edGrp="everyone"/>
      <w:r>
        <w:t>TYPE YOUR TEXT HERE</w:t>
      </w:r>
    </w:p>
    <w:permEnd w:id="2027381222"/>
    <w:p w14:paraId="2D6AAB18" w14:textId="77777777" w:rsidR="00492B3A" w:rsidRDefault="00492B3A" w:rsidP="00492B3A">
      <w:r>
        <w:t>&lt;ESMA_QUESTION_TRART8_33&gt;</w:t>
      </w:r>
    </w:p>
    <w:p w14:paraId="703280C5" w14:textId="77777777" w:rsidR="00492B3A" w:rsidRDefault="00492B3A" w:rsidP="00492B3A"/>
    <w:p w14:paraId="5C830997" w14:textId="48BDAA71" w:rsidR="00492B3A" w:rsidRDefault="00492B3A" w:rsidP="00492B3A">
      <w:pPr>
        <w:pStyle w:val="Questionstyle"/>
      </w:pPr>
      <w:r>
        <w:t>Do you support restricting the denominator to funds managed by the asset manager with sustainability characteristics or objectives (i.e. governed by Article 8 or 9 of Regulation (EU) 2019/2088)? What are the benefits and drawbacks of such an approach?</w:t>
      </w:r>
    </w:p>
    <w:p w14:paraId="2A13C1CB" w14:textId="77777777" w:rsidR="00492B3A" w:rsidRDefault="00492B3A" w:rsidP="00492B3A">
      <w:r>
        <w:t>&lt;ESMA_QUESTION_TRART8_34&gt;</w:t>
      </w:r>
    </w:p>
    <w:p w14:paraId="52FE5DB7" w14:textId="77777777" w:rsidR="00492B3A" w:rsidRDefault="00492B3A" w:rsidP="00492B3A">
      <w:permStart w:id="916395240" w:edGrp="everyone"/>
      <w:r>
        <w:t>TYPE YOUR TEXT HERE</w:t>
      </w:r>
    </w:p>
    <w:permEnd w:id="916395240"/>
    <w:p w14:paraId="035E0E93" w14:textId="77777777" w:rsidR="00492B3A" w:rsidRDefault="00492B3A" w:rsidP="00492B3A">
      <w:r>
        <w:t>&lt;ESMA_QUESTION_TRART8_34&gt;</w:t>
      </w:r>
    </w:p>
    <w:p w14:paraId="4A61CFC1" w14:textId="77777777" w:rsidR="00492B3A" w:rsidRDefault="00492B3A" w:rsidP="00492B3A"/>
    <w:p w14:paraId="256BFB5A" w14:textId="5C5C04A2" w:rsidR="00492B3A" w:rsidRDefault="00492B3A" w:rsidP="00492B3A">
      <w:pPr>
        <w:pStyle w:val="Questionstyle"/>
      </w:pPr>
      <w:r>
        <w:lastRenderedPageBreak/>
        <w:t>Is it appropriate to combine equity and fixed income investments in the KPI, bearing in mind that these funding tools are used for different purposes by investee companies? If not, what alternative would you propose?</w:t>
      </w:r>
    </w:p>
    <w:p w14:paraId="3A96762D" w14:textId="77777777" w:rsidR="00492B3A" w:rsidRDefault="00492B3A" w:rsidP="00492B3A">
      <w:r>
        <w:t>&lt;ESMA_QUESTION_TRART8_35&gt;</w:t>
      </w:r>
    </w:p>
    <w:p w14:paraId="394064F4" w14:textId="77777777" w:rsidR="00492B3A" w:rsidRDefault="00492B3A" w:rsidP="00492B3A">
      <w:permStart w:id="1014574023" w:edGrp="everyone"/>
      <w:r>
        <w:t>TYPE YOUR TEXT HERE</w:t>
      </w:r>
    </w:p>
    <w:permEnd w:id="1014574023"/>
    <w:p w14:paraId="766DBEDA" w14:textId="77777777" w:rsidR="00492B3A" w:rsidRDefault="00492B3A" w:rsidP="00492B3A">
      <w:r>
        <w:t>&lt;ESMA_QUESTION_TRART8_35&gt;</w:t>
      </w:r>
    </w:p>
    <w:p w14:paraId="6B3FA5B5" w14:textId="77777777" w:rsidR="00492B3A" w:rsidRDefault="00492B3A" w:rsidP="00492B3A"/>
    <w:p w14:paraId="03C4FBFB" w14:textId="6C7CBA9B" w:rsidR="00492B3A" w:rsidRDefault="00492B3A" w:rsidP="00492B3A">
      <w:pPr>
        <w:pStyle w:val="Questionstyle"/>
      </w:pPr>
      <w:r>
        <w:t>Do you believe the proposed advice will impose additional costs on asset managers? Please specify the type of those costs, to which specific proposal they relate including whether they are one-off or on-going, and provide your best quantitative estimate of their size.</w:t>
      </w:r>
    </w:p>
    <w:p w14:paraId="37037CF6" w14:textId="77777777" w:rsidR="00492B3A" w:rsidRDefault="00492B3A" w:rsidP="00492B3A">
      <w:r>
        <w:t>&lt;ESMA_QUESTION_TRART8_36&gt;</w:t>
      </w:r>
    </w:p>
    <w:p w14:paraId="1BDDCCBA" w14:textId="77777777" w:rsidR="00492B3A" w:rsidRDefault="00492B3A" w:rsidP="00492B3A">
      <w:permStart w:id="362230654" w:edGrp="everyone"/>
      <w:r>
        <w:t>TYPE YOUR TEXT HERE</w:t>
      </w:r>
    </w:p>
    <w:permEnd w:id="362230654"/>
    <w:p w14:paraId="2703A981" w14:textId="77777777" w:rsidR="00492B3A" w:rsidRDefault="00492B3A" w:rsidP="00492B3A">
      <w:r>
        <w:t>&lt;ESMA_QUESTION_TRART8_36&gt;</w:t>
      </w:r>
    </w:p>
    <w:p w14:paraId="528A7A9A" w14:textId="77777777" w:rsidR="00492B3A" w:rsidRDefault="00492B3A" w:rsidP="00492B3A"/>
    <w:p w14:paraId="258E3D63" w14:textId="5CF83F72" w:rsidR="00492B3A" w:rsidRDefault="00492B3A" w:rsidP="00492B3A">
      <w:pPr>
        <w:pStyle w:val="Questionstyle"/>
      </w:pPr>
      <w:r>
        <w:t>What are the benefits and drawbacks of limiting Taxonomy-aligned activities to those reported by Non-Financial Reporting Directive companies?</w:t>
      </w:r>
    </w:p>
    <w:p w14:paraId="5CD5D7D4" w14:textId="77777777" w:rsidR="00492B3A" w:rsidRDefault="00492B3A" w:rsidP="00492B3A">
      <w:r>
        <w:t>&lt;ESMA_QUESTION_TRART8_37&gt;</w:t>
      </w:r>
    </w:p>
    <w:p w14:paraId="12C5CA31" w14:textId="77777777" w:rsidR="00492B3A" w:rsidRDefault="00492B3A" w:rsidP="00492B3A">
      <w:permStart w:id="419981059" w:edGrp="everyone"/>
      <w:r>
        <w:t>TYPE YOUR TEXT HERE</w:t>
      </w:r>
    </w:p>
    <w:permEnd w:id="419981059"/>
    <w:p w14:paraId="48EA7C0A" w14:textId="77777777" w:rsidR="00492B3A" w:rsidRDefault="00492B3A" w:rsidP="00492B3A">
      <w:r>
        <w:t>&lt;ESMA_QUESTION_TRART8_37&gt;</w:t>
      </w:r>
    </w:p>
    <w:p w14:paraId="66A554FC" w14:textId="77777777" w:rsidR="00492B3A" w:rsidRDefault="00492B3A" w:rsidP="00492B3A"/>
    <w:p w14:paraId="6FBA4114" w14:textId="2D9D709F" w:rsidR="00492B3A" w:rsidRDefault="00492B3A" w:rsidP="00492B3A">
      <w:pPr>
        <w:pStyle w:val="Questionstyle"/>
      </w:pPr>
      <w:r>
        <w:t>Do you agree with ESMA’s recommendation that the Commission develop a methodology to allow a sector-coefficient to be assigned for non-reporting investee companies?</w:t>
      </w:r>
    </w:p>
    <w:p w14:paraId="575F8DEE" w14:textId="77777777" w:rsidR="00492B3A" w:rsidRDefault="00492B3A" w:rsidP="00492B3A">
      <w:r>
        <w:t>&lt;ESMA_QUESTION_TRART8_38&gt;</w:t>
      </w:r>
    </w:p>
    <w:p w14:paraId="07D4D26F" w14:textId="77777777" w:rsidR="00492B3A" w:rsidRDefault="00492B3A" w:rsidP="00492B3A">
      <w:permStart w:id="1610223408" w:edGrp="everyone"/>
      <w:r>
        <w:t>TYPE YOUR TEXT HERE</w:t>
      </w:r>
    </w:p>
    <w:permEnd w:id="1610223408"/>
    <w:p w14:paraId="0A99A02E" w14:textId="77777777" w:rsidR="00492B3A" w:rsidRDefault="00492B3A" w:rsidP="00492B3A">
      <w:r>
        <w:t>&lt;ESMA_QUESTION_TRART8_38&gt;</w:t>
      </w:r>
    </w:p>
    <w:p w14:paraId="42A2AC7F" w14:textId="77777777" w:rsidR="00492B3A" w:rsidRDefault="00492B3A" w:rsidP="00492B3A"/>
    <w:p w14:paraId="75C06F48" w14:textId="043E1C76" w:rsidR="00492B3A" w:rsidRDefault="00492B3A" w:rsidP="00492B3A">
      <w:pPr>
        <w:pStyle w:val="Questionstyle"/>
      </w:pPr>
      <w:r>
        <w:t>Should netting be allowed, on the lines of Article 3 of the Short-Selling Regulation?</w:t>
      </w:r>
    </w:p>
    <w:p w14:paraId="727A139D" w14:textId="77777777" w:rsidR="00492B3A" w:rsidRDefault="00492B3A" w:rsidP="00492B3A">
      <w:r>
        <w:t>&lt;ESMA_QUESTION_TRART8_39&gt;</w:t>
      </w:r>
    </w:p>
    <w:p w14:paraId="504F74FB" w14:textId="77777777" w:rsidR="00492B3A" w:rsidRDefault="00492B3A" w:rsidP="00492B3A">
      <w:permStart w:id="341070213" w:edGrp="everyone"/>
      <w:r>
        <w:t>TYPE YOUR TEXT HERE</w:t>
      </w:r>
    </w:p>
    <w:permEnd w:id="341070213"/>
    <w:p w14:paraId="1347A045" w14:textId="77777777" w:rsidR="00492B3A" w:rsidRDefault="00492B3A" w:rsidP="00492B3A">
      <w:r>
        <w:t>&lt;ESMA_QUESTION_TRART8_39&gt;</w:t>
      </w:r>
    </w:p>
    <w:p w14:paraId="3DDC3DCD" w14:textId="77777777" w:rsidR="00492B3A" w:rsidRDefault="00492B3A" w:rsidP="00492B3A"/>
    <w:p w14:paraId="453BA6EE" w14:textId="0825D9EA" w:rsidR="00492B3A" w:rsidRDefault="00492B3A" w:rsidP="00492B3A">
      <w:pPr>
        <w:pStyle w:val="Questionstyle"/>
      </w:pPr>
      <w:r>
        <w:t>How should derivatives be treated for the calculation purposes? Should futures be considered as potential Taxonomy-aligned investments?</w:t>
      </w:r>
    </w:p>
    <w:p w14:paraId="1C7FE0EA" w14:textId="77777777" w:rsidR="00492B3A" w:rsidRDefault="00492B3A" w:rsidP="00492B3A">
      <w:r>
        <w:t>&lt;ESMA_QUESTION_TRART8_40&gt;</w:t>
      </w:r>
    </w:p>
    <w:p w14:paraId="70E42C6C" w14:textId="77777777" w:rsidR="00492B3A" w:rsidRDefault="00492B3A" w:rsidP="00492B3A">
      <w:permStart w:id="1390944062" w:edGrp="everyone"/>
      <w:r>
        <w:t>TYPE YOUR TEXT HERE</w:t>
      </w:r>
    </w:p>
    <w:permEnd w:id="1390944062"/>
    <w:p w14:paraId="7C892D02" w14:textId="77777777" w:rsidR="00492B3A" w:rsidRDefault="00492B3A" w:rsidP="00492B3A">
      <w:r>
        <w:t>&lt;ESMA_QUESTION_TRART8_40&gt;</w:t>
      </w:r>
    </w:p>
    <w:p w14:paraId="359096A5" w14:textId="77777777" w:rsidR="00492B3A" w:rsidRDefault="00492B3A" w:rsidP="00492B3A"/>
    <w:p w14:paraId="06F00798" w14:textId="531BBD96" w:rsidR="00492B3A" w:rsidRDefault="00492B3A" w:rsidP="00492B3A">
      <w:pPr>
        <w:pStyle w:val="Questionstyle"/>
      </w:pPr>
      <w:r>
        <w:t>What are the costs and benefits associated with the different options for non-reported activity coverage, netting and derivatives treatment presented above? Please provide a quantitative estimate for each option, distinguishing between one-off and on-going costs.</w:t>
      </w:r>
    </w:p>
    <w:p w14:paraId="416008EB" w14:textId="77777777" w:rsidR="00492B3A" w:rsidRDefault="00492B3A" w:rsidP="00492B3A">
      <w:r>
        <w:t>&lt;ESMA_QUESTION_TRART8_41&gt;</w:t>
      </w:r>
    </w:p>
    <w:p w14:paraId="1C42E9C7" w14:textId="77777777" w:rsidR="00492B3A" w:rsidRDefault="00492B3A" w:rsidP="00492B3A">
      <w:permStart w:id="702374025" w:edGrp="everyone"/>
      <w:r>
        <w:t>TYPE YOUR TEXT HERE</w:t>
      </w:r>
    </w:p>
    <w:permEnd w:id="702374025"/>
    <w:p w14:paraId="4E0F38EE" w14:textId="77777777" w:rsidR="00492B3A" w:rsidRDefault="00492B3A" w:rsidP="00492B3A">
      <w:r>
        <w:t>&lt;ESMA_QUESTION_TRART8_41&gt;</w:t>
      </w:r>
    </w:p>
    <w:p w14:paraId="3907E0CC" w14:textId="77777777" w:rsidR="00492B3A" w:rsidRDefault="00492B3A" w:rsidP="00492B3A"/>
    <w:p w14:paraId="7E47BFE2" w14:textId="737B1A44" w:rsidR="00492B3A" w:rsidRDefault="00492B3A" w:rsidP="00492B3A">
      <w:pPr>
        <w:pStyle w:val="Questionstyle"/>
      </w:pPr>
      <w:r>
        <w:t>Do you have any views on the proposed advice recommending a standardised table for presentation of the KPI for asset managers in Annex IV?</w:t>
      </w:r>
    </w:p>
    <w:p w14:paraId="21992FC6" w14:textId="77777777" w:rsidR="00492B3A" w:rsidRDefault="00492B3A" w:rsidP="00492B3A">
      <w:r>
        <w:t>&lt;ESMA_QUESTION_TRART8_42&gt;</w:t>
      </w:r>
    </w:p>
    <w:p w14:paraId="0CCA7D59" w14:textId="77777777" w:rsidR="00492B3A" w:rsidRDefault="00492B3A" w:rsidP="00492B3A">
      <w:permStart w:id="2130857204" w:edGrp="everyone"/>
      <w:r>
        <w:t>TYPE YOUR TEXT HERE</w:t>
      </w:r>
    </w:p>
    <w:permEnd w:id="2130857204"/>
    <w:p w14:paraId="4F377E92" w14:textId="77777777" w:rsidR="00492B3A" w:rsidRDefault="00492B3A" w:rsidP="00492B3A">
      <w:r>
        <w:t>&lt;ESMA_QUESTION_TRART8_42&gt;</w:t>
      </w:r>
    </w:p>
    <w:p w14:paraId="1EFF8C92" w14:textId="77777777" w:rsidR="00492B3A" w:rsidRDefault="00492B3A" w:rsidP="00492B3A"/>
    <w:p w14:paraId="4CC0753C" w14:textId="533D0200" w:rsidR="00492B3A" w:rsidRDefault="00492B3A" w:rsidP="00492B3A">
      <w:pPr>
        <w:pStyle w:val="Questionstyle"/>
      </w:pPr>
      <w:r>
        <w:t>Do you agree with presenting accompanying information in the vicinity of the standard table?</w:t>
      </w:r>
    </w:p>
    <w:p w14:paraId="0E5E617B" w14:textId="77777777" w:rsidR="00492B3A" w:rsidRDefault="00492B3A" w:rsidP="00492B3A">
      <w:r>
        <w:t>&lt;ESMA_QUESTION_TRART8_43&gt;</w:t>
      </w:r>
    </w:p>
    <w:p w14:paraId="55CE67A0" w14:textId="77777777" w:rsidR="00492B3A" w:rsidRDefault="00492B3A" w:rsidP="00492B3A">
      <w:permStart w:id="1901090400" w:edGrp="everyone"/>
      <w:r>
        <w:t>TYPE YOUR TEXT HERE</w:t>
      </w:r>
    </w:p>
    <w:permEnd w:id="1901090400"/>
    <w:p w14:paraId="6A6A4AF3" w14:textId="77777777" w:rsidR="00492B3A" w:rsidRDefault="00492B3A" w:rsidP="00492B3A">
      <w:r>
        <w:t>&lt;ESMA_QUESTION_TRART8_43&gt;</w:t>
      </w:r>
    </w:p>
    <w:p w14:paraId="0ACA46B7" w14:textId="77777777" w:rsidR="00492B3A" w:rsidRDefault="00492B3A" w:rsidP="00492B3A"/>
    <w:p w14:paraId="0D078651" w14:textId="3DA76BA9" w:rsidR="00492B3A" w:rsidRDefault="00492B3A" w:rsidP="00492B3A">
      <w:pPr>
        <w:pStyle w:val="Questionstyle"/>
      </w:pPr>
      <w:r>
        <w:t>Do you agree that there would be merit in including in the accompanying information a link, if relevant, to an asset managers’ entity-level disclosures on principal adverse impacts of investment decisions on sustainability factors?</w:t>
      </w:r>
    </w:p>
    <w:p w14:paraId="74B88EDD" w14:textId="77777777" w:rsidR="00492B3A" w:rsidRDefault="00492B3A" w:rsidP="00492B3A">
      <w:r>
        <w:t>&lt;ESMA_QUESTION_TRART8_44&gt;</w:t>
      </w:r>
    </w:p>
    <w:p w14:paraId="674DB263" w14:textId="77777777" w:rsidR="00492B3A" w:rsidRDefault="00492B3A" w:rsidP="00492B3A">
      <w:permStart w:id="788030558" w:edGrp="everyone"/>
      <w:r>
        <w:t>TYPE YOUR TEXT HERE</w:t>
      </w:r>
    </w:p>
    <w:permEnd w:id="788030558"/>
    <w:p w14:paraId="2AC174C8" w14:textId="77777777" w:rsidR="00492B3A" w:rsidRDefault="00492B3A" w:rsidP="00492B3A">
      <w:r>
        <w:t>&lt;ESMA_QUESTION_TRART8_44&gt;</w:t>
      </w:r>
    </w:p>
    <w:p w14:paraId="5AA9D6F3" w14:textId="77777777" w:rsidR="00492B3A" w:rsidRDefault="00492B3A" w:rsidP="00492B3A"/>
    <w:p w14:paraId="40A80E41" w14:textId="7AFD00FD" w:rsidR="00492B3A" w:rsidRDefault="00492B3A" w:rsidP="00492B3A">
      <w:pPr>
        <w:pStyle w:val="Questionstyle"/>
      </w:pPr>
      <w:r>
        <w:t>Do you agree with adopting the same formatting criteria as presented in Section 3.4.2 for the asset manager KPI disclosure?</w:t>
      </w:r>
    </w:p>
    <w:p w14:paraId="0A37B5A0" w14:textId="77777777" w:rsidR="00492B3A" w:rsidRDefault="00492B3A" w:rsidP="00492B3A">
      <w:r>
        <w:t>&lt;ESMA_QUESTION_TRART8_45&gt;</w:t>
      </w:r>
    </w:p>
    <w:p w14:paraId="163F5EB8" w14:textId="77777777" w:rsidR="00492B3A" w:rsidRDefault="00492B3A" w:rsidP="00492B3A">
      <w:permStart w:id="658905723" w:edGrp="everyone"/>
      <w:r>
        <w:t>TYPE YOUR TEXT HERE</w:t>
      </w:r>
    </w:p>
    <w:permEnd w:id="658905723"/>
    <w:p w14:paraId="18217709" w14:textId="77777777" w:rsidR="00492B3A" w:rsidRDefault="00492B3A" w:rsidP="00492B3A">
      <w:r>
        <w:t>&lt;ESMA_QUESTION_TRART8_45&gt;</w:t>
      </w:r>
    </w:p>
    <w:p w14:paraId="56E064F7" w14:textId="77777777" w:rsidR="00492B3A" w:rsidRDefault="00492B3A" w:rsidP="00492B3A"/>
    <w:p w14:paraId="798E499E" w14:textId="6697B958" w:rsidR="00492B3A" w:rsidRDefault="00492B3A" w:rsidP="00492B3A">
      <w:pPr>
        <w:pStyle w:val="Questionstyle"/>
      </w:pPr>
      <w:r>
        <w:t>What are the one-off and on-going costs of setting up the reporting and disclosure under this obligation? Please clarify the type of costs incurred and provide a quantitative estimation where possible.</w:t>
      </w:r>
    </w:p>
    <w:p w14:paraId="62AB3632" w14:textId="77777777" w:rsidR="00492B3A" w:rsidRDefault="00492B3A" w:rsidP="00492B3A">
      <w:r>
        <w:t>&lt;ESMA_QUESTION_TRART8_46&gt;</w:t>
      </w:r>
    </w:p>
    <w:p w14:paraId="5D4B097C" w14:textId="77777777" w:rsidR="00492B3A" w:rsidRDefault="00492B3A" w:rsidP="00492B3A">
      <w:permStart w:id="2002145458" w:edGrp="everyone"/>
      <w:r>
        <w:t>TYPE YOUR TEXT HERE</w:t>
      </w:r>
    </w:p>
    <w:permEnd w:id="2002145458"/>
    <w:p w14:paraId="22B7B46A" w14:textId="77777777" w:rsidR="00492B3A" w:rsidRDefault="00492B3A" w:rsidP="00492B3A">
      <w:r>
        <w:t>&lt;ESMA_QUESTION_TRART8_46&gt;</w:t>
      </w:r>
    </w:p>
    <w:p w14:paraId="7C90FC3A" w14:textId="77777777" w:rsidR="00492B3A" w:rsidRDefault="00492B3A" w:rsidP="00492B3A"/>
    <w:p w14:paraId="61294656"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5158D" w14:textId="77777777" w:rsidR="00A743E9" w:rsidRDefault="00A743E9">
      <w:r>
        <w:separator/>
      </w:r>
    </w:p>
    <w:p w14:paraId="73988EB9" w14:textId="77777777" w:rsidR="00A743E9" w:rsidRDefault="00A743E9"/>
  </w:endnote>
  <w:endnote w:type="continuationSeparator" w:id="0">
    <w:p w14:paraId="56D944E6" w14:textId="77777777" w:rsidR="00A743E9" w:rsidRDefault="00A743E9">
      <w:r>
        <w:continuationSeparator/>
      </w:r>
    </w:p>
    <w:p w14:paraId="683503D1" w14:textId="77777777" w:rsidR="00A743E9" w:rsidRDefault="00A743E9"/>
  </w:endnote>
  <w:endnote w:type="continuationNotice" w:id="1">
    <w:p w14:paraId="4005AA79" w14:textId="77777777" w:rsidR="00A743E9" w:rsidRDefault="00A74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6AEC" w14:textId="77777777" w:rsidR="00811EDA" w:rsidRDefault="00811E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C4304" w14:textId="77777777" w:rsidR="00A743E9" w:rsidRDefault="00A743E9">
      <w:r>
        <w:separator/>
      </w:r>
    </w:p>
    <w:p w14:paraId="48D3FD78" w14:textId="77777777" w:rsidR="00A743E9" w:rsidRDefault="00A743E9"/>
  </w:footnote>
  <w:footnote w:type="continuationSeparator" w:id="0">
    <w:p w14:paraId="7B4F03D2" w14:textId="77777777" w:rsidR="00A743E9" w:rsidRDefault="00A743E9">
      <w:r>
        <w:continuationSeparator/>
      </w:r>
    </w:p>
    <w:p w14:paraId="21529557" w14:textId="77777777" w:rsidR="00A743E9" w:rsidRDefault="00A743E9"/>
  </w:footnote>
  <w:footnote w:type="continuationNotice" w:id="1">
    <w:p w14:paraId="12106026" w14:textId="77777777" w:rsidR="00A743E9" w:rsidRDefault="00A743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FC29" w14:textId="77777777" w:rsidR="00811EDA" w:rsidRDefault="00DE66EB">
    <w:pPr>
      <w:pStyle w:val="En-tte"/>
    </w:pPr>
    <w:r>
      <w:rPr>
        <w:noProof/>
        <w:lang w:eastAsia="en-GB"/>
      </w:rPr>
      <w:drawing>
        <wp:anchor distT="0" distB="0" distL="114300" distR="114300" simplePos="0" relativeHeight="251658243"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31C6F"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EF13" w14:textId="77777777" w:rsidR="00811EDA" w:rsidRDefault="00DE66EB" w:rsidP="00013CCE">
    <w:pPr>
      <w:pStyle w:val="En-tte"/>
      <w:jc w:val="right"/>
    </w:pPr>
    <w:r>
      <w:rPr>
        <w:noProof/>
        <w:lang w:eastAsia="en-GB"/>
      </w:rPr>
      <w:drawing>
        <wp:anchor distT="0" distB="0" distL="114300" distR="114300" simplePos="0" relativeHeight="251658242"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En-tte"/>
      <w:rPr>
        <w:lang w:val="fr-FR"/>
      </w:rPr>
    </w:pPr>
  </w:p>
  <w:p w14:paraId="0F1BB730" w14:textId="77777777" w:rsidR="00811EDA" w:rsidRPr="002F4496" w:rsidRDefault="00811EDA" w:rsidP="000C06C9">
    <w:pPr>
      <w:pStyle w:val="En-tte"/>
      <w:tabs>
        <w:tab w:val="clear" w:pos="4536"/>
        <w:tab w:val="clear" w:pos="9072"/>
        <w:tab w:val="left" w:pos="8227"/>
      </w:tabs>
      <w:rPr>
        <w:lang w:val="fr-FR"/>
      </w:rPr>
    </w:pPr>
  </w:p>
  <w:p w14:paraId="354F7019" w14:textId="77777777" w:rsidR="00811EDA" w:rsidRPr="002F4496" w:rsidRDefault="00811EDA" w:rsidP="000C06C9">
    <w:pPr>
      <w:pStyle w:val="En-tte"/>
      <w:tabs>
        <w:tab w:val="clear" w:pos="4536"/>
        <w:tab w:val="clear" w:pos="9072"/>
        <w:tab w:val="left" w:pos="8227"/>
      </w:tabs>
      <w:rPr>
        <w:lang w:val="fr-FR"/>
      </w:rPr>
    </w:pPr>
  </w:p>
  <w:p w14:paraId="438C49BF" w14:textId="77777777" w:rsidR="00811EDA" w:rsidRPr="002F4496" w:rsidRDefault="00811EDA">
    <w:pPr>
      <w:pStyle w:val="En-tte"/>
      <w:rPr>
        <w:lang w:val="fr-FR"/>
      </w:rPr>
    </w:pPr>
  </w:p>
  <w:p w14:paraId="77F5F5FB" w14:textId="77777777" w:rsidR="00811EDA" w:rsidRPr="002F4496" w:rsidRDefault="00811EDA">
    <w:pPr>
      <w:pStyle w:val="En-tte"/>
      <w:rPr>
        <w:lang w:val="fr-FR"/>
      </w:rPr>
    </w:pPr>
  </w:p>
  <w:p w14:paraId="31EA96F8" w14:textId="77777777" w:rsidR="00811EDA" w:rsidRPr="002F4496" w:rsidRDefault="00811EDA">
    <w:pPr>
      <w:pStyle w:val="En-tte"/>
      <w:rPr>
        <w:lang w:val="fr-FR"/>
      </w:rPr>
    </w:pPr>
  </w:p>
  <w:p w14:paraId="0FAE7A71" w14:textId="77777777" w:rsidR="00811EDA" w:rsidRPr="002F4496" w:rsidRDefault="00811EDA">
    <w:pPr>
      <w:pStyle w:val="En-tte"/>
      <w:rPr>
        <w:lang w:val="fr-FR"/>
      </w:rPr>
    </w:pPr>
  </w:p>
  <w:p w14:paraId="339C0C6E" w14:textId="77777777" w:rsidR="00811EDA" w:rsidRPr="002F4496" w:rsidRDefault="00811EDA">
    <w:pPr>
      <w:pStyle w:val="En-tte"/>
      <w:rPr>
        <w:highlight w:val="yellow"/>
        <w:lang w:val="fr-FR"/>
      </w:rPr>
    </w:pPr>
  </w:p>
  <w:p w14:paraId="0495A777" w14:textId="77777777" w:rsidR="00811EDA" w:rsidRDefault="00DE66EB">
    <w:pPr>
      <w:pStyle w:val="En-tte"/>
    </w:pPr>
    <w:r>
      <w:rPr>
        <w:noProof/>
        <w:lang w:eastAsia="en-GB"/>
      </w:rPr>
      <mc:AlternateContent>
        <mc:Choice Requires="wps">
          <w:drawing>
            <wp:anchor distT="0" distB="0" distL="114299" distR="114299" simplePos="0" relativeHeight="251658245"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DAA9"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420527"/>
    <w:multiLevelType w:val="hybridMultilevel"/>
    <w:tmpl w:val="D2964360"/>
    <w:lvl w:ilvl="0" w:tplc="E4B818EE">
      <w:start w:val="1"/>
      <w:numFmt w:val="bullet"/>
      <w:lvlText w:val="-"/>
      <w:lvlJc w:val="left"/>
      <w:pPr>
        <w:ind w:left="360" w:hanging="360"/>
      </w:pPr>
      <w:rPr>
        <w:rFonts w:ascii="Courier New" w:hAnsi="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78C5043"/>
    <w:multiLevelType w:val="hybridMultilevel"/>
    <w:tmpl w:val="E3420376"/>
    <w:lvl w:ilvl="0" w:tplc="57BA1144">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CE42D3"/>
    <w:multiLevelType w:val="hybridMultilevel"/>
    <w:tmpl w:val="976C9114"/>
    <w:lvl w:ilvl="0" w:tplc="E4B818EE">
      <w:start w:val="1"/>
      <w:numFmt w:val="bullet"/>
      <w:lvlText w:val="-"/>
      <w:lvlJc w:val="left"/>
      <w:pPr>
        <w:ind w:left="360" w:hanging="360"/>
      </w:pPr>
      <w:rPr>
        <w:rFonts w:ascii="Courier New" w:hAnsi="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A52232B"/>
    <w:multiLevelType w:val="hybridMultilevel"/>
    <w:tmpl w:val="DA24552C"/>
    <w:lvl w:ilvl="0" w:tplc="0D303B1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474FC9"/>
    <w:multiLevelType w:val="hybridMultilevel"/>
    <w:tmpl w:val="DAE2B8B6"/>
    <w:lvl w:ilvl="0" w:tplc="C7464C9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3E93524C"/>
    <w:multiLevelType w:val="hybridMultilevel"/>
    <w:tmpl w:val="9138AD84"/>
    <w:lvl w:ilvl="0" w:tplc="88E63FA2">
      <w:start w:val="1"/>
      <w:numFmt w:val="bullet"/>
      <w:lvlText w:val="-"/>
      <w:lvlJc w:val="left"/>
      <w:pPr>
        <w:ind w:left="720" w:hanging="360"/>
      </w:pPr>
      <w:rPr>
        <w:rFonts w:ascii="Yu Gothic" w:eastAsia="Yu Gothic" w:hAnsi="Yu Gothic"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2F2FBA"/>
    <w:multiLevelType w:val="multilevel"/>
    <w:tmpl w:val="807EF1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0FA7C7F"/>
    <w:multiLevelType w:val="hybridMultilevel"/>
    <w:tmpl w:val="E3EECE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5"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DF704DE"/>
    <w:multiLevelType w:val="hybridMultilevel"/>
    <w:tmpl w:val="173E1686"/>
    <w:lvl w:ilvl="0" w:tplc="88E63FA2">
      <w:start w:val="1"/>
      <w:numFmt w:val="bullet"/>
      <w:lvlText w:val="-"/>
      <w:lvlJc w:val="left"/>
      <w:pPr>
        <w:ind w:left="720" w:hanging="360"/>
      </w:pPr>
      <w:rPr>
        <w:rFonts w:ascii="Yu Gothic" w:eastAsia="Yu Gothic" w:hAnsi="Yu Gothic"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4"/>
  </w:num>
  <w:num w:numId="3">
    <w:abstractNumId w:val="12"/>
  </w:num>
  <w:num w:numId="4">
    <w:abstractNumId w:val="29"/>
  </w:num>
  <w:num w:numId="5">
    <w:abstractNumId w:val="31"/>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7"/>
  </w:num>
  <w:num w:numId="14">
    <w:abstractNumId w:val="28"/>
  </w:num>
  <w:num w:numId="15">
    <w:abstractNumId w:val="10"/>
  </w:num>
  <w:num w:numId="16">
    <w:abstractNumId w:val="1"/>
  </w:num>
  <w:num w:numId="17">
    <w:abstractNumId w:val="16"/>
  </w:num>
  <w:num w:numId="18">
    <w:abstractNumId w:val="18"/>
  </w:num>
  <w:num w:numId="19">
    <w:abstractNumId w:val="20"/>
  </w:num>
  <w:num w:numId="20">
    <w:abstractNumId w:val="32"/>
  </w:num>
  <w:num w:numId="21">
    <w:abstractNumId w:val="43"/>
  </w:num>
  <w:num w:numId="22">
    <w:abstractNumId w:val="30"/>
  </w:num>
  <w:num w:numId="23">
    <w:abstractNumId w:val="9"/>
  </w:num>
  <w:num w:numId="24">
    <w:abstractNumId w:val="36"/>
  </w:num>
  <w:num w:numId="25">
    <w:abstractNumId w:val="35"/>
  </w:num>
  <w:num w:numId="26">
    <w:abstractNumId w:val="25"/>
  </w:num>
  <w:num w:numId="27">
    <w:abstractNumId w:val="40"/>
  </w:num>
  <w:num w:numId="28">
    <w:abstractNumId w:val="45"/>
  </w:num>
  <w:num w:numId="29">
    <w:abstractNumId w:val="6"/>
  </w:num>
  <w:num w:numId="30">
    <w:abstractNumId w:val="2"/>
  </w:num>
  <w:num w:numId="31">
    <w:abstractNumId w:val="27"/>
  </w:num>
  <w:num w:numId="32">
    <w:abstractNumId w:val="26"/>
  </w:num>
  <w:num w:numId="33">
    <w:abstractNumId w:val="42"/>
  </w:num>
  <w:num w:numId="34">
    <w:abstractNumId w:val="41"/>
  </w:num>
  <w:num w:numId="35">
    <w:abstractNumId w:val="11"/>
  </w:num>
  <w:num w:numId="36">
    <w:abstractNumId w:val="14"/>
  </w:num>
  <w:num w:numId="37">
    <w:abstractNumId w:val="38"/>
  </w:num>
  <w:num w:numId="38">
    <w:abstractNumId w:val="14"/>
    <w:lvlOverride w:ilvl="0">
      <w:startOverride w:val="1"/>
    </w:lvlOverride>
  </w:num>
  <w:num w:numId="39">
    <w:abstractNumId w:val="3"/>
  </w:num>
  <w:num w:numId="40">
    <w:abstractNumId w:val="13"/>
  </w:num>
  <w:num w:numId="41">
    <w:abstractNumId w:val="17"/>
  </w:num>
  <w:num w:numId="42">
    <w:abstractNumId w:val="21"/>
  </w:num>
  <w:num w:numId="43">
    <w:abstractNumId w:val="22"/>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23"/>
  </w:num>
  <w:num w:numId="47">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5E9"/>
    <w:rsid w:val="00014A67"/>
    <w:rsid w:val="00014A95"/>
    <w:rsid w:val="0001556B"/>
    <w:rsid w:val="00015B5E"/>
    <w:rsid w:val="00015F1D"/>
    <w:rsid w:val="000161E6"/>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58C"/>
    <w:rsid w:val="00036FAE"/>
    <w:rsid w:val="0004134C"/>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867"/>
    <w:rsid w:val="000569D7"/>
    <w:rsid w:val="000576D7"/>
    <w:rsid w:val="00057C8F"/>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74B"/>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3BA"/>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CDA"/>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4B2"/>
    <w:rsid w:val="000E3937"/>
    <w:rsid w:val="000E4926"/>
    <w:rsid w:val="000E5F7F"/>
    <w:rsid w:val="000E667A"/>
    <w:rsid w:val="000E7086"/>
    <w:rsid w:val="000E7C65"/>
    <w:rsid w:val="000F04D2"/>
    <w:rsid w:val="000F3C5C"/>
    <w:rsid w:val="000F55B7"/>
    <w:rsid w:val="000F604F"/>
    <w:rsid w:val="000F7399"/>
    <w:rsid w:val="001021EF"/>
    <w:rsid w:val="001027C1"/>
    <w:rsid w:val="001027F1"/>
    <w:rsid w:val="00104856"/>
    <w:rsid w:val="00104F2E"/>
    <w:rsid w:val="00106124"/>
    <w:rsid w:val="001072DD"/>
    <w:rsid w:val="00110D7A"/>
    <w:rsid w:val="00111464"/>
    <w:rsid w:val="0011167D"/>
    <w:rsid w:val="00112892"/>
    <w:rsid w:val="00112E48"/>
    <w:rsid w:val="001130EA"/>
    <w:rsid w:val="00114259"/>
    <w:rsid w:val="001148DD"/>
    <w:rsid w:val="001168B2"/>
    <w:rsid w:val="00116E40"/>
    <w:rsid w:val="0011705E"/>
    <w:rsid w:val="00117C20"/>
    <w:rsid w:val="00120F0E"/>
    <w:rsid w:val="00121BED"/>
    <w:rsid w:val="00123D39"/>
    <w:rsid w:val="001244CD"/>
    <w:rsid w:val="0012566F"/>
    <w:rsid w:val="001261A3"/>
    <w:rsid w:val="001262B1"/>
    <w:rsid w:val="00130F41"/>
    <w:rsid w:val="00130FAF"/>
    <w:rsid w:val="00135F2B"/>
    <w:rsid w:val="001372DD"/>
    <w:rsid w:val="001405BA"/>
    <w:rsid w:val="00141497"/>
    <w:rsid w:val="0014253A"/>
    <w:rsid w:val="001425C8"/>
    <w:rsid w:val="001425F3"/>
    <w:rsid w:val="001431AE"/>
    <w:rsid w:val="00143B87"/>
    <w:rsid w:val="0014451A"/>
    <w:rsid w:val="001459E3"/>
    <w:rsid w:val="00146A0B"/>
    <w:rsid w:val="00146A6C"/>
    <w:rsid w:val="0014761E"/>
    <w:rsid w:val="00151907"/>
    <w:rsid w:val="001544C8"/>
    <w:rsid w:val="00154F09"/>
    <w:rsid w:val="00155FAB"/>
    <w:rsid w:val="001567A1"/>
    <w:rsid w:val="00156857"/>
    <w:rsid w:val="00157C0C"/>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5A0F"/>
    <w:rsid w:val="00186829"/>
    <w:rsid w:val="001868CA"/>
    <w:rsid w:val="00187304"/>
    <w:rsid w:val="001875BE"/>
    <w:rsid w:val="0019017A"/>
    <w:rsid w:val="00190B8C"/>
    <w:rsid w:val="00190FF8"/>
    <w:rsid w:val="0019311A"/>
    <w:rsid w:val="0019508A"/>
    <w:rsid w:val="00195BFF"/>
    <w:rsid w:val="001960D8"/>
    <w:rsid w:val="001A1642"/>
    <w:rsid w:val="001A371B"/>
    <w:rsid w:val="001A46D5"/>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1ADA"/>
    <w:rsid w:val="001C270F"/>
    <w:rsid w:val="001C2C35"/>
    <w:rsid w:val="001C4679"/>
    <w:rsid w:val="001C5770"/>
    <w:rsid w:val="001C6195"/>
    <w:rsid w:val="001D000A"/>
    <w:rsid w:val="001D0883"/>
    <w:rsid w:val="001D2205"/>
    <w:rsid w:val="001D2EDF"/>
    <w:rsid w:val="001D3A1F"/>
    <w:rsid w:val="001D3FB6"/>
    <w:rsid w:val="001D4550"/>
    <w:rsid w:val="001D497B"/>
    <w:rsid w:val="001D5360"/>
    <w:rsid w:val="001D5498"/>
    <w:rsid w:val="001D5BAF"/>
    <w:rsid w:val="001D6401"/>
    <w:rsid w:val="001D66C9"/>
    <w:rsid w:val="001D722A"/>
    <w:rsid w:val="001E04FC"/>
    <w:rsid w:val="001E407D"/>
    <w:rsid w:val="001E40FB"/>
    <w:rsid w:val="001E4477"/>
    <w:rsid w:val="001E66EC"/>
    <w:rsid w:val="001E68C5"/>
    <w:rsid w:val="001E7C4F"/>
    <w:rsid w:val="001F0F63"/>
    <w:rsid w:val="001F3996"/>
    <w:rsid w:val="001F44A4"/>
    <w:rsid w:val="001F579D"/>
    <w:rsid w:val="001F65EF"/>
    <w:rsid w:val="001F697B"/>
    <w:rsid w:val="002005A6"/>
    <w:rsid w:val="00204CBC"/>
    <w:rsid w:val="002051F1"/>
    <w:rsid w:val="002067BA"/>
    <w:rsid w:val="0021058D"/>
    <w:rsid w:val="00210FCC"/>
    <w:rsid w:val="00211E2F"/>
    <w:rsid w:val="00211E9E"/>
    <w:rsid w:val="00214FB4"/>
    <w:rsid w:val="00215940"/>
    <w:rsid w:val="00217C23"/>
    <w:rsid w:val="00220561"/>
    <w:rsid w:val="00220CE4"/>
    <w:rsid w:val="00222D9B"/>
    <w:rsid w:val="00223788"/>
    <w:rsid w:val="00223D11"/>
    <w:rsid w:val="002242D3"/>
    <w:rsid w:val="002301E6"/>
    <w:rsid w:val="00230776"/>
    <w:rsid w:val="00230F8F"/>
    <w:rsid w:val="00232F90"/>
    <w:rsid w:val="00233B08"/>
    <w:rsid w:val="00233C3B"/>
    <w:rsid w:val="0023499C"/>
    <w:rsid w:val="00235CE3"/>
    <w:rsid w:val="0023636A"/>
    <w:rsid w:val="00236F34"/>
    <w:rsid w:val="002372F7"/>
    <w:rsid w:val="00240651"/>
    <w:rsid w:val="00240803"/>
    <w:rsid w:val="00242C3F"/>
    <w:rsid w:val="0024426D"/>
    <w:rsid w:val="00244F1D"/>
    <w:rsid w:val="00245004"/>
    <w:rsid w:val="00245FB4"/>
    <w:rsid w:val="00246BC0"/>
    <w:rsid w:val="00246D91"/>
    <w:rsid w:val="00247FB6"/>
    <w:rsid w:val="00250898"/>
    <w:rsid w:val="00251EA9"/>
    <w:rsid w:val="00252843"/>
    <w:rsid w:val="00252B6E"/>
    <w:rsid w:val="002543F8"/>
    <w:rsid w:val="002551A4"/>
    <w:rsid w:val="002559F3"/>
    <w:rsid w:val="00256DFE"/>
    <w:rsid w:val="00261D56"/>
    <w:rsid w:val="00261FD3"/>
    <w:rsid w:val="0026210E"/>
    <w:rsid w:val="00264077"/>
    <w:rsid w:val="00266B9A"/>
    <w:rsid w:val="00270E54"/>
    <w:rsid w:val="00273681"/>
    <w:rsid w:val="002754B5"/>
    <w:rsid w:val="002764C5"/>
    <w:rsid w:val="002772AE"/>
    <w:rsid w:val="00280613"/>
    <w:rsid w:val="00281174"/>
    <w:rsid w:val="0028274D"/>
    <w:rsid w:val="00282B96"/>
    <w:rsid w:val="00282DFB"/>
    <w:rsid w:val="002833D6"/>
    <w:rsid w:val="00283F51"/>
    <w:rsid w:val="00286064"/>
    <w:rsid w:val="002867B1"/>
    <w:rsid w:val="00287BBB"/>
    <w:rsid w:val="00287E3B"/>
    <w:rsid w:val="0029037C"/>
    <w:rsid w:val="00290638"/>
    <w:rsid w:val="00291763"/>
    <w:rsid w:val="00291D80"/>
    <w:rsid w:val="00293156"/>
    <w:rsid w:val="00293BE7"/>
    <w:rsid w:val="00293EAC"/>
    <w:rsid w:val="002946DC"/>
    <w:rsid w:val="00295A22"/>
    <w:rsid w:val="00296005"/>
    <w:rsid w:val="002A0925"/>
    <w:rsid w:val="002A0C82"/>
    <w:rsid w:val="002A0CD8"/>
    <w:rsid w:val="002A13EB"/>
    <w:rsid w:val="002A35EF"/>
    <w:rsid w:val="002A3DE0"/>
    <w:rsid w:val="002A40EA"/>
    <w:rsid w:val="002A46E8"/>
    <w:rsid w:val="002A491C"/>
    <w:rsid w:val="002A582E"/>
    <w:rsid w:val="002A6F85"/>
    <w:rsid w:val="002B1FEF"/>
    <w:rsid w:val="002B2DF8"/>
    <w:rsid w:val="002B354F"/>
    <w:rsid w:val="002B3614"/>
    <w:rsid w:val="002B45D1"/>
    <w:rsid w:val="002B4ED8"/>
    <w:rsid w:val="002B4FAA"/>
    <w:rsid w:val="002B52C2"/>
    <w:rsid w:val="002B6A6F"/>
    <w:rsid w:val="002B7656"/>
    <w:rsid w:val="002C1492"/>
    <w:rsid w:val="002C1E8B"/>
    <w:rsid w:val="002C27F9"/>
    <w:rsid w:val="002C2EFE"/>
    <w:rsid w:val="002C53AA"/>
    <w:rsid w:val="002C5B2D"/>
    <w:rsid w:val="002C6AF9"/>
    <w:rsid w:val="002C7DFC"/>
    <w:rsid w:val="002C7E03"/>
    <w:rsid w:val="002D14F3"/>
    <w:rsid w:val="002D16E4"/>
    <w:rsid w:val="002D2FEF"/>
    <w:rsid w:val="002D36C2"/>
    <w:rsid w:val="002D3FCB"/>
    <w:rsid w:val="002D4FEF"/>
    <w:rsid w:val="002D502D"/>
    <w:rsid w:val="002D54A7"/>
    <w:rsid w:val="002D63F5"/>
    <w:rsid w:val="002D6E1A"/>
    <w:rsid w:val="002D7ED8"/>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1E7"/>
    <w:rsid w:val="003066C8"/>
    <w:rsid w:val="0030739D"/>
    <w:rsid w:val="00307AFB"/>
    <w:rsid w:val="00311184"/>
    <w:rsid w:val="00312675"/>
    <w:rsid w:val="00314013"/>
    <w:rsid w:val="00314945"/>
    <w:rsid w:val="00315389"/>
    <w:rsid w:val="00315746"/>
    <w:rsid w:val="00315895"/>
    <w:rsid w:val="00315E96"/>
    <w:rsid w:val="00316D4E"/>
    <w:rsid w:val="00317FC8"/>
    <w:rsid w:val="00320B9B"/>
    <w:rsid w:val="003223D7"/>
    <w:rsid w:val="00323D9F"/>
    <w:rsid w:val="00324011"/>
    <w:rsid w:val="00324FDB"/>
    <w:rsid w:val="00325F48"/>
    <w:rsid w:val="0032718B"/>
    <w:rsid w:val="003273FE"/>
    <w:rsid w:val="00330C5A"/>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67ECE"/>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4D87"/>
    <w:rsid w:val="003865E5"/>
    <w:rsid w:val="00386BB8"/>
    <w:rsid w:val="003926C1"/>
    <w:rsid w:val="00392900"/>
    <w:rsid w:val="00392BD8"/>
    <w:rsid w:val="00393357"/>
    <w:rsid w:val="00394CE6"/>
    <w:rsid w:val="00395E7B"/>
    <w:rsid w:val="00395F4C"/>
    <w:rsid w:val="003A0A78"/>
    <w:rsid w:val="003A5DAC"/>
    <w:rsid w:val="003A6591"/>
    <w:rsid w:val="003A6E9A"/>
    <w:rsid w:val="003B02B4"/>
    <w:rsid w:val="003B08C8"/>
    <w:rsid w:val="003B2567"/>
    <w:rsid w:val="003B381A"/>
    <w:rsid w:val="003B4976"/>
    <w:rsid w:val="003B4B3F"/>
    <w:rsid w:val="003B6258"/>
    <w:rsid w:val="003B685C"/>
    <w:rsid w:val="003B7A99"/>
    <w:rsid w:val="003C0343"/>
    <w:rsid w:val="003C0E87"/>
    <w:rsid w:val="003C1C32"/>
    <w:rsid w:val="003C1FF4"/>
    <w:rsid w:val="003C40DA"/>
    <w:rsid w:val="003C42BA"/>
    <w:rsid w:val="003C462F"/>
    <w:rsid w:val="003C4A02"/>
    <w:rsid w:val="003C4F05"/>
    <w:rsid w:val="003C55EB"/>
    <w:rsid w:val="003C6191"/>
    <w:rsid w:val="003C6E49"/>
    <w:rsid w:val="003C74B0"/>
    <w:rsid w:val="003D0CBF"/>
    <w:rsid w:val="003D0DD6"/>
    <w:rsid w:val="003D12D0"/>
    <w:rsid w:val="003D4B73"/>
    <w:rsid w:val="003D503B"/>
    <w:rsid w:val="003D605E"/>
    <w:rsid w:val="003D61D1"/>
    <w:rsid w:val="003D6780"/>
    <w:rsid w:val="003D6FCB"/>
    <w:rsid w:val="003D7C66"/>
    <w:rsid w:val="003E026E"/>
    <w:rsid w:val="003E0F84"/>
    <w:rsid w:val="003E1FF3"/>
    <w:rsid w:val="003E3ACA"/>
    <w:rsid w:val="003E50EA"/>
    <w:rsid w:val="003E68C7"/>
    <w:rsid w:val="003E79B0"/>
    <w:rsid w:val="003F0403"/>
    <w:rsid w:val="003F1094"/>
    <w:rsid w:val="003F1D41"/>
    <w:rsid w:val="003F2E45"/>
    <w:rsid w:val="003F32A9"/>
    <w:rsid w:val="003F3EFE"/>
    <w:rsid w:val="003F40B8"/>
    <w:rsid w:val="003F5C06"/>
    <w:rsid w:val="00400195"/>
    <w:rsid w:val="0040075B"/>
    <w:rsid w:val="0040254B"/>
    <w:rsid w:val="004028AD"/>
    <w:rsid w:val="00403086"/>
    <w:rsid w:val="00403460"/>
    <w:rsid w:val="004040FF"/>
    <w:rsid w:val="00404284"/>
    <w:rsid w:val="004042C4"/>
    <w:rsid w:val="0040601F"/>
    <w:rsid w:val="00406E90"/>
    <w:rsid w:val="00410240"/>
    <w:rsid w:val="00411352"/>
    <w:rsid w:val="00412253"/>
    <w:rsid w:val="004142ED"/>
    <w:rsid w:val="004158A5"/>
    <w:rsid w:val="0041634D"/>
    <w:rsid w:val="00417EF7"/>
    <w:rsid w:val="00422A7D"/>
    <w:rsid w:val="00422BFC"/>
    <w:rsid w:val="00423EB6"/>
    <w:rsid w:val="0042416F"/>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529B"/>
    <w:rsid w:val="00436A79"/>
    <w:rsid w:val="00437929"/>
    <w:rsid w:val="00437A4A"/>
    <w:rsid w:val="00440541"/>
    <w:rsid w:val="0044162D"/>
    <w:rsid w:val="0044277A"/>
    <w:rsid w:val="004456DC"/>
    <w:rsid w:val="00445D16"/>
    <w:rsid w:val="00447BD8"/>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805"/>
    <w:rsid w:val="00466926"/>
    <w:rsid w:val="00466FDA"/>
    <w:rsid w:val="004671D0"/>
    <w:rsid w:val="004674D1"/>
    <w:rsid w:val="00470773"/>
    <w:rsid w:val="00471FF9"/>
    <w:rsid w:val="00473E74"/>
    <w:rsid w:val="00473FEF"/>
    <w:rsid w:val="00475B8E"/>
    <w:rsid w:val="0048104E"/>
    <w:rsid w:val="004814BB"/>
    <w:rsid w:val="004815DA"/>
    <w:rsid w:val="00482414"/>
    <w:rsid w:val="00482458"/>
    <w:rsid w:val="00482C89"/>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3020"/>
    <w:rsid w:val="004B59E0"/>
    <w:rsid w:val="004B667B"/>
    <w:rsid w:val="004B71C7"/>
    <w:rsid w:val="004C03AA"/>
    <w:rsid w:val="004C0624"/>
    <w:rsid w:val="004C0B9A"/>
    <w:rsid w:val="004C14E7"/>
    <w:rsid w:val="004C1D89"/>
    <w:rsid w:val="004C2A94"/>
    <w:rsid w:val="004C3DAB"/>
    <w:rsid w:val="004C5766"/>
    <w:rsid w:val="004C5F54"/>
    <w:rsid w:val="004C6E76"/>
    <w:rsid w:val="004C77DD"/>
    <w:rsid w:val="004C7826"/>
    <w:rsid w:val="004C7B33"/>
    <w:rsid w:val="004C7F86"/>
    <w:rsid w:val="004D1410"/>
    <w:rsid w:val="004D1478"/>
    <w:rsid w:val="004D19EE"/>
    <w:rsid w:val="004D1CF2"/>
    <w:rsid w:val="004D1CF4"/>
    <w:rsid w:val="004D2D3A"/>
    <w:rsid w:val="004D374D"/>
    <w:rsid w:val="004D3DEC"/>
    <w:rsid w:val="004D42C8"/>
    <w:rsid w:val="004D4F57"/>
    <w:rsid w:val="004D50F6"/>
    <w:rsid w:val="004D5A0D"/>
    <w:rsid w:val="004D7910"/>
    <w:rsid w:val="004D7DEA"/>
    <w:rsid w:val="004D7EC8"/>
    <w:rsid w:val="004E0A28"/>
    <w:rsid w:val="004E1A0F"/>
    <w:rsid w:val="004E20FB"/>
    <w:rsid w:val="004E2E89"/>
    <w:rsid w:val="004E33C2"/>
    <w:rsid w:val="004E3B9A"/>
    <w:rsid w:val="004E477A"/>
    <w:rsid w:val="004E49B0"/>
    <w:rsid w:val="004E62DE"/>
    <w:rsid w:val="004E6AE4"/>
    <w:rsid w:val="004E6B05"/>
    <w:rsid w:val="004E76A1"/>
    <w:rsid w:val="004F05DE"/>
    <w:rsid w:val="004F1FF1"/>
    <w:rsid w:val="004F6376"/>
    <w:rsid w:val="004F6A93"/>
    <w:rsid w:val="004F6F14"/>
    <w:rsid w:val="004F76D9"/>
    <w:rsid w:val="004F79A6"/>
    <w:rsid w:val="004F7BBC"/>
    <w:rsid w:val="00501BF5"/>
    <w:rsid w:val="00501D8B"/>
    <w:rsid w:val="00503A3E"/>
    <w:rsid w:val="00503F59"/>
    <w:rsid w:val="005049A7"/>
    <w:rsid w:val="005053B2"/>
    <w:rsid w:val="00506331"/>
    <w:rsid w:val="00507D11"/>
    <w:rsid w:val="00510662"/>
    <w:rsid w:val="005109B7"/>
    <w:rsid w:val="00510A19"/>
    <w:rsid w:val="00511AAB"/>
    <w:rsid w:val="00513848"/>
    <w:rsid w:val="00514D10"/>
    <w:rsid w:val="00516783"/>
    <w:rsid w:val="00517EF8"/>
    <w:rsid w:val="00520083"/>
    <w:rsid w:val="0052029E"/>
    <w:rsid w:val="0052076A"/>
    <w:rsid w:val="00520811"/>
    <w:rsid w:val="00520A2C"/>
    <w:rsid w:val="00520E25"/>
    <w:rsid w:val="0052183D"/>
    <w:rsid w:val="00522F44"/>
    <w:rsid w:val="0052360A"/>
    <w:rsid w:val="0052367A"/>
    <w:rsid w:val="005242BA"/>
    <w:rsid w:val="005243B8"/>
    <w:rsid w:val="00524B1F"/>
    <w:rsid w:val="005252DD"/>
    <w:rsid w:val="00530A8D"/>
    <w:rsid w:val="00531C6D"/>
    <w:rsid w:val="00532338"/>
    <w:rsid w:val="00532EF4"/>
    <w:rsid w:val="005347CE"/>
    <w:rsid w:val="00535477"/>
    <w:rsid w:val="00535DEA"/>
    <w:rsid w:val="00536D32"/>
    <w:rsid w:val="0053723A"/>
    <w:rsid w:val="00537636"/>
    <w:rsid w:val="00537B1D"/>
    <w:rsid w:val="00540191"/>
    <w:rsid w:val="00540A2A"/>
    <w:rsid w:val="00541F27"/>
    <w:rsid w:val="00541F47"/>
    <w:rsid w:val="00542297"/>
    <w:rsid w:val="005424BC"/>
    <w:rsid w:val="00542608"/>
    <w:rsid w:val="00542A28"/>
    <w:rsid w:val="005441D4"/>
    <w:rsid w:val="0054672D"/>
    <w:rsid w:val="0055041D"/>
    <w:rsid w:val="00550F4E"/>
    <w:rsid w:val="005532B5"/>
    <w:rsid w:val="00554A05"/>
    <w:rsid w:val="00555849"/>
    <w:rsid w:val="005559A8"/>
    <w:rsid w:val="00557048"/>
    <w:rsid w:val="00557FB5"/>
    <w:rsid w:val="00561AED"/>
    <w:rsid w:val="00562725"/>
    <w:rsid w:val="005648A8"/>
    <w:rsid w:val="00564DE3"/>
    <w:rsid w:val="00564E44"/>
    <w:rsid w:val="00566394"/>
    <w:rsid w:val="00566C6A"/>
    <w:rsid w:val="00566CE5"/>
    <w:rsid w:val="00566D36"/>
    <w:rsid w:val="00571887"/>
    <w:rsid w:val="00573569"/>
    <w:rsid w:val="00573871"/>
    <w:rsid w:val="0057389E"/>
    <w:rsid w:val="005738DE"/>
    <w:rsid w:val="005762EC"/>
    <w:rsid w:val="005765C0"/>
    <w:rsid w:val="00576A18"/>
    <w:rsid w:val="005778DE"/>
    <w:rsid w:val="005778F8"/>
    <w:rsid w:val="00580B3F"/>
    <w:rsid w:val="005825F2"/>
    <w:rsid w:val="005860AF"/>
    <w:rsid w:val="00587BA4"/>
    <w:rsid w:val="00587F1D"/>
    <w:rsid w:val="00590348"/>
    <w:rsid w:val="00591161"/>
    <w:rsid w:val="00592318"/>
    <w:rsid w:val="00593133"/>
    <w:rsid w:val="0059575D"/>
    <w:rsid w:val="00596825"/>
    <w:rsid w:val="00596DEE"/>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217"/>
    <w:rsid w:val="005B7554"/>
    <w:rsid w:val="005B7C78"/>
    <w:rsid w:val="005C0FB2"/>
    <w:rsid w:val="005C1169"/>
    <w:rsid w:val="005C16BC"/>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312D"/>
    <w:rsid w:val="005D4A86"/>
    <w:rsid w:val="005D5540"/>
    <w:rsid w:val="005D5CC5"/>
    <w:rsid w:val="005D5EB1"/>
    <w:rsid w:val="005D6A29"/>
    <w:rsid w:val="005D6C8C"/>
    <w:rsid w:val="005D72BD"/>
    <w:rsid w:val="005E0481"/>
    <w:rsid w:val="005E07F6"/>
    <w:rsid w:val="005E10BF"/>
    <w:rsid w:val="005E1605"/>
    <w:rsid w:val="005E1834"/>
    <w:rsid w:val="005E49E5"/>
    <w:rsid w:val="005E5481"/>
    <w:rsid w:val="005E55E4"/>
    <w:rsid w:val="005E5D45"/>
    <w:rsid w:val="005E6C5F"/>
    <w:rsid w:val="005E7636"/>
    <w:rsid w:val="005F028E"/>
    <w:rsid w:val="005F04B4"/>
    <w:rsid w:val="005F11A4"/>
    <w:rsid w:val="005F19F8"/>
    <w:rsid w:val="005F3A40"/>
    <w:rsid w:val="005F3FB1"/>
    <w:rsid w:val="005F5ACF"/>
    <w:rsid w:val="005F60DC"/>
    <w:rsid w:val="005F661F"/>
    <w:rsid w:val="006000DD"/>
    <w:rsid w:val="00600F63"/>
    <w:rsid w:val="006012E1"/>
    <w:rsid w:val="00602253"/>
    <w:rsid w:val="006023E1"/>
    <w:rsid w:val="00602945"/>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539B"/>
    <w:rsid w:val="00616A11"/>
    <w:rsid w:val="00616B9B"/>
    <w:rsid w:val="00617520"/>
    <w:rsid w:val="00617AD0"/>
    <w:rsid w:val="0062052C"/>
    <w:rsid w:val="00620D7C"/>
    <w:rsid w:val="00621089"/>
    <w:rsid w:val="00621E1F"/>
    <w:rsid w:val="00622271"/>
    <w:rsid w:val="006228B2"/>
    <w:rsid w:val="006228E1"/>
    <w:rsid w:val="00622E32"/>
    <w:rsid w:val="00623688"/>
    <w:rsid w:val="00624269"/>
    <w:rsid w:val="006247E0"/>
    <w:rsid w:val="006251BB"/>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4DD0"/>
    <w:rsid w:val="00655485"/>
    <w:rsid w:val="006558B3"/>
    <w:rsid w:val="006571D0"/>
    <w:rsid w:val="00660B0D"/>
    <w:rsid w:val="00660BF0"/>
    <w:rsid w:val="00660E53"/>
    <w:rsid w:val="0066189C"/>
    <w:rsid w:val="006630CF"/>
    <w:rsid w:val="00663508"/>
    <w:rsid w:val="00663EFF"/>
    <w:rsid w:val="006656DD"/>
    <w:rsid w:val="00666F74"/>
    <w:rsid w:val="0066795C"/>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573"/>
    <w:rsid w:val="00694B73"/>
    <w:rsid w:val="00694DF2"/>
    <w:rsid w:val="00695F80"/>
    <w:rsid w:val="006966CD"/>
    <w:rsid w:val="00696735"/>
    <w:rsid w:val="006975D4"/>
    <w:rsid w:val="0069765F"/>
    <w:rsid w:val="0069780E"/>
    <w:rsid w:val="00697D13"/>
    <w:rsid w:val="006A24D5"/>
    <w:rsid w:val="006A2CA2"/>
    <w:rsid w:val="006B2D40"/>
    <w:rsid w:val="006B34DF"/>
    <w:rsid w:val="006B39B2"/>
    <w:rsid w:val="006B3AF9"/>
    <w:rsid w:val="006B45A0"/>
    <w:rsid w:val="006B4BEF"/>
    <w:rsid w:val="006B5668"/>
    <w:rsid w:val="006B5F71"/>
    <w:rsid w:val="006B6E44"/>
    <w:rsid w:val="006B7059"/>
    <w:rsid w:val="006B7287"/>
    <w:rsid w:val="006B7F2E"/>
    <w:rsid w:val="006C08BD"/>
    <w:rsid w:val="006C0BF8"/>
    <w:rsid w:val="006C10A7"/>
    <w:rsid w:val="006C223F"/>
    <w:rsid w:val="006C2253"/>
    <w:rsid w:val="006C2CCB"/>
    <w:rsid w:val="006C4334"/>
    <w:rsid w:val="006C4B0F"/>
    <w:rsid w:val="006C5E96"/>
    <w:rsid w:val="006D1742"/>
    <w:rsid w:val="006D399F"/>
    <w:rsid w:val="006D4F0C"/>
    <w:rsid w:val="006D5645"/>
    <w:rsid w:val="006D5DF6"/>
    <w:rsid w:val="006E04D4"/>
    <w:rsid w:val="006E0A4F"/>
    <w:rsid w:val="006E0C8A"/>
    <w:rsid w:val="006E1181"/>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29D"/>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0E6D"/>
    <w:rsid w:val="0073248E"/>
    <w:rsid w:val="00733EE9"/>
    <w:rsid w:val="00735B8E"/>
    <w:rsid w:val="0073673C"/>
    <w:rsid w:val="00736935"/>
    <w:rsid w:val="007431C5"/>
    <w:rsid w:val="00743DE7"/>
    <w:rsid w:val="00744A42"/>
    <w:rsid w:val="0074509E"/>
    <w:rsid w:val="00745B9F"/>
    <w:rsid w:val="0074726F"/>
    <w:rsid w:val="0075015C"/>
    <w:rsid w:val="00750C83"/>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408"/>
    <w:rsid w:val="007726F9"/>
    <w:rsid w:val="00772FC7"/>
    <w:rsid w:val="00773B94"/>
    <w:rsid w:val="00773C65"/>
    <w:rsid w:val="00775937"/>
    <w:rsid w:val="00776C11"/>
    <w:rsid w:val="00777046"/>
    <w:rsid w:val="007770DA"/>
    <w:rsid w:val="007805B9"/>
    <w:rsid w:val="00780C3A"/>
    <w:rsid w:val="007834A1"/>
    <w:rsid w:val="007841C8"/>
    <w:rsid w:val="00787174"/>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C4C"/>
    <w:rsid w:val="007A6F4E"/>
    <w:rsid w:val="007A7678"/>
    <w:rsid w:val="007B0CD8"/>
    <w:rsid w:val="007B0DE0"/>
    <w:rsid w:val="007B21DE"/>
    <w:rsid w:val="007B2BB9"/>
    <w:rsid w:val="007B34B1"/>
    <w:rsid w:val="007B43E8"/>
    <w:rsid w:val="007B4427"/>
    <w:rsid w:val="007B4740"/>
    <w:rsid w:val="007B502C"/>
    <w:rsid w:val="007B5F3B"/>
    <w:rsid w:val="007C02B0"/>
    <w:rsid w:val="007C063E"/>
    <w:rsid w:val="007C068C"/>
    <w:rsid w:val="007C1901"/>
    <w:rsid w:val="007C35D4"/>
    <w:rsid w:val="007C49C0"/>
    <w:rsid w:val="007C55C1"/>
    <w:rsid w:val="007C5738"/>
    <w:rsid w:val="007C5772"/>
    <w:rsid w:val="007C5AC3"/>
    <w:rsid w:val="007C7233"/>
    <w:rsid w:val="007D10EE"/>
    <w:rsid w:val="007D1193"/>
    <w:rsid w:val="007D157D"/>
    <w:rsid w:val="007D21D5"/>
    <w:rsid w:val="007D3E8D"/>
    <w:rsid w:val="007D3F3C"/>
    <w:rsid w:val="007D5915"/>
    <w:rsid w:val="007D5B4F"/>
    <w:rsid w:val="007D5C30"/>
    <w:rsid w:val="007E0527"/>
    <w:rsid w:val="007E0660"/>
    <w:rsid w:val="007E090C"/>
    <w:rsid w:val="007E1411"/>
    <w:rsid w:val="007E1882"/>
    <w:rsid w:val="007E1BB4"/>
    <w:rsid w:val="007E3514"/>
    <w:rsid w:val="007E38E8"/>
    <w:rsid w:val="007E4AAA"/>
    <w:rsid w:val="007E4BD2"/>
    <w:rsid w:val="007E4C29"/>
    <w:rsid w:val="007E5E44"/>
    <w:rsid w:val="007E75F9"/>
    <w:rsid w:val="007F0DDA"/>
    <w:rsid w:val="007F14C2"/>
    <w:rsid w:val="007F1939"/>
    <w:rsid w:val="007F365C"/>
    <w:rsid w:val="007F41A1"/>
    <w:rsid w:val="007F4A2A"/>
    <w:rsid w:val="007F5066"/>
    <w:rsid w:val="007F571D"/>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1481D"/>
    <w:rsid w:val="00815245"/>
    <w:rsid w:val="00820623"/>
    <w:rsid w:val="00820CBA"/>
    <w:rsid w:val="00821747"/>
    <w:rsid w:val="008229A3"/>
    <w:rsid w:val="00822DFB"/>
    <w:rsid w:val="00822F64"/>
    <w:rsid w:val="00824EAF"/>
    <w:rsid w:val="008253A6"/>
    <w:rsid w:val="008256C7"/>
    <w:rsid w:val="008258D2"/>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5F71"/>
    <w:rsid w:val="008575EB"/>
    <w:rsid w:val="00860CA2"/>
    <w:rsid w:val="00862DDD"/>
    <w:rsid w:val="0086326D"/>
    <w:rsid w:val="00863CC1"/>
    <w:rsid w:val="008645BC"/>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067C"/>
    <w:rsid w:val="008A2585"/>
    <w:rsid w:val="008A2718"/>
    <w:rsid w:val="008A4792"/>
    <w:rsid w:val="008A4CF6"/>
    <w:rsid w:val="008A4E42"/>
    <w:rsid w:val="008A51AA"/>
    <w:rsid w:val="008A6A12"/>
    <w:rsid w:val="008B0DC6"/>
    <w:rsid w:val="008B0DDC"/>
    <w:rsid w:val="008B1F48"/>
    <w:rsid w:val="008B297C"/>
    <w:rsid w:val="008B2B9E"/>
    <w:rsid w:val="008B31F5"/>
    <w:rsid w:val="008B4C79"/>
    <w:rsid w:val="008B5D2D"/>
    <w:rsid w:val="008B6022"/>
    <w:rsid w:val="008B6361"/>
    <w:rsid w:val="008C0320"/>
    <w:rsid w:val="008C1A51"/>
    <w:rsid w:val="008C221B"/>
    <w:rsid w:val="008C2A81"/>
    <w:rsid w:val="008C3863"/>
    <w:rsid w:val="008C46D7"/>
    <w:rsid w:val="008C4BDC"/>
    <w:rsid w:val="008C50FF"/>
    <w:rsid w:val="008C5435"/>
    <w:rsid w:val="008C6BD1"/>
    <w:rsid w:val="008D1FE9"/>
    <w:rsid w:val="008D21E8"/>
    <w:rsid w:val="008D2DB5"/>
    <w:rsid w:val="008D3F10"/>
    <w:rsid w:val="008D611D"/>
    <w:rsid w:val="008E1439"/>
    <w:rsid w:val="008E1B6A"/>
    <w:rsid w:val="008E3054"/>
    <w:rsid w:val="008E32FF"/>
    <w:rsid w:val="008E5625"/>
    <w:rsid w:val="008E5C5B"/>
    <w:rsid w:val="008E6A37"/>
    <w:rsid w:val="008F0354"/>
    <w:rsid w:val="008F085A"/>
    <w:rsid w:val="008F1462"/>
    <w:rsid w:val="008F2413"/>
    <w:rsid w:val="008F248D"/>
    <w:rsid w:val="008F302C"/>
    <w:rsid w:val="008F4B2C"/>
    <w:rsid w:val="008F4C08"/>
    <w:rsid w:val="008F6851"/>
    <w:rsid w:val="008F6986"/>
    <w:rsid w:val="008F7BC4"/>
    <w:rsid w:val="00900E7A"/>
    <w:rsid w:val="009021FD"/>
    <w:rsid w:val="00903861"/>
    <w:rsid w:val="00903E11"/>
    <w:rsid w:val="00903EBE"/>
    <w:rsid w:val="009041DE"/>
    <w:rsid w:val="00905D59"/>
    <w:rsid w:val="009062CA"/>
    <w:rsid w:val="00907631"/>
    <w:rsid w:val="00907776"/>
    <w:rsid w:val="00907E9D"/>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163"/>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50D1"/>
    <w:rsid w:val="0097606C"/>
    <w:rsid w:val="00977022"/>
    <w:rsid w:val="009771D1"/>
    <w:rsid w:val="0098012D"/>
    <w:rsid w:val="00980845"/>
    <w:rsid w:val="00981167"/>
    <w:rsid w:val="00981BD9"/>
    <w:rsid w:val="0098225F"/>
    <w:rsid w:val="00983A3C"/>
    <w:rsid w:val="00983EFA"/>
    <w:rsid w:val="0098476F"/>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15"/>
    <w:rsid w:val="009C13BC"/>
    <w:rsid w:val="009C1CA4"/>
    <w:rsid w:val="009C2532"/>
    <w:rsid w:val="009C2BA4"/>
    <w:rsid w:val="009C2DCC"/>
    <w:rsid w:val="009C57BA"/>
    <w:rsid w:val="009C6091"/>
    <w:rsid w:val="009C634F"/>
    <w:rsid w:val="009C6C20"/>
    <w:rsid w:val="009D0219"/>
    <w:rsid w:val="009D0D55"/>
    <w:rsid w:val="009D2295"/>
    <w:rsid w:val="009D2511"/>
    <w:rsid w:val="009D291D"/>
    <w:rsid w:val="009D3E20"/>
    <w:rsid w:val="009D3E7C"/>
    <w:rsid w:val="009D55CA"/>
    <w:rsid w:val="009D5D09"/>
    <w:rsid w:val="009D5EF0"/>
    <w:rsid w:val="009D6318"/>
    <w:rsid w:val="009D6401"/>
    <w:rsid w:val="009D7E79"/>
    <w:rsid w:val="009E0711"/>
    <w:rsid w:val="009E1917"/>
    <w:rsid w:val="009E2FDB"/>
    <w:rsid w:val="009E3594"/>
    <w:rsid w:val="009E6B77"/>
    <w:rsid w:val="009E7724"/>
    <w:rsid w:val="009E7D1F"/>
    <w:rsid w:val="009F1D82"/>
    <w:rsid w:val="009F1F73"/>
    <w:rsid w:val="009F37AA"/>
    <w:rsid w:val="009F544C"/>
    <w:rsid w:val="009F5731"/>
    <w:rsid w:val="009F6321"/>
    <w:rsid w:val="009F6378"/>
    <w:rsid w:val="009F7669"/>
    <w:rsid w:val="009F7F45"/>
    <w:rsid w:val="009F7FD5"/>
    <w:rsid w:val="00A005D4"/>
    <w:rsid w:val="00A0083C"/>
    <w:rsid w:val="00A008BE"/>
    <w:rsid w:val="00A01A90"/>
    <w:rsid w:val="00A02370"/>
    <w:rsid w:val="00A04685"/>
    <w:rsid w:val="00A04C57"/>
    <w:rsid w:val="00A06340"/>
    <w:rsid w:val="00A06734"/>
    <w:rsid w:val="00A0684F"/>
    <w:rsid w:val="00A06867"/>
    <w:rsid w:val="00A10148"/>
    <w:rsid w:val="00A104FE"/>
    <w:rsid w:val="00A10776"/>
    <w:rsid w:val="00A113FD"/>
    <w:rsid w:val="00A11DDE"/>
    <w:rsid w:val="00A127A7"/>
    <w:rsid w:val="00A129F4"/>
    <w:rsid w:val="00A136F4"/>
    <w:rsid w:val="00A150F7"/>
    <w:rsid w:val="00A15C9D"/>
    <w:rsid w:val="00A160D3"/>
    <w:rsid w:val="00A16DC9"/>
    <w:rsid w:val="00A20225"/>
    <w:rsid w:val="00A2035D"/>
    <w:rsid w:val="00A24269"/>
    <w:rsid w:val="00A243E4"/>
    <w:rsid w:val="00A25ED4"/>
    <w:rsid w:val="00A263DA"/>
    <w:rsid w:val="00A26C5C"/>
    <w:rsid w:val="00A30BDE"/>
    <w:rsid w:val="00A3131C"/>
    <w:rsid w:val="00A31F14"/>
    <w:rsid w:val="00A323EA"/>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5827"/>
    <w:rsid w:val="00A46246"/>
    <w:rsid w:val="00A46349"/>
    <w:rsid w:val="00A46D5E"/>
    <w:rsid w:val="00A50847"/>
    <w:rsid w:val="00A512C7"/>
    <w:rsid w:val="00A5332E"/>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589"/>
    <w:rsid w:val="00A65805"/>
    <w:rsid w:val="00A66BEE"/>
    <w:rsid w:val="00A671C9"/>
    <w:rsid w:val="00A67DFD"/>
    <w:rsid w:val="00A70762"/>
    <w:rsid w:val="00A743E9"/>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C6727"/>
    <w:rsid w:val="00AC7CD4"/>
    <w:rsid w:val="00AD0094"/>
    <w:rsid w:val="00AD0CB4"/>
    <w:rsid w:val="00AD11E9"/>
    <w:rsid w:val="00AD171C"/>
    <w:rsid w:val="00AD1FF2"/>
    <w:rsid w:val="00AD2A21"/>
    <w:rsid w:val="00AD3B43"/>
    <w:rsid w:val="00AD4FF2"/>
    <w:rsid w:val="00AD506C"/>
    <w:rsid w:val="00AD6BE5"/>
    <w:rsid w:val="00AD7675"/>
    <w:rsid w:val="00AD783E"/>
    <w:rsid w:val="00AE1393"/>
    <w:rsid w:val="00AE17DD"/>
    <w:rsid w:val="00AE3BC6"/>
    <w:rsid w:val="00AE3E2F"/>
    <w:rsid w:val="00AE4D4F"/>
    <w:rsid w:val="00AE5404"/>
    <w:rsid w:val="00AE627C"/>
    <w:rsid w:val="00AE62B0"/>
    <w:rsid w:val="00AE68A2"/>
    <w:rsid w:val="00AF0029"/>
    <w:rsid w:val="00AF0354"/>
    <w:rsid w:val="00AF1236"/>
    <w:rsid w:val="00AF38AF"/>
    <w:rsid w:val="00AF3C29"/>
    <w:rsid w:val="00AF4401"/>
    <w:rsid w:val="00AF4463"/>
    <w:rsid w:val="00AF53CB"/>
    <w:rsid w:val="00AF65C5"/>
    <w:rsid w:val="00B03CE2"/>
    <w:rsid w:val="00B04745"/>
    <w:rsid w:val="00B059A9"/>
    <w:rsid w:val="00B06544"/>
    <w:rsid w:val="00B105F2"/>
    <w:rsid w:val="00B10991"/>
    <w:rsid w:val="00B12128"/>
    <w:rsid w:val="00B12945"/>
    <w:rsid w:val="00B12C1E"/>
    <w:rsid w:val="00B13C46"/>
    <w:rsid w:val="00B15091"/>
    <w:rsid w:val="00B155DF"/>
    <w:rsid w:val="00B156CF"/>
    <w:rsid w:val="00B1570E"/>
    <w:rsid w:val="00B176B9"/>
    <w:rsid w:val="00B17AD5"/>
    <w:rsid w:val="00B17DC8"/>
    <w:rsid w:val="00B17E1E"/>
    <w:rsid w:val="00B207F1"/>
    <w:rsid w:val="00B208EE"/>
    <w:rsid w:val="00B20A42"/>
    <w:rsid w:val="00B20BDE"/>
    <w:rsid w:val="00B20C41"/>
    <w:rsid w:val="00B2107D"/>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3CA3"/>
    <w:rsid w:val="00B33DA3"/>
    <w:rsid w:val="00B34885"/>
    <w:rsid w:val="00B34D68"/>
    <w:rsid w:val="00B3600B"/>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70A"/>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47D7"/>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9EC"/>
    <w:rsid w:val="00B85B7C"/>
    <w:rsid w:val="00B85C8A"/>
    <w:rsid w:val="00B86FBD"/>
    <w:rsid w:val="00B91B86"/>
    <w:rsid w:val="00B927CA"/>
    <w:rsid w:val="00B928AE"/>
    <w:rsid w:val="00B93CDA"/>
    <w:rsid w:val="00B942E9"/>
    <w:rsid w:val="00B9433A"/>
    <w:rsid w:val="00B948EE"/>
    <w:rsid w:val="00B949F5"/>
    <w:rsid w:val="00B94A42"/>
    <w:rsid w:val="00B94BF3"/>
    <w:rsid w:val="00B94F90"/>
    <w:rsid w:val="00B9578C"/>
    <w:rsid w:val="00B95DC5"/>
    <w:rsid w:val="00B96D5D"/>
    <w:rsid w:val="00B97E34"/>
    <w:rsid w:val="00B97FEF"/>
    <w:rsid w:val="00BA1354"/>
    <w:rsid w:val="00BA24F8"/>
    <w:rsid w:val="00BA31AA"/>
    <w:rsid w:val="00BA3C85"/>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6CC1"/>
    <w:rsid w:val="00BB7A20"/>
    <w:rsid w:val="00BC15B1"/>
    <w:rsid w:val="00BC16E9"/>
    <w:rsid w:val="00BC1D4B"/>
    <w:rsid w:val="00BC3950"/>
    <w:rsid w:val="00BC3C06"/>
    <w:rsid w:val="00BC4E8B"/>
    <w:rsid w:val="00BC5622"/>
    <w:rsid w:val="00BC6060"/>
    <w:rsid w:val="00BC6596"/>
    <w:rsid w:val="00BC7897"/>
    <w:rsid w:val="00BD0F35"/>
    <w:rsid w:val="00BD2F3C"/>
    <w:rsid w:val="00BD3C97"/>
    <w:rsid w:val="00BD45A4"/>
    <w:rsid w:val="00BD4A5F"/>
    <w:rsid w:val="00BD59AA"/>
    <w:rsid w:val="00BD65E6"/>
    <w:rsid w:val="00BD6AF7"/>
    <w:rsid w:val="00BE19EF"/>
    <w:rsid w:val="00BE425B"/>
    <w:rsid w:val="00BE51BB"/>
    <w:rsid w:val="00BE65CC"/>
    <w:rsid w:val="00BE7595"/>
    <w:rsid w:val="00BE77D3"/>
    <w:rsid w:val="00BF0138"/>
    <w:rsid w:val="00BF114B"/>
    <w:rsid w:val="00BF1620"/>
    <w:rsid w:val="00BF1AC3"/>
    <w:rsid w:val="00BF28DA"/>
    <w:rsid w:val="00BF373A"/>
    <w:rsid w:val="00BF37A5"/>
    <w:rsid w:val="00BF54E2"/>
    <w:rsid w:val="00BF557C"/>
    <w:rsid w:val="00BF62D2"/>
    <w:rsid w:val="00BF6D9E"/>
    <w:rsid w:val="00BF6E3E"/>
    <w:rsid w:val="00BF71BB"/>
    <w:rsid w:val="00BF76F7"/>
    <w:rsid w:val="00BF7C9F"/>
    <w:rsid w:val="00C00012"/>
    <w:rsid w:val="00C000A5"/>
    <w:rsid w:val="00C006B4"/>
    <w:rsid w:val="00C00938"/>
    <w:rsid w:val="00C00E2A"/>
    <w:rsid w:val="00C01A2D"/>
    <w:rsid w:val="00C025B9"/>
    <w:rsid w:val="00C03EA2"/>
    <w:rsid w:val="00C044B4"/>
    <w:rsid w:val="00C05105"/>
    <w:rsid w:val="00C05A5D"/>
    <w:rsid w:val="00C0622F"/>
    <w:rsid w:val="00C0654A"/>
    <w:rsid w:val="00C06DE3"/>
    <w:rsid w:val="00C06F97"/>
    <w:rsid w:val="00C10BE6"/>
    <w:rsid w:val="00C11296"/>
    <w:rsid w:val="00C11905"/>
    <w:rsid w:val="00C1234A"/>
    <w:rsid w:val="00C12616"/>
    <w:rsid w:val="00C12661"/>
    <w:rsid w:val="00C126E3"/>
    <w:rsid w:val="00C1330F"/>
    <w:rsid w:val="00C13ED7"/>
    <w:rsid w:val="00C14615"/>
    <w:rsid w:val="00C14F48"/>
    <w:rsid w:val="00C15296"/>
    <w:rsid w:val="00C17750"/>
    <w:rsid w:val="00C2094B"/>
    <w:rsid w:val="00C20DC5"/>
    <w:rsid w:val="00C224D9"/>
    <w:rsid w:val="00C2294E"/>
    <w:rsid w:val="00C22A5B"/>
    <w:rsid w:val="00C23412"/>
    <w:rsid w:val="00C23F81"/>
    <w:rsid w:val="00C264C7"/>
    <w:rsid w:val="00C271C4"/>
    <w:rsid w:val="00C274F3"/>
    <w:rsid w:val="00C30A54"/>
    <w:rsid w:val="00C316F7"/>
    <w:rsid w:val="00C31DF0"/>
    <w:rsid w:val="00C32578"/>
    <w:rsid w:val="00C33916"/>
    <w:rsid w:val="00C33BCF"/>
    <w:rsid w:val="00C33D53"/>
    <w:rsid w:val="00C34D1D"/>
    <w:rsid w:val="00C353A0"/>
    <w:rsid w:val="00C368D7"/>
    <w:rsid w:val="00C36FD1"/>
    <w:rsid w:val="00C371A5"/>
    <w:rsid w:val="00C400B0"/>
    <w:rsid w:val="00C40F4E"/>
    <w:rsid w:val="00C413FC"/>
    <w:rsid w:val="00C41658"/>
    <w:rsid w:val="00C422C5"/>
    <w:rsid w:val="00C4322D"/>
    <w:rsid w:val="00C437B5"/>
    <w:rsid w:val="00C43D33"/>
    <w:rsid w:val="00C44407"/>
    <w:rsid w:val="00C456E8"/>
    <w:rsid w:val="00C46630"/>
    <w:rsid w:val="00C47A2F"/>
    <w:rsid w:val="00C50D18"/>
    <w:rsid w:val="00C51179"/>
    <w:rsid w:val="00C51401"/>
    <w:rsid w:val="00C5282C"/>
    <w:rsid w:val="00C52FBE"/>
    <w:rsid w:val="00C5355E"/>
    <w:rsid w:val="00C535E2"/>
    <w:rsid w:val="00C539FF"/>
    <w:rsid w:val="00C53FC1"/>
    <w:rsid w:val="00C5570F"/>
    <w:rsid w:val="00C56438"/>
    <w:rsid w:val="00C570B3"/>
    <w:rsid w:val="00C6009F"/>
    <w:rsid w:val="00C60417"/>
    <w:rsid w:val="00C6046F"/>
    <w:rsid w:val="00C619E6"/>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0FAE"/>
    <w:rsid w:val="00C923B7"/>
    <w:rsid w:val="00C92E70"/>
    <w:rsid w:val="00C93A9C"/>
    <w:rsid w:val="00C9430F"/>
    <w:rsid w:val="00C94D4C"/>
    <w:rsid w:val="00CA012C"/>
    <w:rsid w:val="00CA0AA6"/>
    <w:rsid w:val="00CA1FC2"/>
    <w:rsid w:val="00CA2897"/>
    <w:rsid w:val="00CA44F3"/>
    <w:rsid w:val="00CA51BA"/>
    <w:rsid w:val="00CA582C"/>
    <w:rsid w:val="00CA606B"/>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53D"/>
    <w:rsid w:val="00CC76AA"/>
    <w:rsid w:val="00CC7CD2"/>
    <w:rsid w:val="00CD05CF"/>
    <w:rsid w:val="00CD06AB"/>
    <w:rsid w:val="00CD0CB9"/>
    <w:rsid w:val="00CD0ECC"/>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44AE"/>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5E31"/>
    <w:rsid w:val="00D06163"/>
    <w:rsid w:val="00D07AFD"/>
    <w:rsid w:val="00D11749"/>
    <w:rsid w:val="00D12A7D"/>
    <w:rsid w:val="00D13AB0"/>
    <w:rsid w:val="00D1519E"/>
    <w:rsid w:val="00D152B7"/>
    <w:rsid w:val="00D15E5A"/>
    <w:rsid w:val="00D16EDC"/>
    <w:rsid w:val="00D17FDE"/>
    <w:rsid w:val="00D201CB"/>
    <w:rsid w:val="00D21554"/>
    <w:rsid w:val="00D22786"/>
    <w:rsid w:val="00D228B4"/>
    <w:rsid w:val="00D236F5"/>
    <w:rsid w:val="00D25AC4"/>
    <w:rsid w:val="00D305F6"/>
    <w:rsid w:val="00D30B25"/>
    <w:rsid w:val="00D3175A"/>
    <w:rsid w:val="00D31A00"/>
    <w:rsid w:val="00D323E4"/>
    <w:rsid w:val="00D32871"/>
    <w:rsid w:val="00D33881"/>
    <w:rsid w:val="00D34282"/>
    <w:rsid w:val="00D366B1"/>
    <w:rsid w:val="00D37A0A"/>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45A9"/>
    <w:rsid w:val="00D56AC0"/>
    <w:rsid w:val="00D6081B"/>
    <w:rsid w:val="00D6107B"/>
    <w:rsid w:val="00D61A37"/>
    <w:rsid w:val="00D6240A"/>
    <w:rsid w:val="00D63093"/>
    <w:rsid w:val="00D63599"/>
    <w:rsid w:val="00D63EBD"/>
    <w:rsid w:val="00D64AAA"/>
    <w:rsid w:val="00D64B4C"/>
    <w:rsid w:val="00D64B69"/>
    <w:rsid w:val="00D65FF2"/>
    <w:rsid w:val="00D66E7E"/>
    <w:rsid w:val="00D67101"/>
    <w:rsid w:val="00D67E1D"/>
    <w:rsid w:val="00D7106D"/>
    <w:rsid w:val="00D71B45"/>
    <w:rsid w:val="00D71F8A"/>
    <w:rsid w:val="00D732A4"/>
    <w:rsid w:val="00D75603"/>
    <w:rsid w:val="00D75FEE"/>
    <w:rsid w:val="00D76814"/>
    <w:rsid w:val="00D76933"/>
    <w:rsid w:val="00D76D88"/>
    <w:rsid w:val="00D77CC9"/>
    <w:rsid w:val="00D80207"/>
    <w:rsid w:val="00D83D4B"/>
    <w:rsid w:val="00D871C6"/>
    <w:rsid w:val="00D91010"/>
    <w:rsid w:val="00DA0FA7"/>
    <w:rsid w:val="00DA12B0"/>
    <w:rsid w:val="00DA2BA0"/>
    <w:rsid w:val="00DA39AD"/>
    <w:rsid w:val="00DA5523"/>
    <w:rsid w:val="00DA5B13"/>
    <w:rsid w:val="00DA6917"/>
    <w:rsid w:val="00DA6926"/>
    <w:rsid w:val="00DB03AA"/>
    <w:rsid w:val="00DB0965"/>
    <w:rsid w:val="00DB0E47"/>
    <w:rsid w:val="00DB2BDD"/>
    <w:rsid w:val="00DB2F96"/>
    <w:rsid w:val="00DB4121"/>
    <w:rsid w:val="00DB46C3"/>
    <w:rsid w:val="00DB5742"/>
    <w:rsid w:val="00DB5EA4"/>
    <w:rsid w:val="00DB5EDF"/>
    <w:rsid w:val="00DB6C46"/>
    <w:rsid w:val="00DB72B8"/>
    <w:rsid w:val="00DC16AF"/>
    <w:rsid w:val="00DC1B28"/>
    <w:rsid w:val="00DC2A9A"/>
    <w:rsid w:val="00DC2E2E"/>
    <w:rsid w:val="00DC2F93"/>
    <w:rsid w:val="00DC4D68"/>
    <w:rsid w:val="00DC6463"/>
    <w:rsid w:val="00DC6B41"/>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5C7"/>
    <w:rsid w:val="00DF3F1D"/>
    <w:rsid w:val="00DF595C"/>
    <w:rsid w:val="00DF7EA7"/>
    <w:rsid w:val="00E0047A"/>
    <w:rsid w:val="00E04548"/>
    <w:rsid w:val="00E0484E"/>
    <w:rsid w:val="00E06040"/>
    <w:rsid w:val="00E063F8"/>
    <w:rsid w:val="00E079AF"/>
    <w:rsid w:val="00E114D6"/>
    <w:rsid w:val="00E1166E"/>
    <w:rsid w:val="00E11DBD"/>
    <w:rsid w:val="00E13211"/>
    <w:rsid w:val="00E16FB5"/>
    <w:rsid w:val="00E179D6"/>
    <w:rsid w:val="00E205F7"/>
    <w:rsid w:val="00E21407"/>
    <w:rsid w:val="00E22668"/>
    <w:rsid w:val="00E227D3"/>
    <w:rsid w:val="00E22BFF"/>
    <w:rsid w:val="00E22CB0"/>
    <w:rsid w:val="00E23798"/>
    <w:rsid w:val="00E2585D"/>
    <w:rsid w:val="00E258BE"/>
    <w:rsid w:val="00E25DBD"/>
    <w:rsid w:val="00E25FA2"/>
    <w:rsid w:val="00E2723D"/>
    <w:rsid w:val="00E278F4"/>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3ED3"/>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3818"/>
    <w:rsid w:val="00E84698"/>
    <w:rsid w:val="00E8713B"/>
    <w:rsid w:val="00E874F8"/>
    <w:rsid w:val="00E90C61"/>
    <w:rsid w:val="00E92A82"/>
    <w:rsid w:val="00E92AA8"/>
    <w:rsid w:val="00E9344E"/>
    <w:rsid w:val="00E93E39"/>
    <w:rsid w:val="00E94391"/>
    <w:rsid w:val="00E97E2B"/>
    <w:rsid w:val="00EA08CA"/>
    <w:rsid w:val="00EA0C0C"/>
    <w:rsid w:val="00EA211A"/>
    <w:rsid w:val="00EA2AEA"/>
    <w:rsid w:val="00EA332B"/>
    <w:rsid w:val="00EA3D36"/>
    <w:rsid w:val="00EA40AA"/>
    <w:rsid w:val="00EA40F9"/>
    <w:rsid w:val="00EA57E2"/>
    <w:rsid w:val="00EA7186"/>
    <w:rsid w:val="00EB018B"/>
    <w:rsid w:val="00EB1003"/>
    <w:rsid w:val="00EB167E"/>
    <w:rsid w:val="00EB24ED"/>
    <w:rsid w:val="00EB286D"/>
    <w:rsid w:val="00EB2A00"/>
    <w:rsid w:val="00EB2A3F"/>
    <w:rsid w:val="00EB2C75"/>
    <w:rsid w:val="00EB309B"/>
    <w:rsid w:val="00EB3AA2"/>
    <w:rsid w:val="00EB4763"/>
    <w:rsid w:val="00EB6CB7"/>
    <w:rsid w:val="00EC078B"/>
    <w:rsid w:val="00EC07A0"/>
    <w:rsid w:val="00EC08E4"/>
    <w:rsid w:val="00EC1A23"/>
    <w:rsid w:val="00EC3CB4"/>
    <w:rsid w:val="00EC443E"/>
    <w:rsid w:val="00EC4D83"/>
    <w:rsid w:val="00EC4EEE"/>
    <w:rsid w:val="00EC634F"/>
    <w:rsid w:val="00EC6E56"/>
    <w:rsid w:val="00EC7B97"/>
    <w:rsid w:val="00ED049C"/>
    <w:rsid w:val="00ED07B7"/>
    <w:rsid w:val="00ED19D7"/>
    <w:rsid w:val="00ED2167"/>
    <w:rsid w:val="00ED351E"/>
    <w:rsid w:val="00ED4063"/>
    <w:rsid w:val="00ED4B27"/>
    <w:rsid w:val="00ED543C"/>
    <w:rsid w:val="00ED5F12"/>
    <w:rsid w:val="00ED6BA4"/>
    <w:rsid w:val="00ED7DA7"/>
    <w:rsid w:val="00EE0598"/>
    <w:rsid w:val="00EE11AA"/>
    <w:rsid w:val="00EE311C"/>
    <w:rsid w:val="00EE56FF"/>
    <w:rsid w:val="00EE5886"/>
    <w:rsid w:val="00EE5FBF"/>
    <w:rsid w:val="00EE6472"/>
    <w:rsid w:val="00EE76F2"/>
    <w:rsid w:val="00EF0769"/>
    <w:rsid w:val="00EF0D7C"/>
    <w:rsid w:val="00EF24F3"/>
    <w:rsid w:val="00EF40E2"/>
    <w:rsid w:val="00EF5FB9"/>
    <w:rsid w:val="00EF61C1"/>
    <w:rsid w:val="00EF6E68"/>
    <w:rsid w:val="00EF76DB"/>
    <w:rsid w:val="00F005FD"/>
    <w:rsid w:val="00F024E2"/>
    <w:rsid w:val="00F02C04"/>
    <w:rsid w:val="00F03AF1"/>
    <w:rsid w:val="00F04BCD"/>
    <w:rsid w:val="00F05739"/>
    <w:rsid w:val="00F05A8C"/>
    <w:rsid w:val="00F06211"/>
    <w:rsid w:val="00F10A54"/>
    <w:rsid w:val="00F10D35"/>
    <w:rsid w:val="00F123D0"/>
    <w:rsid w:val="00F12A52"/>
    <w:rsid w:val="00F13200"/>
    <w:rsid w:val="00F13411"/>
    <w:rsid w:val="00F143BA"/>
    <w:rsid w:val="00F14D98"/>
    <w:rsid w:val="00F170BB"/>
    <w:rsid w:val="00F1728C"/>
    <w:rsid w:val="00F1743E"/>
    <w:rsid w:val="00F2081B"/>
    <w:rsid w:val="00F20A43"/>
    <w:rsid w:val="00F20C51"/>
    <w:rsid w:val="00F21049"/>
    <w:rsid w:val="00F218AE"/>
    <w:rsid w:val="00F21C9C"/>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39D"/>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860"/>
    <w:rsid w:val="00F64C45"/>
    <w:rsid w:val="00F6502B"/>
    <w:rsid w:val="00F65811"/>
    <w:rsid w:val="00F6612A"/>
    <w:rsid w:val="00F66724"/>
    <w:rsid w:val="00F67F04"/>
    <w:rsid w:val="00F70207"/>
    <w:rsid w:val="00F702CB"/>
    <w:rsid w:val="00F70F4A"/>
    <w:rsid w:val="00F71AC2"/>
    <w:rsid w:val="00F728E7"/>
    <w:rsid w:val="00F739D4"/>
    <w:rsid w:val="00F77D43"/>
    <w:rsid w:val="00F80953"/>
    <w:rsid w:val="00F81312"/>
    <w:rsid w:val="00F81B90"/>
    <w:rsid w:val="00F81E6F"/>
    <w:rsid w:val="00F82F25"/>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C5F"/>
    <w:rsid w:val="00F95F15"/>
    <w:rsid w:val="00F968C6"/>
    <w:rsid w:val="00F974EC"/>
    <w:rsid w:val="00F975CA"/>
    <w:rsid w:val="00FA0B60"/>
    <w:rsid w:val="00FA2528"/>
    <w:rsid w:val="00FA29B2"/>
    <w:rsid w:val="00FA5535"/>
    <w:rsid w:val="00FA7206"/>
    <w:rsid w:val="00FA7E01"/>
    <w:rsid w:val="00FA7EF8"/>
    <w:rsid w:val="00FA7EFB"/>
    <w:rsid w:val="00FB0816"/>
    <w:rsid w:val="00FB08C2"/>
    <w:rsid w:val="00FB3DD1"/>
    <w:rsid w:val="00FB3F23"/>
    <w:rsid w:val="00FB51FD"/>
    <w:rsid w:val="00FB5667"/>
    <w:rsid w:val="00FB5A10"/>
    <w:rsid w:val="00FB7A97"/>
    <w:rsid w:val="00FC1B9B"/>
    <w:rsid w:val="00FC318D"/>
    <w:rsid w:val="00FC36CF"/>
    <w:rsid w:val="00FC40BC"/>
    <w:rsid w:val="00FC41FC"/>
    <w:rsid w:val="00FC4F6E"/>
    <w:rsid w:val="00FC506C"/>
    <w:rsid w:val="00FC578C"/>
    <w:rsid w:val="00FC5A37"/>
    <w:rsid w:val="00FC7223"/>
    <w:rsid w:val="00FD0F60"/>
    <w:rsid w:val="00FD13EA"/>
    <w:rsid w:val="00FD5DAF"/>
    <w:rsid w:val="00FD5EC4"/>
    <w:rsid w:val="00FD7858"/>
    <w:rsid w:val="00FD7A8D"/>
    <w:rsid w:val="00FE1330"/>
    <w:rsid w:val="00FE1CE5"/>
    <w:rsid w:val="00FE2832"/>
    <w:rsid w:val="00FE2D38"/>
    <w:rsid w:val="00FE2F2A"/>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uiPriority w:val="99"/>
    <w:rsid w:val="004B1E61"/>
    <w:rPr>
      <w:sz w:val="16"/>
      <w:szCs w:val="16"/>
    </w:rPr>
  </w:style>
  <w:style w:type="paragraph" w:styleId="Commentaire">
    <w:name w:val="annotation text"/>
    <w:basedOn w:val="Normal"/>
    <w:link w:val="CommentaireCar"/>
    <w:uiPriority w:val="99"/>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6"/>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492B3A"/>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phedelist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Policepardfau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Policepardfau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16527588">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9e7585d-2ec8-4eff-8eb0-2a5dae3b3336">WDPCNM7KEHA6-1418529512-351933</_dlc_DocId>
    <_dlc_DocIdUrl xmlns="b9e7585d-2ec8-4eff-8eb0-2a5dae3b3336">
      <Url>https://domafep.sharepoint.com/sites/AFEP-Partage/_layouts/15/DocIdRedir.aspx?ID=WDPCNM7KEHA6-1418529512-351933</Url>
      <Description>WDPCNM7KEHA6-1418529512-351933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B6481AD854AFAB4ABF16BF81F20613B0" ma:contentTypeVersion="949" ma:contentTypeDescription="Crée un document." ma:contentTypeScope="" ma:versionID="4d8dc5755a7791fb4ce5b020841e972b">
  <xsd:schema xmlns:xsd="http://www.w3.org/2001/XMLSchema" xmlns:xs="http://www.w3.org/2001/XMLSchema" xmlns:p="http://schemas.microsoft.com/office/2006/metadata/properties" xmlns:ns2="b9e7585d-2ec8-4eff-8eb0-2a5dae3b3336" xmlns:ns3="3a7a7858-319f-4063-9ead-c74d916519b8" targetNamespace="http://schemas.microsoft.com/office/2006/metadata/properties" ma:root="true" ma:fieldsID="62cb8cec8d8d9242d7e5c0116121cd98" ns2:_="" ns3:_="">
    <xsd:import namespace="b9e7585d-2ec8-4eff-8eb0-2a5dae3b3336"/>
    <xsd:import namespace="3a7a7858-319f-4063-9ead-c74d916519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7585d-2ec8-4eff-8eb0-2a5dae3b3336"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7a7858-319f-4063-9ead-c74d916519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customXml/itemProps2.xml><?xml version="1.0" encoding="utf-8"?>
<ds:datastoreItem xmlns:ds="http://schemas.openxmlformats.org/officeDocument/2006/customXml" ds:itemID="{B6DC4CF2-36F0-4A2A-9487-EC9EADD5CF41}">
  <ds:schemaRefs>
    <ds:schemaRef ds:uri="http://schemas.microsoft.com/sharepoint/events"/>
  </ds:schemaRefs>
</ds:datastoreItem>
</file>

<file path=customXml/itemProps3.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b9e7585d-2ec8-4eff-8eb0-2a5dae3b3336"/>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customXml/itemProps6.xml><?xml version="1.0" encoding="utf-8"?>
<ds:datastoreItem xmlns:ds="http://schemas.openxmlformats.org/officeDocument/2006/customXml" ds:itemID="{E3B8A95F-8C22-4636-9EA2-E004491CB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7585d-2ec8-4eff-8eb0-2a5dae3b3336"/>
    <ds:schemaRef ds:uri="3a7a7858-319f-4063-9ead-c74d91651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5283</Words>
  <Characters>30733</Characters>
  <Application>Microsoft Office Word</Application>
  <DocSecurity>8</DocSecurity>
  <Lines>256</Lines>
  <Paragraphs>71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35945</CharactersWithSpaces>
  <SharedDoc>false</SharedDoc>
  <HLinks>
    <vt:vector size="30" baseType="variant">
      <vt:variant>
        <vt:i4>5898318</vt:i4>
      </vt:variant>
      <vt:variant>
        <vt:i4>12</vt:i4>
      </vt:variant>
      <vt:variant>
        <vt:i4>0</vt:i4>
      </vt:variant>
      <vt:variant>
        <vt:i4>5</vt:i4>
      </vt:variant>
      <vt:variant>
        <vt:lpwstr>https://www.esma.europa.eu/about-esma/data-protection</vt:lpwstr>
      </vt:variant>
      <vt:variant>
        <vt:lpwstr/>
      </vt:variant>
      <vt:variant>
        <vt:i4>3932286</vt:i4>
      </vt:variant>
      <vt:variant>
        <vt:i4>9</vt:i4>
      </vt:variant>
      <vt:variant>
        <vt:i4>0</vt:i4>
      </vt:variant>
      <vt:variant>
        <vt:i4>5</vt:i4>
      </vt:variant>
      <vt:variant>
        <vt:lpwstr>http://www.esma.europa.eu/</vt:lpwstr>
      </vt:variant>
      <vt:variant>
        <vt:lpwstr/>
      </vt: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Tran Van Lé Quang</cp:lastModifiedBy>
  <cp:revision>73</cp:revision>
  <cp:lastPrinted>2015-02-18T11:01:00Z</cp:lastPrinted>
  <dcterms:created xsi:type="dcterms:W3CDTF">2020-12-03T16:48:00Z</dcterms:created>
  <dcterms:modified xsi:type="dcterms:W3CDTF">2020-12-04T09:46:00Z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0x010100B6481AD854AFAB4ABF16BF81F20613B0</vt:lpwstr>
  </property>
  <property fmtid="{D5CDD505-2E9C-101B-9397-08002B2CF9AE}" pid="3" name="EsmaAudience">
    <vt:lpwstr/>
  </property>
  <property fmtid="{D5CDD505-2E9C-101B-9397-08002B2CF9AE}" pid="4" name="TeamName">
    <vt:lpwstr>180;#Cooperations|1f032687-c036-4dea-8dd1-b89a6de9f112</vt:lpwstr>
  </property>
  <property fmtid="{D5CDD505-2E9C-101B-9397-08002B2CF9AE}" pid="5" name="Topic">
    <vt:lpwstr>177;#Sustainable Finance|2b3d71a9-35a3-4434-9d75-bd09a37940bf</vt:lpwstr>
  </property>
  <property fmtid="{D5CDD505-2E9C-101B-9397-08002B2CF9AE}" pid="6" name="SubTopic">
    <vt:lpwstr>211;#ESAs|fa72426c-f4c1-4de0-83a0-2806812bd296</vt:lpwstr>
  </property>
  <property fmtid="{D5CDD505-2E9C-101B-9397-08002B2CF9AE}" pid="7" name="DocumentType">
    <vt:lpwstr>136;#Questionnaire|a849d609-a31c-415e-a1a8-503bcc16b083</vt:lpwstr>
  </property>
  <property fmtid="{D5CDD505-2E9C-101B-9397-08002B2CF9AE}" pid="8" name="ConfidentialityLevel">
    <vt:lpwstr>70;#Public|a0c619ff-bd46-48f0-b213-6b7c03fe156d</vt:lpwstr>
  </property>
  <property fmtid="{D5CDD505-2E9C-101B-9397-08002B2CF9AE}" pid="9" name="_dlc_DocIdItemGuid">
    <vt:lpwstr>7098fadd-7ffb-4237-b2ae-fba5c4d578e4</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ies>
</file>