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t>Publication of responses</w:t>
      </w:r>
    </w:p>
    <w:p w14:paraId="5E7A65DB" w14:textId="77777777" w:rsidR="008C1AB8" w:rsidRDefault="008C1AB8" w:rsidP="008C1AB8">
      <w:pPr>
        <w:spacing w:after="120" w:line="264" w:lineRule="auto"/>
      </w:pPr>
      <w:r>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w:t>
      </w:r>
      <w:r>
        <w:lastRenderedPageBreak/>
        <w:t>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1C6E7F22" w:rsidR="00997DA7" w:rsidRPr="00C85C8B" w:rsidRDefault="00180631" w:rsidP="00A402A0">
                <w:pPr>
                  <w:rPr>
                    <w:rFonts w:ascii="Arial" w:hAnsi="Arial" w:cs="Arial"/>
                    <w:color w:val="808080"/>
                    <w:sz w:val="20"/>
                    <w:lang w:eastAsia="de-DE"/>
                  </w:rPr>
                </w:pPr>
                <w:r>
                  <w:rPr>
                    <w:rFonts w:ascii="Arial" w:hAnsi="Arial" w:cs="Arial"/>
                    <w:sz w:val="20"/>
                    <w:lang w:eastAsia="de-DE"/>
                  </w:rPr>
                  <w:t>Futures Industry Association (FIA)</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16CF3140" w:rsidR="00997DA7" w:rsidRPr="00C85C8B" w:rsidRDefault="008C1A6D"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80631">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071F7D7B" w:rsidR="00997DA7" w:rsidRPr="00C85C8B" w:rsidRDefault="00180631"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714DF09" w:rsidR="00997DA7" w:rsidRPr="00C85C8B" w:rsidRDefault="00180631"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06F77472" w14:textId="551C50CA" w:rsidR="009F4423" w:rsidRDefault="002C1263" w:rsidP="009F4423">
      <w:pPr>
        <w:autoSpaceDE w:val="0"/>
        <w:autoSpaceDN w:val="0"/>
        <w:adjustRightInd w:val="0"/>
        <w:spacing w:after="0"/>
        <w:rPr>
          <w:rFonts w:asciiTheme="majorHAnsi" w:hAnsiTheme="majorHAnsi" w:cstheme="majorHAnsi"/>
          <w:szCs w:val="22"/>
          <w:lang w:val="en-US"/>
        </w:rPr>
      </w:pPr>
      <w:permStart w:id="2008832412" w:edGrp="everyone"/>
      <w:r w:rsidRPr="00E37344">
        <w:rPr>
          <w:rFonts w:asciiTheme="majorHAnsi" w:hAnsiTheme="majorHAnsi" w:cstheme="majorHAnsi"/>
          <w:szCs w:val="22"/>
          <w:lang w:val="en-US"/>
        </w:rPr>
        <w:t xml:space="preserve">FIA welcomes the opportunity to respond to ESMA’s Consultation Paper reviewing the obligation to report transactions and reference data.  FIA’s response focuses on the reporting of Exchange Traded Derivatives (ETDs) under </w:t>
      </w:r>
      <w:proofErr w:type="spellStart"/>
      <w:r w:rsidRPr="00E37344">
        <w:rPr>
          <w:rFonts w:asciiTheme="majorHAnsi" w:hAnsiTheme="majorHAnsi" w:cstheme="majorHAnsi"/>
          <w:szCs w:val="22"/>
          <w:lang w:val="en-US"/>
        </w:rPr>
        <w:t>MiFIR</w:t>
      </w:r>
      <w:proofErr w:type="spellEnd"/>
      <w:r w:rsidRPr="00E37344">
        <w:rPr>
          <w:rFonts w:asciiTheme="majorHAnsi" w:hAnsiTheme="majorHAnsi" w:cstheme="majorHAnsi"/>
          <w:szCs w:val="22"/>
          <w:lang w:val="en-US"/>
        </w:rPr>
        <w:t xml:space="preserve">. </w:t>
      </w:r>
      <w:r w:rsidR="00467706" w:rsidRPr="00E37344">
        <w:rPr>
          <w:rFonts w:asciiTheme="majorHAnsi" w:hAnsiTheme="majorHAnsi" w:cstheme="majorHAnsi"/>
          <w:szCs w:val="22"/>
          <w:lang w:val="en-US"/>
        </w:rPr>
        <w:t xml:space="preserve"> </w:t>
      </w:r>
      <w:r w:rsidRPr="00E37344">
        <w:rPr>
          <w:rFonts w:asciiTheme="majorHAnsi" w:hAnsiTheme="majorHAnsi" w:cstheme="majorHAnsi"/>
          <w:szCs w:val="22"/>
          <w:lang w:val="en-US"/>
        </w:rPr>
        <w:t xml:space="preserve">By way of executive summary, the following comments </w:t>
      </w:r>
      <w:r w:rsidR="00ED630D" w:rsidRPr="00E37344">
        <w:rPr>
          <w:rFonts w:asciiTheme="majorHAnsi" w:hAnsiTheme="majorHAnsi" w:cstheme="majorHAnsi"/>
          <w:szCs w:val="22"/>
          <w:lang w:val="en-US"/>
        </w:rPr>
        <w:t>represent</w:t>
      </w:r>
      <w:r w:rsidRPr="00E37344">
        <w:rPr>
          <w:rFonts w:asciiTheme="majorHAnsi" w:hAnsiTheme="majorHAnsi" w:cstheme="majorHAnsi"/>
          <w:szCs w:val="22"/>
          <w:lang w:val="en-US"/>
        </w:rPr>
        <w:t xml:space="preserve"> </w:t>
      </w:r>
      <w:r w:rsidR="00ED630D" w:rsidRPr="00E37344">
        <w:rPr>
          <w:rFonts w:asciiTheme="majorHAnsi" w:hAnsiTheme="majorHAnsi" w:cstheme="majorHAnsi"/>
          <w:szCs w:val="22"/>
          <w:lang w:val="en-US"/>
        </w:rPr>
        <w:t xml:space="preserve">FIA’s </w:t>
      </w:r>
      <w:r w:rsidR="005C5045" w:rsidRPr="00E37344">
        <w:rPr>
          <w:rFonts w:asciiTheme="majorHAnsi" w:hAnsiTheme="majorHAnsi" w:cstheme="majorHAnsi"/>
          <w:szCs w:val="22"/>
          <w:lang w:val="en-US"/>
        </w:rPr>
        <w:t>feedback</w:t>
      </w:r>
      <w:r w:rsidR="00330896">
        <w:rPr>
          <w:rFonts w:asciiTheme="majorHAnsi" w:hAnsiTheme="majorHAnsi" w:cstheme="majorHAnsi"/>
          <w:szCs w:val="22"/>
          <w:lang w:val="en-US"/>
        </w:rPr>
        <w:t xml:space="preserve"> and</w:t>
      </w:r>
      <w:r w:rsidR="005C5045" w:rsidRPr="00E37344">
        <w:rPr>
          <w:rFonts w:asciiTheme="majorHAnsi" w:hAnsiTheme="majorHAnsi" w:cstheme="majorHAnsi"/>
          <w:szCs w:val="22"/>
          <w:lang w:val="en-US"/>
        </w:rPr>
        <w:t xml:space="preserve"> </w:t>
      </w:r>
      <w:r w:rsidR="00330896" w:rsidRPr="00E37344">
        <w:rPr>
          <w:rFonts w:asciiTheme="majorHAnsi" w:hAnsiTheme="majorHAnsi" w:cstheme="majorHAnsi"/>
          <w:szCs w:val="22"/>
          <w:lang w:val="en-US"/>
        </w:rPr>
        <w:t xml:space="preserve">key recommendations </w:t>
      </w:r>
      <w:r w:rsidR="005C5045" w:rsidRPr="00E37344">
        <w:rPr>
          <w:rFonts w:asciiTheme="majorHAnsi" w:hAnsiTheme="majorHAnsi" w:cstheme="majorHAnsi"/>
          <w:szCs w:val="22"/>
          <w:lang w:val="en-US"/>
        </w:rPr>
        <w:t xml:space="preserve">on </w:t>
      </w:r>
      <w:proofErr w:type="gramStart"/>
      <w:r w:rsidR="009F4423">
        <w:rPr>
          <w:rFonts w:asciiTheme="majorHAnsi" w:hAnsiTheme="majorHAnsi" w:cstheme="majorHAnsi"/>
          <w:szCs w:val="22"/>
          <w:lang w:val="en-US"/>
        </w:rPr>
        <w:t>a number of</w:t>
      </w:r>
      <w:proofErr w:type="gramEnd"/>
      <w:r w:rsidR="009F4423">
        <w:rPr>
          <w:rFonts w:asciiTheme="majorHAnsi" w:hAnsiTheme="majorHAnsi" w:cstheme="majorHAnsi"/>
          <w:szCs w:val="22"/>
          <w:lang w:val="en-US"/>
        </w:rPr>
        <w:t xml:space="preserve"> </w:t>
      </w:r>
      <w:r w:rsidR="005C5045" w:rsidRPr="00E37344">
        <w:rPr>
          <w:rFonts w:asciiTheme="majorHAnsi" w:hAnsiTheme="majorHAnsi" w:cstheme="majorHAnsi"/>
          <w:szCs w:val="22"/>
          <w:lang w:val="en-US"/>
        </w:rPr>
        <w:t xml:space="preserve">ESMA’s proposals set out </w:t>
      </w:r>
      <w:r w:rsidR="00172274" w:rsidRPr="00E37344">
        <w:rPr>
          <w:rFonts w:asciiTheme="majorHAnsi" w:hAnsiTheme="majorHAnsi" w:cstheme="majorHAnsi"/>
          <w:szCs w:val="22"/>
          <w:lang w:val="en-US"/>
        </w:rPr>
        <w:t>within the Consultation Paper</w:t>
      </w:r>
      <w:r w:rsidRPr="00E37344">
        <w:rPr>
          <w:rFonts w:asciiTheme="majorHAnsi" w:hAnsiTheme="majorHAnsi" w:cstheme="majorHAnsi"/>
          <w:szCs w:val="22"/>
          <w:lang w:val="en-US"/>
        </w:rPr>
        <w:t>:</w:t>
      </w:r>
    </w:p>
    <w:p w14:paraId="163431C7" w14:textId="77777777" w:rsidR="009F4423" w:rsidRDefault="009F4423" w:rsidP="009F4423">
      <w:pPr>
        <w:autoSpaceDE w:val="0"/>
        <w:autoSpaceDN w:val="0"/>
        <w:adjustRightInd w:val="0"/>
        <w:spacing w:after="0"/>
        <w:rPr>
          <w:rFonts w:asciiTheme="majorHAnsi" w:hAnsiTheme="majorHAnsi" w:cstheme="majorHAnsi"/>
          <w:szCs w:val="22"/>
          <w:lang w:val="en-US"/>
        </w:rPr>
      </w:pPr>
    </w:p>
    <w:p w14:paraId="0A000EE7" w14:textId="5E3AF0C9" w:rsidR="00840FBB" w:rsidRPr="009F4423" w:rsidRDefault="0085016F" w:rsidP="009F4423">
      <w:pPr>
        <w:pStyle w:val="ListParagraph"/>
        <w:rPr>
          <w:rFonts w:cstheme="majorHAnsi"/>
          <w:lang w:val="en-US"/>
        </w:rPr>
      </w:pPr>
      <w:r w:rsidRPr="002B09D1">
        <w:t xml:space="preserve">As an overarching observation, many proposals </w:t>
      </w:r>
      <w:r w:rsidR="002B09D1">
        <w:t>set out by ESMA with</w:t>
      </w:r>
      <w:r w:rsidRPr="002B09D1">
        <w:t>in the C</w:t>
      </w:r>
      <w:r w:rsidR="002B09D1">
        <w:t xml:space="preserve">onsultation </w:t>
      </w:r>
      <w:r w:rsidRPr="002B09D1">
        <w:t>P</w:t>
      </w:r>
      <w:r w:rsidR="002B09D1">
        <w:t>aper</w:t>
      </w:r>
      <w:r w:rsidRPr="002B09D1">
        <w:t xml:space="preserve"> would entail a change to </w:t>
      </w:r>
      <w:r w:rsidR="006D54A2">
        <w:t xml:space="preserve">(i) </w:t>
      </w:r>
      <w:r w:rsidR="002B09D1">
        <w:t xml:space="preserve">a firm’s </w:t>
      </w:r>
      <w:r w:rsidRPr="002B09D1">
        <w:t xml:space="preserve">reporting scope, </w:t>
      </w:r>
      <w:r w:rsidR="006D54A2">
        <w:t>(ii)</w:t>
      </w:r>
      <w:r w:rsidRPr="002B09D1">
        <w:t xml:space="preserve"> the way</w:t>
      </w:r>
      <w:r w:rsidR="000915FF">
        <w:t xml:space="preserve"> in which</w:t>
      </w:r>
      <w:r w:rsidRPr="002B09D1">
        <w:t xml:space="preserve"> existing fields are</w:t>
      </w:r>
      <w:r w:rsidR="002B09D1">
        <w:t xml:space="preserve"> currently</w:t>
      </w:r>
      <w:r w:rsidRPr="002B09D1">
        <w:t xml:space="preserve"> populated</w:t>
      </w:r>
      <w:r w:rsidR="006F7952">
        <w:t>,</w:t>
      </w:r>
      <w:r w:rsidR="006D54A2">
        <w:t xml:space="preserve"> </w:t>
      </w:r>
      <w:r w:rsidRPr="002B09D1">
        <w:t>or</w:t>
      </w:r>
      <w:r w:rsidR="006D54A2">
        <w:t xml:space="preserve"> (ii)</w:t>
      </w:r>
      <w:r w:rsidRPr="002B09D1">
        <w:t xml:space="preserve"> introduce new</w:t>
      </w:r>
      <w:r w:rsidR="006D54A2">
        <w:t xml:space="preserve"> reportable</w:t>
      </w:r>
      <w:r w:rsidRPr="002B09D1">
        <w:t xml:space="preserve"> fields</w:t>
      </w:r>
      <w:r w:rsidR="006F7952">
        <w:t>.  When considered</w:t>
      </w:r>
      <w:r w:rsidR="00B51E43">
        <w:t xml:space="preserve"> </w:t>
      </w:r>
      <w:r w:rsidR="00B51E43" w:rsidRPr="002B09D1">
        <w:t>cumulatively</w:t>
      </w:r>
      <w:r w:rsidR="00B51E43">
        <w:t>, ESMA’s proposals</w:t>
      </w:r>
      <w:r w:rsidR="00650B39">
        <w:t xml:space="preserve"> set out within the Consultation Paper</w:t>
      </w:r>
      <w:r w:rsidR="00B51E43">
        <w:t xml:space="preserve"> are </w:t>
      </w:r>
      <w:r w:rsidRPr="002B09D1">
        <w:t xml:space="preserve">not accompanied by </w:t>
      </w:r>
      <w:r w:rsidR="00614365">
        <w:t xml:space="preserve">a </w:t>
      </w:r>
      <w:r w:rsidRPr="002B09D1">
        <w:t>clear cost benefit analysis that sets out proposed benefits alongside the significant impact to reporting firms in terms of both upfront and ongoing costs.</w:t>
      </w:r>
      <w:r w:rsidR="007D229D">
        <w:t xml:space="preserve"> </w:t>
      </w:r>
    </w:p>
    <w:p w14:paraId="05C3ADDC" w14:textId="77777777" w:rsidR="00840FBB" w:rsidRPr="00840FBB" w:rsidRDefault="00840FBB" w:rsidP="009F4423">
      <w:pPr>
        <w:pStyle w:val="ListParagraph"/>
        <w:numPr>
          <w:ilvl w:val="0"/>
          <w:numId w:val="0"/>
        </w:numPr>
        <w:ind w:left="720"/>
      </w:pPr>
    </w:p>
    <w:p w14:paraId="4CA76566" w14:textId="3CDB4706" w:rsidR="009B19A2" w:rsidRPr="00A33B74" w:rsidRDefault="009B19A2" w:rsidP="009F4423">
      <w:pPr>
        <w:pStyle w:val="ListParagraph"/>
        <w:rPr>
          <w:rFonts w:cstheme="majorHAnsi"/>
          <w:lang w:val="en-US"/>
        </w:rPr>
      </w:pPr>
      <w:r>
        <w:t xml:space="preserve">ESMA’s </w:t>
      </w:r>
      <w:r w:rsidRPr="00A14F37">
        <w:t>proposal to implement a</w:t>
      </w:r>
      <w:r w:rsidR="00A14F37" w:rsidRPr="00A14F37">
        <w:t xml:space="preserve"> new </w:t>
      </w:r>
      <w:r w:rsidRPr="00A14F37">
        <w:t>code</w:t>
      </w:r>
      <w:r w:rsidR="00A14F37" w:rsidRPr="00A14F37">
        <w:t xml:space="preserve"> </w:t>
      </w:r>
      <w:r w:rsidR="00A14F37" w:rsidRPr="00840FBB">
        <w:rPr>
          <w:rFonts w:ascii="Arial" w:hAnsi="Arial" w:cs="Arial"/>
          <w:color w:val="000000"/>
          <w:lang w:val="en-US"/>
        </w:rPr>
        <w:t xml:space="preserve">to link all transactions pertaining to the same execution </w:t>
      </w:r>
      <w:r w:rsidR="00A14F37" w:rsidRPr="00840FBB">
        <w:rPr>
          <w:lang w:val="en-US"/>
        </w:rPr>
        <w:t xml:space="preserve">poses </w:t>
      </w:r>
      <w:r w:rsidRPr="00A14F37">
        <w:t xml:space="preserve">significant challenges.  FIA recommends that ESMA consider </w:t>
      </w:r>
      <w:r w:rsidR="00062CF2">
        <w:t>lessons learned from the TVTIC whereby</w:t>
      </w:r>
      <w:r>
        <w:t xml:space="preserve"> the </w:t>
      </w:r>
      <w:r w:rsidRPr="00F40672">
        <w:t xml:space="preserve">success of the TVTIC has been marred by inconsistent dissemination methods by Trading Venues which places </w:t>
      </w:r>
      <w:r w:rsidR="00062CF2">
        <w:t>undue</w:t>
      </w:r>
      <w:r w:rsidRPr="00F40672">
        <w:t xml:space="preserve"> burden </w:t>
      </w:r>
      <w:r w:rsidRPr="00A33B74">
        <w:rPr>
          <w:rFonts w:cstheme="majorHAnsi"/>
        </w:rPr>
        <w:lastRenderedPageBreak/>
        <w:t xml:space="preserve">on investment firms having to accommodate a multitude of communication channels to obtain the TVTIC.  </w:t>
      </w:r>
    </w:p>
    <w:p w14:paraId="1F44636E" w14:textId="77777777" w:rsidR="00840FBB" w:rsidRPr="00A33B74" w:rsidRDefault="00840FBB" w:rsidP="009F4423">
      <w:pPr>
        <w:pStyle w:val="ListParagraph"/>
        <w:numPr>
          <w:ilvl w:val="0"/>
          <w:numId w:val="0"/>
        </w:numPr>
        <w:ind w:left="720"/>
      </w:pPr>
    </w:p>
    <w:p w14:paraId="5DC3C906" w14:textId="2BB451C2" w:rsidR="009B1AF7" w:rsidRPr="00A33B74" w:rsidRDefault="00DA4271" w:rsidP="009F4423">
      <w:pPr>
        <w:pStyle w:val="ListParagraph"/>
      </w:pPr>
      <w:r w:rsidRPr="00A33B74">
        <w:t>We support ESMA’s efforts to s</w:t>
      </w:r>
      <w:r w:rsidR="002A5DC9" w:rsidRPr="00A33B74">
        <w:t>treamlin</w:t>
      </w:r>
      <w:r w:rsidRPr="00A33B74">
        <w:t>e</w:t>
      </w:r>
      <w:r w:rsidR="002A5DC9" w:rsidRPr="00A33B74">
        <w:t xml:space="preserve"> reporting obligations by aligning MiFIR with </w:t>
      </w:r>
      <w:r w:rsidRPr="00A33B74">
        <w:t xml:space="preserve">other legislative texts, such as the BMR and EMIR.  That being said, when considering </w:t>
      </w:r>
      <w:r w:rsidR="00EF78F7" w:rsidRPr="00A33B74">
        <w:t xml:space="preserve">the proposal to </w:t>
      </w:r>
      <w:r w:rsidRPr="00A33B74">
        <w:t>replac</w:t>
      </w:r>
      <w:r w:rsidR="00EF78F7" w:rsidRPr="00A33B74">
        <w:t>e</w:t>
      </w:r>
      <w:r w:rsidRPr="00A33B74">
        <w:t xml:space="preserve"> references to the term “index” in Article 26(2)(c) with the term “benchmark” as defined under the EU Benchmarks Regulation (BMR), </w:t>
      </w:r>
      <w:r w:rsidR="00EF78F7" w:rsidRPr="00A33B74">
        <w:t>ESMA should consider</w:t>
      </w:r>
      <w:r w:rsidRPr="00A33B74">
        <w:t xml:space="preserve"> that the term has been subject to some interpretative uncertainty under BMR</w:t>
      </w:r>
      <w:r w:rsidR="00EF78F7" w:rsidRPr="00A33B74">
        <w:t xml:space="preserve"> and, furthermore,</w:t>
      </w:r>
      <w:r w:rsidRPr="00A33B74">
        <w:t>the BMR is subject to change and the next fundamental review is scheduled for the end of 2022</w:t>
      </w:r>
      <w:r w:rsidR="00C81A1D" w:rsidRPr="00A33B74">
        <w:t xml:space="preserve">.  </w:t>
      </w:r>
      <w:r w:rsidR="0089230D" w:rsidRPr="00A33B74">
        <w:t xml:space="preserve">With respect to ESMA’s efforts to adopt global standards, </w:t>
      </w:r>
      <w:r w:rsidR="00C81A1D" w:rsidRPr="00A33B74">
        <w:t>FIA supports the</w:t>
      </w:r>
      <w:r w:rsidR="0089230D" w:rsidRPr="00A33B74">
        <w:t>se</w:t>
      </w:r>
      <w:r w:rsidR="00C81A1D" w:rsidRPr="00A33B74">
        <w:t xml:space="preserve"> development</w:t>
      </w:r>
      <w:r w:rsidR="0089230D" w:rsidRPr="00A33B74">
        <w:t>s</w:t>
      </w:r>
      <w:r w:rsidR="00C81A1D" w:rsidRPr="00A33B74">
        <w:t xml:space="preserve"> but</w:t>
      </w:r>
      <w:r w:rsidR="00285F53">
        <w:t xml:space="preserve"> we</w:t>
      </w:r>
      <w:r w:rsidR="00C81A1D" w:rsidRPr="00A33B74">
        <w:t xml:space="preserve"> </w:t>
      </w:r>
      <w:r w:rsidR="0089230D" w:rsidRPr="00A33B74">
        <w:t xml:space="preserve">feel </w:t>
      </w:r>
      <w:r w:rsidR="00C81A1D" w:rsidRPr="00A33B74">
        <w:t>it is important to highlight where deficiencies in the reporting requirements for ETD have not been adequately a</w:t>
      </w:r>
      <w:r w:rsidR="00DC5A05">
        <w:t>ddressed</w:t>
      </w:r>
      <w:r w:rsidR="00C81A1D" w:rsidRPr="00A33B74">
        <w:t>.  Applying the same reporting r</w:t>
      </w:r>
      <w:r w:rsidR="00A5674D">
        <w:t>equirements</w:t>
      </w:r>
      <w:r w:rsidR="00C81A1D" w:rsidRPr="00A33B74">
        <w:t xml:space="preserve"> </w:t>
      </w:r>
      <w:r w:rsidR="00DC5A05">
        <w:t xml:space="preserve">under both </w:t>
      </w:r>
      <w:r w:rsidR="00C81A1D" w:rsidRPr="00A33B74">
        <w:t xml:space="preserve">EMIR and MiFID II/MiFIR to OTC and ETD products fails to account for the nuances that exist between </w:t>
      </w:r>
      <w:r w:rsidR="00E518B5">
        <w:t>these types of derivatives</w:t>
      </w:r>
      <w:r w:rsidR="00434FF6" w:rsidRPr="00A33B74">
        <w:t xml:space="preserve">. </w:t>
      </w:r>
    </w:p>
    <w:p w14:paraId="3B03CD69" w14:textId="77777777" w:rsidR="009B1AF7" w:rsidRPr="00A33B74" w:rsidRDefault="009B1AF7" w:rsidP="009F4423">
      <w:pPr>
        <w:pStyle w:val="ListParagraph"/>
        <w:numPr>
          <w:ilvl w:val="0"/>
          <w:numId w:val="0"/>
        </w:numPr>
        <w:ind w:left="720"/>
      </w:pPr>
    </w:p>
    <w:p w14:paraId="657E1648" w14:textId="134542E6" w:rsidR="000915FF" w:rsidRPr="00A33B74" w:rsidRDefault="009B1AF7" w:rsidP="009F4423">
      <w:pPr>
        <w:pStyle w:val="ListParagraph"/>
      </w:pPr>
      <w:r w:rsidRPr="00A33B74">
        <w:t>We recommend ESMA provide worked examples, where applicable, in order to reduce ambiguity and the need for prolonged efforts to update Q&amp;A</w:t>
      </w:r>
      <w:r w:rsidR="00011FCC">
        <w:t>s</w:t>
      </w:r>
      <w:r w:rsidRPr="00A33B74">
        <w:t>. Where appropriate, ESMA may consider the use of industry workshops to garner support and feedback when preparing worked examples.</w:t>
      </w:r>
      <w:r w:rsidR="00A33B74" w:rsidRPr="00A33B74">
        <w:t xml:space="preserve">  FIA stands ready to support such initiatives alongside industry peers.</w:t>
      </w:r>
    </w:p>
    <w:permEnd w:id="2008832412"/>
    <w:p w14:paraId="37768D94" w14:textId="08B91F63"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4EABAC59" w14:textId="27B7D617" w:rsidR="000B0D26" w:rsidRDefault="00CB10E8" w:rsidP="000B0D26">
      <w:permStart w:id="1042289045" w:edGrp="everyone"/>
      <w:r>
        <w:t>Upon reviewing ESMA’s</w:t>
      </w:r>
      <w:r w:rsidR="0053269B">
        <w:t xml:space="preserve"> proposal,</w:t>
      </w:r>
      <w:r>
        <w:t xml:space="preserve"> </w:t>
      </w:r>
      <w:r w:rsidR="00BE58A7" w:rsidRPr="00BE58A7">
        <w:t xml:space="preserve">it is not </w:t>
      </w:r>
      <w:r>
        <w:t xml:space="preserve">immediately </w:t>
      </w:r>
      <w:r w:rsidR="00BE58A7" w:rsidRPr="00BE58A7">
        <w:t xml:space="preserve">clear whose responsibility it is to transmit a copy of the order to the competent authority of the host Member States for the transactions which involve branches. We suggest amending the second paragraph of Article 26(8) to: “In order to meet the obligations set out in Article 35(8) of Directive 2014/65/EU, the competent authority of the home Member State of the investment firm shall transmit a copy of the reports provided for under this Article to the competent authorities of the host Member States of the investment firm involved in the transaction.”  </w:t>
      </w:r>
      <w:permEnd w:id="1042289045"/>
      <w:r w:rsidR="000B0D26">
        <w:t>&lt;ESMA_QUESTION_TRRF_3&gt;</w:t>
      </w:r>
    </w:p>
    <w:p w14:paraId="2AFFC07A" w14:textId="77777777" w:rsidR="000B0D26" w:rsidRDefault="000B0D26" w:rsidP="000B0D26"/>
    <w:p w14:paraId="3087E29C" w14:textId="77777777" w:rsidR="000B0D26" w:rsidRDefault="000B0D26" w:rsidP="00990D80">
      <w:pPr>
        <w:pStyle w:val="Questionstyle"/>
      </w:pPr>
      <w:r>
        <w:lastRenderedPageBreak/>
        <w:t>: Do you foresee any challenges with the outlined approach? If yes, please explain and provide alternative proposals.</w:t>
      </w:r>
    </w:p>
    <w:p w14:paraId="680D4FCA" w14:textId="77777777" w:rsidR="000B0D26" w:rsidRDefault="000B0D26" w:rsidP="000B0D26">
      <w:r>
        <w:t>&lt;ESMA_QUESTION_TRRF_4&gt;</w:t>
      </w:r>
    </w:p>
    <w:p w14:paraId="3DA782B0" w14:textId="77777777" w:rsidR="009D6C68" w:rsidRDefault="009D6C68" w:rsidP="000B0D26">
      <w:permStart w:id="1998264754" w:edGrp="everyone"/>
      <w:r>
        <w:t xml:space="preserve">TYPE YOUR TEXT HERE </w:t>
      </w:r>
    </w:p>
    <w:permEnd w:id="1998264754"/>
    <w:p w14:paraId="59198F9E" w14:textId="68D4900F"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lastRenderedPageBreak/>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3FA4AB97" w14:textId="02B30582" w:rsidR="002176A2" w:rsidRPr="00BE61F1" w:rsidRDefault="002176A2" w:rsidP="00305974">
      <w:permStart w:id="2001084504" w:edGrp="everyone"/>
      <w:r w:rsidRPr="00BE61F1">
        <w:t>We consider the replacement of references to the term “index” in Article 26(2)(c) with the term “benchmark” as defined under the</w:t>
      </w:r>
      <w:r w:rsidR="002E19E3">
        <w:t xml:space="preserve"> </w:t>
      </w:r>
      <w:r w:rsidR="002E19E3" w:rsidRPr="00BE61F1">
        <w:t>EU Benchmarks Regulation</w:t>
      </w:r>
      <w:r w:rsidRPr="00BE61F1">
        <w:t xml:space="preserve"> </w:t>
      </w:r>
      <w:r w:rsidR="002E19E3">
        <w:t>(</w:t>
      </w:r>
      <w:r w:rsidRPr="00BE61F1">
        <w:t>BMR</w:t>
      </w:r>
      <w:r w:rsidR="002E19E3">
        <w:t>)</w:t>
      </w:r>
      <w:r w:rsidRPr="00BE61F1">
        <w:t xml:space="preserve"> appropriate, provided that the product reporting scope extension implied by this change is clearly defined, especially </w:t>
      </w:r>
      <w:r w:rsidR="0001284B">
        <w:t>given</w:t>
      </w:r>
      <w:r w:rsidRPr="00BE61F1">
        <w:t xml:space="preserve"> that the term has been subject to some interpretative uncertainty under BMR.  ESMA should </w:t>
      </w:r>
      <w:r w:rsidR="002E19E3">
        <w:t>remain</w:t>
      </w:r>
      <w:r w:rsidRPr="00BE61F1">
        <w:t xml:space="preserve"> cognizant of the fact that the BMR</w:t>
      </w:r>
      <w:r w:rsidR="002E19E3">
        <w:t xml:space="preserve"> </w:t>
      </w:r>
      <w:r w:rsidRPr="00BE61F1">
        <w:t>is subject to change a</w:t>
      </w:r>
      <w:r w:rsidR="00305974">
        <w:t>nd</w:t>
      </w:r>
      <w:r w:rsidRPr="00BE61F1">
        <w:t xml:space="preserve"> the next fundamental review is scheduled for the end of 2022. While replacing the term “index” with “benchmark” aims to streamline both regulations, the intention risks subjecting the definition to further changes and </w:t>
      </w:r>
      <w:r w:rsidR="006F0CA9">
        <w:t>unnecessary</w:t>
      </w:r>
      <w:r w:rsidRPr="00BE61F1">
        <w:t xml:space="preserve"> implementation costs and effort in the medium-term. We would therefore urge ESMA not to make any changes to this aspect of </w:t>
      </w:r>
      <w:proofErr w:type="spellStart"/>
      <w:r w:rsidRPr="00BE61F1">
        <w:t>MiFIR</w:t>
      </w:r>
      <w:proofErr w:type="spellEnd"/>
      <w:r w:rsidRPr="00BE61F1">
        <w:t xml:space="preserve"> transaction reporting until the outcome of the BMR review is finalised.</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6E318002" w14:textId="256BA27B" w:rsidR="006A69A7" w:rsidRPr="00596ED6" w:rsidRDefault="00B04972" w:rsidP="008B4AD2">
      <w:permStart w:id="292098219" w:edGrp="everyone"/>
      <w:r>
        <w:t>Option</w:t>
      </w:r>
      <w:r w:rsidR="005135F0" w:rsidRPr="00596ED6">
        <w:t xml:space="preserve"> </w:t>
      </w:r>
      <w:r>
        <w:t xml:space="preserve">1 poses significant challenges where firms </w:t>
      </w:r>
      <w:r w:rsidR="00234621">
        <w:t>require access to</w:t>
      </w:r>
      <w:r w:rsidR="005135F0" w:rsidRPr="00596ED6">
        <w:t xml:space="preserve"> necessary reference data for th</w:t>
      </w:r>
      <w:r w:rsidR="00234621">
        <w:t>e</w:t>
      </w:r>
      <w:r w:rsidR="005135F0" w:rsidRPr="00596ED6">
        <w:t xml:space="preserve"> extension</w:t>
      </w:r>
      <w:r w:rsidR="00234621">
        <w:t xml:space="preserve"> as proposed under </w:t>
      </w:r>
      <w:r w:rsidR="00C97368">
        <w:t>this Option</w:t>
      </w:r>
      <w:r w:rsidR="00234621">
        <w:t>. This</w:t>
      </w:r>
      <w:r w:rsidR="005135F0" w:rsidRPr="00596ED6">
        <w:t xml:space="preserve"> </w:t>
      </w:r>
      <w:r w:rsidR="00234621">
        <w:t>is likely</w:t>
      </w:r>
      <w:r w:rsidR="005135F0" w:rsidRPr="00596ED6">
        <w:t xml:space="preserve"> </w:t>
      </w:r>
      <w:r w:rsidR="000032B2">
        <w:t xml:space="preserve">to </w:t>
      </w:r>
      <w:r w:rsidR="005135F0" w:rsidRPr="00596ED6">
        <w:t xml:space="preserve">be an ongoing challenge as instruments not subject to the BMR would be brought into scope. </w:t>
      </w:r>
      <w:r w:rsidR="009F67C2">
        <w:t xml:space="preserve"> </w:t>
      </w:r>
      <w:r w:rsidR="00165B1E">
        <w:t xml:space="preserve">While </w:t>
      </w:r>
      <w:r w:rsidR="009F67C2">
        <w:t xml:space="preserve">Option 2 </w:t>
      </w:r>
      <w:r w:rsidR="00165B1E">
        <w:t xml:space="preserve">aligns </w:t>
      </w:r>
      <w:r w:rsidR="00165B1E" w:rsidRPr="00596ED6">
        <w:t>transaction reporting with the BMR</w:t>
      </w:r>
      <w:r w:rsidR="00165B1E">
        <w:t xml:space="preserve">, </w:t>
      </w:r>
      <w:r w:rsidR="00165B1E" w:rsidRPr="00596ED6">
        <w:t>this option extends the scope to include instruments not currently subject to market abuse surveillance</w:t>
      </w:r>
      <w:r w:rsidR="006A69A7">
        <w:t xml:space="preserve">.  As a result, </w:t>
      </w:r>
      <w:r w:rsidR="0085139D">
        <w:t xml:space="preserve">and in order to meet </w:t>
      </w:r>
      <w:r w:rsidR="00F05885">
        <w:t xml:space="preserve">regulator’s goals of seeking information in a proportionate manner, </w:t>
      </w:r>
      <w:r w:rsidR="006A69A7">
        <w:t>w</w:t>
      </w:r>
      <w:r w:rsidR="006A69A7" w:rsidRPr="00596ED6">
        <w:t xml:space="preserve">e consider the third option most appropriate on the grounds that this is closest to the status quo and does not extend the scope to include instruments not relevant for market abuse surveillance. Additionally, this </w:t>
      </w:r>
      <w:r w:rsidR="006A69A7" w:rsidRPr="00596ED6">
        <w:lastRenderedPageBreak/>
        <w:t>implementation option is recommended as complex logic to decompose benchmarks would not be required.</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111922A8" w14:textId="0107861D" w:rsidR="00877560" w:rsidRPr="00877560" w:rsidRDefault="00877560" w:rsidP="008B4AD2">
      <w:permStart w:id="414326142" w:edGrp="everyone"/>
      <w:r w:rsidRPr="00877560">
        <w:lastRenderedPageBreak/>
        <w:t xml:space="preserve">FIA is concerned that ESMA’s proposals would lead to significant duplication </w:t>
      </w:r>
      <w:r w:rsidR="00DB2055">
        <w:t>in the</w:t>
      </w:r>
      <w:r w:rsidRPr="00877560">
        <w:t xml:space="preserve"> reporting of reference data, including for highly standardised venue traded instruments</w:t>
      </w:r>
      <w:r w:rsidR="00DB2055">
        <w:t xml:space="preserve">.  </w:t>
      </w:r>
      <w:r w:rsidR="009933A0">
        <w:t>Duplication of reported data should be avoided as this results in</w:t>
      </w:r>
      <w:r w:rsidRPr="00877560">
        <w:t xml:space="preserve"> great cost</w:t>
      </w:r>
      <w:r w:rsidR="009933A0">
        <w:t>s</w:t>
      </w:r>
      <w:r w:rsidRPr="00877560">
        <w:t xml:space="preserve"> to industry participants and </w:t>
      </w:r>
      <w:r w:rsidR="009933A0" w:rsidRPr="00877560">
        <w:t>risk</w:t>
      </w:r>
      <w:r w:rsidR="009933A0">
        <w:t xml:space="preserve">s </w:t>
      </w:r>
      <w:r w:rsidR="009933A0" w:rsidRPr="00877560">
        <w:t>overwhelming</w:t>
      </w:r>
      <w:r w:rsidRPr="00877560">
        <w:t xml:space="preserve"> ESMA</w:t>
      </w:r>
      <w:r w:rsidR="009933A0">
        <w:t>’s</w:t>
      </w:r>
      <w:r w:rsidRPr="00877560">
        <w:t xml:space="preserve"> systems</w:t>
      </w:r>
      <w:r w:rsidR="009933A0">
        <w:t xml:space="preserve"> </w:t>
      </w:r>
      <w:r w:rsidRPr="00877560">
        <w:t>with no clear benefit.</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2A4C9DF6" w14:textId="4A97BBF4" w:rsidR="00F14D25" w:rsidRPr="00F14D25" w:rsidRDefault="00F14D25" w:rsidP="00F14D25">
      <w:permStart w:id="1847806116" w:edGrp="everyone"/>
      <w:r w:rsidRPr="00F14D25">
        <w:t xml:space="preserve">We disagree with </w:t>
      </w:r>
      <w:r w:rsidR="00691EEA">
        <w:t xml:space="preserve">ESMA’s proposal to </w:t>
      </w:r>
      <w:r w:rsidRPr="00F14D25">
        <w:t xml:space="preserve">extend the defined list approach to all </w:t>
      </w:r>
      <w:r w:rsidR="00D66C47">
        <w:t>T</w:t>
      </w:r>
      <w:r w:rsidRPr="00F14D25">
        <w:t xml:space="preserve">rading </w:t>
      </w:r>
      <w:r w:rsidR="00D66C47">
        <w:t>V</w:t>
      </w:r>
      <w:r w:rsidRPr="00F14D25">
        <w:t>enues and SIs.</w:t>
      </w:r>
      <w:r w:rsidR="000D3548">
        <w:t xml:space="preserve"> </w:t>
      </w:r>
      <w:r w:rsidRPr="00F14D25">
        <w:t xml:space="preserve"> In order to address the issues that have been observed by ESMA, we believe it is more important for competent authorities to liaise with </w:t>
      </w:r>
      <w:r w:rsidR="00D66C47">
        <w:t>T</w:t>
      </w:r>
      <w:r w:rsidRPr="00F14D25">
        <w:t xml:space="preserve">rading </w:t>
      </w:r>
      <w:r w:rsidR="00D66C47">
        <w:t>V</w:t>
      </w:r>
      <w:r w:rsidRPr="00F14D25">
        <w:t xml:space="preserve">enues/SIs to ensure that they are </w:t>
      </w:r>
      <w:r w:rsidR="00D66C47">
        <w:t>accurately submitting</w:t>
      </w:r>
      <w:r w:rsidRPr="00F14D25">
        <w:t xml:space="preserve"> reference data correctly and updating </w:t>
      </w:r>
      <w:r w:rsidR="00D66C47">
        <w:t>such data</w:t>
      </w:r>
      <w:r w:rsidRPr="00F14D25">
        <w:t xml:space="preserve"> as required under the current rules, rather than taking the more drastic approach of expanding the rules to all </w:t>
      </w:r>
      <w:r w:rsidR="0048684A">
        <w:t>T</w:t>
      </w:r>
      <w:r w:rsidRPr="00F14D25">
        <w:t xml:space="preserve">rading </w:t>
      </w:r>
      <w:r w:rsidR="0048684A">
        <w:t>V</w:t>
      </w:r>
      <w:r w:rsidRPr="00F14D25">
        <w:t xml:space="preserve">enues/SIs, including those which have undefined lists. As ESMA acknowledges in paragraph 69 of its consultation, requiring these </w:t>
      </w:r>
      <w:r w:rsidR="00956B12">
        <w:t>V</w:t>
      </w:r>
      <w:r w:rsidRPr="00F14D25">
        <w:t>enues/SIs to report reference data on all financial instruments that are potentially tradable every day would be disproportionate and arguably unnecessary if the current rule</w:t>
      </w:r>
      <w:r w:rsidR="00AF6E8C">
        <w:t>s</w:t>
      </w:r>
      <w:r w:rsidRPr="00F14D25">
        <w:t xml:space="preserve"> are properly enforced.</w:t>
      </w:r>
    </w:p>
    <w:permEnd w:id="1847806116"/>
    <w:p w14:paraId="3F19ABB5" w14:textId="22D6ECF1"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lastRenderedPageBreak/>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0678EA0D" w14:textId="4752B858" w:rsidR="004661D1" w:rsidRPr="0059550A" w:rsidRDefault="006F680A" w:rsidP="000B0D26">
      <w:pPr>
        <w:rPr>
          <w:rFonts w:cstheme="minorHAnsi"/>
          <w:szCs w:val="22"/>
        </w:rPr>
      </w:pPr>
      <w:permStart w:id="609292179" w:edGrp="everyone"/>
      <w:r w:rsidRPr="0059550A">
        <w:rPr>
          <w:rFonts w:cstheme="minorHAnsi"/>
          <w:szCs w:val="22"/>
        </w:rPr>
        <w:t xml:space="preserve">It is </w:t>
      </w:r>
      <w:r w:rsidR="00B4540A" w:rsidRPr="0059550A">
        <w:rPr>
          <w:rFonts w:cstheme="minorHAnsi"/>
          <w:szCs w:val="22"/>
        </w:rPr>
        <w:t xml:space="preserve">important </w:t>
      </w:r>
      <w:r w:rsidR="00E641EE">
        <w:rPr>
          <w:rFonts w:cstheme="minorHAnsi"/>
          <w:szCs w:val="22"/>
        </w:rPr>
        <w:t xml:space="preserve">for </w:t>
      </w:r>
      <w:r w:rsidR="00B4540A" w:rsidRPr="0059550A">
        <w:rPr>
          <w:rFonts w:cstheme="minorHAnsi"/>
          <w:szCs w:val="22"/>
        </w:rPr>
        <w:t xml:space="preserve">ESMA </w:t>
      </w:r>
      <w:r w:rsidR="00E641EE">
        <w:rPr>
          <w:rFonts w:cstheme="minorHAnsi"/>
          <w:szCs w:val="22"/>
        </w:rPr>
        <w:t>to be</w:t>
      </w:r>
      <w:r w:rsidR="00980CE0" w:rsidRPr="0059550A">
        <w:rPr>
          <w:rFonts w:cstheme="minorHAnsi"/>
          <w:szCs w:val="22"/>
        </w:rPr>
        <w:t xml:space="preserve"> </w:t>
      </w:r>
      <w:r w:rsidR="00B4540A" w:rsidRPr="0059550A">
        <w:rPr>
          <w:rFonts w:cstheme="minorHAnsi"/>
          <w:szCs w:val="22"/>
        </w:rPr>
        <w:t>aware of existing i</w:t>
      </w:r>
      <w:r w:rsidR="00632453" w:rsidRPr="0059550A">
        <w:rPr>
          <w:rFonts w:cstheme="minorHAnsi"/>
          <w:szCs w:val="22"/>
        </w:rPr>
        <w:t xml:space="preserve">ssues </w:t>
      </w:r>
      <w:r w:rsidR="00B4540A" w:rsidRPr="0059550A">
        <w:rPr>
          <w:rFonts w:cstheme="minorHAnsi"/>
          <w:szCs w:val="22"/>
        </w:rPr>
        <w:t>relating to the</w:t>
      </w:r>
      <w:r w:rsidR="00632453" w:rsidRPr="0059550A">
        <w:rPr>
          <w:rFonts w:cstheme="minorHAnsi"/>
          <w:szCs w:val="22"/>
        </w:rPr>
        <w:t xml:space="preserve"> dissemination of </w:t>
      </w:r>
      <w:r w:rsidR="00764364">
        <w:rPr>
          <w:rFonts w:cstheme="minorHAnsi"/>
          <w:szCs w:val="22"/>
        </w:rPr>
        <w:t xml:space="preserve">the </w:t>
      </w:r>
      <w:r w:rsidR="00632453" w:rsidRPr="0059550A">
        <w:rPr>
          <w:rFonts w:cstheme="minorHAnsi"/>
          <w:szCs w:val="22"/>
        </w:rPr>
        <w:t>TVTIC to the parties involved in a transaction chain</w:t>
      </w:r>
      <w:r w:rsidR="00B4540A" w:rsidRPr="0059550A">
        <w:rPr>
          <w:rFonts w:cstheme="minorHAnsi"/>
          <w:szCs w:val="22"/>
        </w:rPr>
        <w:t xml:space="preserve">. </w:t>
      </w:r>
      <w:r w:rsidR="00CD17C7" w:rsidRPr="0059550A">
        <w:rPr>
          <w:rFonts w:cstheme="minorHAnsi"/>
          <w:szCs w:val="22"/>
        </w:rPr>
        <w:t xml:space="preserve"> Inconsistent</w:t>
      </w:r>
      <w:r w:rsidR="00D64D36" w:rsidRPr="0059550A">
        <w:rPr>
          <w:rFonts w:cstheme="minorHAnsi"/>
          <w:szCs w:val="22"/>
        </w:rPr>
        <w:t xml:space="preserve"> methods of generation and dissemination</w:t>
      </w:r>
      <w:r w:rsidR="00A54CA3">
        <w:rPr>
          <w:rFonts w:cstheme="minorHAnsi"/>
          <w:szCs w:val="22"/>
        </w:rPr>
        <w:t xml:space="preserve"> ultimately</w:t>
      </w:r>
      <w:r w:rsidR="00D64D36" w:rsidRPr="0059550A">
        <w:rPr>
          <w:rFonts w:cstheme="minorHAnsi"/>
          <w:szCs w:val="22"/>
        </w:rPr>
        <w:t xml:space="preserve"> </w:t>
      </w:r>
      <w:r w:rsidR="00EF3B27" w:rsidRPr="0059550A">
        <w:rPr>
          <w:rFonts w:cstheme="minorHAnsi"/>
          <w:szCs w:val="22"/>
        </w:rPr>
        <w:t>impact</w:t>
      </w:r>
      <w:r w:rsidR="00A54CA3">
        <w:rPr>
          <w:rFonts w:cstheme="minorHAnsi"/>
          <w:szCs w:val="22"/>
        </w:rPr>
        <w:t>s</w:t>
      </w:r>
      <w:r w:rsidR="00EF3B27" w:rsidRPr="0059550A">
        <w:rPr>
          <w:rFonts w:cstheme="minorHAnsi"/>
          <w:szCs w:val="22"/>
        </w:rPr>
        <w:t xml:space="preserve"> the accuracy of reported data.  We encourage ESMA to consider </w:t>
      </w:r>
      <w:r w:rsidR="005118F2" w:rsidRPr="0059550A">
        <w:rPr>
          <w:rFonts w:cstheme="minorHAnsi"/>
          <w:szCs w:val="22"/>
        </w:rPr>
        <w:t xml:space="preserve">ways </w:t>
      </w:r>
      <w:r w:rsidR="00A54CA3">
        <w:rPr>
          <w:rFonts w:cstheme="minorHAnsi"/>
          <w:szCs w:val="22"/>
        </w:rPr>
        <w:t>to resolve</w:t>
      </w:r>
      <w:r w:rsidR="005118F2" w:rsidRPr="0059550A">
        <w:rPr>
          <w:rFonts w:cstheme="minorHAnsi"/>
          <w:szCs w:val="22"/>
        </w:rPr>
        <w:t xml:space="preserve"> this issue </w:t>
      </w:r>
      <w:r w:rsidR="004A452A" w:rsidRPr="0059550A">
        <w:rPr>
          <w:rFonts w:cstheme="minorHAnsi"/>
          <w:szCs w:val="22"/>
        </w:rPr>
        <w:t>as part of this review.</w:t>
      </w:r>
      <w:r w:rsidR="00CD17C7" w:rsidRPr="0059550A">
        <w:rPr>
          <w:rFonts w:cstheme="minorHAnsi"/>
          <w:szCs w:val="22"/>
        </w:rPr>
        <w:t xml:space="preserve"> </w:t>
      </w:r>
    </w:p>
    <w:permEnd w:id="609292179"/>
    <w:p w14:paraId="3F47A3A9" w14:textId="54C4A3E5" w:rsidR="00980CE0" w:rsidRDefault="00980CE0"/>
    <w:p w14:paraId="059CAB1E" w14:textId="0417E5FE"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31801BFE" w14:textId="77777777" w:rsidR="00C411F9" w:rsidRDefault="00C411F9" w:rsidP="00C411F9">
      <w:permStart w:id="1075606273" w:edGrp="everyone"/>
      <w:r>
        <w:t xml:space="preserve">ESMA’s proposal to implement </w:t>
      </w:r>
      <w:r w:rsidRPr="00FB579E">
        <w:t>an additional code</w:t>
      </w:r>
      <w:r>
        <w:t>,</w:t>
      </w:r>
      <w:r w:rsidRPr="00FB579E">
        <w:t xml:space="preserve"> generated by the </w:t>
      </w:r>
      <w:r>
        <w:t>T</w:t>
      </w:r>
      <w:r w:rsidRPr="00FB579E">
        <w:t xml:space="preserve">rading </w:t>
      </w:r>
      <w:r>
        <w:t>V</w:t>
      </w:r>
      <w:r w:rsidRPr="00FB579E">
        <w:t xml:space="preserve">enue </w:t>
      </w:r>
      <w:r>
        <w:t xml:space="preserve">and </w:t>
      </w:r>
      <w:r w:rsidRPr="00FB579E">
        <w:t>disseminated down the transaction chain</w:t>
      </w:r>
      <w:r>
        <w:t>, poses</w:t>
      </w:r>
      <w:r w:rsidRPr="00FB579E">
        <w:t xml:space="preserve"> significant challenges</w:t>
      </w:r>
      <w:r>
        <w:t>.</w:t>
      </w:r>
      <w:r w:rsidRPr="00FB579E">
        <w:t xml:space="preserve"> </w:t>
      </w:r>
      <w:r>
        <w:t xml:space="preserve"> FIA recommends that ESMA consider such proposal from a cost-benefit perspective. In addition, any proposal must </w:t>
      </w:r>
      <w:r>
        <w:lastRenderedPageBreak/>
        <w:t xml:space="preserve">be complimented with guidance and rules for the consistent generation and dissemination of such codes.  Thus far, the </w:t>
      </w:r>
      <w:r w:rsidRPr="00F40672">
        <w:t>success of the TVTIC has been marred by inconsistent dissemination methods by Trading Venues which places additional burden on investment firms having to accommodate a multitude of communication channels to obtain the TVTIC.</w:t>
      </w:r>
      <w:r>
        <w:t xml:space="preserve">  With best efforts, successfully obtaining and reporting the TVTIC remains extremely burdensome.</w:t>
      </w:r>
    </w:p>
    <w:p w14:paraId="1ABEAD6D" w14:textId="77777777" w:rsidR="00C411F9" w:rsidRPr="00F40672" w:rsidRDefault="00C411F9" w:rsidP="00C411F9">
      <w:r>
        <w:t>When considering ESMA’s proposal against the existing model, FIA</w:t>
      </w:r>
      <w:r w:rsidRPr="00FB579E">
        <w:t xml:space="preserve"> consider</w:t>
      </w:r>
      <w:r>
        <w:t>s</w:t>
      </w:r>
      <w:r w:rsidRPr="00FB579E">
        <w:t xml:space="preserve"> the </w:t>
      </w:r>
      <w:r>
        <w:t>existing model to be</w:t>
      </w:r>
      <w:r w:rsidRPr="00FB579E">
        <w:t xml:space="preserve"> appropriate given that NCAs are able to link transactions though surveillance and inquire with investment firms </w:t>
      </w:r>
      <w:r>
        <w:t>in the event that</w:t>
      </w:r>
      <w:r w:rsidRPr="00FB579E">
        <w:t xml:space="preserve"> more information on a chain of transactions </w:t>
      </w:r>
      <w:r>
        <w:t>is</w:t>
      </w:r>
      <w:r w:rsidRPr="00FB579E">
        <w:t xml:space="preserve"> required.  </w:t>
      </w:r>
    </w:p>
    <w:p w14:paraId="200FF362" w14:textId="77777777" w:rsidR="00C411F9" w:rsidRDefault="00C411F9" w:rsidP="00C411F9">
      <w:r w:rsidRPr="00F40672">
        <w:t>Further to this, ESMA’s proposal for an additional code appears to revisit the field ESMA initially suggested in its May 2014 Discussion Paper for a Report Matching Number, which would link all transaction reports relating to the same execution. We note that industry feedback to this initial proposal highlighted significant cost and complexity, and as a result</w:t>
      </w:r>
      <w:r>
        <w:t>,</w:t>
      </w:r>
      <w:r w:rsidRPr="00F40672">
        <w:t xml:space="preserve"> ESMA concluded that it was not appropriate to require such a field.</w:t>
      </w:r>
      <w:r>
        <w:t xml:space="preserve"> </w:t>
      </w:r>
      <w:r w:rsidRPr="00F40672">
        <w:t xml:space="preserve"> In our view, the same concerns highlighted in 2014 with such a proposal remain valid today. To reiterate: </w:t>
      </w:r>
      <w:r w:rsidRPr="00F40672">
        <w:rPr>
          <w:bdr w:val="none" w:sz="0" w:space="0" w:color="auto" w:frame="1"/>
        </w:rPr>
        <w:t xml:space="preserve">it is impossible to match multiple market executions to often multiple client transactions, using a single reference number. </w:t>
      </w:r>
      <w:r>
        <w:rPr>
          <w:bdr w:val="none" w:sz="0" w:space="0" w:color="auto" w:frame="1"/>
        </w:rPr>
        <w:t xml:space="preserve"> FIA</w:t>
      </w:r>
      <w:r w:rsidRPr="00F40672">
        <w:rPr>
          <w:bdr w:val="none" w:sz="0" w:space="0" w:color="auto" w:frame="1"/>
        </w:rPr>
        <w:t xml:space="preserve"> suggest</w:t>
      </w:r>
      <w:r>
        <w:rPr>
          <w:bdr w:val="none" w:sz="0" w:space="0" w:color="auto" w:frame="1"/>
        </w:rPr>
        <w:t>s</w:t>
      </w:r>
      <w:r w:rsidRPr="00F40672">
        <w:rPr>
          <w:bdr w:val="none" w:sz="0" w:space="0" w:color="auto" w:frame="1"/>
        </w:rPr>
        <w:t xml:space="preserve"> that it only makes practical and useful sense for this field to be populated on the market-side executions and that it can only be populated by firms where a </w:t>
      </w:r>
      <w:r>
        <w:rPr>
          <w:bdr w:val="none" w:sz="0" w:space="0" w:color="auto" w:frame="1"/>
        </w:rPr>
        <w:t>T</w:t>
      </w:r>
      <w:r w:rsidRPr="00F40672">
        <w:rPr>
          <w:bdr w:val="none" w:sz="0" w:space="0" w:color="auto" w:frame="1"/>
        </w:rPr>
        <w:t xml:space="preserve">rading </w:t>
      </w:r>
      <w:r>
        <w:rPr>
          <w:bdr w:val="none" w:sz="0" w:space="0" w:color="auto" w:frame="1"/>
        </w:rPr>
        <w:t>V</w:t>
      </w:r>
      <w:r w:rsidRPr="00F40672">
        <w:rPr>
          <w:bdr w:val="none" w:sz="0" w:space="0" w:color="auto" w:frame="1"/>
        </w:rPr>
        <w:t xml:space="preserve">enue makes the value available on the execution file and that the </w:t>
      </w:r>
      <w:r>
        <w:rPr>
          <w:bdr w:val="none" w:sz="0" w:space="0" w:color="auto" w:frame="1"/>
        </w:rPr>
        <w:t>Trading V</w:t>
      </w:r>
      <w:r w:rsidRPr="00F40672">
        <w:rPr>
          <w:bdr w:val="none" w:sz="0" w:space="0" w:color="auto" w:frame="1"/>
        </w:rPr>
        <w:t>enue makes this available to both sides of the transaction. Furthermore, there may be issues with the population of this field, where a transaction is made on a reportable instrument, yet on a venue outside of the EEA. F</w:t>
      </w:r>
      <w:r w:rsidRPr="00F40672">
        <w:t>irms should not be expected to send linking IDs down an order routing chain to firms who have transmitted orders.</w:t>
      </w:r>
    </w:p>
    <w:p w14:paraId="1417CED6" w14:textId="0C083A8F" w:rsidR="00230DD4" w:rsidRDefault="00C411F9" w:rsidP="00C411F9">
      <w:r>
        <w:t xml:space="preserve">As alluded to above, ESMA’s proposal becomes even more complex when considering </w:t>
      </w:r>
      <w:r w:rsidRPr="00F40672">
        <w:t>trade</w:t>
      </w:r>
      <w:r>
        <w:t>s</w:t>
      </w:r>
      <w:r w:rsidRPr="00F40672">
        <w:t xml:space="preserve"> executed on ‘Trading Platforms outside of the Union’</w:t>
      </w:r>
      <w:r>
        <w:t>.</w:t>
      </w:r>
      <w:r w:rsidRPr="00F40672">
        <w:t xml:space="preserve"> ESMA </w:t>
      </w:r>
      <w:r>
        <w:t>is encouraged to consider this and clarify</w:t>
      </w:r>
      <w:r w:rsidRPr="00F40672">
        <w:t xml:space="preserve"> </w:t>
      </w:r>
      <w:r>
        <w:t>its expectations as to whether such trades</w:t>
      </w:r>
      <w:r w:rsidR="00601652">
        <w:t xml:space="preserve"> should have a value</w:t>
      </w:r>
      <w:r w:rsidR="00230DD4">
        <w:t>:</w:t>
      </w:r>
    </w:p>
    <w:p w14:paraId="38F00D02" w14:textId="32BB3885" w:rsidR="00230DD4" w:rsidRDefault="00C411F9" w:rsidP="009F4423">
      <w:pPr>
        <w:pStyle w:val="ListParagraph"/>
        <w:numPr>
          <w:ilvl w:val="0"/>
          <w:numId w:val="19"/>
        </w:numPr>
      </w:pPr>
      <w:r w:rsidRPr="00F40672">
        <w:t>specifically for the purpose of populating field 36, provided by the non-EEA venue and passed on via the non-MiFID investment Firm to the MiFID Investment Firm(s) at the end of the chain</w:t>
      </w:r>
      <w:r>
        <w:t>.  If this is the case, h</w:t>
      </w:r>
      <w:r w:rsidRPr="00F40672">
        <w:t xml:space="preserve">ow does ESMA intend to enforce this for non-MiFID, non-EEA firms and Venues? </w:t>
      </w:r>
    </w:p>
    <w:p w14:paraId="11950B6E" w14:textId="7B1B617F" w:rsidR="00391DDA" w:rsidRDefault="00C411F9" w:rsidP="009F4423">
      <w:pPr>
        <w:pStyle w:val="ListParagraph"/>
        <w:numPr>
          <w:ilvl w:val="0"/>
          <w:numId w:val="19"/>
        </w:numPr>
      </w:pPr>
      <w:r w:rsidRPr="00F40672">
        <w:t>derived externally by the EEA MiFID Investment Firm (potentially an execution ID but not necessarily provided for that purpose by the venue or the non-EEA Firm), populated in field 36 and passed to other Firms in the chain?</w:t>
      </w:r>
      <w:r>
        <w:t xml:space="preserve">  </w:t>
      </w:r>
    </w:p>
    <w:p w14:paraId="48EBA189" w14:textId="07817712" w:rsidR="00C411F9" w:rsidRPr="00F40672" w:rsidRDefault="003D3922" w:rsidP="009F4423">
      <w:pPr>
        <w:pStyle w:val="ListParagraph"/>
        <w:numPr>
          <w:ilvl w:val="0"/>
          <w:numId w:val="19"/>
        </w:numPr>
      </w:pPr>
      <w:r>
        <w:t>which is</w:t>
      </w:r>
      <w:r w:rsidR="00391DDA">
        <w:t xml:space="preserve"> an</w:t>
      </w:r>
      <w:r w:rsidR="00C411F9" w:rsidRPr="00F40672">
        <w:t xml:space="preserve"> internal value, derived by the EEA MiFID Investment Firm, populated in field 36 and passed to other Firms in the chain?</w:t>
      </w:r>
      <w:r w:rsidR="00C411F9">
        <w:t xml:space="preserve">  Th</w:t>
      </w:r>
      <w:r w:rsidR="00391DDA">
        <w:t>is</w:t>
      </w:r>
      <w:r w:rsidR="00C411F9">
        <w:t xml:space="preserve"> option would see </w:t>
      </w:r>
      <w:r w:rsidR="00C411F9" w:rsidRPr="00F40672">
        <w:t>Field 36 left blank for all transactions in the chain?</w:t>
      </w:r>
      <w:r w:rsidR="004B4496">
        <w:t xml:space="preserve">  </w:t>
      </w:r>
      <w:r w:rsidR="00C411F9" w:rsidRPr="00F40672">
        <w:t>Regarding the use of an I</w:t>
      </w:r>
      <w:r w:rsidR="00C411F9">
        <w:t>nternal</w:t>
      </w:r>
      <w:r w:rsidR="00C411F9" w:rsidRPr="00F40672">
        <w:t xml:space="preserve"> ID linking groups of </w:t>
      </w:r>
      <w:r w:rsidR="004B4496">
        <w:t>m</w:t>
      </w:r>
      <w:r w:rsidR="00C411F9" w:rsidRPr="00F40672">
        <w:t xml:space="preserve">arket </w:t>
      </w:r>
      <w:r w:rsidR="004B4496">
        <w:t>e</w:t>
      </w:r>
      <w:r w:rsidR="00C411F9" w:rsidRPr="00F40672">
        <w:t xml:space="preserve">xecutions and the subsequent </w:t>
      </w:r>
      <w:r w:rsidR="004B4496">
        <w:t>a</w:t>
      </w:r>
      <w:r w:rsidR="00C411F9" w:rsidRPr="00F40672">
        <w:t>llocations, clarity would be welcome as to the exact scenarios in which this additional ID is required.</w:t>
      </w:r>
    </w:p>
    <w:permEnd w:id="1075606273"/>
    <w:p w14:paraId="3F14CF92" w14:textId="77777777" w:rsidR="000B0D26" w:rsidRDefault="000B0D26" w:rsidP="000B0D26">
      <w:r>
        <w:lastRenderedPageBreak/>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79278873" w14:textId="2287F7C0" w:rsidR="00814349" w:rsidRPr="00814349" w:rsidRDefault="00C51E9A" w:rsidP="001834E8">
      <w:pPr>
        <w:spacing w:after="0"/>
      </w:pPr>
      <w:permStart w:id="580139045" w:edGrp="everyone"/>
      <w:r>
        <w:t>FIA questions the usability of such</w:t>
      </w:r>
      <w:r w:rsidR="004744EE" w:rsidRPr="00814349">
        <w:t xml:space="preserve"> reported data</w:t>
      </w:r>
      <w:r>
        <w:t xml:space="preserve"> as set out in ESMA’s proposal.</w:t>
      </w:r>
      <w:r w:rsidR="00E16A2D">
        <w:t xml:space="preserve">  Such data</w:t>
      </w:r>
      <w:r w:rsidR="004744EE" w:rsidRPr="00814349">
        <w:t xml:space="preserve"> may be limited or even </w:t>
      </w:r>
      <w:proofErr w:type="gramStart"/>
      <w:r w:rsidR="00A7504C">
        <w:t>have the ability to</w:t>
      </w:r>
      <w:proofErr w:type="gramEnd"/>
      <w:r w:rsidR="00A7504C">
        <w:t xml:space="preserve"> </w:t>
      </w:r>
      <w:r w:rsidR="004744EE" w:rsidRPr="00814349">
        <w:t>undermine comparative analysis of data by regulators because</w:t>
      </w:r>
      <w:r w:rsidR="00814349" w:rsidRPr="00814349">
        <w:t>:</w:t>
      </w:r>
    </w:p>
    <w:p w14:paraId="12AC04A9" w14:textId="4CF7465D" w:rsidR="00814349" w:rsidRPr="00814349" w:rsidRDefault="004744EE" w:rsidP="009F4423">
      <w:pPr>
        <w:pStyle w:val="ListParagraph"/>
      </w:pPr>
      <w:r w:rsidRPr="00814349">
        <w:t>different reporting firms may, for valid reasons, have assigned different MiFID classifications to the same LEI or natural person (for instance if different opt-up elections have been made, or different evidence or trading history</w:t>
      </w:r>
      <w:r w:rsidR="00937140">
        <w:t xml:space="preserve"> have</w:t>
      </w:r>
      <w:r w:rsidRPr="00814349">
        <w:t xml:space="preserve"> been presented by the client, or due to timing issues of communicating such data). Th</w:t>
      </w:r>
      <w:r w:rsidR="005F7454">
        <w:t>is</w:t>
      </w:r>
      <w:r w:rsidRPr="00814349">
        <w:t xml:space="preserve"> creates uncertainty </w:t>
      </w:r>
      <w:r w:rsidR="00587AC8">
        <w:t>as to</w:t>
      </w:r>
      <w:r w:rsidRPr="00814349">
        <w:t xml:space="preserve"> whether firms should be reporting their elected classification or the classification they naturally fall into. </w:t>
      </w:r>
    </w:p>
    <w:p w14:paraId="41A0EB23" w14:textId="6C3B9398" w:rsidR="004744EE" w:rsidRPr="00814349" w:rsidRDefault="004744EE" w:rsidP="009F4423">
      <w:pPr>
        <w:pStyle w:val="ListParagraph"/>
      </w:pPr>
      <w:r w:rsidRPr="00814349">
        <w:t xml:space="preserve">a client’s MiFID classification with a single investment firm can change over time. As such, ESMA should clarify that such reporting is only ever to be at a point in time, and firms should not be required to account for differing reporting in respect of the same counterparties. </w:t>
      </w:r>
    </w:p>
    <w:p w14:paraId="55697B86" w14:textId="77777777" w:rsidR="004744EE" w:rsidRPr="004909EB" w:rsidRDefault="004744EE" w:rsidP="001834E8">
      <w:pPr>
        <w:spacing w:after="0"/>
      </w:pPr>
    </w:p>
    <w:p w14:paraId="19865A8E" w14:textId="078703C8" w:rsidR="00904A3B" w:rsidRPr="004744EE" w:rsidRDefault="007A5D56" w:rsidP="001834E8">
      <w:r w:rsidRPr="00677C6A">
        <w:t>We also not</w:t>
      </w:r>
      <w:r w:rsidR="00B6487E">
        <w:t>e</w:t>
      </w:r>
      <w:r w:rsidRPr="00677C6A">
        <w:t xml:space="preserve"> that ESMA</w:t>
      </w:r>
      <w:r w:rsidR="00B6487E">
        <w:t>’s</w:t>
      </w:r>
      <w:r w:rsidRPr="00677C6A">
        <w:t xml:space="preserve"> proposal does not reference </w:t>
      </w:r>
      <w:r w:rsidR="00176338">
        <w:t>Eligible Counterparties (</w:t>
      </w:r>
      <w:r w:rsidRPr="00677C6A">
        <w:t>ECPs</w:t>
      </w:r>
      <w:r w:rsidR="00176338">
        <w:t>)</w:t>
      </w:r>
      <w:r w:rsidRPr="00677C6A">
        <w:t>.</w:t>
      </w:r>
      <w:r w:rsidR="00176338">
        <w:t xml:space="preserve">  </w:t>
      </w:r>
      <w:r w:rsidRPr="00677C6A">
        <w:t>Further, the proposal is not clear on the intended approach to reporting of this information for transactions with 3</w:t>
      </w:r>
      <w:r w:rsidRPr="00677C6A">
        <w:rPr>
          <w:vertAlign w:val="superscript"/>
        </w:rPr>
        <w:t>rd</w:t>
      </w:r>
      <w:r w:rsidRPr="00677C6A">
        <w:t xml:space="preserve"> country firms, and we suggest that if ESMA proceeds</w:t>
      </w:r>
      <w:r w:rsidR="00176338">
        <w:t xml:space="preserve"> with this proposal,</w:t>
      </w:r>
      <w:r w:rsidRPr="00677C6A">
        <w:t xml:space="preserve"> it should clarify that reporting is only required in respect of EEA counterparties. We also welcome further clarity on which aspect of Art 24</w:t>
      </w:r>
      <w:r w:rsidR="009D493A">
        <w:t xml:space="preserve"> of </w:t>
      </w:r>
      <w:proofErr w:type="spellStart"/>
      <w:r w:rsidR="009D493A">
        <w:t>MiFIR</w:t>
      </w:r>
      <w:proofErr w:type="spellEnd"/>
      <w:r w:rsidRPr="00677C6A">
        <w:t xml:space="preserve"> is intended to determine the reporting of categorisation.</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4DEECAC2" w:rsidR="000B0D26" w:rsidRDefault="00F42330" w:rsidP="000B0D26">
      <w:permStart w:id="197869488" w:edGrp="everyone"/>
      <w:r>
        <w:t xml:space="preserve">FIA appreciates ESMA’s </w:t>
      </w:r>
      <w:r w:rsidR="009A7FEB">
        <w:t>openminded</w:t>
      </w:r>
      <w:r>
        <w:t xml:space="preserve"> assessment </w:t>
      </w:r>
      <w:r w:rsidR="00140767">
        <w:t xml:space="preserve">that the majority of NCAs </w:t>
      </w:r>
      <w:r w:rsidR="00B02BFB">
        <w:t>do not use this data</w:t>
      </w:r>
      <w:r w:rsidR="009613E1">
        <w:t>.</w:t>
      </w:r>
      <w:r w:rsidR="0091381B">
        <w:t xml:space="preserve"> </w:t>
      </w:r>
      <w:r w:rsidR="009613E1">
        <w:t>W</w:t>
      </w:r>
      <w:r w:rsidR="0091381B">
        <w:t>e feel obliged to stress that e</w:t>
      </w:r>
      <w:r w:rsidR="009B15A8">
        <w:t xml:space="preserve">very </w:t>
      </w:r>
      <w:r w:rsidR="00CA07C8">
        <w:t xml:space="preserve">data element </w:t>
      </w:r>
      <w:r w:rsidR="009B15A8">
        <w:t>has a</w:t>
      </w:r>
      <w:r w:rsidR="00CA07C8">
        <w:t>n associated</w:t>
      </w:r>
      <w:r w:rsidR="009B15A8">
        <w:t xml:space="preserve"> c</w:t>
      </w:r>
      <w:r w:rsidR="005D6413">
        <w:t>ost</w:t>
      </w:r>
      <w:r w:rsidR="009B15A8">
        <w:t>/resource</w:t>
      </w:r>
      <w:r w:rsidR="005D6413">
        <w:t xml:space="preserve"> implication</w:t>
      </w:r>
      <w:r w:rsidR="009B15A8">
        <w:t xml:space="preserve"> to maintain the accuracy and completeness of reported data.  We recommend </w:t>
      </w:r>
      <w:r w:rsidR="009B15A8">
        <w:lastRenderedPageBreak/>
        <w:t xml:space="preserve">ESMA </w:t>
      </w:r>
      <w:r w:rsidR="0091381B">
        <w:t>re</w:t>
      </w:r>
      <w:r w:rsidR="009B15A8">
        <w:t>consider</w:t>
      </w:r>
      <w:r w:rsidR="0091381B">
        <w:t>s</w:t>
      </w:r>
      <w:r w:rsidR="009B15A8">
        <w:t xml:space="preserve"> </w:t>
      </w:r>
      <w:r w:rsidR="0040726C">
        <w:t>the need for investment firms to report the algo</w:t>
      </w:r>
      <w:r w:rsidR="005944AB">
        <w:t>rithm</w:t>
      </w:r>
      <w:r w:rsidR="0040726C">
        <w:t xml:space="preserve"> </w:t>
      </w:r>
      <w:r w:rsidR="00D52D8D">
        <w:t>as</w:t>
      </w:r>
      <w:r w:rsidR="0040726C">
        <w:t xml:space="preserve"> ESMA acknowledges that this data is of limited use.</w:t>
      </w:r>
      <w:r w:rsidR="005D6413">
        <w:t xml:space="preserve"> </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0DF7C483" w:rsidR="000B0D26" w:rsidRDefault="00AB2B8A" w:rsidP="00C35033">
      <w:permStart w:id="657135577" w:edGrp="everyone"/>
      <w:r>
        <w:t>FIA a</w:t>
      </w:r>
      <w:r w:rsidR="006F3F72">
        <w:t>gree</w:t>
      </w:r>
      <w:r>
        <w:t>s</w:t>
      </w:r>
      <w:r w:rsidR="006F3F72">
        <w:t xml:space="preserve"> </w:t>
      </w:r>
      <w:r>
        <w:t xml:space="preserve">with the </w:t>
      </w:r>
      <w:r w:rsidR="006F3F72">
        <w:t>remov</w:t>
      </w:r>
      <w:r w:rsidR="00BD7F36">
        <w:t xml:space="preserve">al of this </w:t>
      </w:r>
      <w:r w:rsidR="00C35033">
        <w:t xml:space="preserve">information as it is both </w:t>
      </w:r>
      <w:r w:rsidR="006F3F72">
        <w:t xml:space="preserve">duplicative in nature and inconsistent </w:t>
      </w:r>
      <w:r w:rsidR="00B616EF">
        <w:t>with</w:t>
      </w:r>
      <w:r w:rsidR="006F3F72">
        <w:t xml:space="preserve"> SSR obligations</w:t>
      </w:r>
      <w:r w:rsidR="00C35033">
        <w:t>.</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lastRenderedPageBreak/>
        <w:t>&lt;ESMA_QUESTION_TRRF_25&gt;</w:t>
      </w:r>
    </w:p>
    <w:p w14:paraId="7CB6CA56" w14:textId="73F5BD77" w:rsidR="00ED4FF4" w:rsidRPr="00CD52FE" w:rsidRDefault="00CD52FE" w:rsidP="002567B7">
      <w:permStart w:id="975453435" w:edGrp="everyone"/>
      <w:r>
        <w:t>I</w:t>
      </w:r>
      <w:r w:rsidRPr="00CD52FE">
        <w:t>nvestment Firms</w:t>
      </w:r>
      <w:r w:rsidR="00ED4FF4" w:rsidRPr="00CD52FE">
        <w:t xml:space="preserve"> have </w:t>
      </w:r>
      <w:proofErr w:type="gramStart"/>
      <w:r w:rsidR="00ED4FF4" w:rsidRPr="00CD52FE">
        <w:t>experienced</w:t>
      </w:r>
      <w:r w:rsidR="00312904">
        <w:t xml:space="preserve"> </w:t>
      </w:r>
      <w:r w:rsidR="00ED4FF4" w:rsidRPr="00CD52FE">
        <w:t>difficulty</w:t>
      </w:r>
      <w:proofErr w:type="gramEnd"/>
      <w:r w:rsidR="00ED4FF4" w:rsidRPr="00CD52FE">
        <w:t xml:space="preserve"> with obtaining this information from </w:t>
      </w:r>
      <w:r w:rsidR="009D3FF3">
        <w:t xml:space="preserve">Trading </w:t>
      </w:r>
      <w:r w:rsidR="004D3C2B">
        <w:t>V</w:t>
      </w:r>
      <w:r w:rsidR="00ED4FF4" w:rsidRPr="00CD52FE">
        <w:t xml:space="preserve">enues. </w:t>
      </w:r>
      <w:r w:rsidR="00A663F9">
        <w:t xml:space="preserve"> As such, FIA</w:t>
      </w:r>
      <w:r w:rsidR="00312904">
        <w:t xml:space="preserve"> recommend</w:t>
      </w:r>
      <w:r w:rsidR="00A663F9">
        <w:t>s</w:t>
      </w:r>
      <w:r w:rsidR="00312904">
        <w:t xml:space="preserve"> a</w:t>
      </w:r>
      <w:r w:rsidR="004D3C2B">
        <w:t>n alternative approach</w:t>
      </w:r>
      <w:r w:rsidR="00ED4FF4" w:rsidRPr="00CD52FE">
        <w:t xml:space="preserve"> </w:t>
      </w:r>
      <w:r w:rsidR="00C63A0C">
        <w:t>based on</w:t>
      </w:r>
      <w:r w:rsidR="00ED4FF4" w:rsidRPr="00CD52FE">
        <w:t xml:space="preserve"> one of the following</w:t>
      </w:r>
      <w:r w:rsidR="00C63A0C">
        <w:t xml:space="preserve"> options</w:t>
      </w:r>
      <w:r w:rsidR="00ED4FF4" w:rsidRPr="00CD52FE">
        <w:t>:</w:t>
      </w:r>
    </w:p>
    <w:p w14:paraId="0B7D356A" w14:textId="3DAC4FF6" w:rsidR="00ED4FF4" w:rsidRDefault="00ED4FF4" w:rsidP="009F4423">
      <w:pPr>
        <w:pStyle w:val="ListParagraph"/>
        <w:numPr>
          <w:ilvl w:val="0"/>
          <w:numId w:val="11"/>
        </w:numPr>
      </w:pPr>
      <w:r w:rsidRPr="00CD52FE">
        <w:t xml:space="preserve">only those parties that are responsible for the pre-trade transparency waiver for on-venue executions </w:t>
      </w:r>
      <w:r w:rsidR="00C63A0C">
        <w:t xml:space="preserve">should be required </w:t>
      </w:r>
      <w:r w:rsidRPr="00CD52FE">
        <w:t xml:space="preserve">to populate </w:t>
      </w:r>
      <w:r w:rsidR="00DA0DB8">
        <w:t>the Waiver Indicator</w:t>
      </w:r>
      <w:r w:rsidRPr="00CD52FE">
        <w:t xml:space="preserve"> on their transaction reports</w:t>
      </w:r>
      <w:r w:rsidR="00002491">
        <w:t>, or;</w:t>
      </w:r>
    </w:p>
    <w:p w14:paraId="04914730" w14:textId="77777777" w:rsidR="004D3C2B" w:rsidRPr="00CD52FE" w:rsidRDefault="004D3C2B" w:rsidP="00DD1E37">
      <w:pPr>
        <w:pStyle w:val="ListParagraph"/>
        <w:numPr>
          <w:ilvl w:val="0"/>
          <w:numId w:val="0"/>
        </w:numPr>
        <w:ind w:left="720"/>
      </w:pPr>
    </w:p>
    <w:p w14:paraId="44BACA69" w14:textId="71061388" w:rsidR="00ED4FF4" w:rsidRPr="00F47495" w:rsidRDefault="00002491" w:rsidP="009F4423">
      <w:pPr>
        <w:pStyle w:val="ListParagraph"/>
        <w:numPr>
          <w:ilvl w:val="0"/>
          <w:numId w:val="11"/>
        </w:numPr>
      </w:pPr>
      <w:r>
        <w:t>ESMA should adopt</w:t>
      </w:r>
      <w:r w:rsidR="00ED4FF4" w:rsidRPr="00CD52FE">
        <w:t xml:space="preserve"> a simple and coordinated approach to the provision of the Waiver Indicator flag </w:t>
      </w:r>
      <w:r w:rsidR="008D04DC">
        <w:t>from</w:t>
      </w:r>
      <w:r w:rsidR="00ED4FF4" w:rsidRPr="00CD52FE">
        <w:t xml:space="preserve"> </w:t>
      </w:r>
      <w:r w:rsidR="008D04DC">
        <w:t xml:space="preserve">Trading </w:t>
      </w:r>
      <w:r w:rsidR="00DA0DB8">
        <w:t>V</w:t>
      </w:r>
      <w:r w:rsidR="00ED4FF4" w:rsidRPr="00CD52FE">
        <w:t xml:space="preserve">enues to </w:t>
      </w:r>
      <w:r w:rsidR="00DA0DB8">
        <w:t xml:space="preserve">Investment </w:t>
      </w:r>
      <w:r w:rsidR="00ED4FF4" w:rsidRPr="00CD52FE">
        <w:t xml:space="preserve">Firms, with direct linkage to the current industry-wide </w:t>
      </w:r>
      <w:r w:rsidR="007F5FEB">
        <w:t xml:space="preserve">pre-trade transparency </w:t>
      </w:r>
      <w:r w:rsidR="00ED4FF4" w:rsidRPr="00CD52FE">
        <w:t>waivers that apply and are captured within the FIX methodology.</w:t>
      </w:r>
      <w:r w:rsidR="0072746F">
        <w:t xml:space="preserve">  To ensure a consistent approach is adopted by Trading Venues,</w:t>
      </w:r>
      <w:r w:rsidR="00ED4FF4" w:rsidRPr="00CD52FE">
        <w:t xml:space="preserve"> ESMA </w:t>
      </w:r>
      <w:r w:rsidR="0072746F">
        <w:t>should</w:t>
      </w:r>
      <w:r w:rsidR="00ED4FF4" w:rsidRPr="00CD52FE">
        <w:t xml:space="preserve"> clarify </w:t>
      </w:r>
      <w:r w:rsidR="0072746F">
        <w:t>exactly</w:t>
      </w:r>
      <w:r w:rsidR="00ED4FF4" w:rsidRPr="00CD52FE">
        <w:t xml:space="preserve"> what</w:t>
      </w:r>
      <w:r w:rsidR="00004631">
        <w:t xml:space="preserve"> data</w:t>
      </w:r>
      <w:r w:rsidR="00ED4FF4" w:rsidRPr="00CD52FE">
        <w:t xml:space="preserve"> </w:t>
      </w:r>
      <w:r w:rsidR="0072746F">
        <w:t>Trading Venues</w:t>
      </w:r>
      <w:r w:rsidR="00ED4FF4" w:rsidRPr="00CD52FE">
        <w:t xml:space="preserve"> </w:t>
      </w:r>
      <w:r w:rsidR="00004631">
        <w:t>must</w:t>
      </w:r>
      <w:r w:rsidR="00ED4FF4" w:rsidRPr="00CD52FE">
        <w:t xml:space="preserve"> provide and how</w:t>
      </w:r>
      <w:r w:rsidR="0072746F">
        <w:t xml:space="preserve"> such data is to dissemniated</w:t>
      </w:r>
      <w:r w:rsidR="00ED4FF4" w:rsidRPr="00CD52FE">
        <w:t xml:space="preserve">. ESMA </w:t>
      </w:r>
      <w:r w:rsidR="0072746F">
        <w:t>may consider</w:t>
      </w:r>
      <w:r w:rsidR="00ED4FF4" w:rsidRPr="00CD52FE">
        <w:t xml:space="preserve"> align</w:t>
      </w:r>
      <w:r w:rsidR="0072746F">
        <w:t>ing</w:t>
      </w:r>
      <w:r w:rsidR="00ED4FF4" w:rsidRPr="00CD52FE">
        <w:t xml:space="preserve"> the </w:t>
      </w:r>
      <w:r w:rsidR="00D279C4">
        <w:t xml:space="preserve">pre-trade transparency </w:t>
      </w:r>
      <w:r w:rsidR="00ED4FF4" w:rsidRPr="00CD52FE">
        <w:t>waivers required with the industry-wide ‘FIX’ schema of TAGs 2668, 2669, 2670 and/or the ‘flattened’ format in 8013</w:t>
      </w:r>
      <w:r w:rsidR="008D5247">
        <w:t xml:space="preserve">.  In addition, </w:t>
      </w:r>
      <w:r w:rsidR="005A7C27">
        <w:t>MiFIR</w:t>
      </w:r>
      <w:r w:rsidR="00ED4FF4" w:rsidRPr="00CD52FE">
        <w:t xml:space="preserve"> </w:t>
      </w:r>
      <w:r w:rsidR="008D5247">
        <w:t>should be aligned</w:t>
      </w:r>
      <w:r w:rsidR="00ED4FF4" w:rsidRPr="00CD52FE">
        <w:t xml:space="preserve"> with the actual </w:t>
      </w:r>
      <w:r w:rsidR="00D279C4">
        <w:t xml:space="preserve">pre-trade transparency </w:t>
      </w:r>
      <w:r w:rsidR="00ED4FF4" w:rsidRPr="00CD52FE">
        <w:t xml:space="preserve">waivers used in </w:t>
      </w:r>
      <w:r w:rsidR="005A7C27">
        <w:t>practice</w:t>
      </w:r>
      <w:r w:rsidR="00ED4FF4" w:rsidRPr="00CD52FE">
        <w:t>. For example</w:t>
      </w:r>
      <w:r w:rsidR="002C76C1">
        <w:t>, t</w:t>
      </w:r>
      <w:r w:rsidR="00ED4FF4" w:rsidRPr="00CD52FE">
        <w:t>here is a ‘Large in Size’ pre-trade transparency waiver for Cash Equity trades, but this is not permitted by the regulation and this leads to unnecessary complexity.</w:t>
      </w:r>
      <w:r w:rsidR="00DC72DA">
        <w:t xml:space="preserve"> Furthermore, t</w:t>
      </w:r>
      <w:r w:rsidR="00ED4FF4" w:rsidRPr="00CD52FE">
        <w:t xml:space="preserve">here is both a ‘Large in Scale’ pre-trade transparency waiver and a separate ‘Size’ pre-trade transparency waiver, but only one value </w:t>
      </w:r>
      <w:r w:rsidR="00E830FD">
        <w:t xml:space="preserve">is </w:t>
      </w:r>
      <w:r w:rsidR="00ED4FF4" w:rsidRPr="00CD52FE">
        <w:t xml:space="preserve">expected for non-Equity trades under </w:t>
      </w:r>
      <w:r w:rsidR="00ED4FF4" w:rsidRPr="00F47495">
        <w:t>the regulation.</w:t>
      </w:r>
    </w:p>
    <w:p w14:paraId="5E0AEBBA" w14:textId="77777777" w:rsidR="00DC72DA" w:rsidRPr="00F47495" w:rsidRDefault="00DC72DA" w:rsidP="00CB4E30">
      <w:pPr>
        <w:spacing w:after="0"/>
      </w:pPr>
    </w:p>
    <w:p w14:paraId="03D0490A" w14:textId="56801447" w:rsidR="002567B7" w:rsidRPr="00F47495" w:rsidRDefault="00DC72DA" w:rsidP="00CB4E30">
      <w:pPr>
        <w:spacing w:after="0"/>
      </w:pPr>
      <w:r w:rsidRPr="00F47495">
        <w:t xml:space="preserve">In summary, </w:t>
      </w:r>
      <w:r w:rsidR="002567B7">
        <w:t>FIA</w:t>
      </w:r>
      <w:r w:rsidR="00D151BE" w:rsidRPr="00F47495">
        <w:t xml:space="preserve"> foresee</w:t>
      </w:r>
      <w:r w:rsidR="002567B7">
        <w:t>s</w:t>
      </w:r>
      <w:r w:rsidR="00D151BE" w:rsidRPr="00F47495">
        <w:t xml:space="preserve"> challenges </w:t>
      </w:r>
      <w:r w:rsidR="002567B7">
        <w:t>given that</w:t>
      </w:r>
      <w:r w:rsidR="00D151BE" w:rsidRPr="00F47495">
        <w:t xml:space="preserve"> the eligibility criteria for pre-trade transparency </w:t>
      </w:r>
      <w:r w:rsidR="00A01C96">
        <w:t>is</w:t>
      </w:r>
      <w:r w:rsidR="00D151BE" w:rsidRPr="00F47495">
        <w:t xml:space="preserve"> not the same as that for transaction reporting. This </w:t>
      </w:r>
      <w:r w:rsidR="00A01C96">
        <w:t xml:space="preserve">misalignment </w:t>
      </w:r>
      <w:r w:rsidR="00D151BE" w:rsidRPr="00F47495">
        <w:t xml:space="preserve">could lead to complications when mapping pre-trade quotes and orders with transaction reportable executions.  </w:t>
      </w:r>
      <w:r w:rsidR="00A01C96">
        <w:t>ESMA is encouraged to provide more</w:t>
      </w:r>
      <w:r w:rsidR="00D151BE" w:rsidRPr="00F47495">
        <w:t xml:space="preserve"> clarity </w:t>
      </w:r>
      <w:r w:rsidR="00A01C96">
        <w:t>on</w:t>
      </w:r>
      <w:r w:rsidR="00D151BE" w:rsidRPr="00F47495">
        <w:t xml:space="preserve"> what</w:t>
      </w:r>
      <w:r w:rsidR="00A01C96">
        <w:t xml:space="preserve"> benefits </w:t>
      </w:r>
      <w:r w:rsidR="002C4917">
        <w:t>this</w:t>
      </w:r>
      <w:r w:rsidR="00A01C96">
        <w:t xml:space="preserve"> data</w:t>
      </w:r>
      <w:r w:rsidR="00AC0A29">
        <w:t xml:space="preserve"> provides to NCAs</w:t>
      </w:r>
      <w:r w:rsidR="002C4917">
        <w:t xml:space="preserve"> and work</w:t>
      </w:r>
      <w:r w:rsidR="005E7611">
        <w:t xml:space="preserve"> with industry participants to ensure that reported data is accurate and used for its intended purpose.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5A0C0626" w14:textId="77777777" w:rsidR="007A7550" w:rsidRDefault="007A7550" w:rsidP="007A7550">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6583E2DE" w:rsidR="000B0D26" w:rsidRPr="00FD5343" w:rsidRDefault="00865177" w:rsidP="00C943A9">
      <w:permStart w:id="1698904276" w:edGrp="everyone"/>
      <w:r w:rsidRPr="003113CB">
        <w:t xml:space="preserve">The existing requirement for an agreement serves to ensure receiving firms are in a position to process and validate orders transmitted to them, before being obligated to report, and also permits an assessment of the sophistication and control framework on the side of the transmitting party before agreeing to be responsible for their reports. Removing this control places </w:t>
      </w:r>
      <w:r w:rsidRPr="00FD5343">
        <w:t>receiving firms in the position of having to monitor all inbound order messages for completeness and accuracy and ensure technological solutions are in place to process them, putting them almost in the enforced position of an ARM. We believe this change is not appropriate</w:t>
      </w:r>
      <w:r w:rsidR="00E80041">
        <w:t>.</w:t>
      </w:r>
      <w:r w:rsidR="000D2E40" w:rsidRPr="00FD5343">
        <w:t xml:space="preserve"> </w:t>
      </w:r>
      <w:r w:rsidR="00E80041">
        <w:t xml:space="preserve"> </w:t>
      </w:r>
      <w:r w:rsidR="000D2E40" w:rsidRPr="00FD5343">
        <w:t xml:space="preserve">Investment Firms cannot be responsible for the accuracy of the data transmitted to </w:t>
      </w:r>
      <w:r w:rsidR="00B832DA">
        <w:t>them</w:t>
      </w:r>
      <w:r w:rsidR="000D2E40" w:rsidRPr="00FD5343">
        <w:t xml:space="preserve"> by the transmitting firm</w:t>
      </w:r>
      <w:r w:rsidRPr="00FD5343">
        <w:t xml:space="preserve"> and </w:t>
      </w:r>
      <w:r w:rsidR="000D2E40" w:rsidRPr="00FD5343">
        <w:t xml:space="preserve">such requirement as </w:t>
      </w:r>
      <w:r w:rsidR="003113CB" w:rsidRPr="00FD5343">
        <w:t xml:space="preserve">proposed by ESMA </w:t>
      </w:r>
      <w:r w:rsidRPr="00FD5343">
        <w:t>places a further burden on receiving firms, at considerable risk to the overall accuracy and timeliness of data being reported to NCAs.</w:t>
      </w:r>
    </w:p>
    <w:p w14:paraId="573A97DB" w14:textId="74B48835" w:rsidR="00D41464" w:rsidRPr="00FD5343" w:rsidRDefault="002A3F54" w:rsidP="00C943A9">
      <w:pPr>
        <w:spacing w:after="0"/>
      </w:pPr>
      <w:r>
        <w:t>In addition to the concerns highlighted above, such proposal would result in</w:t>
      </w:r>
      <w:r w:rsidR="00D41464" w:rsidRPr="00FD5343">
        <w:t xml:space="preserve"> significant investment for Investment Firms </w:t>
      </w:r>
      <w:proofErr w:type="gramStart"/>
      <w:r>
        <w:t xml:space="preserve">in order </w:t>
      </w:r>
      <w:r w:rsidR="00D41464" w:rsidRPr="00FD5343">
        <w:t>to</w:t>
      </w:r>
      <w:proofErr w:type="gramEnd"/>
      <w:r w:rsidR="00D41464" w:rsidRPr="00FD5343">
        <w:t xml:space="preserve"> be able to implement </w:t>
      </w:r>
      <w:r>
        <w:t xml:space="preserve">such </w:t>
      </w:r>
      <w:r w:rsidR="000D251A">
        <w:t>requirements along</w:t>
      </w:r>
      <w:r>
        <w:t xml:space="preserve"> </w:t>
      </w:r>
      <w:r w:rsidR="00D41464" w:rsidRPr="00FD5343">
        <w:t xml:space="preserve">with the appropriate reconciliations and documentation to receive transmitted data. </w:t>
      </w:r>
      <w:r w:rsidR="000D251A">
        <w:t xml:space="preserve"> </w:t>
      </w:r>
      <w:r w:rsidR="00D41464" w:rsidRPr="00FD5343">
        <w:t xml:space="preserve">There are also concerns around the timing for data transfer, specifically in being able to ensure that the firm can report within its required deadline.  </w:t>
      </w:r>
    </w:p>
    <w:p w14:paraId="23B67339" w14:textId="77777777" w:rsidR="00D5180D" w:rsidRPr="00FD5343" w:rsidRDefault="00D5180D" w:rsidP="00C943A9">
      <w:pPr>
        <w:spacing w:after="0"/>
      </w:pPr>
    </w:p>
    <w:p w14:paraId="2DA439C8" w14:textId="62BF880D" w:rsidR="00D41464" w:rsidRPr="00FD5343" w:rsidRDefault="00D41464" w:rsidP="00C943A9">
      <w:pPr>
        <w:spacing w:after="0"/>
      </w:pPr>
      <w:r w:rsidRPr="00FD5343">
        <w:t xml:space="preserve">Forcing larger firms to take </w:t>
      </w:r>
      <w:r w:rsidR="0022593A">
        <w:t xml:space="preserve">responsibility </w:t>
      </w:r>
      <w:r w:rsidR="008E45E2">
        <w:t xml:space="preserve">for reporting on behalf of transmitting parties </w:t>
      </w:r>
      <w:r w:rsidRPr="00FD5343">
        <w:t>does not solve the issues for smaller firms given that the smaller counterparty would still be required to provide the accurate transmitted data, in a timely fashion, and perform reconciliations as outlined above.</w:t>
      </w:r>
      <w:r w:rsidR="00FD5343" w:rsidRPr="00FD5343">
        <w:t xml:space="preserve">  </w:t>
      </w:r>
      <w:r w:rsidR="00FF5289">
        <w:t xml:space="preserve">This could result in such firms making assumptions </w:t>
      </w:r>
      <w:r w:rsidRPr="00FD5343">
        <w:t>that they do not need to report and therefore positive affirmation would be crucial.</w:t>
      </w:r>
    </w:p>
    <w:p w14:paraId="158907F0" w14:textId="77777777" w:rsidR="00D5180D" w:rsidRPr="00FD5343" w:rsidRDefault="00D5180D" w:rsidP="00C943A9">
      <w:pPr>
        <w:spacing w:after="0"/>
      </w:pPr>
    </w:p>
    <w:p w14:paraId="7831F24D" w14:textId="0A2CA53B" w:rsidR="00D41464" w:rsidRPr="00FD5343" w:rsidRDefault="00CC5A0C" w:rsidP="00C943A9">
      <w:pPr>
        <w:spacing w:after="0"/>
      </w:pPr>
      <w:r>
        <w:t>FIA notes that</w:t>
      </w:r>
      <w:r w:rsidR="00A524F4">
        <w:t xml:space="preserve"> investment firms have not</w:t>
      </w:r>
      <w:r w:rsidR="00D41464" w:rsidRPr="00FD5343">
        <w:t xml:space="preserve"> received a request for an RTO agreement and believe that </w:t>
      </w:r>
      <w:r w:rsidR="00B17051">
        <w:t>given</w:t>
      </w:r>
      <w:r w:rsidR="00D41464" w:rsidRPr="00FD5343">
        <w:t xml:space="preserve"> the majority of firms conduct more varied business than purely ‘RTO to MiFID firms’, </w:t>
      </w:r>
      <w:r w:rsidR="00B17051">
        <w:t>ESMA’s proposal</w:t>
      </w:r>
      <w:r w:rsidR="00D41464" w:rsidRPr="00FD5343">
        <w:t xml:space="preserve"> would potentially only help a minority</w:t>
      </w:r>
      <w:r w:rsidR="00B17051">
        <w:t xml:space="preserve"> of counterparties</w:t>
      </w:r>
      <w:r w:rsidR="00D41464" w:rsidRPr="00FD5343">
        <w:t>.</w:t>
      </w:r>
      <w:r w:rsidR="00B17051">
        <w:t xml:space="preserve">  </w:t>
      </w:r>
      <w:r w:rsidR="00D41464" w:rsidRPr="00FD5343">
        <w:t xml:space="preserve">We </w:t>
      </w:r>
      <w:r w:rsidR="00AA03D3">
        <w:t>are concerned</w:t>
      </w:r>
      <w:r w:rsidR="00D41464" w:rsidRPr="00FD5343">
        <w:t xml:space="preserve"> that </w:t>
      </w:r>
      <w:r w:rsidR="003767ED">
        <w:t>the</w:t>
      </w:r>
      <w:r w:rsidR="00AA03D3">
        <w:t xml:space="preserve"> proposal</w:t>
      </w:r>
      <w:r w:rsidR="00D41464" w:rsidRPr="00FD5343">
        <w:t xml:space="preserve"> </w:t>
      </w:r>
      <w:r w:rsidR="00AA03D3">
        <w:t>might</w:t>
      </w:r>
      <w:r w:rsidR="00D41464" w:rsidRPr="00FD5343">
        <w:t xml:space="preserve"> conflict with ESMA’s previous statement in the transaction reporting guidelines around transaction chains: “The Investment Firm should only report its ‘part’ within the chain and therefore does not have to look forwards or backwards in the chain beyond its immediate counterparty and client”</w:t>
      </w:r>
      <w:r w:rsidR="00FD5343" w:rsidRPr="00FD5343">
        <w:t xml:space="preserve">.  </w:t>
      </w:r>
      <w:r w:rsidR="00D41464" w:rsidRPr="00FD5343">
        <w:t xml:space="preserve">Although the proposal would not specifically require each firm to look through the chain, it </w:t>
      </w:r>
      <w:r w:rsidR="00E56BB5">
        <w:t>would</w:t>
      </w:r>
      <w:r w:rsidR="00D41464" w:rsidRPr="00FD5343">
        <w:t xml:space="preserve"> require more cohesion throughout th</w:t>
      </w:r>
      <w:r w:rsidR="00E56BB5">
        <w:t>e</w:t>
      </w:r>
      <w:r w:rsidR="00D41464" w:rsidRPr="00FD5343">
        <w:t xml:space="preserve"> chain </w:t>
      </w:r>
      <w:r w:rsidR="005D1E87">
        <w:t>which may result in additional burden on firms</w:t>
      </w:r>
      <w:r w:rsidR="003767ED">
        <w:t>, outweighing any potential benefits</w:t>
      </w:r>
      <w:r w:rsidR="00C943A9">
        <w:t xml:space="preserve"> for small counterparties as</w:t>
      </w:r>
      <w:r w:rsidR="003767ED">
        <w:t xml:space="preserve"> considered by ESMA.</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20A74D45" w:rsidR="000B0D26" w:rsidRDefault="00AD006B" w:rsidP="000B0D26">
      <w:permStart w:id="501251014" w:edGrp="everyone"/>
      <w:r>
        <w:t>Agreed</w:t>
      </w:r>
      <w:r w:rsidR="00C943A9">
        <w:t>.</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056CF79B" w:rsidR="000B0D26" w:rsidRDefault="00116BBC" w:rsidP="00191110">
      <w:pPr>
        <w:rPr>
          <w:lang w:val="en-US"/>
        </w:rPr>
      </w:pPr>
      <w:permStart w:id="869752172" w:edGrp="everyone"/>
      <w:r>
        <w:t xml:space="preserve">FIA encourages </w:t>
      </w:r>
      <w:r w:rsidR="00877B5E">
        <w:t>ESMA to consider</w:t>
      </w:r>
      <w:r>
        <w:t xml:space="preserve"> t</w:t>
      </w:r>
      <w:r w:rsidR="00471FA2">
        <w:t>his</w:t>
      </w:r>
      <w:r w:rsidR="00565375">
        <w:t xml:space="preserve"> proposal </w:t>
      </w:r>
      <w:r w:rsidR="00764EB9">
        <w:t>in the context of reporting</w:t>
      </w:r>
      <w:r w:rsidR="00565375">
        <w:t xml:space="preserve"> ETD</w:t>
      </w:r>
      <w:r w:rsidR="00C1312D">
        <w:t xml:space="preserve"> derivative</w:t>
      </w:r>
      <w:r w:rsidR="00764EB9">
        <w:t>s</w:t>
      </w:r>
      <w:r w:rsidR="00471FA2">
        <w:t>.</w:t>
      </w:r>
      <w:r w:rsidR="00C1312D">
        <w:t xml:space="preserve"> </w:t>
      </w:r>
      <w:r w:rsidR="001A6110">
        <w:t xml:space="preserve"> FIA supports </w:t>
      </w:r>
      <w:r w:rsidR="00437857">
        <w:t xml:space="preserve">the development of </w:t>
      </w:r>
      <w:r w:rsidR="00437857" w:rsidRPr="00437857">
        <w:t xml:space="preserve">global data </w:t>
      </w:r>
      <w:proofErr w:type="gramStart"/>
      <w:r w:rsidR="00437857" w:rsidRPr="00437857">
        <w:t>standards</w:t>
      </w:r>
      <w:proofErr w:type="gramEnd"/>
      <w:r w:rsidR="00915D66">
        <w:t xml:space="preserve"> but </w:t>
      </w:r>
      <w:r w:rsidR="007E07E1">
        <w:t xml:space="preserve">it is important to </w:t>
      </w:r>
      <w:r w:rsidR="00471FA2">
        <w:t>highlight</w:t>
      </w:r>
      <w:r w:rsidR="00E11695">
        <w:t xml:space="preserve"> where deficiencies in the reporting requirements for ETD have not been adequately assessed.  </w:t>
      </w:r>
      <w:r w:rsidR="00B11282">
        <w:rPr>
          <w:rFonts w:cstheme="minorHAnsi"/>
          <w:lang w:val="en-US"/>
        </w:rPr>
        <w:t>A</w:t>
      </w:r>
      <w:r w:rsidR="00B11282" w:rsidRPr="00B36538">
        <w:rPr>
          <w:rFonts w:cstheme="minorHAnsi"/>
          <w:lang w:val="en-US"/>
        </w:rPr>
        <w:t xml:space="preserve">pplying the same </w:t>
      </w:r>
      <w:r w:rsidR="00B11282">
        <w:rPr>
          <w:rFonts w:cstheme="minorHAnsi"/>
          <w:lang w:val="en-US"/>
        </w:rPr>
        <w:t xml:space="preserve">reporting </w:t>
      </w:r>
      <w:r w:rsidR="00B11282" w:rsidRPr="00B36538">
        <w:rPr>
          <w:rFonts w:cstheme="minorHAnsi"/>
          <w:lang w:val="en-US"/>
        </w:rPr>
        <w:t>rules</w:t>
      </w:r>
      <w:r w:rsidR="00B11282">
        <w:rPr>
          <w:rFonts w:cstheme="minorHAnsi"/>
          <w:lang w:val="en-US"/>
        </w:rPr>
        <w:t xml:space="preserve"> </w:t>
      </w:r>
      <w:r w:rsidR="0014063F">
        <w:rPr>
          <w:rFonts w:cstheme="minorHAnsi"/>
          <w:lang w:val="en-US"/>
        </w:rPr>
        <w:t>in EMIR and MiFID II/</w:t>
      </w:r>
      <w:proofErr w:type="spellStart"/>
      <w:r w:rsidR="0014063F">
        <w:rPr>
          <w:rFonts w:cstheme="minorHAnsi"/>
          <w:lang w:val="en-US"/>
        </w:rPr>
        <w:t>MiFIR</w:t>
      </w:r>
      <w:proofErr w:type="spellEnd"/>
      <w:r w:rsidR="00B11282" w:rsidRPr="00B36538">
        <w:rPr>
          <w:rFonts w:cstheme="minorHAnsi"/>
          <w:lang w:val="en-US"/>
        </w:rPr>
        <w:t xml:space="preserve"> to </w:t>
      </w:r>
      <w:r w:rsidR="00B11282" w:rsidRPr="00B36538">
        <w:rPr>
          <w:lang w:val="en-US"/>
        </w:rPr>
        <w:t xml:space="preserve">OTC and ETD products fails to account for the nuances </w:t>
      </w:r>
      <w:r w:rsidR="00AE5050">
        <w:rPr>
          <w:lang w:val="en-US"/>
        </w:rPr>
        <w:t xml:space="preserve">that exist </w:t>
      </w:r>
      <w:r w:rsidR="00B11282" w:rsidRPr="00B36538">
        <w:rPr>
          <w:lang w:val="en-US"/>
        </w:rPr>
        <w:t xml:space="preserve">between OTCs and ETDs. </w:t>
      </w:r>
      <w:r w:rsidR="00F71046">
        <w:rPr>
          <w:lang w:val="en-US"/>
        </w:rPr>
        <w:t xml:space="preserve"> </w:t>
      </w:r>
      <w:r w:rsidR="0014063F">
        <w:rPr>
          <w:lang w:val="en-US"/>
        </w:rPr>
        <w:t>U</w:t>
      </w:r>
      <w:r w:rsidR="00B11282" w:rsidRPr="00B36538">
        <w:rPr>
          <w:lang w:val="en-US"/>
        </w:rPr>
        <w:t>nder EMIR Article 9</w:t>
      </w:r>
      <w:r w:rsidR="0014063F">
        <w:rPr>
          <w:lang w:val="en-US"/>
        </w:rPr>
        <w:t>, r</w:t>
      </w:r>
      <w:r w:rsidR="00B11282" w:rsidRPr="00B36538">
        <w:rPr>
          <w:lang w:val="en-US"/>
        </w:rPr>
        <w:t xml:space="preserve">eporting transaction-level data for ETDs offers little </w:t>
      </w:r>
      <w:r w:rsidR="0014063F">
        <w:rPr>
          <w:lang w:val="en-US"/>
        </w:rPr>
        <w:t>or</w:t>
      </w:r>
      <w:r w:rsidR="00B11282" w:rsidRPr="00B36538">
        <w:rPr>
          <w:lang w:val="en-US"/>
        </w:rPr>
        <w:t xml:space="preserve"> no benefit for regulatory authorities </w:t>
      </w:r>
      <w:r w:rsidR="00497755">
        <w:rPr>
          <w:lang w:val="en-US"/>
        </w:rPr>
        <w:t xml:space="preserve">in assessing systemic risk in ETD markets </w:t>
      </w:r>
      <w:r w:rsidR="00B11282" w:rsidRPr="00B36538">
        <w:rPr>
          <w:lang w:val="en-US"/>
        </w:rPr>
        <w:t xml:space="preserve">while it places a </w:t>
      </w:r>
      <w:r w:rsidR="00B11282">
        <w:rPr>
          <w:lang w:val="en-US"/>
        </w:rPr>
        <w:t>significant</w:t>
      </w:r>
      <w:r w:rsidR="00B11282" w:rsidRPr="00B36538">
        <w:rPr>
          <w:lang w:val="en-US"/>
        </w:rPr>
        <w:t xml:space="preserve"> burden</w:t>
      </w:r>
      <w:r w:rsidR="00F71046">
        <w:rPr>
          <w:lang w:val="en-US"/>
        </w:rPr>
        <w:t xml:space="preserve">, </w:t>
      </w:r>
      <w:proofErr w:type="gramStart"/>
      <w:r w:rsidR="00F71046">
        <w:rPr>
          <w:lang w:val="en-US"/>
        </w:rPr>
        <w:t>cost</w:t>
      </w:r>
      <w:proofErr w:type="gramEnd"/>
      <w:r w:rsidR="00F71046">
        <w:rPr>
          <w:lang w:val="en-US"/>
        </w:rPr>
        <w:t xml:space="preserve"> and </w:t>
      </w:r>
      <w:r w:rsidR="007A7BDF">
        <w:rPr>
          <w:lang w:val="en-US"/>
        </w:rPr>
        <w:t>impact on resources</w:t>
      </w:r>
      <w:r w:rsidR="00B11282" w:rsidRPr="00B36538">
        <w:rPr>
          <w:lang w:val="en-US"/>
        </w:rPr>
        <w:t xml:space="preserve"> </w:t>
      </w:r>
      <w:r w:rsidR="007A7BDF">
        <w:rPr>
          <w:lang w:val="en-US"/>
        </w:rPr>
        <w:t>for</w:t>
      </w:r>
      <w:r w:rsidR="00B11282" w:rsidRPr="00B36538">
        <w:rPr>
          <w:lang w:val="en-US"/>
        </w:rPr>
        <w:t xml:space="preserve"> reporting firms. For the reporting of ETDs, ESMA </w:t>
      </w:r>
      <w:r w:rsidR="00B11282">
        <w:rPr>
          <w:lang w:val="en-US"/>
        </w:rPr>
        <w:t xml:space="preserve">should </w:t>
      </w:r>
      <w:r w:rsidR="00B11282" w:rsidRPr="00B36538">
        <w:rPr>
          <w:lang w:val="en-US"/>
        </w:rPr>
        <w:t>consider placing priority on the reporting of position data over transaction-level data</w:t>
      </w:r>
      <w:r w:rsidR="00497755">
        <w:rPr>
          <w:lang w:val="en-US"/>
        </w:rPr>
        <w:t xml:space="preserve"> for EMIR</w:t>
      </w:r>
      <w:r w:rsidR="00926218">
        <w:rPr>
          <w:lang w:val="en-US"/>
        </w:rPr>
        <w:t xml:space="preserve">. </w:t>
      </w:r>
      <w:r w:rsidR="00B9461B">
        <w:rPr>
          <w:lang w:val="en-US"/>
        </w:rPr>
        <w:t>Th</w:t>
      </w:r>
      <w:r w:rsidR="00D30BCC">
        <w:rPr>
          <w:lang w:val="en-US"/>
        </w:rPr>
        <w:t>is</w:t>
      </w:r>
      <w:r w:rsidR="00B9461B">
        <w:rPr>
          <w:lang w:val="en-US"/>
        </w:rPr>
        <w:t xml:space="preserve"> would create significant benefits to reporting firms while having little or no impact </w:t>
      </w:r>
      <w:r w:rsidR="0081386A">
        <w:rPr>
          <w:lang w:val="en-US"/>
        </w:rPr>
        <w:t xml:space="preserve">to regulators’ ability to monitor systemic risk under EMIR and assess market abuse under </w:t>
      </w:r>
      <w:proofErr w:type="spellStart"/>
      <w:r w:rsidR="0081386A">
        <w:rPr>
          <w:lang w:val="en-US"/>
        </w:rPr>
        <w:t>MiFIR</w:t>
      </w:r>
      <w:proofErr w:type="spellEnd"/>
      <w:r w:rsidR="0081386A">
        <w:rPr>
          <w:lang w:val="en-US"/>
        </w:rPr>
        <w:t>.</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1CC338AA" w14:textId="3E047241" w:rsidR="00FB74B6" w:rsidRDefault="00874D86" w:rsidP="00A47E51">
      <w:pPr>
        <w:rPr>
          <w:rFonts w:cstheme="minorHAnsi"/>
          <w:lang w:val="en-US"/>
        </w:rPr>
      </w:pPr>
      <w:permStart w:id="1581188992" w:edGrp="everyone"/>
      <w:r>
        <w:t>FIA</w:t>
      </w:r>
      <w:r w:rsidR="00F50CC2">
        <w:t xml:space="preserve"> a</w:t>
      </w:r>
      <w:r w:rsidR="006B1E5B">
        <w:t>gree</w:t>
      </w:r>
      <w:r>
        <w:t>s</w:t>
      </w:r>
      <w:r w:rsidR="00F50CC2">
        <w:t xml:space="preserve"> with</w:t>
      </w:r>
      <w:r w:rsidR="006B1E5B">
        <w:t xml:space="preserve"> ESMA’s assessment </w:t>
      </w:r>
      <w:r w:rsidR="0020570A">
        <w:t>that</w:t>
      </w:r>
      <w:r w:rsidR="006B1E5B">
        <w:t xml:space="preserve"> </w:t>
      </w:r>
      <w:r w:rsidR="00D0140F">
        <w:t xml:space="preserve">the </w:t>
      </w:r>
      <w:r w:rsidR="006B1E5B">
        <w:t xml:space="preserve">UTI </w:t>
      </w:r>
      <w:r w:rsidR="0020570A">
        <w:t xml:space="preserve">is </w:t>
      </w:r>
      <w:r w:rsidR="006B1E5B">
        <w:t xml:space="preserve">not viable for reporting under </w:t>
      </w:r>
      <w:proofErr w:type="spellStart"/>
      <w:r w:rsidR="006B1E5B">
        <w:t>MiFIR</w:t>
      </w:r>
      <w:proofErr w:type="spellEnd"/>
      <w:r w:rsidR="006B1E5B">
        <w:t xml:space="preserve">. </w:t>
      </w:r>
      <w:r w:rsidR="00224B17">
        <w:t xml:space="preserve"> With respect to ESMA’s </w:t>
      </w:r>
      <w:r w:rsidR="008C1AC4">
        <w:t xml:space="preserve">views of </w:t>
      </w:r>
      <w:r w:rsidR="00D36BF8">
        <w:t xml:space="preserve">the </w:t>
      </w:r>
      <w:r w:rsidR="008C1AC4">
        <w:t xml:space="preserve">UPI, </w:t>
      </w:r>
      <w:r w:rsidR="00D36BF8">
        <w:t>it should be noted</w:t>
      </w:r>
      <w:r w:rsidR="006E6867">
        <w:t xml:space="preserve"> that all </w:t>
      </w:r>
      <w:r w:rsidR="00F50CC2" w:rsidRPr="00975384">
        <w:t>derivatives</w:t>
      </w:r>
      <w:r w:rsidR="00224B17" w:rsidRPr="00975384">
        <w:t xml:space="preserve"> </w:t>
      </w:r>
      <w:r w:rsidR="00224B17" w:rsidRPr="00975384">
        <w:rPr>
          <w:lang w:val="en-US"/>
        </w:rPr>
        <w:t>traded</w:t>
      </w:r>
      <w:r w:rsidR="00224B17">
        <w:rPr>
          <w:lang w:val="en-US"/>
        </w:rPr>
        <w:t xml:space="preserve"> on</w:t>
      </w:r>
      <w:r w:rsidR="00224B17" w:rsidRPr="00975384">
        <w:rPr>
          <w:lang w:val="en-US"/>
        </w:rPr>
        <w:t xml:space="preserve">, or </w:t>
      </w:r>
      <w:r w:rsidR="00224B17" w:rsidRPr="00975384">
        <w:t>admitted to trading</w:t>
      </w:r>
      <w:r w:rsidR="00224B17">
        <w:rPr>
          <w:lang w:val="en-US"/>
        </w:rPr>
        <w:t xml:space="preserve"> on</w:t>
      </w:r>
      <w:r w:rsidR="00224B17" w:rsidRPr="00975384">
        <w:t xml:space="preserve">, a </w:t>
      </w:r>
      <w:r w:rsidR="00362978">
        <w:t>T</w:t>
      </w:r>
      <w:r w:rsidR="00224B17" w:rsidRPr="00975384">
        <w:t xml:space="preserve">rading </w:t>
      </w:r>
      <w:r w:rsidR="00362978">
        <w:t>V</w:t>
      </w:r>
      <w:r w:rsidR="00224B17" w:rsidRPr="00975384">
        <w:t xml:space="preserve">enue </w:t>
      </w:r>
      <w:r w:rsidR="00224B17" w:rsidRPr="00975384">
        <w:rPr>
          <w:lang w:val="en-US"/>
        </w:rPr>
        <w:t>are</w:t>
      </w:r>
      <w:r w:rsidR="00224B17" w:rsidRPr="00975384">
        <w:t xml:space="preserve"> expected to have</w:t>
      </w:r>
      <w:r w:rsidR="000265E1">
        <w:t xml:space="preserve"> a</w:t>
      </w:r>
      <w:r w:rsidR="00224B17" w:rsidRPr="00975384">
        <w:t xml:space="preserve"> </w:t>
      </w:r>
      <w:r w:rsidR="00D0140F">
        <w:t xml:space="preserve">valid </w:t>
      </w:r>
      <w:r w:rsidR="00224B17" w:rsidRPr="00975384">
        <w:t>ISIN</w:t>
      </w:r>
      <w:r w:rsidR="00224B17" w:rsidRPr="00975384">
        <w:rPr>
          <w:lang w:val="en-US"/>
        </w:rPr>
        <w:t xml:space="preserve">. </w:t>
      </w:r>
      <w:r w:rsidR="00A47E51">
        <w:rPr>
          <w:lang w:val="en-US"/>
        </w:rPr>
        <w:t xml:space="preserve"> </w:t>
      </w:r>
      <w:r w:rsidR="00224B17">
        <w:rPr>
          <w:lang w:val="en-US"/>
        </w:rPr>
        <w:t xml:space="preserve">Furthermore, the concept of the UPI was designed for complex, </w:t>
      </w:r>
      <w:proofErr w:type="spellStart"/>
      <w:r w:rsidR="00224B17">
        <w:rPr>
          <w:lang w:val="en-US"/>
        </w:rPr>
        <w:t>customisable</w:t>
      </w:r>
      <w:proofErr w:type="spellEnd"/>
      <w:r w:rsidR="00224B17">
        <w:rPr>
          <w:lang w:val="en-US"/>
        </w:rPr>
        <w:t xml:space="preserve"> contracts (OTCs).</w:t>
      </w:r>
      <w:r w:rsidR="00A47E51">
        <w:rPr>
          <w:lang w:val="en-US"/>
        </w:rPr>
        <w:t xml:space="preserve"> </w:t>
      </w:r>
      <w:r w:rsidR="00224B17">
        <w:rPr>
          <w:lang w:val="en-US"/>
        </w:rPr>
        <w:t xml:space="preserve"> </w:t>
      </w:r>
      <w:r w:rsidR="00224B17" w:rsidRPr="00975384">
        <w:rPr>
          <w:lang w:val="en-US"/>
        </w:rPr>
        <w:t>As such,</w:t>
      </w:r>
      <w:r w:rsidR="00224B17" w:rsidRPr="00975384">
        <w:t xml:space="preserve"> </w:t>
      </w:r>
      <w:r w:rsidR="00A47E51">
        <w:t>FIA</w:t>
      </w:r>
      <w:r w:rsidR="00224B17">
        <w:t xml:space="preserve"> </w:t>
      </w:r>
      <w:r w:rsidR="00224B17">
        <w:rPr>
          <w:lang w:val="en-US"/>
        </w:rPr>
        <w:lastRenderedPageBreak/>
        <w:t>remain</w:t>
      </w:r>
      <w:r w:rsidR="00A47E51">
        <w:rPr>
          <w:lang w:val="en-US"/>
        </w:rPr>
        <w:t>s</w:t>
      </w:r>
      <w:r w:rsidR="00224B17">
        <w:t xml:space="preserve"> confident </w:t>
      </w:r>
      <w:r w:rsidR="00224B17" w:rsidRPr="00975384">
        <w:rPr>
          <w:rFonts w:cstheme="minorHAnsi"/>
          <w:lang w:val="en-US"/>
        </w:rPr>
        <w:t>that the ISIN provides the most granular method of identification</w:t>
      </w:r>
      <w:r w:rsidR="00224B17">
        <w:rPr>
          <w:rFonts w:cstheme="minorHAnsi"/>
          <w:lang w:val="en-US"/>
        </w:rPr>
        <w:t xml:space="preserve"> for ETD reporting</w:t>
      </w:r>
      <w:r w:rsidR="00224B17" w:rsidRPr="00975384">
        <w:rPr>
          <w:rFonts w:cstheme="minorHAnsi"/>
          <w:lang w:val="en-US"/>
        </w:rPr>
        <w:t xml:space="preserve">. </w:t>
      </w:r>
      <w:r w:rsidR="00A47E51">
        <w:rPr>
          <w:rFonts w:cstheme="minorHAnsi"/>
          <w:lang w:val="en-US"/>
        </w:rPr>
        <w:t xml:space="preserve"> </w:t>
      </w:r>
      <w:r w:rsidR="00224B17" w:rsidRPr="00975384">
        <w:rPr>
          <w:rFonts w:cstheme="minorHAnsi"/>
          <w:lang w:val="en-US"/>
        </w:rPr>
        <w:t xml:space="preserve">Where available, the ISIN should be used to accurately identify the </w:t>
      </w:r>
      <w:r w:rsidR="00A47E51">
        <w:rPr>
          <w:rFonts w:cstheme="minorHAnsi"/>
          <w:lang w:val="en-US"/>
        </w:rPr>
        <w:t xml:space="preserve">exchange traded </w:t>
      </w:r>
      <w:r w:rsidR="00224B17" w:rsidRPr="00975384">
        <w:rPr>
          <w:rFonts w:cstheme="minorHAnsi"/>
          <w:lang w:val="en-US"/>
        </w:rPr>
        <w:t>derivative.</w:t>
      </w:r>
    </w:p>
    <w:permEnd w:id="1581188992"/>
    <w:p w14:paraId="31A2E5D0" w14:textId="5AE66765"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368F4C0E" w14:textId="5F6CD4AF" w:rsidR="00E92FB8" w:rsidRPr="00EA2914" w:rsidRDefault="00CD4538" w:rsidP="00A47E51">
      <w:pPr>
        <w:rPr>
          <w:szCs w:val="22"/>
        </w:rPr>
      </w:pPr>
      <w:permStart w:id="1580817176" w:edGrp="everyone"/>
      <w:r w:rsidRPr="00643E0E">
        <w:t xml:space="preserve">FIA recommends that </w:t>
      </w:r>
      <w:r w:rsidR="00AD2612">
        <w:t xml:space="preserve">ESMA take </w:t>
      </w:r>
      <w:r w:rsidRPr="00643E0E">
        <w:t xml:space="preserve">further steps to harmonise the reporting requirements under EMIR with MiFID II so that reporting parties are only required to report the underlying instrument data in such instances where an </w:t>
      </w:r>
      <w:r w:rsidRPr="00EA2914">
        <w:rPr>
          <w:szCs w:val="22"/>
        </w:rPr>
        <w:t xml:space="preserve">ISIN is not reported. </w:t>
      </w:r>
      <w:r w:rsidR="00AD2612">
        <w:rPr>
          <w:szCs w:val="22"/>
        </w:rPr>
        <w:t xml:space="preserve"> </w:t>
      </w:r>
      <w:r w:rsidRPr="00EA2914">
        <w:rPr>
          <w:szCs w:val="22"/>
        </w:rPr>
        <w:t xml:space="preserve">This would reduce the existing myriad of matching fields and help to address </w:t>
      </w:r>
      <w:proofErr w:type="gramStart"/>
      <w:r w:rsidRPr="00EA2914">
        <w:rPr>
          <w:szCs w:val="22"/>
        </w:rPr>
        <w:t>a number of</w:t>
      </w:r>
      <w:proofErr w:type="gramEnd"/>
      <w:r w:rsidRPr="00EA2914">
        <w:rPr>
          <w:szCs w:val="22"/>
        </w:rPr>
        <w:t xml:space="preserve"> existing matching issues such as ‘Maturity Date’. Furthermore, this would ease the burden </w:t>
      </w:r>
      <w:r w:rsidR="00251A21">
        <w:rPr>
          <w:szCs w:val="22"/>
        </w:rPr>
        <w:t>on reporting firms where they are required to</w:t>
      </w:r>
      <w:r w:rsidRPr="00EA2914">
        <w:rPr>
          <w:szCs w:val="22"/>
        </w:rPr>
        <w:t xml:space="preserve"> obtain extensive Commodity Reference data that is not widely available.</w:t>
      </w:r>
    </w:p>
    <w:p w14:paraId="29EBE5D5" w14:textId="60776673" w:rsidR="00E92FB8" w:rsidRPr="008953F1" w:rsidRDefault="00865344" w:rsidP="00A47E51">
      <w:pPr>
        <w:rPr>
          <w:rFonts w:ascii="Arial" w:hAnsi="Arial" w:cs="Arial"/>
          <w:szCs w:val="22"/>
        </w:rPr>
      </w:pPr>
      <w:r>
        <w:rPr>
          <w:szCs w:val="22"/>
        </w:rPr>
        <w:t xml:space="preserve">As noted in our answer to a previous question, </w:t>
      </w:r>
      <w:r w:rsidR="00CF1DD8" w:rsidRPr="00EA2914">
        <w:rPr>
          <w:szCs w:val="22"/>
        </w:rPr>
        <w:t xml:space="preserve">ESMA must account for the </w:t>
      </w:r>
      <w:r w:rsidR="00480EDE" w:rsidRPr="00EA2914">
        <w:rPr>
          <w:szCs w:val="22"/>
        </w:rPr>
        <w:t xml:space="preserve">differences between OTC and ETD.  One size does not always fit all. </w:t>
      </w:r>
      <w:r w:rsidR="00E92FB8" w:rsidRPr="00EA2914">
        <w:rPr>
          <w:szCs w:val="22"/>
        </w:rPr>
        <w:t xml:space="preserve"> </w:t>
      </w:r>
      <w:r w:rsidR="00480EDE" w:rsidRPr="00EA2914">
        <w:rPr>
          <w:szCs w:val="22"/>
        </w:rPr>
        <w:t xml:space="preserve">In summary, </w:t>
      </w:r>
      <w:r w:rsidR="008953F1">
        <w:rPr>
          <w:rFonts w:ascii="Arial" w:hAnsi="Arial" w:cs="Arial"/>
          <w:szCs w:val="22"/>
        </w:rPr>
        <w:t>d</w:t>
      </w:r>
      <w:r w:rsidR="00E92FB8" w:rsidRPr="00EA2914">
        <w:rPr>
          <w:rFonts w:ascii="Arial" w:hAnsi="Arial" w:cs="Arial"/>
          <w:szCs w:val="22"/>
        </w:rPr>
        <w:t>ue to the nature of OTC derivatives, they are not suited to be aggregated by ISIN as currently defined and therefore any efforts to measure system risk by product, or characteristics of the product, would be severely limited. Therefore, the UPI is the most appropriate identifier for OTC derivatives, regardless of where they are traded. ISIN</w:t>
      </w:r>
      <w:r w:rsidR="00EA2914" w:rsidRPr="00EA2914">
        <w:rPr>
          <w:rFonts w:ascii="Arial" w:hAnsi="Arial" w:cs="Arial"/>
          <w:szCs w:val="22"/>
        </w:rPr>
        <w:t>,</w:t>
      </w:r>
      <w:r w:rsidR="00E92FB8" w:rsidRPr="00EA2914">
        <w:rPr>
          <w:rFonts w:ascii="Arial" w:hAnsi="Arial" w:cs="Arial"/>
          <w:szCs w:val="22"/>
        </w:rPr>
        <w:t xml:space="preserve"> on the other hand</w:t>
      </w:r>
      <w:r w:rsidR="00EA2914" w:rsidRPr="00EA2914">
        <w:rPr>
          <w:rFonts w:ascii="Arial" w:hAnsi="Arial" w:cs="Arial"/>
          <w:szCs w:val="22"/>
        </w:rPr>
        <w:t>,</w:t>
      </w:r>
      <w:r w:rsidR="00E92FB8" w:rsidRPr="00EA2914">
        <w:rPr>
          <w:rFonts w:ascii="Arial" w:hAnsi="Arial" w:cs="Arial"/>
          <w:szCs w:val="22"/>
        </w:rPr>
        <w:t xml:space="preserve"> can be used for ETD where multiple trades are executed using the same ISIN and where the ISIN itself can easily be aggregated.</w:t>
      </w:r>
    </w:p>
    <w:permEnd w:id="1580817176"/>
    <w:p w14:paraId="441BED36" w14:textId="59DCEBE0"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0CAB9983" w14:textId="2D374EF2" w:rsidR="00897135" w:rsidRPr="00D1255D" w:rsidRDefault="00897135" w:rsidP="00C40880">
      <w:pPr>
        <w:spacing w:after="0"/>
        <w:contextualSpacing/>
        <w:rPr>
          <w:lang w:val="en-US"/>
        </w:rPr>
      </w:pPr>
      <w:permStart w:id="1128496454" w:edGrp="everyone"/>
      <w:r w:rsidRPr="00D1255D">
        <w:rPr>
          <w:lang w:val="en-US"/>
        </w:rPr>
        <w:t xml:space="preserve">We recommend </w:t>
      </w:r>
      <w:r w:rsidR="00C40880">
        <w:rPr>
          <w:lang w:val="en-US"/>
        </w:rPr>
        <w:t xml:space="preserve">that </w:t>
      </w:r>
      <w:r w:rsidRPr="00D1255D">
        <w:rPr>
          <w:lang w:val="en-US"/>
        </w:rPr>
        <w:t>ESMA provide</w:t>
      </w:r>
      <w:r w:rsidR="00C40880">
        <w:rPr>
          <w:lang w:val="en-US"/>
        </w:rPr>
        <w:t>s</w:t>
      </w:r>
      <w:r w:rsidRPr="00D1255D">
        <w:rPr>
          <w:lang w:val="en-US"/>
        </w:rPr>
        <w:t xml:space="preserve"> worked examples, where applicable, </w:t>
      </w:r>
      <w:proofErr w:type="gramStart"/>
      <w:r w:rsidRPr="00D1255D">
        <w:rPr>
          <w:lang w:val="en-US"/>
        </w:rPr>
        <w:t>in order to</w:t>
      </w:r>
      <w:proofErr w:type="gramEnd"/>
      <w:r w:rsidRPr="00D1255D">
        <w:rPr>
          <w:lang w:val="en-US"/>
        </w:rPr>
        <w:t xml:space="preserve"> reduce ambiguity and the need for prolonged efforts to update Q&amp;A. Where appropriate, ESMA </w:t>
      </w:r>
      <w:r w:rsidR="0072412B" w:rsidRPr="00D1255D">
        <w:rPr>
          <w:lang w:val="en-US"/>
        </w:rPr>
        <w:t>should</w:t>
      </w:r>
      <w:r w:rsidRPr="00D1255D">
        <w:rPr>
          <w:lang w:val="en-US"/>
        </w:rPr>
        <w:t xml:space="preserve"> </w:t>
      </w:r>
      <w:r w:rsidRPr="00D1255D">
        <w:rPr>
          <w:lang w:val="en-US"/>
        </w:rPr>
        <w:lastRenderedPageBreak/>
        <w:t xml:space="preserve">consider industry workshops to garner support and feedback when preparing </w:t>
      </w:r>
      <w:r w:rsidR="0016539B" w:rsidRPr="00D1255D">
        <w:rPr>
          <w:lang w:val="en-US"/>
        </w:rPr>
        <w:t>technical standards</w:t>
      </w:r>
      <w:r w:rsidRPr="00D1255D">
        <w:rPr>
          <w:lang w:val="en-US"/>
        </w:rPr>
        <w:t>.</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937B8" w14:textId="77777777" w:rsidR="008C1A6D" w:rsidRDefault="008C1A6D" w:rsidP="007E7997">
      <w:pPr>
        <w:spacing w:line="240" w:lineRule="auto"/>
      </w:pPr>
      <w:r>
        <w:separator/>
      </w:r>
    </w:p>
  </w:endnote>
  <w:endnote w:type="continuationSeparator" w:id="0">
    <w:p w14:paraId="6C276DE9" w14:textId="77777777" w:rsidR="008C1A6D" w:rsidRDefault="008C1A6D" w:rsidP="007E7997">
      <w:pPr>
        <w:spacing w:line="240" w:lineRule="auto"/>
      </w:pPr>
      <w:r>
        <w:continuationSeparator/>
      </w:r>
    </w:p>
  </w:endnote>
  <w:endnote w:type="continuationNotice" w:id="1">
    <w:p w14:paraId="6FB984DB" w14:textId="77777777" w:rsidR="008C1A6D" w:rsidRDefault="008C1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52A9F" w14:textId="77777777" w:rsidR="008C1A6D" w:rsidRDefault="008C1A6D" w:rsidP="007E7997">
      <w:pPr>
        <w:spacing w:line="240" w:lineRule="auto"/>
      </w:pPr>
      <w:r>
        <w:separator/>
      </w:r>
    </w:p>
  </w:footnote>
  <w:footnote w:type="continuationSeparator" w:id="0">
    <w:p w14:paraId="559983ED" w14:textId="77777777" w:rsidR="008C1A6D" w:rsidRDefault="008C1A6D" w:rsidP="007E7997">
      <w:pPr>
        <w:spacing w:line="240" w:lineRule="auto"/>
      </w:pPr>
      <w:r>
        <w:continuationSeparator/>
      </w:r>
    </w:p>
  </w:footnote>
  <w:footnote w:type="continuationNotice" w:id="1">
    <w:p w14:paraId="73C67639" w14:textId="77777777" w:rsidR="008C1A6D" w:rsidRDefault="008C1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DC944"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8C2"/>
    <w:multiLevelType w:val="hybridMultilevel"/>
    <w:tmpl w:val="EFC04184"/>
    <w:lvl w:ilvl="0" w:tplc="C1E85ED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744469"/>
    <w:multiLevelType w:val="hybridMultilevel"/>
    <w:tmpl w:val="7646E518"/>
    <w:lvl w:ilvl="0" w:tplc="783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138C9"/>
    <w:multiLevelType w:val="hybridMultilevel"/>
    <w:tmpl w:val="6C8E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031383"/>
    <w:multiLevelType w:val="hybridMultilevel"/>
    <w:tmpl w:val="7C487D34"/>
    <w:lvl w:ilvl="0" w:tplc="B7B8A99E">
      <w:start w:val="3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8C3484"/>
    <w:multiLevelType w:val="hybridMultilevel"/>
    <w:tmpl w:val="D800F956"/>
    <w:lvl w:ilvl="0" w:tplc="B7B8A99E">
      <w:start w:val="3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1545E3"/>
    <w:multiLevelType w:val="hybridMultilevel"/>
    <w:tmpl w:val="92F2B636"/>
    <w:lvl w:ilvl="0" w:tplc="C2109488">
      <w:start w:val="5"/>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AA14EB9"/>
    <w:multiLevelType w:val="hybridMultilevel"/>
    <w:tmpl w:val="AC62AEC2"/>
    <w:lvl w:ilvl="0" w:tplc="DDFA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BE37CE"/>
    <w:multiLevelType w:val="hybridMultilevel"/>
    <w:tmpl w:val="3D5078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536ECD"/>
    <w:multiLevelType w:val="hybridMultilevel"/>
    <w:tmpl w:val="73FC2AE8"/>
    <w:lvl w:ilvl="0" w:tplc="8B581AB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6551D1"/>
    <w:multiLevelType w:val="hybridMultilevel"/>
    <w:tmpl w:val="DB4C9B58"/>
    <w:lvl w:ilvl="0" w:tplc="E7A40B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5022D46"/>
    <w:multiLevelType w:val="hybridMultilevel"/>
    <w:tmpl w:val="B8CAA20A"/>
    <w:lvl w:ilvl="0" w:tplc="B7B8A99E">
      <w:start w:val="3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954795"/>
    <w:multiLevelType w:val="hybridMultilevel"/>
    <w:tmpl w:val="B5447392"/>
    <w:lvl w:ilvl="0" w:tplc="B7B8A99E">
      <w:start w:val="3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C2F5A31"/>
    <w:multiLevelType w:val="hybridMultilevel"/>
    <w:tmpl w:val="FE500C9E"/>
    <w:lvl w:ilvl="0" w:tplc="B7B8A99E">
      <w:start w:val="3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10"/>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4"/>
  </w:num>
  <w:num w:numId="15">
    <w:abstractNumId w:val="17"/>
  </w:num>
  <w:num w:numId="16">
    <w:abstractNumId w:val="6"/>
  </w:num>
  <w:num w:numId="17">
    <w:abstractNumId w:val="19"/>
  </w:num>
  <w:num w:numId="18">
    <w:abstractNumId w:val="1"/>
  </w:num>
  <w:num w:numId="19">
    <w:abstractNumId w:val="11"/>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491"/>
    <w:rsid w:val="00002D57"/>
    <w:rsid w:val="000032B2"/>
    <w:rsid w:val="0000380B"/>
    <w:rsid w:val="00003D5E"/>
    <w:rsid w:val="00004631"/>
    <w:rsid w:val="00005505"/>
    <w:rsid w:val="0000551F"/>
    <w:rsid w:val="00006275"/>
    <w:rsid w:val="00010111"/>
    <w:rsid w:val="00010E68"/>
    <w:rsid w:val="00011BB6"/>
    <w:rsid w:val="00011C4F"/>
    <w:rsid w:val="00011FCC"/>
    <w:rsid w:val="0001249B"/>
    <w:rsid w:val="0001284B"/>
    <w:rsid w:val="00012D68"/>
    <w:rsid w:val="000142BB"/>
    <w:rsid w:val="000144DD"/>
    <w:rsid w:val="0001577A"/>
    <w:rsid w:val="00015EB6"/>
    <w:rsid w:val="0001632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65E1"/>
    <w:rsid w:val="00027278"/>
    <w:rsid w:val="0002737D"/>
    <w:rsid w:val="00027F35"/>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19DA"/>
    <w:rsid w:val="0004225E"/>
    <w:rsid w:val="00042D7E"/>
    <w:rsid w:val="000441D9"/>
    <w:rsid w:val="00044512"/>
    <w:rsid w:val="00044B4C"/>
    <w:rsid w:val="00044C5A"/>
    <w:rsid w:val="00044E0A"/>
    <w:rsid w:val="000450D8"/>
    <w:rsid w:val="00046193"/>
    <w:rsid w:val="0004777E"/>
    <w:rsid w:val="0005365F"/>
    <w:rsid w:val="0005459D"/>
    <w:rsid w:val="00054E45"/>
    <w:rsid w:val="0005546A"/>
    <w:rsid w:val="00057439"/>
    <w:rsid w:val="000579C3"/>
    <w:rsid w:val="00060925"/>
    <w:rsid w:val="00061931"/>
    <w:rsid w:val="00062C7B"/>
    <w:rsid w:val="00062CF2"/>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49A"/>
    <w:rsid w:val="000915FF"/>
    <w:rsid w:val="000916AE"/>
    <w:rsid w:val="000921E6"/>
    <w:rsid w:val="00092BB5"/>
    <w:rsid w:val="00093239"/>
    <w:rsid w:val="000952F2"/>
    <w:rsid w:val="00095410"/>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BD6"/>
    <w:rsid w:val="000B2E26"/>
    <w:rsid w:val="000B38E1"/>
    <w:rsid w:val="000B4101"/>
    <w:rsid w:val="000B5000"/>
    <w:rsid w:val="000B5D3D"/>
    <w:rsid w:val="000B7912"/>
    <w:rsid w:val="000C0CE0"/>
    <w:rsid w:val="000C282F"/>
    <w:rsid w:val="000C348B"/>
    <w:rsid w:val="000C5ACC"/>
    <w:rsid w:val="000C6951"/>
    <w:rsid w:val="000D0293"/>
    <w:rsid w:val="000D05F9"/>
    <w:rsid w:val="000D1038"/>
    <w:rsid w:val="000D11A9"/>
    <w:rsid w:val="000D1EF2"/>
    <w:rsid w:val="000D251A"/>
    <w:rsid w:val="000D27B8"/>
    <w:rsid w:val="000D2B12"/>
    <w:rsid w:val="000D2D7B"/>
    <w:rsid w:val="000D2E40"/>
    <w:rsid w:val="000D3548"/>
    <w:rsid w:val="000D3B9E"/>
    <w:rsid w:val="000D4553"/>
    <w:rsid w:val="000D5E21"/>
    <w:rsid w:val="000E1FB3"/>
    <w:rsid w:val="000E2232"/>
    <w:rsid w:val="000E38E2"/>
    <w:rsid w:val="000E3B1D"/>
    <w:rsid w:val="000E4BDC"/>
    <w:rsid w:val="000E4E70"/>
    <w:rsid w:val="000E610A"/>
    <w:rsid w:val="000E6757"/>
    <w:rsid w:val="000E7760"/>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6CC"/>
    <w:rsid w:val="000F7998"/>
    <w:rsid w:val="0010035A"/>
    <w:rsid w:val="00100ADC"/>
    <w:rsid w:val="00100F58"/>
    <w:rsid w:val="00101274"/>
    <w:rsid w:val="00101F4F"/>
    <w:rsid w:val="00103DCC"/>
    <w:rsid w:val="00104992"/>
    <w:rsid w:val="00105424"/>
    <w:rsid w:val="00105559"/>
    <w:rsid w:val="001075EC"/>
    <w:rsid w:val="00107ECB"/>
    <w:rsid w:val="00110C61"/>
    <w:rsid w:val="00110EF9"/>
    <w:rsid w:val="00111ADF"/>
    <w:rsid w:val="00112E75"/>
    <w:rsid w:val="001138CC"/>
    <w:rsid w:val="00113D82"/>
    <w:rsid w:val="00113F93"/>
    <w:rsid w:val="00114AFF"/>
    <w:rsid w:val="00116BBC"/>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63F"/>
    <w:rsid w:val="00140767"/>
    <w:rsid w:val="001409B3"/>
    <w:rsid w:val="00140BA6"/>
    <w:rsid w:val="00143571"/>
    <w:rsid w:val="00143A6B"/>
    <w:rsid w:val="00143DCA"/>
    <w:rsid w:val="00143F34"/>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57A04"/>
    <w:rsid w:val="001608B2"/>
    <w:rsid w:val="00160FE0"/>
    <w:rsid w:val="0016299C"/>
    <w:rsid w:val="00162D23"/>
    <w:rsid w:val="00163AB3"/>
    <w:rsid w:val="001641FA"/>
    <w:rsid w:val="00164DDF"/>
    <w:rsid w:val="0016510A"/>
    <w:rsid w:val="0016539B"/>
    <w:rsid w:val="001656A5"/>
    <w:rsid w:val="00165B1E"/>
    <w:rsid w:val="00165FF8"/>
    <w:rsid w:val="001665BB"/>
    <w:rsid w:val="0016683E"/>
    <w:rsid w:val="0016763E"/>
    <w:rsid w:val="00167D44"/>
    <w:rsid w:val="00170AD6"/>
    <w:rsid w:val="00170D5A"/>
    <w:rsid w:val="00172274"/>
    <w:rsid w:val="00172C8B"/>
    <w:rsid w:val="001735B8"/>
    <w:rsid w:val="00176338"/>
    <w:rsid w:val="00176FF1"/>
    <w:rsid w:val="00177215"/>
    <w:rsid w:val="0017748B"/>
    <w:rsid w:val="0018028F"/>
    <w:rsid w:val="00180631"/>
    <w:rsid w:val="001810F4"/>
    <w:rsid w:val="0018269F"/>
    <w:rsid w:val="0018289A"/>
    <w:rsid w:val="00182931"/>
    <w:rsid w:val="00182E2F"/>
    <w:rsid w:val="001834E8"/>
    <w:rsid w:val="00183B3C"/>
    <w:rsid w:val="0018401D"/>
    <w:rsid w:val="00184B91"/>
    <w:rsid w:val="001862A5"/>
    <w:rsid w:val="00186A70"/>
    <w:rsid w:val="00191035"/>
    <w:rsid w:val="00191100"/>
    <w:rsid w:val="00191110"/>
    <w:rsid w:val="00191227"/>
    <w:rsid w:val="001918E5"/>
    <w:rsid w:val="00191BDB"/>
    <w:rsid w:val="0019284D"/>
    <w:rsid w:val="00193843"/>
    <w:rsid w:val="00195EEB"/>
    <w:rsid w:val="001A1EF4"/>
    <w:rsid w:val="001A2C4E"/>
    <w:rsid w:val="001A3807"/>
    <w:rsid w:val="001A3A44"/>
    <w:rsid w:val="001A54F5"/>
    <w:rsid w:val="001A5939"/>
    <w:rsid w:val="001A6110"/>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B7C7C"/>
    <w:rsid w:val="001C0D87"/>
    <w:rsid w:val="001C192F"/>
    <w:rsid w:val="001C29A5"/>
    <w:rsid w:val="001C469E"/>
    <w:rsid w:val="001C56C3"/>
    <w:rsid w:val="001C5D8C"/>
    <w:rsid w:val="001C6D65"/>
    <w:rsid w:val="001C6FF3"/>
    <w:rsid w:val="001C78A7"/>
    <w:rsid w:val="001D0112"/>
    <w:rsid w:val="001D09D4"/>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B6C"/>
    <w:rsid w:val="001E3E0D"/>
    <w:rsid w:val="001E46EB"/>
    <w:rsid w:val="001E4B81"/>
    <w:rsid w:val="001E4E84"/>
    <w:rsid w:val="001E5A7A"/>
    <w:rsid w:val="001E5E30"/>
    <w:rsid w:val="001E6924"/>
    <w:rsid w:val="001E6E1C"/>
    <w:rsid w:val="001E7228"/>
    <w:rsid w:val="001F0D39"/>
    <w:rsid w:val="001F11F6"/>
    <w:rsid w:val="001F22BB"/>
    <w:rsid w:val="001F2D31"/>
    <w:rsid w:val="001F2F79"/>
    <w:rsid w:val="001F3999"/>
    <w:rsid w:val="001F3D9D"/>
    <w:rsid w:val="001F62C1"/>
    <w:rsid w:val="001F75F0"/>
    <w:rsid w:val="00200143"/>
    <w:rsid w:val="00200152"/>
    <w:rsid w:val="00200C18"/>
    <w:rsid w:val="00201174"/>
    <w:rsid w:val="00201282"/>
    <w:rsid w:val="0020189A"/>
    <w:rsid w:val="00202333"/>
    <w:rsid w:val="002034B8"/>
    <w:rsid w:val="0020570A"/>
    <w:rsid w:val="00205922"/>
    <w:rsid w:val="00206F1D"/>
    <w:rsid w:val="0020766F"/>
    <w:rsid w:val="00207A07"/>
    <w:rsid w:val="002109B4"/>
    <w:rsid w:val="00210FBB"/>
    <w:rsid w:val="002113D8"/>
    <w:rsid w:val="0021147A"/>
    <w:rsid w:val="00213299"/>
    <w:rsid w:val="00213BFB"/>
    <w:rsid w:val="00214AB3"/>
    <w:rsid w:val="00215AE7"/>
    <w:rsid w:val="0021600C"/>
    <w:rsid w:val="002167C9"/>
    <w:rsid w:val="00217478"/>
    <w:rsid w:val="002176A2"/>
    <w:rsid w:val="002210B8"/>
    <w:rsid w:val="0022116D"/>
    <w:rsid w:val="002214F4"/>
    <w:rsid w:val="00222E7C"/>
    <w:rsid w:val="00223798"/>
    <w:rsid w:val="00224806"/>
    <w:rsid w:val="00224B17"/>
    <w:rsid w:val="0022520B"/>
    <w:rsid w:val="0022569F"/>
    <w:rsid w:val="0022593A"/>
    <w:rsid w:val="002259FA"/>
    <w:rsid w:val="00230372"/>
    <w:rsid w:val="00230ADA"/>
    <w:rsid w:val="00230DD4"/>
    <w:rsid w:val="00232335"/>
    <w:rsid w:val="002339B8"/>
    <w:rsid w:val="00233B11"/>
    <w:rsid w:val="00234621"/>
    <w:rsid w:val="0023530E"/>
    <w:rsid w:val="00235B1D"/>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1A21"/>
    <w:rsid w:val="002528F2"/>
    <w:rsid w:val="00252C01"/>
    <w:rsid w:val="002532BC"/>
    <w:rsid w:val="0025366E"/>
    <w:rsid w:val="0025450A"/>
    <w:rsid w:val="0025633C"/>
    <w:rsid w:val="002567B7"/>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490"/>
    <w:rsid w:val="00274975"/>
    <w:rsid w:val="002751FC"/>
    <w:rsid w:val="002753BD"/>
    <w:rsid w:val="002770F4"/>
    <w:rsid w:val="00277333"/>
    <w:rsid w:val="00280317"/>
    <w:rsid w:val="00281531"/>
    <w:rsid w:val="002815CB"/>
    <w:rsid w:val="00282CEE"/>
    <w:rsid w:val="00282FBE"/>
    <w:rsid w:val="00283093"/>
    <w:rsid w:val="002833FF"/>
    <w:rsid w:val="00285082"/>
    <w:rsid w:val="0028536B"/>
    <w:rsid w:val="002855FA"/>
    <w:rsid w:val="002856F5"/>
    <w:rsid w:val="00285CED"/>
    <w:rsid w:val="00285EB5"/>
    <w:rsid w:val="00285F53"/>
    <w:rsid w:val="00287773"/>
    <w:rsid w:val="002877FB"/>
    <w:rsid w:val="002878C7"/>
    <w:rsid w:val="00287C8F"/>
    <w:rsid w:val="002904FC"/>
    <w:rsid w:val="00290893"/>
    <w:rsid w:val="00292845"/>
    <w:rsid w:val="00293725"/>
    <w:rsid w:val="0029394C"/>
    <w:rsid w:val="00293FFB"/>
    <w:rsid w:val="0029570B"/>
    <w:rsid w:val="00297280"/>
    <w:rsid w:val="002A05DB"/>
    <w:rsid w:val="002A13B0"/>
    <w:rsid w:val="002A2C91"/>
    <w:rsid w:val="002A3F54"/>
    <w:rsid w:val="002A57B1"/>
    <w:rsid w:val="002A5DC9"/>
    <w:rsid w:val="002A7428"/>
    <w:rsid w:val="002A780E"/>
    <w:rsid w:val="002B0346"/>
    <w:rsid w:val="002B09D1"/>
    <w:rsid w:val="002B0DA1"/>
    <w:rsid w:val="002B1BB2"/>
    <w:rsid w:val="002B1D1C"/>
    <w:rsid w:val="002B4CBE"/>
    <w:rsid w:val="002B53F3"/>
    <w:rsid w:val="002B63E0"/>
    <w:rsid w:val="002C0104"/>
    <w:rsid w:val="002C044D"/>
    <w:rsid w:val="002C051D"/>
    <w:rsid w:val="002C081D"/>
    <w:rsid w:val="002C0BD3"/>
    <w:rsid w:val="002C0D4C"/>
    <w:rsid w:val="002C1263"/>
    <w:rsid w:val="002C19D6"/>
    <w:rsid w:val="002C4917"/>
    <w:rsid w:val="002C50C5"/>
    <w:rsid w:val="002C5470"/>
    <w:rsid w:val="002C5D6D"/>
    <w:rsid w:val="002C60D4"/>
    <w:rsid w:val="002C611F"/>
    <w:rsid w:val="002C6187"/>
    <w:rsid w:val="002C76C1"/>
    <w:rsid w:val="002C76F4"/>
    <w:rsid w:val="002D0AF9"/>
    <w:rsid w:val="002D0EAE"/>
    <w:rsid w:val="002D10D2"/>
    <w:rsid w:val="002D1AFC"/>
    <w:rsid w:val="002D2220"/>
    <w:rsid w:val="002D2992"/>
    <w:rsid w:val="002D37A0"/>
    <w:rsid w:val="002D37C5"/>
    <w:rsid w:val="002D4A30"/>
    <w:rsid w:val="002D5AB5"/>
    <w:rsid w:val="002D6910"/>
    <w:rsid w:val="002D78EC"/>
    <w:rsid w:val="002D7DE2"/>
    <w:rsid w:val="002E1088"/>
    <w:rsid w:val="002E19E3"/>
    <w:rsid w:val="002E1A5E"/>
    <w:rsid w:val="002E1C11"/>
    <w:rsid w:val="002E3E7D"/>
    <w:rsid w:val="002E40CA"/>
    <w:rsid w:val="002E4ADA"/>
    <w:rsid w:val="002E53C7"/>
    <w:rsid w:val="002E6EF5"/>
    <w:rsid w:val="002F0DC0"/>
    <w:rsid w:val="002F1127"/>
    <w:rsid w:val="002F12D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974"/>
    <w:rsid w:val="00305B0A"/>
    <w:rsid w:val="00306516"/>
    <w:rsid w:val="00310108"/>
    <w:rsid w:val="003106A6"/>
    <w:rsid w:val="003111F3"/>
    <w:rsid w:val="003113CB"/>
    <w:rsid w:val="00311882"/>
    <w:rsid w:val="00311DDD"/>
    <w:rsid w:val="00312904"/>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0896"/>
    <w:rsid w:val="00331C18"/>
    <w:rsid w:val="00331FE9"/>
    <w:rsid w:val="00332C18"/>
    <w:rsid w:val="0033324D"/>
    <w:rsid w:val="0033587C"/>
    <w:rsid w:val="00335C95"/>
    <w:rsid w:val="003371E8"/>
    <w:rsid w:val="003377DC"/>
    <w:rsid w:val="00337FA7"/>
    <w:rsid w:val="00340197"/>
    <w:rsid w:val="0034151D"/>
    <w:rsid w:val="003415CD"/>
    <w:rsid w:val="00341752"/>
    <w:rsid w:val="0034283E"/>
    <w:rsid w:val="003454ED"/>
    <w:rsid w:val="0034681A"/>
    <w:rsid w:val="00347E86"/>
    <w:rsid w:val="0035030F"/>
    <w:rsid w:val="00350CC2"/>
    <w:rsid w:val="00353C4B"/>
    <w:rsid w:val="00355517"/>
    <w:rsid w:val="00360EF6"/>
    <w:rsid w:val="003613FA"/>
    <w:rsid w:val="00362077"/>
    <w:rsid w:val="00362978"/>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7ED"/>
    <w:rsid w:val="00376F1B"/>
    <w:rsid w:val="003806FD"/>
    <w:rsid w:val="00380767"/>
    <w:rsid w:val="00380B30"/>
    <w:rsid w:val="00380C8B"/>
    <w:rsid w:val="00381C7D"/>
    <w:rsid w:val="00381EB0"/>
    <w:rsid w:val="00382EBA"/>
    <w:rsid w:val="0038331A"/>
    <w:rsid w:val="003877B4"/>
    <w:rsid w:val="00387F1F"/>
    <w:rsid w:val="00391DDA"/>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B5D"/>
    <w:rsid w:val="003A6D08"/>
    <w:rsid w:val="003A73A4"/>
    <w:rsid w:val="003A7CF4"/>
    <w:rsid w:val="003B0B79"/>
    <w:rsid w:val="003B21FE"/>
    <w:rsid w:val="003B305C"/>
    <w:rsid w:val="003B3FBD"/>
    <w:rsid w:val="003B61C5"/>
    <w:rsid w:val="003B7801"/>
    <w:rsid w:val="003B7C07"/>
    <w:rsid w:val="003C01F3"/>
    <w:rsid w:val="003C046B"/>
    <w:rsid w:val="003C0577"/>
    <w:rsid w:val="003C075A"/>
    <w:rsid w:val="003C132D"/>
    <w:rsid w:val="003C167E"/>
    <w:rsid w:val="003C1A83"/>
    <w:rsid w:val="003C20BE"/>
    <w:rsid w:val="003C2101"/>
    <w:rsid w:val="003C32AF"/>
    <w:rsid w:val="003C40EE"/>
    <w:rsid w:val="003C46A1"/>
    <w:rsid w:val="003C481D"/>
    <w:rsid w:val="003C4CFF"/>
    <w:rsid w:val="003C4EB5"/>
    <w:rsid w:val="003C56EB"/>
    <w:rsid w:val="003C6A96"/>
    <w:rsid w:val="003C7BCB"/>
    <w:rsid w:val="003C7C1A"/>
    <w:rsid w:val="003D0247"/>
    <w:rsid w:val="003D0EEF"/>
    <w:rsid w:val="003D1792"/>
    <w:rsid w:val="003D2CED"/>
    <w:rsid w:val="003D3922"/>
    <w:rsid w:val="003D3AED"/>
    <w:rsid w:val="003D3BB8"/>
    <w:rsid w:val="003D3CBE"/>
    <w:rsid w:val="003D5527"/>
    <w:rsid w:val="003D58E2"/>
    <w:rsid w:val="003D58FE"/>
    <w:rsid w:val="003D5D12"/>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6C"/>
    <w:rsid w:val="004072E1"/>
    <w:rsid w:val="0040743A"/>
    <w:rsid w:val="0040754A"/>
    <w:rsid w:val="00407623"/>
    <w:rsid w:val="0041045F"/>
    <w:rsid w:val="00412027"/>
    <w:rsid w:val="00414210"/>
    <w:rsid w:val="004159DB"/>
    <w:rsid w:val="00416EB2"/>
    <w:rsid w:val="00420376"/>
    <w:rsid w:val="00420E5D"/>
    <w:rsid w:val="00421507"/>
    <w:rsid w:val="0042320A"/>
    <w:rsid w:val="004242B3"/>
    <w:rsid w:val="00424981"/>
    <w:rsid w:val="0042596A"/>
    <w:rsid w:val="004278A2"/>
    <w:rsid w:val="00430518"/>
    <w:rsid w:val="00430C5B"/>
    <w:rsid w:val="00431968"/>
    <w:rsid w:val="00431A5A"/>
    <w:rsid w:val="0043216B"/>
    <w:rsid w:val="00433936"/>
    <w:rsid w:val="00434FF6"/>
    <w:rsid w:val="00435FE9"/>
    <w:rsid w:val="00436279"/>
    <w:rsid w:val="00436C28"/>
    <w:rsid w:val="00436EB2"/>
    <w:rsid w:val="0043775D"/>
    <w:rsid w:val="00437857"/>
    <w:rsid w:val="00440DBD"/>
    <w:rsid w:val="00441948"/>
    <w:rsid w:val="0044199E"/>
    <w:rsid w:val="00442C90"/>
    <w:rsid w:val="00444803"/>
    <w:rsid w:val="00445696"/>
    <w:rsid w:val="00446E5F"/>
    <w:rsid w:val="0044769C"/>
    <w:rsid w:val="00447B97"/>
    <w:rsid w:val="004517A6"/>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1D1"/>
    <w:rsid w:val="00466509"/>
    <w:rsid w:val="00467706"/>
    <w:rsid w:val="00470187"/>
    <w:rsid w:val="004708CA"/>
    <w:rsid w:val="004709E7"/>
    <w:rsid w:val="00470ADE"/>
    <w:rsid w:val="00471969"/>
    <w:rsid w:val="00471DD0"/>
    <w:rsid w:val="00471FA2"/>
    <w:rsid w:val="0047224E"/>
    <w:rsid w:val="004722B2"/>
    <w:rsid w:val="0047312D"/>
    <w:rsid w:val="004744EE"/>
    <w:rsid w:val="00475DC2"/>
    <w:rsid w:val="0047668D"/>
    <w:rsid w:val="00477919"/>
    <w:rsid w:val="00477F01"/>
    <w:rsid w:val="00480EDE"/>
    <w:rsid w:val="00480FF6"/>
    <w:rsid w:val="004815AE"/>
    <w:rsid w:val="00482D93"/>
    <w:rsid w:val="0048372C"/>
    <w:rsid w:val="00483919"/>
    <w:rsid w:val="0048434E"/>
    <w:rsid w:val="004845F9"/>
    <w:rsid w:val="00484B8A"/>
    <w:rsid w:val="00485447"/>
    <w:rsid w:val="0048684A"/>
    <w:rsid w:val="00487692"/>
    <w:rsid w:val="00487DBD"/>
    <w:rsid w:val="00487DCE"/>
    <w:rsid w:val="004909EB"/>
    <w:rsid w:val="00491675"/>
    <w:rsid w:val="00491A16"/>
    <w:rsid w:val="00492BA6"/>
    <w:rsid w:val="00492EA9"/>
    <w:rsid w:val="00493B89"/>
    <w:rsid w:val="004950B7"/>
    <w:rsid w:val="00496D32"/>
    <w:rsid w:val="00496E1D"/>
    <w:rsid w:val="00496F7F"/>
    <w:rsid w:val="00497755"/>
    <w:rsid w:val="004A0BFF"/>
    <w:rsid w:val="004A1429"/>
    <w:rsid w:val="004A1D28"/>
    <w:rsid w:val="004A25E6"/>
    <w:rsid w:val="004A452A"/>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496"/>
    <w:rsid w:val="004B464A"/>
    <w:rsid w:val="004B5E92"/>
    <w:rsid w:val="004B6788"/>
    <w:rsid w:val="004B74DD"/>
    <w:rsid w:val="004B7AC4"/>
    <w:rsid w:val="004C0A30"/>
    <w:rsid w:val="004C15A8"/>
    <w:rsid w:val="004C15D2"/>
    <w:rsid w:val="004C185C"/>
    <w:rsid w:val="004C26DA"/>
    <w:rsid w:val="004C2FB3"/>
    <w:rsid w:val="004C357C"/>
    <w:rsid w:val="004C414B"/>
    <w:rsid w:val="004C4325"/>
    <w:rsid w:val="004C608D"/>
    <w:rsid w:val="004C6728"/>
    <w:rsid w:val="004D1834"/>
    <w:rsid w:val="004D26EF"/>
    <w:rsid w:val="004D3C2B"/>
    <w:rsid w:val="004D3E13"/>
    <w:rsid w:val="004D42B1"/>
    <w:rsid w:val="004D44E0"/>
    <w:rsid w:val="004D48A0"/>
    <w:rsid w:val="004D4F2E"/>
    <w:rsid w:val="004D526F"/>
    <w:rsid w:val="004D6D25"/>
    <w:rsid w:val="004E018F"/>
    <w:rsid w:val="004E022A"/>
    <w:rsid w:val="004E0FA0"/>
    <w:rsid w:val="004E11D5"/>
    <w:rsid w:val="004E19C0"/>
    <w:rsid w:val="004E1C54"/>
    <w:rsid w:val="004E2C37"/>
    <w:rsid w:val="004E2EF9"/>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084B"/>
    <w:rsid w:val="00500F12"/>
    <w:rsid w:val="00501A09"/>
    <w:rsid w:val="005028B9"/>
    <w:rsid w:val="00503989"/>
    <w:rsid w:val="00505B74"/>
    <w:rsid w:val="00506277"/>
    <w:rsid w:val="005118F2"/>
    <w:rsid w:val="00511A59"/>
    <w:rsid w:val="00511B98"/>
    <w:rsid w:val="00511C3B"/>
    <w:rsid w:val="00512918"/>
    <w:rsid w:val="005131DA"/>
    <w:rsid w:val="005135F0"/>
    <w:rsid w:val="00513F69"/>
    <w:rsid w:val="005155F4"/>
    <w:rsid w:val="005166C3"/>
    <w:rsid w:val="00516AF1"/>
    <w:rsid w:val="00516D9A"/>
    <w:rsid w:val="00520EB0"/>
    <w:rsid w:val="00520F7C"/>
    <w:rsid w:val="005233EC"/>
    <w:rsid w:val="00523974"/>
    <w:rsid w:val="00526E5D"/>
    <w:rsid w:val="0052704C"/>
    <w:rsid w:val="00530738"/>
    <w:rsid w:val="00531432"/>
    <w:rsid w:val="0053269B"/>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375"/>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AC8"/>
    <w:rsid w:val="00587C06"/>
    <w:rsid w:val="00587C24"/>
    <w:rsid w:val="0059105F"/>
    <w:rsid w:val="005913A0"/>
    <w:rsid w:val="0059175F"/>
    <w:rsid w:val="005944AB"/>
    <w:rsid w:val="005944C6"/>
    <w:rsid w:val="00594B12"/>
    <w:rsid w:val="0059550A"/>
    <w:rsid w:val="00595F08"/>
    <w:rsid w:val="00595FBE"/>
    <w:rsid w:val="0059617F"/>
    <w:rsid w:val="00596ED6"/>
    <w:rsid w:val="00597793"/>
    <w:rsid w:val="005A0304"/>
    <w:rsid w:val="005A1C55"/>
    <w:rsid w:val="005A2867"/>
    <w:rsid w:val="005A2A66"/>
    <w:rsid w:val="005A4AEA"/>
    <w:rsid w:val="005A50C3"/>
    <w:rsid w:val="005A5876"/>
    <w:rsid w:val="005A60E1"/>
    <w:rsid w:val="005A71DD"/>
    <w:rsid w:val="005A7C27"/>
    <w:rsid w:val="005B1D2F"/>
    <w:rsid w:val="005B26E4"/>
    <w:rsid w:val="005B3465"/>
    <w:rsid w:val="005B4FCB"/>
    <w:rsid w:val="005B5C17"/>
    <w:rsid w:val="005B6B12"/>
    <w:rsid w:val="005B6F93"/>
    <w:rsid w:val="005C07DD"/>
    <w:rsid w:val="005C2DBC"/>
    <w:rsid w:val="005C4431"/>
    <w:rsid w:val="005C5045"/>
    <w:rsid w:val="005C594A"/>
    <w:rsid w:val="005C65F9"/>
    <w:rsid w:val="005C6897"/>
    <w:rsid w:val="005C7BC1"/>
    <w:rsid w:val="005D06FA"/>
    <w:rsid w:val="005D0A9D"/>
    <w:rsid w:val="005D1B9E"/>
    <w:rsid w:val="005D1E87"/>
    <w:rsid w:val="005D2DE7"/>
    <w:rsid w:val="005D331C"/>
    <w:rsid w:val="005D371C"/>
    <w:rsid w:val="005D48E7"/>
    <w:rsid w:val="005D4DA8"/>
    <w:rsid w:val="005D6355"/>
    <w:rsid w:val="005D6413"/>
    <w:rsid w:val="005E124C"/>
    <w:rsid w:val="005E2314"/>
    <w:rsid w:val="005E2E43"/>
    <w:rsid w:val="005E306B"/>
    <w:rsid w:val="005E333A"/>
    <w:rsid w:val="005E52E9"/>
    <w:rsid w:val="005E53D0"/>
    <w:rsid w:val="005E5785"/>
    <w:rsid w:val="005E7208"/>
    <w:rsid w:val="005E7611"/>
    <w:rsid w:val="005E7969"/>
    <w:rsid w:val="005F0C93"/>
    <w:rsid w:val="005F3F22"/>
    <w:rsid w:val="005F4FC0"/>
    <w:rsid w:val="005F540F"/>
    <w:rsid w:val="005F5491"/>
    <w:rsid w:val="005F55B8"/>
    <w:rsid w:val="005F588F"/>
    <w:rsid w:val="005F58C3"/>
    <w:rsid w:val="005F63BD"/>
    <w:rsid w:val="005F6573"/>
    <w:rsid w:val="005F7454"/>
    <w:rsid w:val="005F7AC0"/>
    <w:rsid w:val="0060058C"/>
    <w:rsid w:val="00601541"/>
    <w:rsid w:val="00601652"/>
    <w:rsid w:val="0060206B"/>
    <w:rsid w:val="00603DFC"/>
    <w:rsid w:val="00604A25"/>
    <w:rsid w:val="00606683"/>
    <w:rsid w:val="006071D1"/>
    <w:rsid w:val="00610D30"/>
    <w:rsid w:val="00613BF6"/>
    <w:rsid w:val="00613D1E"/>
    <w:rsid w:val="00614365"/>
    <w:rsid w:val="006144F2"/>
    <w:rsid w:val="00616D06"/>
    <w:rsid w:val="00616D27"/>
    <w:rsid w:val="006174EF"/>
    <w:rsid w:val="006234FE"/>
    <w:rsid w:val="00623840"/>
    <w:rsid w:val="006247ED"/>
    <w:rsid w:val="006255EC"/>
    <w:rsid w:val="00625A25"/>
    <w:rsid w:val="00625E7F"/>
    <w:rsid w:val="00627C52"/>
    <w:rsid w:val="00632453"/>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0B39"/>
    <w:rsid w:val="00651BD5"/>
    <w:rsid w:val="006565B4"/>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67A75"/>
    <w:rsid w:val="00670051"/>
    <w:rsid w:val="00670265"/>
    <w:rsid w:val="006705CD"/>
    <w:rsid w:val="00671363"/>
    <w:rsid w:val="00671A8B"/>
    <w:rsid w:val="00672780"/>
    <w:rsid w:val="00674B0C"/>
    <w:rsid w:val="00674EE2"/>
    <w:rsid w:val="00675368"/>
    <w:rsid w:val="00675883"/>
    <w:rsid w:val="006761A3"/>
    <w:rsid w:val="00677133"/>
    <w:rsid w:val="00677C6A"/>
    <w:rsid w:val="00680A06"/>
    <w:rsid w:val="0068108C"/>
    <w:rsid w:val="00681482"/>
    <w:rsid w:val="00681687"/>
    <w:rsid w:val="00685D2F"/>
    <w:rsid w:val="0068739E"/>
    <w:rsid w:val="00687BF0"/>
    <w:rsid w:val="00690725"/>
    <w:rsid w:val="006912FB"/>
    <w:rsid w:val="00691EEA"/>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055"/>
    <w:rsid w:val="006A4A84"/>
    <w:rsid w:val="006A5047"/>
    <w:rsid w:val="006A5971"/>
    <w:rsid w:val="006A59C1"/>
    <w:rsid w:val="006A69A7"/>
    <w:rsid w:val="006A7A10"/>
    <w:rsid w:val="006B0DA4"/>
    <w:rsid w:val="006B1523"/>
    <w:rsid w:val="006B1B6B"/>
    <w:rsid w:val="006B1E5B"/>
    <w:rsid w:val="006B41C7"/>
    <w:rsid w:val="006B50EE"/>
    <w:rsid w:val="006B5AAA"/>
    <w:rsid w:val="006C072B"/>
    <w:rsid w:val="006C26CD"/>
    <w:rsid w:val="006C5BF8"/>
    <w:rsid w:val="006C6EFF"/>
    <w:rsid w:val="006D02BF"/>
    <w:rsid w:val="006D0BB0"/>
    <w:rsid w:val="006D217D"/>
    <w:rsid w:val="006D39E0"/>
    <w:rsid w:val="006D480E"/>
    <w:rsid w:val="006D543B"/>
    <w:rsid w:val="006D54A2"/>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6867"/>
    <w:rsid w:val="006E7023"/>
    <w:rsid w:val="006E74EA"/>
    <w:rsid w:val="006E765D"/>
    <w:rsid w:val="006E7A69"/>
    <w:rsid w:val="006F0CA9"/>
    <w:rsid w:val="006F18C4"/>
    <w:rsid w:val="006F1FB5"/>
    <w:rsid w:val="006F2E38"/>
    <w:rsid w:val="006F322E"/>
    <w:rsid w:val="006F3449"/>
    <w:rsid w:val="006F3F72"/>
    <w:rsid w:val="006F40D8"/>
    <w:rsid w:val="006F5158"/>
    <w:rsid w:val="006F53E8"/>
    <w:rsid w:val="006F5DA3"/>
    <w:rsid w:val="006F680A"/>
    <w:rsid w:val="006F7682"/>
    <w:rsid w:val="006F7952"/>
    <w:rsid w:val="006F7A38"/>
    <w:rsid w:val="0070017B"/>
    <w:rsid w:val="0070021A"/>
    <w:rsid w:val="007017D0"/>
    <w:rsid w:val="00702512"/>
    <w:rsid w:val="0070268F"/>
    <w:rsid w:val="00703925"/>
    <w:rsid w:val="0070427E"/>
    <w:rsid w:val="0070480F"/>
    <w:rsid w:val="00704D53"/>
    <w:rsid w:val="007056C3"/>
    <w:rsid w:val="00706072"/>
    <w:rsid w:val="0071005C"/>
    <w:rsid w:val="00711091"/>
    <w:rsid w:val="00711D70"/>
    <w:rsid w:val="00712824"/>
    <w:rsid w:val="00713644"/>
    <w:rsid w:val="00714AEC"/>
    <w:rsid w:val="0071609B"/>
    <w:rsid w:val="007166EB"/>
    <w:rsid w:val="00724007"/>
    <w:rsid w:val="0072412B"/>
    <w:rsid w:val="00725113"/>
    <w:rsid w:val="007260C9"/>
    <w:rsid w:val="00726B60"/>
    <w:rsid w:val="0072746F"/>
    <w:rsid w:val="007319C3"/>
    <w:rsid w:val="00732002"/>
    <w:rsid w:val="00734277"/>
    <w:rsid w:val="007356CE"/>
    <w:rsid w:val="00735C00"/>
    <w:rsid w:val="00736173"/>
    <w:rsid w:val="00736BF5"/>
    <w:rsid w:val="0074064C"/>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364"/>
    <w:rsid w:val="00764582"/>
    <w:rsid w:val="00764594"/>
    <w:rsid w:val="00764B18"/>
    <w:rsid w:val="00764EB9"/>
    <w:rsid w:val="00765007"/>
    <w:rsid w:val="00765FA3"/>
    <w:rsid w:val="00766371"/>
    <w:rsid w:val="00766663"/>
    <w:rsid w:val="00766961"/>
    <w:rsid w:val="00766B5A"/>
    <w:rsid w:val="007701FE"/>
    <w:rsid w:val="00770C33"/>
    <w:rsid w:val="00770EDE"/>
    <w:rsid w:val="00771437"/>
    <w:rsid w:val="00772392"/>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BD1"/>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D56"/>
    <w:rsid w:val="007A5FA9"/>
    <w:rsid w:val="007A6C73"/>
    <w:rsid w:val="007A707B"/>
    <w:rsid w:val="007A72DA"/>
    <w:rsid w:val="007A7550"/>
    <w:rsid w:val="007A7BDF"/>
    <w:rsid w:val="007B0FE6"/>
    <w:rsid w:val="007B23B5"/>
    <w:rsid w:val="007B33A9"/>
    <w:rsid w:val="007B354B"/>
    <w:rsid w:val="007B4FC3"/>
    <w:rsid w:val="007B6F9B"/>
    <w:rsid w:val="007B7EE5"/>
    <w:rsid w:val="007C0671"/>
    <w:rsid w:val="007C06C3"/>
    <w:rsid w:val="007C0CE3"/>
    <w:rsid w:val="007C2A2C"/>
    <w:rsid w:val="007C3577"/>
    <w:rsid w:val="007C3EB5"/>
    <w:rsid w:val="007C4594"/>
    <w:rsid w:val="007C4D23"/>
    <w:rsid w:val="007C4FB8"/>
    <w:rsid w:val="007C5220"/>
    <w:rsid w:val="007C5E08"/>
    <w:rsid w:val="007C5E52"/>
    <w:rsid w:val="007C685C"/>
    <w:rsid w:val="007C7B2F"/>
    <w:rsid w:val="007C7CBD"/>
    <w:rsid w:val="007D229D"/>
    <w:rsid w:val="007D25FC"/>
    <w:rsid w:val="007D7747"/>
    <w:rsid w:val="007D7CEF"/>
    <w:rsid w:val="007E07E1"/>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5FEB"/>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86A"/>
    <w:rsid w:val="00813DA1"/>
    <w:rsid w:val="00814349"/>
    <w:rsid w:val="00814A03"/>
    <w:rsid w:val="00814D0D"/>
    <w:rsid w:val="00814EA3"/>
    <w:rsid w:val="008152F1"/>
    <w:rsid w:val="00815F3C"/>
    <w:rsid w:val="008161AE"/>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37CFC"/>
    <w:rsid w:val="00840FBB"/>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16F"/>
    <w:rsid w:val="0085058C"/>
    <w:rsid w:val="0085139D"/>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5177"/>
    <w:rsid w:val="00865344"/>
    <w:rsid w:val="008669AB"/>
    <w:rsid w:val="00866A09"/>
    <w:rsid w:val="00866AB2"/>
    <w:rsid w:val="008671CF"/>
    <w:rsid w:val="00867568"/>
    <w:rsid w:val="00870352"/>
    <w:rsid w:val="00870427"/>
    <w:rsid w:val="008712BF"/>
    <w:rsid w:val="00872209"/>
    <w:rsid w:val="00873E5E"/>
    <w:rsid w:val="00874D86"/>
    <w:rsid w:val="00875B8C"/>
    <w:rsid w:val="00875D33"/>
    <w:rsid w:val="00876AF0"/>
    <w:rsid w:val="00877560"/>
    <w:rsid w:val="00877B5E"/>
    <w:rsid w:val="00880234"/>
    <w:rsid w:val="00880FB9"/>
    <w:rsid w:val="0088104D"/>
    <w:rsid w:val="00881C26"/>
    <w:rsid w:val="00883D99"/>
    <w:rsid w:val="008842F7"/>
    <w:rsid w:val="0088436E"/>
    <w:rsid w:val="008858C3"/>
    <w:rsid w:val="00885A43"/>
    <w:rsid w:val="00885B94"/>
    <w:rsid w:val="0088773C"/>
    <w:rsid w:val="0089075A"/>
    <w:rsid w:val="00890F80"/>
    <w:rsid w:val="00891268"/>
    <w:rsid w:val="00891B3F"/>
    <w:rsid w:val="0089230D"/>
    <w:rsid w:val="00892598"/>
    <w:rsid w:val="00892A0F"/>
    <w:rsid w:val="0089334A"/>
    <w:rsid w:val="0089338A"/>
    <w:rsid w:val="00893EDF"/>
    <w:rsid w:val="00894199"/>
    <w:rsid w:val="008948BE"/>
    <w:rsid w:val="008953F1"/>
    <w:rsid w:val="0089559E"/>
    <w:rsid w:val="00897135"/>
    <w:rsid w:val="008A0ABB"/>
    <w:rsid w:val="008A1D59"/>
    <w:rsid w:val="008A1E27"/>
    <w:rsid w:val="008A2FC5"/>
    <w:rsid w:val="008A3953"/>
    <w:rsid w:val="008A399B"/>
    <w:rsid w:val="008A4DAA"/>
    <w:rsid w:val="008A4F88"/>
    <w:rsid w:val="008A538B"/>
    <w:rsid w:val="008A59E4"/>
    <w:rsid w:val="008A6000"/>
    <w:rsid w:val="008A664E"/>
    <w:rsid w:val="008B3989"/>
    <w:rsid w:val="008B4AD2"/>
    <w:rsid w:val="008B5191"/>
    <w:rsid w:val="008B5F7E"/>
    <w:rsid w:val="008B710D"/>
    <w:rsid w:val="008B7CA1"/>
    <w:rsid w:val="008C030B"/>
    <w:rsid w:val="008C0389"/>
    <w:rsid w:val="008C0FAA"/>
    <w:rsid w:val="008C1A6D"/>
    <w:rsid w:val="008C1AB8"/>
    <w:rsid w:val="008C1AC4"/>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4DC"/>
    <w:rsid w:val="008D0569"/>
    <w:rsid w:val="008D1957"/>
    <w:rsid w:val="008D4F34"/>
    <w:rsid w:val="008D5247"/>
    <w:rsid w:val="008D5C28"/>
    <w:rsid w:val="008D6112"/>
    <w:rsid w:val="008D6ACC"/>
    <w:rsid w:val="008E05E7"/>
    <w:rsid w:val="008E0707"/>
    <w:rsid w:val="008E0CCF"/>
    <w:rsid w:val="008E154B"/>
    <w:rsid w:val="008E2D26"/>
    <w:rsid w:val="008E3892"/>
    <w:rsid w:val="008E4076"/>
    <w:rsid w:val="008E45E2"/>
    <w:rsid w:val="008E4C68"/>
    <w:rsid w:val="008E4E4A"/>
    <w:rsid w:val="008E5021"/>
    <w:rsid w:val="008E50C6"/>
    <w:rsid w:val="008E5242"/>
    <w:rsid w:val="008E5EEC"/>
    <w:rsid w:val="008E73AE"/>
    <w:rsid w:val="008E7ADA"/>
    <w:rsid w:val="008E7DBA"/>
    <w:rsid w:val="008F07F2"/>
    <w:rsid w:val="008F194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4A3B"/>
    <w:rsid w:val="009051D7"/>
    <w:rsid w:val="009053DC"/>
    <w:rsid w:val="009062CB"/>
    <w:rsid w:val="00906550"/>
    <w:rsid w:val="00906775"/>
    <w:rsid w:val="00906DC4"/>
    <w:rsid w:val="00911534"/>
    <w:rsid w:val="0091189D"/>
    <w:rsid w:val="009132A6"/>
    <w:rsid w:val="00913583"/>
    <w:rsid w:val="0091381B"/>
    <w:rsid w:val="00913AB1"/>
    <w:rsid w:val="00915D66"/>
    <w:rsid w:val="009168DA"/>
    <w:rsid w:val="0091692F"/>
    <w:rsid w:val="00920342"/>
    <w:rsid w:val="0092165F"/>
    <w:rsid w:val="00922869"/>
    <w:rsid w:val="009246C9"/>
    <w:rsid w:val="009248B3"/>
    <w:rsid w:val="00925E39"/>
    <w:rsid w:val="00926218"/>
    <w:rsid w:val="009273FC"/>
    <w:rsid w:val="00927665"/>
    <w:rsid w:val="00927E3F"/>
    <w:rsid w:val="00927FB7"/>
    <w:rsid w:val="00933FB2"/>
    <w:rsid w:val="009340BD"/>
    <w:rsid w:val="00935444"/>
    <w:rsid w:val="00935A55"/>
    <w:rsid w:val="00935DFE"/>
    <w:rsid w:val="00936772"/>
    <w:rsid w:val="00937140"/>
    <w:rsid w:val="0093731E"/>
    <w:rsid w:val="00937630"/>
    <w:rsid w:val="009376BD"/>
    <w:rsid w:val="0094008E"/>
    <w:rsid w:val="0094111D"/>
    <w:rsid w:val="0094165D"/>
    <w:rsid w:val="00941C0C"/>
    <w:rsid w:val="009420B6"/>
    <w:rsid w:val="0094348A"/>
    <w:rsid w:val="009437F2"/>
    <w:rsid w:val="009441BF"/>
    <w:rsid w:val="009455A4"/>
    <w:rsid w:val="00945A83"/>
    <w:rsid w:val="009507D9"/>
    <w:rsid w:val="009556B6"/>
    <w:rsid w:val="00955893"/>
    <w:rsid w:val="00956A21"/>
    <w:rsid w:val="00956B12"/>
    <w:rsid w:val="00960A8B"/>
    <w:rsid w:val="00961257"/>
    <w:rsid w:val="009613E1"/>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2E6B"/>
    <w:rsid w:val="00973834"/>
    <w:rsid w:val="00973DB0"/>
    <w:rsid w:val="00973F43"/>
    <w:rsid w:val="00975BE0"/>
    <w:rsid w:val="0098011D"/>
    <w:rsid w:val="00980839"/>
    <w:rsid w:val="00980CE0"/>
    <w:rsid w:val="009819C0"/>
    <w:rsid w:val="00982358"/>
    <w:rsid w:val="00983235"/>
    <w:rsid w:val="00984EFF"/>
    <w:rsid w:val="0098643B"/>
    <w:rsid w:val="0098673A"/>
    <w:rsid w:val="00990D80"/>
    <w:rsid w:val="00991D9F"/>
    <w:rsid w:val="00991EC8"/>
    <w:rsid w:val="0099277D"/>
    <w:rsid w:val="009933A0"/>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A7FEB"/>
    <w:rsid w:val="009B0754"/>
    <w:rsid w:val="009B156A"/>
    <w:rsid w:val="009B15A8"/>
    <w:rsid w:val="009B19A2"/>
    <w:rsid w:val="009B1AF7"/>
    <w:rsid w:val="009B1C09"/>
    <w:rsid w:val="009B3150"/>
    <w:rsid w:val="009B33CA"/>
    <w:rsid w:val="009B3540"/>
    <w:rsid w:val="009B47DA"/>
    <w:rsid w:val="009B638C"/>
    <w:rsid w:val="009B6868"/>
    <w:rsid w:val="009B6969"/>
    <w:rsid w:val="009B76EB"/>
    <w:rsid w:val="009B7B79"/>
    <w:rsid w:val="009C0383"/>
    <w:rsid w:val="009C0BAC"/>
    <w:rsid w:val="009C145B"/>
    <w:rsid w:val="009C37B1"/>
    <w:rsid w:val="009C3E04"/>
    <w:rsid w:val="009C5C88"/>
    <w:rsid w:val="009C7225"/>
    <w:rsid w:val="009C7694"/>
    <w:rsid w:val="009C79FF"/>
    <w:rsid w:val="009C7E9D"/>
    <w:rsid w:val="009D3FF3"/>
    <w:rsid w:val="009D493A"/>
    <w:rsid w:val="009D495C"/>
    <w:rsid w:val="009D55B7"/>
    <w:rsid w:val="009D570F"/>
    <w:rsid w:val="009D5DA3"/>
    <w:rsid w:val="009D6C68"/>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4423"/>
    <w:rsid w:val="009F6422"/>
    <w:rsid w:val="009F67C2"/>
    <w:rsid w:val="009F7E4E"/>
    <w:rsid w:val="00A01C96"/>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4F37"/>
    <w:rsid w:val="00A16579"/>
    <w:rsid w:val="00A205B9"/>
    <w:rsid w:val="00A21B70"/>
    <w:rsid w:val="00A21CFC"/>
    <w:rsid w:val="00A22002"/>
    <w:rsid w:val="00A22E5A"/>
    <w:rsid w:val="00A24843"/>
    <w:rsid w:val="00A25BB4"/>
    <w:rsid w:val="00A262F4"/>
    <w:rsid w:val="00A31735"/>
    <w:rsid w:val="00A31C7C"/>
    <w:rsid w:val="00A31D93"/>
    <w:rsid w:val="00A33B74"/>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46D0B"/>
    <w:rsid w:val="00A47E51"/>
    <w:rsid w:val="00A50205"/>
    <w:rsid w:val="00A50761"/>
    <w:rsid w:val="00A5244D"/>
    <w:rsid w:val="00A524F4"/>
    <w:rsid w:val="00A52F35"/>
    <w:rsid w:val="00A53AF0"/>
    <w:rsid w:val="00A5433C"/>
    <w:rsid w:val="00A54A55"/>
    <w:rsid w:val="00A54CA3"/>
    <w:rsid w:val="00A54ED7"/>
    <w:rsid w:val="00A55659"/>
    <w:rsid w:val="00A5674D"/>
    <w:rsid w:val="00A60D5F"/>
    <w:rsid w:val="00A61561"/>
    <w:rsid w:val="00A623C8"/>
    <w:rsid w:val="00A64176"/>
    <w:rsid w:val="00A64205"/>
    <w:rsid w:val="00A64F70"/>
    <w:rsid w:val="00A65001"/>
    <w:rsid w:val="00A6540C"/>
    <w:rsid w:val="00A65780"/>
    <w:rsid w:val="00A65BA7"/>
    <w:rsid w:val="00A663F9"/>
    <w:rsid w:val="00A6691F"/>
    <w:rsid w:val="00A67758"/>
    <w:rsid w:val="00A67A33"/>
    <w:rsid w:val="00A70A7C"/>
    <w:rsid w:val="00A70F49"/>
    <w:rsid w:val="00A7281F"/>
    <w:rsid w:val="00A73949"/>
    <w:rsid w:val="00A73AA3"/>
    <w:rsid w:val="00A7504C"/>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3D3"/>
    <w:rsid w:val="00AA054E"/>
    <w:rsid w:val="00AA0A10"/>
    <w:rsid w:val="00AA2094"/>
    <w:rsid w:val="00AA2947"/>
    <w:rsid w:val="00AA3638"/>
    <w:rsid w:val="00AA4072"/>
    <w:rsid w:val="00AA5C06"/>
    <w:rsid w:val="00AA631A"/>
    <w:rsid w:val="00AA6DB5"/>
    <w:rsid w:val="00AB10E1"/>
    <w:rsid w:val="00AB140D"/>
    <w:rsid w:val="00AB1556"/>
    <w:rsid w:val="00AB26BC"/>
    <w:rsid w:val="00AB2B8A"/>
    <w:rsid w:val="00AB458B"/>
    <w:rsid w:val="00AB45E4"/>
    <w:rsid w:val="00AB46E6"/>
    <w:rsid w:val="00AB652A"/>
    <w:rsid w:val="00AB7107"/>
    <w:rsid w:val="00AB7542"/>
    <w:rsid w:val="00AC022D"/>
    <w:rsid w:val="00AC0629"/>
    <w:rsid w:val="00AC0A29"/>
    <w:rsid w:val="00AC0BEC"/>
    <w:rsid w:val="00AC1578"/>
    <w:rsid w:val="00AC451C"/>
    <w:rsid w:val="00AC498E"/>
    <w:rsid w:val="00AC4AE0"/>
    <w:rsid w:val="00AC518D"/>
    <w:rsid w:val="00AC70C7"/>
    <w:rsid w:val="00AC74C2"/>
    <w:rsid w:val="00AC79E0"/>
    <w:rsid w:val="00AD006B"/>
    <w:rsid w:val="00AD041F"/>
    <w:rsid w:val="00AD12D3"/>
    <w:rsid w:val="00AD2612"/>
    <w:rsid w:val="00AD2E35"/>
    <w:rsid w:val="00AD3D6D"/>
    <w:rsid w:val="00AD3DE6"/>
    <w:rsid w:val="00AD3E41"/>
    <w:rsid w:val="00AD5187"/>
    <w:rsid w:val="00AD6B34"/>
    <w:rsid w:val="00AD6F90"/>
    <w:rsid w:val="00AD73E9"/>
    <w:rsid w:val="00AE0286"/>
    <w:rsid w:val="00AE034C"/>
    <w:rsid w:val="00AE0552"/>
    <w:rsid w:val="00AE0740"/>
    <w:rsid w:val="00AE247F"/>
    <w:rsid w:val="00AE25D3"/>
    <w:rsid w:val="00AE30AD"/>
    <w:rsid w:val="00AE4FC7"/>
    <w:rsid w:val="00AE5050"/>
    <w:rsid w:val="00AE66C4"/>
    <w:rsid w:val="00AF0CD0"/>
    <w:rsid w:val="00AF0F69"/>
    <w:rsid w:val="00AF23AE"/>
    <w:rsid w:val="00AF25AF"/>
    <w:rsid w:val="00AF34FD"/>
    <w:rsid w:val="00AF3741"/>
    <w:rsid w:val="00AF472C"/>
    <w:rsid w:val="00AF51A1"/>
    <w:rsid w:val="00AF535D"/>
    <w:rsid w:val="00AF6248"/>
    <w:rsid w:val="00AF62EB"/>
    <w:rsid w:val="00AF6D8E"/>
    <w:rsid w:val="00AF6E8C"/>
    <w:rsid w:val="00AF7132"/>
    <w:rsid w:val="00AF7825"/>
    <w:rsid w:val="00B0014A"/>
    <w:rsid w:val="00B005D6"/>
    <w:rsid w:val="00B00699"/>
    <w:rsid w:val="00B00B50"/>
    <w:rsid w:val="00B016E3"/>
    <w:rsid w:val="00B02A80"/>
    <w:rsid w:val="00B02B0B"/>
    <w:rsid w:val="00B02BFB"/>
    <w:rsid w:val="00B02CF6"/>
    <w:rsid w:val="00B037BE"/>
    <w:rsid w:val="00B03817"/>
    <w:rsid w:val="00B04283"/>
    <w:rsid w:val="00B045C8"/>
    <w:rsid w:val="00B04972"/>
    <w:rsid w:val="00B05A5C"/>
    <w:rsid w:val="00B05BA8"/>
    <w:rsid w:val="00B07AD8"/>
    <w:rsid w:val="00B07B20"/>
    <w:rsid w:val="00B11282"/>
    <w:rsid w:val="00B14ED6"/>
    <w:rsid w:val="00B14F01"/>
    <w:rsid w:val="00B15525"/>
    <w:rsid w:val="00B15C0B"/>
    <w:rsid w:val="00B17051"/>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652"/>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540A"/>
    <w:rsid w:val="00B46257"/>
    <w:rsid w:val="00B462C0"/>
    <w:rsid w:val="00B50064"/>
    <w:rsid w:val="00B50534"/>
    <w:rsid w:val="00B510CD"/>
    <w:rsid w:val="00B51E43"/>
    <w:rsid w:val="00B52AE3"/>
    <w:rsid w:val="00B52E10"/>
    <w:rsid w:val="00B5331D"/>
    <w:rsid w:val="00B534AB"/>
    <w:rsid w:val="00B543D6"/>
    <w:rsid w:val="00B556B0"/>
    <w:rsid w:val="00B55C87"/>
    <w:rsid w:val="00B5732A"/>
    <w:rsid w:val="00B578E3"/>
    <w:rsid w:val="00B57CE5"/>
    <w:rsid w:val="00B60508"/>
    <w:rsid w:val="00B606E3"/>
    <w:rsid w:val="00B60DF8"/>
    <w:rsid w:val="00B616EF"/>
    <w:rsid w:val="00B620A9"/>
    <w:rsid w:val="00B6383E"/>
    <w:rsid w:val="00B638FF"/>
    <w:rsid w:val="00B647DA"/>
    <w:rsid w:val="00B6487E"/>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2DA"/>
    <w:rsid w:val="00B83386"/>
    <w:rsid w:val="00B83420"/>
    <w:rsid w:val="00B834CE"/>
    <w:rsid w:val="00B83D60"/>
    <w:rsid w:val="00B84C3C"/>
    <w:rsid w:val="00B853AB"/>
    <w:rsid w:val="00B85B98"/>
    <w:rsid w:val="00B868F1"/>
    <w:rsid w:val="00B86DA1"/>
    <w:rsid w:val="00B87985"/>
    <w:rsid w:val="00B87F7D"/>
    <w:rsid w:val="00B91072"/>
    <w:rsid w:val="00B91B6E"/>
    <w:rsid w:val="00B922B2"/>
    <w:rsid w:val="00B92970"/>
    <w:rsid w:val="00B93855"/>
    <w:rsid w:val="00B9461B"/>
    <w:rsid w:val="00B94B2C"/>
    <w:rsid w:val="00B94E4C"/>
    <w:rsid w:val="00B95155"/>
    <w:rsid w:val="00B952E1"/>
    <w:rsid w:val="00B96764"/>
    <w:rsid w:val="00B96F7D"/>
    <w:rsid w:val="00B970D0"/>
    <w:rsid w:val="00BA0040"/>
    <w:rsid w:val="00BA09EF"/>
    <w:rsid w:val="00BA1D4D"/>
    <w:rsid w:val="00BA3491"/>
    <w:rsid w:val="00BA39F2"/>
    <w:rsid w:val="00BA3EF7"/>
    <w:rsid w:val="00BA4310"/>
    <w:rsid w:val="00BA4659"/>
    <w:rsid w:val="00BA49F4"/>
    <w:rsid w:val="00BA4C35"/>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12F"/>
    <w:rsid w:val="00BD04C9"/>
    <w:rsid w:val="00BD27E4"/>
    <w:rsid w:val="00BD29B1"/>
    <w:rsid w:val="00BD2CCC"/>
    <w:rsid w:val="00BD306F"/>
    <w:rsid w:val="00BD3437"/>
    <w:rsid w:val="00BD3536"/>
    <w:rsid w:val="00BD3A66"/>
    <w:rsid w:val="00BD4E2B"/>
    <w:rsid w:val="00BD707D"/>
    <w:rsid w:val="00BD783D"/>
    <w:rsid w:val="00BD7F36"/>
    <w:rsid w:val="00BE114E"/>
    <w:rsid w:val="00BE174F"/>
    <w:rsid w:val="00BE225E"/>
    <w:rsid w:val="00BE22F8"/>
    <w:rsid w:val="00BE237E"/>
    <w:rsid w:val="00BE567F"/>
    <w:rsid w:val="00BE58A7"/>
    <w:rsid w:val="00BE61F1"/>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54"/>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12D"/>
    <w:rsid w:val="00C1329E"/>
    <w:rsid w:val="00C16062"/>
    <w:rsid w:val="00C20AB8"/>
    <w:rsid w:val="00C20CD3"/>
    <w:rsid w:val="00C21818"/>
    <w:rsid w:val="00C22502"/>
    <w:rsid w:val="00C22BE1"/>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033"/>
    <w:rsid w:val="00C35710"/>
    <w:rsid w:val="00C35DA0"/>
    <w:rsid w:val="00C35E5D"/>
    <w:rsid w:val="00C36BBA"/>
    <w:rsid w:val="00C36D16"/>
    <w:rsid w:val="00C372B4"/>
    <w:rsid w:val="00C40880"/>
    <w:rsid w:val="00C411F9"/>
    <w:rsid w:val="00C41A27"/>
    <w:rsid w:val="00C41B36"/>
    <w:rsid w:val="00C4285B"/>
    <w:rsid w:val="00C4294D"/>
    <w:rsid w:val="00C4298D"/>
    <w:rsid w:val="00C43B87"/>
    <w:rsid w:val="00C444C8"/>
    <w:rsid w:val="00C45856"/>
    <w:rsid w:val="00C46603"/>
    <w:rsid w:val="00C468F5"/>
    <w:rsid w:val="00C47431"/>
    <w:rsid w:val="00C50970"/>
    <w:rsid w:val="00C50DB6"/>
    <w:rsid w:val="00C51E9A"/>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3A0C"/>
    <w:rsid w:val="00C64EE3"/>
    <w:rsid w:val="00C6774B"/>
    <w:rsid w:val="00C70278"/>
    <w:rsid w:val="00C731F7"/>
    <w:rsid w:val="00C7351A"/>
    <w:rsid w:val="00C73A70"/>
    <w:rsid w:val="00C74ECC"/>
    <w:rsid w:val="00C754B6"/>
    <w:rsid w:val="00C76054"/>
    <w:rsid w:val="00C779A2"/>
    <w:rsid w:val="00C80438"/>
    <w:rsid w:val="00C80546"/>
    <w:rsid w:val="00C80C6E"/>
    <w:rsid w:val="00C81A1D"/>
    <w:rsid w:val="00C83BC4"/>
    <w:rsid w:val="00C83CAD"/>
    <w:rsid w:val="00C8419E"/>
    <w:rsid w:val="00C851D7"/>
    <w:rsid w:val="00C858E3"/>
    <w:rsid w:val="00C867AD"/>
    <w:rsid w:val="00C869F2"/>
    <w:rsid w:val="00C875E8"/>
    <w:rsid w:val="00C87F9F"/>
    <w:rsid w:val="00C901C5"/>
    <w:rsid w:val="00C91686"/>
    <w:rsid w:val="00C91DF6"/>
    <w:rsid w:val="00C935AF"/>
    <w:rsid w:val="00C943A9"/>
    <w:rsid w:val="00C94DDD"/>
    <w:rsid w:val="00C9545D"/>
    <w:rsid w:val="00C96655"/>
    <w:rsid w:val="00C9698D"/>
    <w:rsid w:val="00C97368"/>
    <w:rsid w:val="00C978C6"/>
    <w:rsid w:val="00CA003B"/>
    <w:rsid w:val="00CA078C"/>
    <w:rsid w:val="00CA07C8"/>
    <w:rsid w:val="00CA112D"/>
    <w:rsid w:val="00CA1F9F"/>
    <w:rsid w:val="00CA2179"/>
    <w:rsid w:val="00CA29F0"/>
    <w:rsid w:val="00CA3D8A"/>
    <w:rsid w:val="00CA44EB"/>
    <w:rsid w:val="00CA4CF7"/>
    <w:rsid w:val="00CA513F"/>
    <w:rsid w:val="00CA52CC"/>
    <w:rsid w:val="00CA7CDC"/>
    <w:rsid w:val="00CB00F0"/>
    <w:rsid w:val="00CB0E74"/>
    <w:rsid w:val="00CB10E8"/>
    <w:rsid w:val="00CB2DB5"/>
    <w:rsid w:val="00CB37BA"/>
    <w:rsid w:val="00CB4840"/>
    <w:rsid w:val="00CB499B"/>
    <w:rsid w:val="00CB4B3E"/>
    <w:rsid w:val="00CB4E30"/>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A0C"/>
    <w:rsid w:val="00CC5C45"/>
    <w:rsid w:val="00CC5C6A"/>
    <w:rsid w:val="00CC6B1D"/>
    <w:rsid w:val="00CC6DBC"/>
    <w:rsid w:val="00CC716C"/>
    <w:rsid w:val="00CD0F87"/>
    <w:rsid w:val="00CD17C7"/>
    <w:rsid w:val="00CD2157"/>
    <w:rsid w:val="00CD217F"/>
    <w:rsid w:val="00CD2595"/>
    <w:rsid w:val="00CD39B3"/>
    <w:rsid w:val="00CD3B8C"/>
    <w:rsid w:val="00CD4538"/>
    <w:rsid w:val="00CD47B2"/>
    <w:rsid w:val="00CD4A54"/>
    <w:rsid w:val="00CD5126"/>
    <w:rsid w:val="00CD52FE"/>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1DD8"/>
    <w:rsid w:val="00CF27A0"/>
    <w:rsid w:val="00CF4263"/>
    <w:rsid w:val="00CF454E"/>
    <w:rsid w:val="00CF5832"/>
    <w:rsid w:val="00CF6467"/>
    <w:rsid w:val="00CF724E"/>
    <w:rsid w:val="00CF7F44"/>
    <w:rsid w:val="00D0140F"/>
    <w:rsid w:val="00D021E1"/>
    <w:rsid w:val="00D0224B"/>
    <w:rsid w:val="00D027D8"/>
    <w:rsid w:val="00D034E5"/>
    <w:rsid w:val="00D04176"/>
    <w:rsid w:val="00D046F4"/>
    <w:rsid w:val="00D0485D"/>
    <w:rsid w:val="00D055CB"/>
    <w:rsid w:val="00D059F5"/>
    <w:rsid w:val="00D06284"/>
    <w:rsid w:val="00D06A43"/>
    <w:rsid w:val="00D0797A"/>
    <w:rsid w:val="00D10045"/>
    <w:rsid w:val="00D1156D"/>
    <w:rsid w:val="00D117F2"/>
    <w:rsid w:val="00D117F5"/>
    <w:rsid w:val="00D1255D"/>
    <w:rsid w:val="00D131F7"/>
    <w:rsid w:val="00D146DE"/>
    <w:rsid w:val="00D151B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9C4"/>
    <w:rsid w:val="00D27EB3"/>
    <w:rsid w:val="00D30BCC"/>
    <w:rsid w:val="00D3109A"/>
    <w:rsid w:val="00D334C4"/>
    <w:rsid w:val="00D343C3"/>
    <w:rsid w:val="00D34BF6"/>
    <w:rsid w:val="00D355C6"/>
    <w:rsid w:val="00D35830"/>
    <w:rsid w:val="00D36BF8"/>
    <w:rsid w:val="00D36DFE"/>
    <w:rsid w:val="00D37681"/>
    <w:rsid w:val="00D41425"/>
    <w:rsid w:val="00D41464"/>
    <w:rsid w:val="00D41809"/>
    <w:rsid w:val="00D41E36"/>
    <w:rsid w:val="00D43316"/>
    <w:rsid w:val="00D433C2"/>
    <w:rsid w:val="00D43AD1"/>
    <w:rsid w:val="00D4498D"/>
    <w:rsid w:val="00D454E2"/>
    <w:rsid w:val="00D46275"/>
    <w:rsid w:val="00D467CA"/>
    <w:rsid w:val="00D4759B"/>
    <w:rsid w:val="00D500A4"/>
    <w:rsid w:val="00D5180D"/>
    <w:rsid w:val="00D51F2D"/>
    <w:rsid w:val="00D52D8D"/>
    <w:rsid w:val="00D52E90"/>
    <w:rsid w:val="00D531BB"/>
    <w:rsid w:val="00D531F5"/>
    <w:rsid w:val="00D535EE"/>
    <w:rsid w:val="00D53642"/>
    <w:rsid w:val="00D536B4"/>
    <w:rsid w:val="00D53CD0"/>
    <w:rsid w:val="00D54691"/>
    <w:rsid w:val="00D54FC4"/>
    <w:rsid w:val="00D550E9"/>
    <w:rsid w:val="00D56967"/>
    <w:rsid w:val="00D5698F"/>
    <w:rsid w:val="00D57615"/>
    <w:rsid w:val="00D57BD4"/>
    <w:rsid w:val="00D61DC8"/>
    <w:rsid w:val="00D63216"/>
    <w:rsid w:val="00D63CB1"/>
    <w:rsid w:val="00D63FD5"/>
    <w:rsid w:val="00D64A32"/>
    <w:rsid w:val="00D64D36"/>
    <w:rsid w:val="00D651A3"/>
    <w:rsid w:val="00D6553A"/>
    <w:rsid w:val="00D65CDE"/>
    <w:rsid w:val="00D65F8B"/>
    <w:rsid w:val="00D66C47"/>
    <w:rsid w:val="00D70749"/>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3D67"/>
    <w:rsid w:val="00D84C2A"/>
    <w:rsid w:val="00D8726A"/>
    <w:rsid w:val="00D90C91"/>
    <w:rsid w:val="00D93EC6"/>
    <w:rsid w:val="00D949CB"/>
    <w:rsid w:val="00D961DA"/>
    <w:rsid w:val="00D967BF"/>
    <w:rsid w:val="00D96BF0"/>
    <w:rsid w:val="00D96D95"/>
    <w:rsid w:val="00D9748E"/>
    <w:rsid w:val="00D978C6"/>
    <w:rsid w:val="00DA03F6"/>
    <w:rsid w:val="00DA0DB8"/>
    <w:rsid w:val="00DA0F7F"/>
    <w:rsid w:val="00DA103F"/>
    <w:rsid w:val="00DA1167"/>
    <w:rsid w:val="00DA134A"/>
    <w:rsid w:val="00DA1A2E"/>
    <w:rsid w:val="00DA260B"/>
    <w:rsid w:val="00DA3413"/>
    <w:rsid w:val="00DA426E"/>
    <w:rsid w:val="00DA4271"/>
    <w:rsid w:val="00DA4339"/>
    <w:rsid w:val="00DA4A80"/>
    <w:rsid w:val="00DA4B1B"/>
    <w:rsid w:val="00DA5242"/>
    <w:rsid w:val="00DA5651"/>
    <w:rsid w:val="00DA648D"/>
    <w:rsid w:val="00DA6A05"/>
    <w:rsid w:val="00DA726D"/>
    <w:rsid w:val="00DB2055"/>
    <w:rsid w:val="00DB391A"/>
    <w:rsid w:val="00DB3FAF"/>
    <w:rsid w:val="00DB40BD"/>
    <w:rsid w:val="00DB4F4B"/>
    <w:rsid w:val="00DC070F"/>
    <w:rsid w:val="00DC1CB5"/>
    <w:rsid w:val="00DC2A0E"/>
    <w:rsid w:val="00DC3858"/>
    <w:rsid w:val="00DC4938"/>
    <w:rsid w:val="00DC58C8"/>
    <w:rsid w:val="00DC5A05"/>
    <w:rsid w:val="00DC72DA"/>
    <w:rsid w:val="00DC7669"/>
    <w:rsid w:val="00DC7A05"/>
    <w:rsid w:val="00DC7F4F"/>
    <w:rsid w:val="00DD1214"/>
    <w:rsid w:val="00DD1464"/>
    <w:rsid w:val="00DD15B9"/>
    <w:rsid w:val="00DD1E37"/>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1695"/>
    <w:rsid w:val="00E121E3"/>
    <w:rsid w:val="00E13331"/>
    <w:rsid w:val="00E13FFE"/>
    <w:rsid w:val="00E142F5"/>
    <w:rsid w:val="00E16372"/>
    <w:rsid w:val="00E163E9"/>
    <w:rsid w:val="00E16A2D"/>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37344"/>
    <w:rsid w:val="00E41B0B"/>
    <w:rsid w:val="00E42382"/>
    <w:rsid w:val="00E427FE"/>
    <w:rsid w:val="00E42887"/>
    <w:rsid w:val="00E43047"/>
    <w:rsid w:val="00E448AF"/>
    <w:rsid w:val="00E45A1F"/>
    <w:rsid w:val="00E46AC0"/>
    <w:rsid w:val="00E5041E"/>
    <w:rsid w:val="00E518B5"/>
    <w:rsid w:val="00E5216E"/>
    <w:rsid w:val="00E547FD"/>
    <w:rsid w:val="00E54973"/>
    <w:rsid w:val="00E54BCF"/>
    <w:rsid w:val="00E55FF7"/>
    <w:rsid w:val="00E56BB5"/>
    <w:rsid w:val="00E56E05"/>
    <w:rsid w:val="00E56F41"/>
    <w:rsid w:val="00E57E77"/>
    <w:rsid w:val="00E6085F"/>
    <w:rsid w:val="00E614F8"/>
    <w:rsid w:val="00E61FA5"/>
    <w:rsid w:val="00E63745"/>
    <w:rsid w:val="00E63C27"/>
    <w:rsid w:val="00E641EE"/>
    <w:rsid w:val="00E6699F"/>
    <w:rsid w:val="00E66F5D"/>
    <w:rsid w:val="00E67B40"/>
    <w:rsid w:val="00E703AE"/>
    <w:rsid w:val="00E703DE"/>
    <w:rsid w:val="00E70F97"/>
    <w:rsid w:val="00E71441"/>
    <w:rsid w:val="00E714B0"/>
    <w:rsid w:val="00E72373"/>
    <w:rsid w:val="00E72ACA"/>
    <w:rsid w:val="00E73114"/>
    <w:rsid w:val="00E73E8B"/>
    <w:rsid w:val="00E74082"/>
    <w:rsid w:val="00E74271"/>
    <w:rsid w:val="00E74414"/>
    <w:rsid w:val="00E748AA"/>
    <w:rsid w:val="00E7535A"/>
    <w:rsid w:val="00E7778B"/>
    <w:rsid w:val="00E80041"/>
    <w:rsid w:val="00E80635"/>
    <w:rsid w:val="00E810C5"/>
    <w:rsid w:val="00E81356"/>
    <w:rsid w:val="00E81401"/>
    <w:rsid w:val="00E823F9"/>
    <w:rsid w:val="00E830FD"/>
    <w:rsid w:val="00E83601"/>
    <w:rsid w:val="00E83C86"/>
    <w:rsid w:val="00E84C33"/>
    <w:rsid w:val="00E850AD"/>
    <w:rsid w:val="00E85712"/>
    <w:rsid w:val="00E862D0"/>
    <w:rsid w:val="00E87886"/>
    <w:rsid w:val="00E87CDE"/>
    <w:rsid w:val="00E90220"/>
    <w:rsid w:val="00E90576"/>
    <w:rsid w:val="00E90763"/>
    <w:rsid w:val="00E91FC1"/>
    <w:rsid w:val="00E92D54"/>
    <w:rsid w:val="00E92FB8"/>
    <w:rsid w:val="00E9323C"/>
    <w:rsid w:val="00E934A3"/>
    <w:rsid w:val="00E93F71"/>
    <w:rsid w:val="00E94B20"/>
    <w:rsid w:val="00E96DA9"/>
    <w:rsid w:val="00EA066B"/>
    <w:rsid w:val="00EA2914"/>
    <w:rsid w:val="00EA31A4"/>
    <w:rsid w:val="00EA3DB6"/>
    <w:rsid w:val="00EA42B6"/>
    <w:rsid w:val="00EA4D64"/>
    <w:rsid w:val="00EA5DE1"/>
    <w:rsid w:val="00EA75B2"/>
    <w:rsid w:val="00EA7EB0"/>
    <w:rsid w:val="00EB0E16"/>
    <w:rsid w:val="00EB236F"/>
    <w:rsid w:val="00EB237E"/>
    <w:rsid w:val="00EB2CD7"/>
    <w:rsid w:val="00EB3C37"/>
    <w:rsid w:val="00EB3F7B"/>
    <w:rsid w:val="00EB47D9"/>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4FF4"/>
    <w:rsid w:val="00ED630D"/>
    <w:rsid w:val="00ED67E8"/>
    <w:rsid w:val="00ED74D7"/>
    <w:rsid w:val="00EE0F87"/>
    <w:rsid w:val="00EE1522"/>
    <w:rsid w:val="00EE22A6"/>
    <w:rsid w:val="00EE2A11"/>
    <w:rsid w:val="00EE3219"/>
    <w:rsid w:val="00EE3C34"/>
    <w:rsid w:val="00EE40F8"/>
    <w:rsid w:val="00EE4A53"/>
    <w:rsid w:val="00EE59D8"/>
    <w:rsid w:val="00EE7743"/>
    <w:rsid w:val="00EE78EC"/>
    <w:rsid w:val="00EF0351"/>
    <w:rsid w:val="00EF0921"/>
    <w:rsid w:val="00EF1221"/>
    <w:rsid w:val="00EF17C9"/>
    <w:rsid w:val="00EF1A10"/>
    <w:rsid w:val="00EF1A9F"/>
    <w:rsid w:val="00EF24E8"/>
    <w:rsid w:val="00EF37EE"/>
    <w:rsid w:val="00EF3B27"/>
    <w:rsid w:val="00EF4516"/>
    <w:rsid w:val="00EF5AD7"/>
    <w:rsid w:val="00EF5C9D"/>
    <w:rsid w:val="00EF78F7"/>
    <w:rsid w:val="00F000AB"/>
    <w:rsid w:val="00F018C2"/>
    <w:rsid w:val="00F02927"/>
    <w:rsid w:val="00F02F83"/>
    <w:rsid w:val="00F039FE"/>
    <w:rsid w:val="00F03FA7"/>
    <w:rsid w:val="00F04624"/>
    <w:rsid w:val="00F048EF"/>
    <w:rsid w:val="00F05551"/>
    <w:rsid w:val="00F05885"/>
    <w:rsid w:val="00F06E6F"/>
    <w:rsid w:val="00F06EDA"/>
    <w:rsid w:val="00F1117D"/>
    <w:rsid w:val="00F136A0"/>
    <w:rsid w:val="00F1399B"/>
    <w:rsid w:val="00F13E51"/>
    <w:rsid w:val="00F14437"/>
    <w:rsid w:val="00F146BE"/>
    <w:rsid w:val="00F14D25"/>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0672"/>
    <w:rsid w:val="00F42330"/>
    <w:rsid w:val="00F42CF5"/>
    <w:rsid w:val="00F43305"/>
    <w:rsid w:val="00F43BF5"/>
    <w:rsid w:val="00F44634"/>
    <w:rsid w:val="00F44CA4"/>
    <w:rsid w:val="00F46823"/>
    <w:rsid w:val="00F47495"/>
    <w:rsid w:val="00F5088F"/>
    <w:rsid w:val="00F50CC2"/>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B83"/>
    <w:rsid w:val="00F62FCF"/>
    <w:rsid w:val="00F6371E"/>
    <w:rsid w:val="00F64037"/>
    <w:rsid w:val="00F6690C"/>
    <w:rsid w:val="00F67EBD"/>
    <w:rsid w:val="00F70661"/>
    <w:rsid w:val="00F70AD5"/>
    <w:rsid w:val="00F70D82"/>
    <w:rsid w:val="00F70DB8"/>
    <w:rsid w:val="00F70FFE"/>
    <w:rsid w:val="00F71046"/>
    <w:rsid w:val="00F71524"/>
    <w:rsid w:val="00F72F6F"/>
    <w:rsid w:val="00F74930"/>
    <w:rsid w:val="00F74ACA"/>
    <w:rsid w:val="00F75525"/>
    <w:rsid w:val="00F759C6"/>
    <w:rsid w:val="00F76EDF"/>
    <w:rsid w:val="00F77248"/>
    <w:rsid w:val="00F803CD"/>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79E"/>
    <w:rsid w:val="00FB590F"/>
    <w:rsid w:val="00FB7086"/>
    <w:rsid w:val="00FB74B6"/>
    <w:rsid w:val="00FB78EF"/>
    <w:rsid w:val="00FC01D0"/>
    <w:rsid w:val="00FC03A3"/>
    <w:rsid w:val="00FC075C"/>
    <w:rsid w:val="00FC113A"/>
    <w:rsid w:val="00FC1A15"/>
    <w:rsid w:val="00FC1CA7"/>
    <w:rsid w:val="00FC4B1F"/>
    <w:rsid w:val="00FC51C0"/>
    <w:rsid w:val="00FC6733"/>
    <w:rsid w:val="00FC714D"/>
    <w:rsid w:val="00FD2677"/>
    <w:rsid w:val="00FD28B8"/>
    <w:rsid w:val="00FD5343"/>
    <w:rsid w:val="00FD55DB"/>
    <w:rsid w:val="00FD60A4"/>
    <w:rsid w:val="00FD6A60"/>
    <w:rsid w:val="00FD76E8"/>
    <w:rsid w:val="00FE0855"/>
    <w:rsid w:val="00FE08D2"/>
    <w:rsid w:val="00FE0BD8"/>
    <w:rsid w:val="00FE1524"/>
    <w:rsid w:val="00FE1FC9"/>
    <w:rsid w:val="00FE245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 w:val="00FF44A4"/>
    <w:rsid w:val="00FF52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9F4423"/>
    <w:pPr>
      <w:numPr>
        <w:numId w:val="20"/>
      </w:numPr>
      <w:autoSpaceDE w:val="0"/>
      <w:autoSpaceDN w:val="0"/>
      <w:adjustRightInd w:val="0"/>
      <w:spacing w:after="0"/>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9F442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5323817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2120673">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27282693">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60071305">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37730540">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59154749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70731540">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75806148">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11984945">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492984236">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1056528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05260181">
      <w:bodyDiv w:val="1"/>
      <w:marLeft w:val="0"/>
      <w:marRight w:val="0"/>
      <w:marTop w:val="0"/>
      <w:marBottom w:val="0"/>
      <w:divBdr>
        <w:top w:val="none" w:sz="0" w:space="0" w:color="auto"/>
        <w:left w:val="none" w:sz="0" w:space="0" w:color="auto"/>
        <w:bottom w:val="none" w:sz="0" w:space="0" w:color="auto"/>
        <w:right w:val="none" w:sz="0" w:space="0" w:color="auto"/>
      </w:divBdr>
    </w:div>
    <w:div w:id="161135719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25889516">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 w:id="21194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D56A4A5B3DA41B326BF6EFCBBB9EA" ma:contentTypeVersion="7" ma:contentTypeDescription="Create a new document." ma:contentTypeScope="" ma:versionID="65becd1e5be21fe1d1893cb02037ab80">
  <xsd:schema xmlns:xsd="http://www.w3.org/2001/XMLSchema" xmlns:xs="http://www.w3.org/2001/XMLSchema" xmlns:p="http://schemas.microsoft.com/office/2006/metadata/properties" xmlns:ns3="258e890f-5554-4c53-ac12-0769dd419e74" targetNamespace="http://schemas.microsoft.com/office/2006/metadata/properties" ma:root="true" ma:fieldsID="fdf0ee9c9794d197e54ac05c269640a4" ns3:_="">
    <xsd:import namespace="258e890f-5554-4c53-ac12-0769dd419e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890f-5554-4c53-ac12-0769dd41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80D8E-D622-4152-A05E-FD2FB4B1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890f-5554-4c53-ac12-0769dd419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731</TotalTime>
  <Pages>19</Pages>
  <Words>4513</Words>
  <Characters>25725</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John Graham</cp:lastModifiedBy>
  <cp:revision>300</cp:revision>
  <cp:lastPrinted>2017-07-24T14:47:00Z</cp:lastPrinted>
  <dcterms:created xsi:type="dcterms:W3CDTF">2020-10-29T14:02:00Z</dcterms:created>
  <dcterms:modified xsi:type="dcterms:W3CDTF">2020-11-20T11:37:00Z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0x010100BB4D56A4A5B3DA41B326BF6EFCBBB9EA</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